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3" w:type="pct"/>
        <w:jc w:val="center"/>
        <w:tblCellMar>
          <w:top w:w="15" w:type="dxa"/>
          <w:left w:w="15" w:type="dxa"/>
          <w:bottom w:w="15" w:type="dxa"/>
          <w:right w:w="15" w:type="dxa"/>
        </w:tblCellMar>
        <w:tblLook w:val="04A0" w:firstRow="1" w:lastRow="0" w:firstColumn="1" w:lastColumn="0" w:noHBand="0" w:noVBand="1"/>
      </w:tblPr>
      <w:tblGrid>
        <w:gridCol w:w="1666"/>
        <w:gridCol w:w="1667"/>
        <w:gridCol w:w="1667"/>
        <w:gridCol w:w="1667"/>
        <w:gridCol w:w="1667"/>
      </w:tblGrid>
      <w:tr w:rsidR="005C332D" w14:paraId="518B418C" w14:textId="77777777">
        <w:trPr>
          <w:trHeight w:val="60"/>
          <w:jc w:val="center"/>
        </w:trPr>
        <w:tc>
          <w:tcPr>
            <w:tcW w:w="0" w:type="auto"/>
            <w:tcBorders>
              <w:top w:val="single" w:sz="8" w:space="0" w:color="000000"/>
              <w:bottom w:val="single" w:sz="8" w:space="0" w:color="000000"/>
            </w:tcBorders>
            <w:shd w:val="clear" w:color="auto" w:fill="auto"/>
            <w:tcMar>
              <w:top w:w="0" w:type="dxa"/>
              <w:left w:w="20" w:type="dxa"/>
              <w:bottom w:w="0" w:type="dxa"/>
              <w:right w:w="20" w:type="dxa"/>
            </w:tcMar>
            <w:vAlign w:val="bottom"/>
          </w:tcPr>
          <w:p w14:paraId="518B4187" w14:textId="47232CEE" w:rsidR="005C332D" w:rsidRDefault="00B93EAE">
            <w:pPr>
              <w:rPr>
                <w:rFonts w:ascii="宋体"/>
              </w:rPr>
            </w:pPr>
            <w:r>
              <w:rPr>
                <w:rFonts w:ascii="宋体"/>
              </w:rPr>
              <w:t xml:space="preserve"> </w:t>
            </w:r>
          </w:p>
        </w:tc>
        <w:tc>
          <w:tcPr>
            <w:tcW w:w="0" w:type="auto"/>
            <w:tcBorders>
              <w:top w:val="single" w:sz="8" w:space="0" w:color="000000"/>
              <w:bottom w:val="single" w:sz="8" w:space="0" w:color="000000"/>
            </w:tcBorders>
            <w:shd w:val="clear" w:color="auto" w:fill="auto"/>
            <w:tcMar>
              <w:top w:w="0" w:type="dxa"/>
              <w:left w:w="20" w:type="dxa"/>
              <w:bottom w:w="0" w:type="dxa"/>
              <w:right w:w="20" w:type="dxa"/>
            </w:tcMar>
            <w:vAlign w:val="bottom"/>
          </w:tcPr>
          <w:p w14:paraId="518B4188" w14:textId="77777777" w:rsidR="005C332D" w:rsidRDefault="005C332D">
            <w:pPr>
              <w:rPr>
                <w:rFonts w:ascii="宋体"/>
              </w:rPr>
            </w:pPr>
          </w:p>
        </w:tc>
        <w:tc>
          <w:tcPr>
            <w:tcW w:w="0" w:type="auto"/>
            <w:tcBorders>
              <w:top w:val="single" w:sz="8" w:space="0" w:color="000000"/>
              <w:bottom w:val="single" w:sz="8" w:space="0" w:color="000000"/>
            </w:tcBorders>
            <w:shd w:val="clear" w:color="auto" w:fill="auto"/>
            <w:tcMar>
              <w:top w:w="0" w:type="dxa"/>
              <w:left w:w="20" w:type="dxa"/>
              <w:bottom w:w="0" w:type="dxa"/>
              <w:right w:w="20" w:type="dxa"/>
            </w:tcMar>
            <w:vAlign w:val="bottom"/>
          </w:tcPr>
          <w:p w14:paraId="518B4189" w14:textId="77777777" w:rsidR="005C332D" w:rsidRDefault="005C332D">
            <w:pPr>
              <w:rPr>
                <w:rFonts w:ascii="宋体"/>
              </w:rPr>
            </w:pPr>
          </w:p>
        </w:tc>
        <w:tc>
          <w:tcPr>
            <w:tcW w:w="0" w:type="auto"/>
            <w:tcBorders>
              <w:top w:val="single" w:sz="8" w:space="0" w:color="000000"/>
              <w:bottom w:val="single" w:sz="8" w:space="0" w:color="000000"/>
            </w:tcBorders>
            <w:shd w:val="clear" w:color="auto" w:fill="auto"/>
            <w:tcMar>
              <w:top w:w="0" w:type="dxa"/>
              <w:left w:w="20" w:type="dxa"/>
              <w:bottom w:w="0" w:type="dxa"/>
              <w:right w:w="20" w:type="dxa"/>
            </w:tcMar>
            <w:vAlign w:val="bottom"/>
          </w:tcPr>
          <w:p w14:paraId="518B418A" w14:textId="77777777" w:rsidR="005C332D" w:rsidRDefault="005C332D">
            <w:pPr>
              <w:rPr>
                <w:rFonts w:ascii="宋体"/>
              </w:rPr>
            </w:pPr>
          </w:p>
        </w:tc>
        <w:tc>
          <w:tcPr>
            <w:tcW w:w="0" w:type="auto"/>
            <w:tcBorders>
              <w:top w:val="single" w:sz="8" w:space="0" w:color="000000"/>
              <w:bottom w:val="single" w:sz="8" w:space="0" w:color="000000"/>
            </w:tcBorders>
            <w:shd w:val="clear" w:color="auto" w:fill="auto"/>
            <w:tcMar>
              <w:top w:w="0" w:type="dxa"/>
              <w:left w:w="20" w:type="dxa"/>
              <w:bottom w:w="0" w:type="dxa"/>
              <w:right w:w="20" w:type="dxa"/>
            </w:tcMar>
            <w:vAlign w:val="bottom"/>
          </w:tcPr>
          <w:p w14:paraId="518B418B" w14:textId="77777777" w:rsidR="005C332D" w:rsidRDefault="005C332D">
            <w:pPr>
              <w:rPr>
                <w:rFonts w:ascii="宋体"/>
              </w:rPr>
            </w:pPr>
          </w:p>
        </w:tc>
      </w:tr>
    </w:tbl>
    <w:p w14:paraId="518B418D" w14:textId="77777777" w:rsidR="005C332D" w:rsidRDefault="00B93EAE">
      <w:pPr>
        <w:jc w:val="center"/>
      </w:pPr>
      <w:r>
        <w:rPr>
          <w:rFonts w:ascii="Times New Roman" w:eastAsia="宋体" w:hAnsi="Times New Roman"/>
          <w:b/>
          <w:bCs/>
          <w:color w:val="000000"/>
          <w:sz w:val="28"/>
          <w:szCs w:val="28"/>
        </w:rPr>
        <w:t>UNITED STATES SECURITIES AND EXCHANGE COMMISSION</w:t>
      </w:r>
    </w:p>
    <w:p w14:paraId="518B418E" w14:textId="77777777" w:rsidR="005C332D" w:rsidRDefault="00B93EAE">
      <w:pPr>
        <w:jc w:val="center"/>
      </w:pPr>
      <w:r>
        <w:rPr>
          <w:rFonts w:ascii="Times New Roman" w:eastAsia="宋体" w:hAnsi="Times New Roman"/>
          <w:b/>
          <w:bCs/>
          <w:color w:val="000000"/>
          <w:sz w:val="20"/>
          <w:szCs w:val="20"/>
        </w:rPr>
        <w:t>WASHINGTON, D.C. 20549</w:t>
      </w:r>
      <w:r>
        <w:rPr>
          <w:rFonts w:ascii="Times New Roman" w:eastAsia="宋体" w:hAnsi="Times New Roman"/>
          <w:color w:val="000000"/>
          <w:sz w:val="26"/>
          <w:szCs w:val="26"/>
        </w:rPr>
        <w:t> </w:t>
      </w:r>
    </w:p>
    <w:p w14:paraId="518B418F" w14:textId="77777777" w:rsidR="005C332D" w:rsidRDefault="00B93EAE">
      <w:pPr>
        <w:jc w:val="center"/>
      </w:pPr>
      <w:r>
        <w:rPr>
          <w:rFonts w:ascii="Times New Roman" w:eastAsia="宋体" w:hAnsi="Times New Roman"/>
          <w:color w:val="000000"/>
          <w:sz w:val="14"/>
          <w:szCs w:val="14"/>
        </w:rPr>
        <w:t>_____________________________________</w:t>
      </w:r>
    </w:p>
    <w:p w14:paraId="518B4190" w14:textId="77777777" w:rsidR="005C332D" w:rsidRDefault="00B93EAE">
      <w:pPr>
        <w:spacing w:before="60"/>
        <w:jc w:val="center"/>
      </w:pPr>
      <w:r>
        <w:rPr>
          <w:rFonts w:ascii="Times New Roman" w:eastAsia="宋体" w:hAnsi="Times New Roman"/>
          <w:b/>
          <w:bCs/>
          <w:color w:val="000000"/>
          <w:sz w:val="28"/>
          <w:szCs w:val="28"/>
        </w:rPr>
        <w:t xml:space="preserve">FORM 10-K </w:t>
      </w:r>
    </w:p>
    <w:p w14:paraId="518B4191" w14:textId="77777777" w:rsidR="005C332D" w:rsidRDefault="00B93EAE">
      <w:r>
        <w:rPr>
          <w:rFonts w:ascii="Times New Roman" w:eastAsia="宋体" w:hAnsi="Times New Roman"/>
          <w:b/>
          <w:bCs/>
          <w:color w:val="000000"/>
          <w:sz w:val="17"/>
          <w:szCs w:val="17"/>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49"/>
        <w:gridCol w:w="36"/>
        <w:gridCol w:w="70"/>
        <w:gridCol w:w="7776"/>
        <w:gridCol w:w="36"/>
      </w:tblGrid>
      <w:tr w:rsidR="005C332D" w14:paraId="518B4198" w14:textId="77777777">
        <w:tc>
          <w:tcPr>
            <w:tcW w:w="50" w:type="pct"/>
            <w:shd w:val="clear" w:color="auto" w:fill="auto"/>
            <w:vAlign w:val="bottom"/>
          </w:tcPr>
          <w:p w14:paraId="518B4192" w14:textId="77777777" w:rsidR="005C332D" w:rsidRDefault="005C332D">
            <w:pPr>
              <w:rPr>
                <w:rFonts w:ascii="宋体"/>
              </w:rPr>
            </w:pPr>
          </w:p>
        </w:tc>
        <w:tc>
          <w:tcPr>
            <w:tcW w:w="218" w:type="pct"/>
            <w:shd w:val="clear" w:color="auto" w:fill="auto"/>
            <w:vAlign w:val="bottom"/>
          </w:tcPr>
          <w:p w14:paraId="518B4193" w14:textId="77777777" w:rsidR="005C332D" w:rsidRDefault="005C332D">
            <w:pPr>
              <w:rPr>
                <w:rFonts w:ascii="宋体"/>
              </w:rPr>
            </w:pPr>
          </w:p>
        </w:tc>
        <w:tc>
          <w:tcPr>
            <w:tcW w:w="5" w:type="pct"/>
            <w:shd w:val="clear" w:color="auto" w:fill="auto"/>
            <w:vAlign w:val="bottom"/>
          </w:tcPr>
          <w:p w14:paraId="518B4194" w14:textId="77777777" w:rsidR="005C332D" w:rsidRDefault="005C332D">
            <w:pPr>
              <w:rPr>
                <w:rFonts w:ascii="宋体"/>
              </w:rPr>
            </w:pPr>
          </w:p>
        </w:tc>
        <w:tc>
          <w:tcPr>
            <w:tcW w:w="50" w:type="pct"/>
            <w:shd w:val="clear" w:color="auto" w:fill="auto"/>
            <w:vAlign w:val="bottom"/>
          </w:tcPr>
          <w:p w14:paraId="518B4195" w14:textId="77777777" w:rsidR="005C332D" w:rsidRDefault="005C332D">
            <w:pPr>
              <w:rPr>
                <w:rFonts w:ascii="宋体"/>
              </w:rPr>
            </w:pPr>
          </w:p>
        </w:tc>
        <w:tc>
          <w:tcPr>
            <w:tcW w:w="4671" w:type="pct"/>
            <w:shd w:val="clear" w:color="auto" w:fill="auto"/>
            <w:vAlign w:val="bottom"/>
          </w:tcPr>
          <w:p w14:paraId="518B4196" w14:textId="77777777" w:rsidR="005C332D" w:rsidRDefault="005C332D">
            <w:pPr>
              <w:rPr>
                <w:rFonts w:ascii="宋体"/>
              </w:rPr>
            </w:pPr>
          </w:p>
        </w:tc>
        <w:tc>
          <w:tcPr>
            <w:tcW w:w="5" w:type="pct"/>
            <w:shd w:val="clear" w:color="auto" w:fill="auto"/>
            <w:vAlign w:val="bottom"/>
          </w:tcPr>
          <w:p w14:paraId="518B4197" w14:textId="77777777" w:rsidR="005C332D" w:rsidRDefault="005C332D">
            <w:pPr>
              <w:rPr>
                <w:rFonts w:ascii="宋体"/>
              </w:rPr>
            </w:pPr>
          </w:p>
        </w:tc>
      </w:tr>
      <w:tr w:rsidR="005C332D" w14:paraId="518B419B" w14:textId="77777777">
        <w:tc>
          <w:tcPr>
            <w:tcW w:w="0" w:type="auto"/>
            <w:gridSpan w:val="3"/>
            <w:shd w:val="clear" w:color="auto" w:fill="auto"/>
            <w:tcMar>
              <w:top w:w="40" w:type="dxa"/>
              <w:left w:w="20" w:type="dxa"/>
              <w:bottom w:w="40" w:type="dxa"/>
              <w:right w:w="20" w:type="dxa"/>
            </w:tcMar>
          </w:tcPr>
          <w:p w14:paraId="518B4199" w14:textId="77777777" w:rsidR="005C332D" w:rsidRDefault="00B93EAE">
            <w:pPr>
              <w:textAlignment w:val="top"/>
            </w:pPr>
            <w:r>
              <w:rPr>
                <w:rFonts w:ascii="Arial Unicode MS" w:eastAsia="Arial Unicode MS" w:hAnsi="Arial Unicode MS" w:cs="Arial Unicode MS"/>
                <w:color w:val="000000"/>
                <w:sz w:val="28"/>
                <w:szCs w:val="28"/>
              </w:rPr>
              <w:t>☒</w:t>
            </w:r>
          </w:p>
        </w:tc>
        <w:tc>
          <w:tcPr>
            <w:tcW w:w="0" w:type="auto"/>
            <w:gridSpan w:val="3"/>
            <w:shd w:val="clear" w:color="auto" w:fill="auto"/>
            <w:tcMar>
              <w:top w:w="40" w:type="dxa"/>
              <w:left w:w="20" w:type="dxa"/>
              <w:bottom w:w="40" w:type="dxa"/>
              <w:right w:w="20" w:type="dxa"/>
            </w:tcMar>
          </w:tcPr>
          <w:p w14:paraId="518B419A" w14:textId="77777777" w:rsidR="005C332D" w:rsidRDefault="00B93EAE">
            <w:pPr>
              <w:textAlignment w:val="top"/>
            </w:pPr>
            <w:r>
              <w:rPr>
                <w:rFonts w:ascii="Times New Roman" w:eastAsia="宋体" w:hAnsi="Times New Roman"/>
                <w:b/>
                <w:bCs/>
                <w:color w:val="000000"/>
                <w:sz w:val="22"/>
                <w:szCs w:val="22"/>
              </w:rPr>
              <w:t>ANNUAL REPORT PURSUANT TO SECTION 13 OR 15(d) OF THE SECURITIES EXCHANGE ACT OF 1934</w:t>
            </w:r>
          </w:p>
        </w:tc>
      </w:tr>
    </w:tbl>
    <w:p w14:paraId="518B419C" w14:textId="77777777" w:rsidR="005C332D" w:rsidRDefault="00B93EAE">
      <w:r>
        <w:rPr>
          <w:rFonts w:ascii="Times New Roman" w:eastAsia="宋体" w:hAnsi="Times New Roman"/>
          <w:b/>
          <w:bCs/>
          <w:color w:val="000000"/>
          <w:sz w:val="22"/>
          <w:szCs w:val="22"/>
        </w:rPr>
        <w:t xml:space="preserve">For the fiscal year ended July 30, 2022 </w:t>
      </w:r>
    </w:p>
    <w:p w14:paraId="518B419D" w14:textId="77777777" w:rsidR="005C332D" w:rsidRDefault="00B93EAE">
      <w:r>
        <w:rPr>
          <w:rFonts w:ascii="Times New Roman" w:eastAsia="宋体" w:hAnsi="Times New Roman"/>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349"/>
        <w:gridCol w:w="36"/>
        <w:gridCol w:w="70"/>
        <w:gridCol w:w="7776"/>
        <w:gridCol w:w="36"/>
      </w:tblGrid>
      <w:tr w:rsidR="005C332D" w14:paraId="518B41A4" w14:textId="77777777">
        <w:tc>
          <w:tcPr>
            <w:tcW w:w="50" w:type="pct"/>
            <w:shd w:val="clear" w:color="auto" w:fill="auto"/>
            <w:vAlign w:val="bottom"/>
          </w:tcPr>
          <w:p w14:paraId="518B419E" w14:textId="77777777" w:rsidR="005C332D" w:rsidRDefault="005C332D">
            <w:pPr>
              <w:rPr>
                <w:rFonts w:ascii="宋体"/>
              </w:rPr>
            </w:pPr>
          </w:p>
        </w:tc>
        <w:tc>
          <w:tcPr>
            <w:tcW w:w="218" w:type="pct"/>
            <w:shd w:val="clear" w:color="auto" w:fill="auto"/>
            <w:vAlign w:val="bottom"/>
          </w:tcPr>
          <w:p w14:paraId="518B419F" w14:textId="77777777" w:rsidR="005C332D" w:rsidRDefault="005C332D">
            <w:pPr>
              <w:rPr>
                <w:rFonts w:ascii="宋体"/>
              </w:rPr>
            </w:pPr>
          </w:p>
        </w:tc>
        <w:tc>
          <w:tcPr>
            <w:tcW w:w="5" w:type="pct"/>
            <w:shd w:val="clear" w:color="auto" w:fill="auto"/>
            <w:vAlign w:val="bottom"/>
          </w:tcPr>
          <w:p w14:paraId="518B41A0" w14:textId="77777777" w:rsidR="005C332D" w:rsidRDefault="005C332D">
            <w:pPr>
              <w:rPr>
                <w:rFonts w:ascii="宋体"/>
              </w:rPr>
            </w:pPr>
          </w:p>
        </w:tc>
        <w:tc>
          <w:tcPr>
            <w:tcW w:w="50" w:type="pct"/>
            <w:shd w:val="clear" w:color="auto" w:fill="auto"/>
            <w:vAlign w:val="bottom"/>
          </w:tcPr>
          <w:p w14:paraId="518B41A1" w14:textId="77777777" w:rsidR="005C332D" w:rsidRDefault="005C332D">
            <w:pPr>
              <w:rPr>
                <w:rFonts w:ascii="宋体"/>
              </w:rPr>
            </w:pPr>
          </w:p>
        </w:tc>
        <w:tc>
          <w:tcPr>
            <w:tcW w:w="4671" w:type="pct"/>
            <w:shd w:val="clear" w:color="auto" w:fill="auto"/>
            <w:vAlign w:val="bottom"/>
          </w:tcPr>
          <w:p w14:paraId="518B41A2" w14:textId="77777777" w:rsidR="005C332D" w:rsidRDefault="005C332D">
            <w:pPr>
              <w:rPr>
                <w:rFonts w:ascii="宋体"/>
              </w:rPr>
            </w:pPr>
          </w:p>
        </w:tc>
        <w:tc>
          <w:tcPr>
            <w:tcW w:w="5" w:type="pct"/>
            <w:shd w:val="clear" w:color="auto" w:fill="auto"/>
            <w:vAlign w:val="bottom"/>
          </w:tcPr>
          <w:p w14:paraId="518B41A3" w14:textId="77777777" w:rsidR="005C332D" w:rsidRDefault="005C332D">
            <w:pPr>
              <w:rPr>
                <w:rFonts w:ascii="宋体"/>
              </w:rPr>
            </w:pPr>
          </w:p>
        </w:tc>
      </w:tr>
      <w:tr w:rsidR="005C332D" w14:paraId="518B41A7" w14:textId="77777777">
        <w:tc>
          <w:tcPr>
            <w:tcW w:w="0" w:type="auto"/>
            <w:gridSpan w:val="3"/>
            <w:shd w:val="clear" w:color="auto" w:fill="auto"/>
            <w:tcMar>
              <w:top w:w="40" w:type="dxa"/>
              <w:left w:w="20" w:type="dxa"/>
              <w:bottom w:w="40" w:type="dxa"/>
              <w:right w:w="20" w:type="dxa"/>
            </w:tcMar>
          </w:tcPr>
          <w:p w14:paraId="518B41A5" w14:textId="77777777" w:rsidR="005C332D" w:rsidRDefault="00B93EAE">
            <w:pPr>
              <w:textAlignment w:val="top"/>
            </w:pPr>
            <w:r>
              <w:rPr>
                <w:rFonts w:ascii="Arial Unicode MS" w:eastAsia="Arial Unicode MS" w:hAnsi="Arial Unicode MS" w:cs="Arial Unicode MS" w:hint="eastAsia"/>
                <w:color w:val="000000"/>
                <w:sz w:val="28"/>
                <w:szCs w:val="28"/>
              </w:rPr>
              <w:t>☐</w:t>
            </w:r>
          </w:p>
        </w:tc>
        <w:tc>
          <w:tcPr>
            <w:tcW w:w="0" w:type="auto"/>
            <w:gridSpan w:val="3"/>
            <w:shd w:val="clear" w:color="auto" w:fill="auto"/>
            <w:tcMar>
              <w:top w:w="40" w:type="dxa"/>
              <w:left w:w="20" w:type="dxa"/>
              <w:bottom w:w="40" w:type="dxa"/>
              <w:right w:w="20" w:type="dxa"/>
            </w:tcMar>
          </w:tcPr>
          <w:p w14:paraId="518B41A6" w14:textId="77777777" w:rsidR="005C332D" w:rsidRDefault="00B93EAE">
            <w:pPr>
              <w:textAlignment w:val="top"/>
            </w:pPr>
            <w:r>
              <w:rPr>
                <w:rFonts w:ascii="Times New Roman" w:eastAsia="宋体" w:hAnsi="Times New Roman"/>
                <w:b/>
                <w:bCs/>
                <w:color w:val="000000"/>
                <w:sz w:val="22"/>
                <w:szCs w:val="22"/>
              </w:rPr>
              <w:t>TRANSITION REPORT PURSUANT TO SECTION 13 OR 15(d) OF THE SECURITIES EXCHANGE ACT OF 1934</w:t>
            </w:r>
            <w:r>
              <w:rPr>
                <w:rFonts w:ascii="Times New Roman" w:eastAsia="宋体" w:hAnsi="Times New Roman"/>
                <w:b/>
                <w:bCs/>
                <w:color w:val="000000"/>
                <w:sz w:val="22"/>
                <w:szCs w:val="22"/>
              </w:rPr>
              <w:br/>
              <w:t>For the transition period from ____ to ____</w:t>
            </w:r>
          </w:p>
        </w:tc>
      </w:tr>
    </w:tbl>
    <w:p w14:paraId="518B41A8" w14:textId="77777777" w:rsidR="005C332D" w:rsidRDefault="00B93EAE">
      <w:pPr>
        <w:jc w:val="center"/>
      </w:pPr>
      <w:r>
        <w:rPr>
          <w:rFonts w:ascii="Times New Roman" w:eastAsia="宋体" w:hAnsi="Times New Roman"/>
          <w:b/>
          <w:bCs/>
          <w:color w:val="000000"/>
          <w:sz w:val="22"/>
          <w:szCs w:val="22"/>
        </w:rPr>
        <w:t>Commission file number 001-39940</w:t>
      </w:r>
      <w:r>
        <w:rPr>
          <w:rFonts w:ascii="Times New Roman" w:eastAsia="宋体" w:hAnsi="Times New Roman"/>
          <w:color w:val="000000"/>
          <w:sz w:val="22"/>
          <w:szCs w:val="22"/>
        </w:rPr>
        <w:t> </w:t>
      </w:r>
    </w:p>
    <w:p w14:paraId="518B41A9" w14:textId="77777777" w:rsidR="005C332D" w:rsidRDefault="00B93EAE">
      <w:pPr>
        <w:jc w:val="center"/>
      </w:pPr>
      <w:r>
        <w:rPr>
          <w:rFonts w:ascii="Times New Roman" w:eastAsia="宋体" w:hAnsi="Times New Roman"/>
          <w:color w:val="000000"/>
          <w:sz w:val="14"/>
          <w:szCs w:val="14"/>
        </w:rPr>
        <w:t>_____________________________________</w:t>
      </w:r>
    </w:p>
    <w:p w14:paraId="518B41AA" w14:textId="77777777" w:rsidR="005C332D" w:rsidRDefault="00B93EA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/Cisco/./Inline XBRL Viewer1_files/csco-20220730_g1.jpg"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18B870C" wp14:editId="518B870D">
            <wp:extent cx="304800" cy="304800"/>
            <wp:effectExtent l="0" t="0" r="0" b="0"/>
            <wp:docPr id="43"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18B41AB" w14:textId="77777777" w:rsidR="005C332D" w:rsidRDefault="00B93EAE">
      <w:pPr>
        <w:spacing w:before="100"/>
        <w:jc w:val="center"/>
      </w:pPr>
      <w:r>
        <w:rPr>
          <w:rFonts w:ascii="Times New Roman" w:eastAsia="宋体" w:hAnsi="Times New Roman"/>
          <w:b/>
          <w:bCs/>
          <w:color w:val="000000"/>
          <w:sz w:val="36"/>
          <w:szCs w:val="36"/>
        </w:rPr>
        <w:t xml:space="preserve">CISCO SYSTEMS, INC. </w:t>
      </w:r>
    </w:p>
    <w:p w14:paraId="518B41AC" w14:textId="77777777" w:rsidR="005C332D" w:rsidRDefault="00B93EAE">
      <w:pPr>
        <w:jc w:val="center"/>
      </w:pPr>
      <w:r>
        <w:rPr>
          <w:rFonts w:ascii="Times New Roman" w:eastAsia="宋体" w:hAnsi="Times New Roman"/>
          <w:b/>
          <w:bCs/>
          <w:color w:val="000000"/>
          <w:sz w:val="16"/>
          <w:szCs w:val="16"/>
        </w:rPr>
        <w:t>(Exact name of registrant as specified in its chart</w:t>
      </w:r>
      <w:r>
        <w:rPr>
          <w:rFonts w:ascii="Times New Roman" w:eastAsia="宋体" w:hAnsi="Times New Roman"/>
          <w:b/>
          <w:bCs/>
          <w:color w:val="000000"/>
          <w:sz w:val="16"/>
          <w:szCs w:val="16"/>
        </w:rPr>
        <w: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488"/>
        <w:gridCol w:w="38"/>
        <w:gridCol w:w="69"/>
        <w:gridCol w:w="1488"/>
        <w:gridCol w:w="37"/>
        <w:gridCol w:w="69"/>
        <w:gridCol w:w="2582"/>
        <w:gridCol w:w="36"/>
        <w:gridCol w:w="70"/>
        <w:gridCol w:w="2354"/>
        <w:gridCol w:w="36"/>
      </w:tblGrid>
      <w:tr w:rsidR="005C332D" w14:paraId="518B41B9" w14:textId="77777777">
        <w:trPr>
          <w:jc w:val="center"/>
        </w:trPr>
        <w:tc>
          <w:tcPr>
            <w:tcW w:w="50" w:type="pct"/>
            <w:shd w:val="clear" w:color="auto" w:fill="auto"/>
            <w:vAlign w:val="bottom"/>
          </w:tcPr>
          <w:p w14:paraId="518B41AD" w14:textId="77777777" w:rsidR="005C332D" w:rsidRDefault="005C332D">
            <w:pPr>
              <w:rPr>
                <w:rFonts w:ascii="宋体"/>
              </w:rPr>
            </w:pPr>
          </w:p>
        </w:tc>
        <w:tc>
          <w:tcPr>
            <w:tcW w:w="901" w:type="pct"/>
            <w:shd w:val="clear" w:color="auto" w:fill="auto"/>
            <w:vAlign w:val="bottom"/>
          </w:tcPr>
          <w:p w14:paraId="518B41AE" w14:textId="77777777" w:rsidR="005C332D" w:rsidRDefault="005C332D">
            <w:pPr>
              <w:rPr>
                <w:rFonts w:ascii="宋体"/>
              </w:rPr>
            </w:pPr>
          </w:p>
        </w:tc>
        <w:tc>
          <w:tcPr>
            <w:tcW w:w="5" w:type="pct"/>
            <w:shd w:val="clear" w:color="auto" w:fill="auto"/>
            <w:vAlign w:val="bottom"/>
          </w:tcPr>
          <w:p w14:paraId="518B41AF" w14:textId="77777777" w:rsidR="005C332D" w:rsidRDefault="005C332D">
            <w:pPr>
              <w:rPr>
                <w:rFonts w:ascii="宋体"/>
              </w:rPr>
            </w:pPr>
          </w:p>
        </w:tc>
        <w:tc>
          <w:tcPr>
            <w:tcW w:w="50" w:type="pct"/>
            <w:shd w:val="clear" w:color="auto" w:fill="auto"/>
            <w:vAlign w:val="bottom"/>
          </w:tcPr>
          <w:p w14:paraId="518B41B0" w14:textId="77777777" w:rsidR="005C332D" w:rsidRDefault="005C332D">
            <w:pPr>
              <w:rPr>
                <w:rFonts w:ascii="宋体"/>
              </w:rPr>
            </w:pPr>
          </w:p>
        </w:tc>
        <w:tc>
          <w:tcPr>
            <w:tcW w:w="901" w:type="pct"/>
            <w:shd w:val="clear" w:color="auto" w:fill="auto"/>
            <w:vAlign w:val="bottom"/>
          </w:tcPr>
          <w:p w14:paraId="518B41B1" w14:textId="77777777" w:rsidR="005C332D" w:rsidRDefault="005C332D">
            <w:pPr>
              <w:rPr>
                <w:rFonts w:ascii="宋体"/>
              </w:rPr>
            </w:pPr>
          </w:p>
        </w:tc>
        <w:tc>
          <w:tcPr>
            <w:tcW w:w="5" w:type="pct"/>
            <w:shd w:val="clear" w:color="auto" w:fill="auto"/>
            <w:vAlign w:val="bottom"/>
          </w:tcPr>
          <w:p w14:paraId="518B41B2" w14:textId="77777777" w:rsidR="005C332D" w:rsidRDefault="005C332D">
            <w:pPr>
              <w:rPr>
                <w:rFonts w:ascii="宋体"/>
              </w:rPr>
            </w:pPr>
          </w:p>
        </w:tc>
        <w:tc>
          <w:tcPr>
            <w:tcW w:w="50" w:type="pct"/>
            <w:shd w:val="clear" w:color="auto" w:fill="auto"/>
            <w:vAlign w:val="bottom"/>
          </w:tcPr>
          <w:p w14:paraId="518B41B3" w14:textId="77777777" w:rsidR="005C332D" w:rsidRDefault="005C332D">
            <w:pPr>
              <w:rPr>
                <w:rFonts w:ascii="宋体"/>
              </w:rPr>
            </w:pPr>
          </w:p>
        </w:tc>
        <w:tc>
          <w:tcPr>
            <w:tcW w:w="1557" w:type="pct"/>
            <w:shd w:val="clear" w:color="auto" w:fill="auto"/>
            <w:vAlign w:val="bottom"/>
          </w:tcPr>
          <w:p w14:paraId="518B41B4" w14:textId="77777777" w:rsidR="005C332D" w:rsidRDefault="005C332D">
            <w:pPr>
              <w:rPr>
                <w:rFonts w:ascii="宋体"/>
              </w:rPr>
            </w:pPr>
          </w:p>
        </w:tc>
        <w:tc>
          <w:tcPr>
            <w:tcW w:w="5" w:type="pct"/>
            <w:shd w:val="clear" w:color="auto" w:fill="auto"/>
            <w:vAlign w:val="bottom"/>
          </w:tcPr>
          <w:p w14:paraId="518B41B5" w14:textId="77777777" w:rsidR="005C332D" w:rsidRDefault="005C332D">
            <w:pPr>
              <w:rPr>
                <w:rFonts w:ascii="宋体"/>
              </w:rPr>
            </w:pPr>
          </w:p>
        </w:tc>
        <w:tc>
          <w:tcPr>
            <w:tcW w:w="50" w:type="pct"/>
            <w:shd w:val="clear" w:color="auto" w:fill="auto"/>
            <w:vAlign w:val="bottom"/>
          </w:tcPr>
          <w:p w14:paraId="518B41B6" w14:textId="77777777" w:rsidR="005C332D" w:rsidRDefault="005C332D">
            <w:pPr>
              <w:rPr>
                <w:rFonts w:ascii="宋体"/>
              </w:rPr>
            </w:pPr>
          </w:p>
        </w:tc>
        <w:tc>
          <w:tcPr>
            <w:tcW w:w="1420" w:type="pct"/>
            <w:shd w:val="clear" w:color="auto" w:fill="auto"/>
            <w:vAlign w:val="bottom"/>
          </w:tcPr>
          <w:p w14:paraId="518B41B7" w14:textId="77777777" w:rsidR="005C332D" w:rsidRDefault="005C332D">
            <w:pPr>
              <w:rPr>
                <w:rFonts w:ascii="宋体"/>
              </w:rPr>
            </w:pPr>
          </w:p>
        </w:tc>
        <w:tc>
          <w:tcPr>
            <w:tcW w:w="5" w:type="pct"/>
            <w:shd w:val="clear" w:color="auto" w:fill="auto"/>
            <w:vAlign w:val="bottom"/>
          </w:tcPr>
          <w:p w14:paraId="518B41B8" w14:textId="77777777" w:rsidR="005C332D" w:rsidRDefault="005C332D">
            <w:pPr>
              <w:rPr>
                <w:rFonts w:ascii="宋体"/>
              </w:rPr>
            </w:pPr>
          </w:p>
        </w:tc>
      </w:tr>
      <w:tr w:rsidR="005C332D" w14:paraId="518B41BD" w14:textId="77777777">
        <w:trPr>
          <w:jc w:val="center"/>
        </w:trPr>
        <w:tc>
          <w:tcPr>
            <w:tcW w:w="0" w:type="auto"/>
            <w:gridSpan w:val="6"/>
            <w:shd w:val="clear" w:color="auto" w:fill="auto"/>
            <w:tcMar>
              <w:top w:w="40" w:type="dxa"/>
              <w:left w:w="20" w:type="dxa"/>
              <w:bottom w:w="40" w:type="dxa"/>
              <w:right w:w="20" w:type="dxa"/>
            </w:tcMar>
          </w:tcPr>
          <w:p w14:paraId="518B41BA" w14:textId="77777777" w:rsidR="005C332D" w:rsidRDefault="00B93EAE">
            <w:pPr>
              <w:jc w:val="center"/>
              <w:textAlignment w:val="top"/>
            </w:pPr>
            <w:r>
              <w:rPr>
                <w:rFonts w:ascii="Times New Roman" w:eastAsia="宋体" w:hAnsi="Times New Roman"/>
                <w:b/>
                <w:bCs/>
                <w:color w:val="000000"/>
                <w:sz w:val="16"/>
                <w:szCs w:val="16"/>
              </w:rPr>
              <w:t>Delaware</w:t>
            </w:r>
          </w:p>
        </w:tc>
        <w:tc>
          <w:tcPr>
            <w:tcW w:w="0" w:type="auto"/>
            <w:gridSpan w:val="3"/>
            <w:shd w:val="clear" w:color="auto" w:fill="auto"/>
            <w:tcMar>
              <w:top w:w="0" w:type="dxa"/>
              <w:left w:w="20" w:type="dxa"/>
              <w:bottom w:w="0" w:type="dxa"/>
              <w:right w:w="20" w:type="dxa"/>
            </w:tcMar>
            <w:vAlign w:val="bottom"/>
          </w:tcPr>
          <w:p w14:paraId="518B41B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1BC" w14:textId="77777777" w:rsidR="005C332D" w:rsidRDefault="00B93EAE">
            <w:pPr>
              <w:jc w:val="center"/>
              <w:textAlignment w:val="top"/>
            </w:pPr>
            <w:r>
              <w:rPr>
                <w:rFonts w:ascii="Times New Roman" w:eastAsia="宋体" w:hAnsi="Times New Roman"/>
                <w:b/>
                <w:bCs/>
                <w:color w:val="000000"/>
                <w:sz w:val="16"/>
                <w:szCs w:val="16"/>
              </w:rPr>
              <w:t>77-0059951</w:t>
            </w:r>
          </w:p>
        </w:tc>
      </w:tr>
      <w:tr w:rsidR="005C332D" w14:paraId="518B41C1" w14:textId="77777777">
        <w:trPr>
          <w:jc w:val="center"/>
        </w:trPr>
        <w:tc>
          <w:tcPr>
            <w:tcW w:w="0" w:type="auto"/>
            <w:gridSpan w:val="6"/>
            <w:shd w:val="clear" w:color="auto" w:fill="auto"/>
            <w:tcMar>
              <w:top w:w="40" w:type="dxa"/>
              <w:left w:w="20" w:type="dxa"/>
              <w:bottom w:w="40" w:type="dxa"/>
              <w:right w:w="20" w:type="dxa"/>
            </w:tcMar>
            <w:vAlign w:val="bottom"/>
          </w:tcPr>
          <w:p w14:paraId="518B41BE" w14:textId="77777777" w:rsidR="005C332D" w:rsidRDefault="00B93EAE">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518B41BF"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1C0" w14:textId="77777777" w:rsidR="005C332D" w:rsidRDefault="00B93EAE">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No.)</w:t>
            </w:r>
          </w:p>
        </w:tc>
      </w:tr>
      <w:tr w:rsidR="005C332D" w14:paraId="518B41C5" w14:textId="77777777">
        <w:trPr>
          <w:trHeight w:val="180"/>
          <w:jc w:val="center"/>
        </w:trPr>
        <w:tc>
          <w:tcPr>
            <w:tcW w:w="0" w:type="auto"/>
            <w:gridSpan w:val="6"/>
            <w:shd w:val="clear" w:color="auto" w:fill="auto"/>
            <w:tcMar>
              <w:top w:w="40" w:type="dxa"/>
              <w:left w:w="20" w:type="dxa"/>
              <w:bottom w:w="40" w:type="dxa"/>
              <w:right w:w="20" w:type="dxa"/>
            </w:tcMar>
            <w:vAlign w:val="bottom"/>
          </w:tcPr>
          <w:p w14:paraId="518B41C2" w14:textId="77777777" w:rsidR="005C332D" w:rsidRDefault="00B93EAE">
            <w:pPr>
              <w:jc w:val="center"/>
              <w:textAlignment w:val="bottom"/>
            </w:pPr>
            <w:r>
              <w:rPr>
                <w:rFonts w:ascii="Times New Roman" w:eastAsia="宋体" w:hAnsi="Times New Roman"/>
                <w:b/>
                <w:bCs/>
                <w:color w:val="000000"/>
                <w:sz w:val="16"/>
                <w:szCs w:val="16"/>
              </w:rPr>
              <w:t>170 West Tasman Drive</w:t>
            </w:r>
          </w:p>
        </w:tc>
        <w:tc>
          <w:tcPr>
            <w:tcW w:w="0" w:type="auto"/>
            <w:gridSpan w:val="3"/>
            <w:shd w:val="clear" w:color="auto" w:fill="auto"/>
            <w:tcMar>
              <w:top w:w="0" w:type="dxa"/>
              <w:left w:w="20" w:type="dxa"/>
              <w:bottom w:w="0" w:type="dxa"/>
              <w:right w:w="20" w:type="dxa"/>
            </w:tcMar>
            <w:vAlign w:val="bottom"/>
          </w:tcPr>
          <w:p w14:paraId="518B41C3" w14:textId="77777777" w:rsidR="005C332D" w:rsidRDefault="005C332D">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518B41C4" w14:textId="77777777" w:rsidR="005C332D" w:rsidRDefault="00B93EAE">
            <w:pPr>
              <w:jc w:val="center"/>
              <w:textAlignment w:val="center"/>
            </w:pPr>
            <w:r>
              <w:rPr>
                <w:rFonts w:ascii="Times New Roman" w:eastAsia="宋体" w:hAnsi="Times New Roman"/>
                <w:b/>
                <w:bCs/>
                <w:color w:val="000000"/>
                <w:sz w:val="16"/>
                <w:szCs w:val="16"/>
              </w:rPr>
              <w:t>95134-1706</w:t>
            </w:r>
          </w:p>
        </w:tc>
      </w:tr>
      <w:tr w:rsidR="005C332D" w14:paraId="518B41CA" w14:textId="77777777">
        <w:trPr>
          <w:trHeight w:val="180"/>
          <w:jc w:val="center"/>
        </w:trPr>
        <w:tc>
          <w:tcPr>
            <w:tcW w:w="0" w:type="auto"/>
            <w:gridSpan w:val="3"/>
            <w:shd w:val="clear" w:color="auto" w:fill="auto"/>
            <w:tcMar>
              <w:top w:w="40" w:type="dxa"/>
              <w:left w:w="20" w:type="dxa"/>
              <w:bottom w:w="40" w:type="dxa"/>
              <w:right w:w="20" w:type="dxa"/>
            </w:tcMar>
            <w:vAlign w:val="bottom"/>
          </w:tcPr>
          <w:p w14:paraId="518B41C6" w14:textId="77777777" w:rsidR="005C332D" w:rsidRDefault="00B93EAE">
            <w:pPr>
              <w:jc w:val="right"/>
              <w:textAlignment w:val="bottom"/>
            </w:pPr>
            <w:r>
              <w:rPr>
                <w:rFonts w:ascii="Times New Roman" w:eastAsia="宋体" w:hAnsi="Times New Roman"/>
                <w:b/>
                <w:bCs/>
                <w:color w:val="000000"/>
                <w:sz w:val="16"/>
                <w:szCs w:val="16"/>
              </w:rPr>
              <w:t xml:space="preserve">San Jose, </w:t>
            </w:r>
          </w:p>
        </w:tc>
        <w:tc>
          <w:tcPr>
            <w:tcW w:w="0" w:type="auto"/>
            <w:gridSpan w:val="3"/>
            <w:shd w:val="clear" w:color="auto" w:fill="auto"/>
            <w:tcMar>
              <w:top w:w="40" w:type="dxa"/>
              <w:left w:w="20" w:type="dxa"/>
              <w:bottom w:w="40" w:type="dxa"/>
              <w:right w:w="20" w:type="dxa"/>
            </w:tcMar>
            <w:vAlign w:val="bottom"/>
          </w:tcPr>
          <w:p w14:paraId="518B41C7" w14:textId="77777777" w:rsidR="005C332D" w:rsidRDefault="00B93EAE">
            <w:pPr>
              <w:textAlignment w:val="bottom"/>
            </w:pPr>
            <w:r>
              <w:rPr>
                <w:rFonts w:ascii="Times New Roman" w:eastAsia="宋体" w:hAnsi="Times New Roman"/>
                <w:b/>
                <w:bCs/>
                <w:color w:val="000000"/>
                <w:sz w:val="16"/>
                <w:szCs w:val="16"/>
              </w:rPr>
              <w:t>California</w:t>
            </w:r>
          </w:p>
        </w:tc>
        <w:tc>
          <w:tcPr>
            <w:tcW w:w="0" w:type="auto"/>
            <w:gridSpan w:val="3"/>
            <w:shd w:val="clear" w:color="auto" w:fill="auto"/>
            <w:tcMar>
              <w:top w:w="0" w:type="dxa"/>
              <w:left w:w="20" w:type="dxa"/>
              <w:bottom w:w="0" w:type="dxa"/>
              <w:right w:w="20" w:type="dxa"/>
            </w:tcMar>
            <w:vAlign w:val="bottom"/>
          </w:tcPr>
          <w:p w14:paraId="518B41C8" w14:textId="77777777" w:rsidR="005C332D" w:rsidRDefault="005C332D">
            <w:pPr>
              <w:rPr>
                <w:rFonts w:ascii="宋体"/>
              </w:rPr>
            </w:pPr>
          </w:p>
        </w:tc>
        <w:tc>
          <w:tcPr>
            <w:tcW w:w="0" w:type="auto"/>
            <w:gridSpan w:val="3"/>
            <w:vMerge/>
            <w:shd w:val="clear" w:color="auto" w:fill="auto"/>
            <w:tcMar>
              <w:top w:w="40" w:type="dxa"/>
              <w:left w:w="20" w:type="dxa"/>
              <w:bottom w:w="40" w:type="dxa"/>
              <w:right w:w="20" w:type="dxa"/>
            </w:tcMar>
            <w:vAlign w:val="center"/>
          </w:tcPr>
          <w:p w14:paraId="518B41C9" w14:textId="77777777" w:rsidR="005C332D" w:rsidRDefault="005C332D">
            <w:pPr>
              <w:jc w:val="center"/>
              <w:rPr>
                <w:rFonts w:ascii="宋体"/>
              </w:rPr>
            </w:pPr>
          </w:p>
        </w:tc>
      </w:tr>
      <w:tr w:rsidR="005C332D" w14:paraId="518B41CE" w14:textId="77777777">
        <w:trPr>
          <w:jc w:val="center"/>
        </w:trPr>
        <w:tc>
          <w:tcPr>
            <w:tcW w:w="0" w:type="auto"/>
            <w:gridSpan w:val="6"/>
            <w:shd w:val="clear" w:color="auto" w:fill="auto"/>
            <w:tcMar>
              <w:top w:w="40" w:type="dxa"/>
              <w:left w:w="20" w:type="dxa"/>
              <w:bottom w:w="40" w:type="dxa"/>
              <w:right w:w="20" w:type="dxa"/>
            </w:tcMar>
          </w:tcPr>
          <w:p w14:paraId="518B41CB" w14:textId="77777777" w:rsidR="005C332D" w:rsidRDefault="00B93EAE">
            <w:pPr>
              <w:jc w:val="center"/>
              <w:textAlignment w:val="top"/>
            </w:pPr>
            <w:r>
              <w:rPr>
                <w:rFonts w:ascii="Times New Roman" w:eastAsia="宋体" w:hAnsi="Times New Roman"/>
                <w:b/>
                <w:bCs/>
                <w:color w:val="000000"/>
                <w:sz w:val="16"/>
                <w:szCs w:val="16"/>
              </w:rPr>
              <w:t>(Address of principal executive offices)</w:t>
            </w:r>
          </w:p>
        </w:tc>
        <w:tc>
          <w:tcPr>
            <w:tcW w:w="0" w:type="auto"/>
            <w:gridSpan w:val="3"/>
            <w:shd w:val="clear" w:color="auto" w:fill="auto"/>
            <w:tcMar>
              <w:top w:w="0" w:type="dxa"/>
              <w:left w:w="20" w:type="dxa"/>
              <w:bottom w:w="0" w:type="dxa"/>
              <w:right w:w="20" w:type="dxa"/>
            </w:tcMar>
            <w:vAlign w:val="bottom"/>
          </w:tcPr>
          <w:p w14:paraId="518B41C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1CD" w14:textId="77777777" w:rsidR="005C332D" w:rsidRDefault="00B93EAE">
            <w:pPr>
              <w:jc w:val="center"/>
              <w:textAlignment w:val="top"/>
            </w:pPr>
            <w:r>
              <w:rPr>
                <w:rFonts w:ascii="Times New Roman" w:eastAsia="宋体" w:hAnsi="Times New Roman"/>
                <w:b/>
                <w:bCs/>
                <w:color w:val="000000"/>
                <w:sz w:val="16"/>
                <w:szCs w:val="16"/>
              </w:rPr>
              <w:t>(Zip Code)</w:t>
            </w:r>
          </w:p>
        </w:tc>
      </w:tr>
    </w:tbl>
    <w:p w14:paraId="518B41CF" w14:textId="77777777" w:rsidR="005C332D" w:rsidRDefault="00B93EAE">
      <w:pPr>
        <w:jc w:val="center"/>
      </w:pPr>
      <w:r>
        <w:rPr>
          <w:rFonts w:ascii="Times New Roman" w:eastAsia="宋体" w:hAnsi="Times New Roman"/>
          <w:b/>
          <w:bCs/>
          <w:color w:val="000000"/>
          <w:sz w:val="16"/>
          <w:szCs w:val="16"/>
        </w:rPr>
        <w:t xml:space="preserve">Registrant’s telephone number, including area code: (408) 526-4000 </w:t>
      </w:r>
    </w:p>
    <w:p w14:paraId="518B41D0" w14:textId="77777777" w:rsidR="005C332D" w:rsidRDefault="00B93EAE">
      <w:pPr>
        <w:jc w:val="center"/>
      </w:pPr>
      <w:r>
        <w:rPr>
          <w:rFonts w:ascii="Times New Roman" w:eastAsia="宋体" w:hAnsi="Times New Roman"/>
          <w:b/>
          <w:bCs/>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85"/>
        <w:gridCol w:w="37"/>
        <w:gridCol w:w="70"/>
        <w:gridCol w:w="1247"/>
        <w:gridCol w:w="36"/>
        <w:gridCol w:w="70"/>
        <w:gridCol w:w="3386"/>
        <w:gridCol w:w="36"/>
      </w:tblGrid>
      <w:tr w:rsidR="005C332D" w14:paraId="518B41DA" w14:textId="77777777">
        <w:trPr>
          <w:jc w:val="center"/>
        </w:trPr>
        <w:tc>
          <w:tcPr>
            <w:tcW w:w="50" w:type="pct"/>
            <w:shd w:val="clear" w:color="auto" w:fill="auto"/>
            <w:vAlign w:val="bottom"/>
          </w:tcPr>
          <w:p w14:paraId="518B41D1" w14:textId="77777777" w:rsidR="005C332D" w:rsidRDefault="005C332D">
            <w:pPr>
              <w:rPr>
                <w:rFonts w:ascii="宋体"/>
              </w:rPr>
            </w:pPr>
          </w:p>
        </w:tc>
        <w:tc>
          <w:tcPr>
            <w:tcW w:w="2039" w:type="pct"/>
            <w:shd w:val="clear" w:color="auto" w:fill="auto"/>
            <w:vAlign w:val="bottom"/>
          </w:tcPr>
          <w:p w14:paraId="518B41D2" w14:textId="77777777" w:rsidR="005C332D" w:rsidRDefault="005C332D">
            <w:pPr>
              <w:rPr>
                <w:rFonts w:ascii="宋体"/>
              </w:rPr>
            </w:pPr>
          </w:p>
        </w:tc>
        <w:tc>
          <w:tcPr>
            <w:tcW w:w="5" w:type="pct"/>
            <w:shd w:val="clear" w:color="auto" w:fill="auto"/>
            <w:vAlign w:val="bottom"/>
          </w:tcPr>
          <w:p w14:paraId="518B41D3" w14:textId="77777777" w:rsidR="005C332D" w:rsidRDefault="005C332D">
            <w:pPr>
              <w:rPr>
                <w:rFonts w:ascii="宋体"/>
              </w:rPr>
            </w:pPr>
          </w:p>
        </w:tc>
        <w:tc>
          <w:tcPr>
            <w:tcW w:w="50" w:type="pct"/>
            <w:shd w:val="clear" w:color="auto" w:fill="auto"/>
            <w:vAlign w:val="bottom"/>
          </w:tcPr>
          <w:p w14:paraId="518B41D4" w14:textId="77777777" w:rsidR="005C332D" w:rsidRDefault="005C332D">
            <w:pPr>
              <w:rPr>
                <w:rFonts w:ascii="宋体"/>
              </w:rPr>
            </w:pPr>
          </w:p>
        </w:tc>
        <w:tc>
          <w:tcPr>
            <w:tcW w:w="756" w:type="pct"/>
            <w:shd w:val="clear" w:color="auto" w:fill="auto"/>
            <w:vAlign w:val="bottom"/>
          </w:tcPr>
          <w:p w14:paraId="518B41D5" w14:textId="77777777" w:rsidR="005C332D" w:rsidRDefault="005C332D">
            <w:pPr>
              <w:rPr>
                <w:rFonts w:ascii="宋体"/>
              </w:rPr>
            </w:pPr>
          </w:p>
        </w:tc>
        <w:tc>
          <w:tcPr>
            <w:tcW w:w="5" w:type="pct"/>
            <w:shd w:val="clear" w:color="auto" w:fill="auto"/>
            <w:vAlign w:val="bottom"/>
          </w:tcPr>
          <w:p w14:paraId="518B41D6" w14:textId="77777777" w:rsidR="005C332D" w:rsidRDefault="005C332D">
            <w:pPr>
              <w:rPr>
                <w:rFonts w:ascii="宋体"/>
              </w:rPr>
            </w:pPr>
          </w:p>
        </w:tc>
        <w:tc>
          <w:tcPr>
            <w:tcW w:w="50" w:type="pct"/>
            <w:shd w:val="clear" w:color="auto" w:fill="auto"/>
            <w:vAlign w:val="bottom"/>
          </w:tcPr>
          <w:p w14:paraId="518B41D7" w14:textId="77777777" w:rsidR="005C332D" w:rsidRDefault="005C332D">
            <w:pPr>
              <w:rPr>
                <w:rFonts w:ascii="宋体"/>
              </w:rPr>
            </w:pPr>
          </w:p>
        </w:tc>
        <w:tc>
          <w:tcPr>
            <w:tcW w:w="2039" w:type="pct"/>
            <w:shd w:val="clear" w:color="auto" w:fill="auto"/>
            <w:vAlign w:val="bottom"/>
          </w:tcPr>
          <w:p w14:paraId="518B41D8" w14:textId="77777777" w:rsidR="005C332D" w:rsidRDefault="005C332D">
            <w:pPr>
              <w:rPr>
                <w:rFonts w:ascii="宋体"/>
              </w:rPr>
            </w:pPr>
          </w:p>
        </w:tc>
        <w:tc>
          <w:tcPr>
            <w:tcW w:w="5" w:type="pct"/>
            <w:shd w:val="clear" w:color="auto" w:fill="auto"/>
            <w:vAlign w:val="bottom"/>
          </w:tcPr>
          <w:p w14:paraId="518B41D9" w14:textId="77777777" w:rsidR="005C332D" w:rsidRDefault="005C332D">
            <w:pPr>
              <w:rPr>
                <w:rFonts w:ascii="宋体"/>
              </w:rPr>
            </w:pPr>
          </w:p>
        </w:tc>
      </w:tr>
      <w:tr w:rsidR="005C332D" w14:paraId="518B41DE" w14:textId="77777777">
        <w:trPr>
          <w:jc w:val="center"/>
        </w:trPr>
        <w:tc>
          <w:tcPr>
            <w:tcW w:w="0" w:type="auto"/>
            <w:gridSpan w:val="3"/>
            <w:shd w:val="clear" w:color="auto" w:fill="auto"/>
            <w:tcMar>
              <w:top w:w="40" w:type="dxa"/>
              <w:left w:w="20" w:type="dxa"/>
              <w:bottom w:w="40" w:type="dxa"/>
              <w:right w:w="20" w:type="dxa"/>
            </w:tcMar>
            <w:vAlign w:val="bottom"/>
          </w:tcPr>
          <w:p w14:paraId="518B41DB" w14:textId="77777777" w:rsidR="005C332D" w:rsidRDefault="00B93EAE">
            <w:pPr>
              <w:jc w:val="center"/>
              <w:textAlignment w:val="bottom"/>
            </w:pPr>
            <w:r>
              <w:rPr>
                <w:rFonts w:ascii="Times New Roman" w:eastAsia="宋体" w:hAnsi="Times New Roman"/>
                <w:b/>
                <w:bCs/>
                <w:color w:val="000000"/>
                <w:sz w:val="16"/>
                <w:szCs w:val="16"/>
                <w:u w:val="single"/>
              </w:rPr>
              <w:t>Title of each class:</w:t>
            </w:r>
          </w:p>
        </w:tc>
        <w:tc>
          <w:tcPr>
            <w:tcW w:w="0" w:type="auto"/>
            <w:gridSpan w:val="3"/>
            <w:shd w:val="clear" w:color="auto" w:fill="auto"/>
            <w:tcMar>
              <w:top w:w="40" w:type="dxa"/>
              <w:left w:w="20" w:type="dxa"/>
              <w:bottom w:w="40" w:type="dxa"/>
              <w:right w:w="20" w:type="dxa"/>
            </w:tcMar>
            <w:vAlign w:val="bottom"/>
          </w:tcPr>
          <w:p w14:paraId="518B41DC" w14:textId="77777777" w:rsidR="005C332D" w:rsidRDefault="00B93EAE">
            <w:pPr>
              <w:jc w:val="center"/>
              <w:textAlignment w:val="bottom"/>
            </w:pPr>
            <w:r>
              <w:rPr>
                <w:rFonts w:ascii="Times New Roman" w:eastAsia="宋体" w:hAnsi="Times New Roman"/>
                <w:b/>
                <w:bCs/>
                <w:color w:val="000000"/>
                <w:sz w:val="16"/>
                <w:szCs w:val="16"/>
                <w:u w:val="single"/>
              </w:rPr>
              <w:t>Trading Symbol(s)</w:t>
            </w:r>
          </w:p>
        </w:tc>
        <w:tc>
          <w:tcPr>
            <w:tcW w:w="0" w:type="auto"/>
            <w:gridSpan w:val="3"/>
            <w:shd w:val="clear" w:color="auto" w:fill="auto"/>
            <w:tcMar>
              <w:top w:w="40" w:type="dxa"/>
              <w:left w:w="20" w:type="dxa"/>
              <w:bottom w:w="40" w:type="dxa"/>
              <w:right w:w="20" w:type="dxa"/>
            </w:tcMar>
            <w:vAlign w:val="bottom"/>
          </w:tcPr>
          <w:p w14:paraId="518B41DD" w14:textId="77777777" w:rsidR="005C332D" w:rsidRDefault="00B93EAE">
            <w:pPr>
              <w:jc w:val="center"/>
              <w:textAlignment w:val="bottom"/>
            </w:pPr>
            <w:r>
              <w:rPr>
                <w:rFonts w:ascii="Times New Roman" w:eastAsia="宋体" w:hAnsi="Times New Roman"/>
                <w:b/>
                <w:bCs/>
                <w:color w:val="000000"/>
                <w:sz w:val="16"/>
                <w:szCs w:val="16"/>
                <w:u w:val="single"/>
              </w:rPr>
              <w:t>Name of each exchange on which registered</w:t>
            </w:r>
          </w:p>
        </w:tc>
      </w:tr>
      <w:tr w:rsidR="005C332D" w14:paraId="518B41E2" w14:textId="77777777">
        <w:trPr>
          <w:jc w:val="center"/>
        </w:trPr>
        <w:tc>
          <w:tcPr>
            <w:tcW w:w="0" w:type="auto"/>
            <w:gridSpan w:val="3"/>
            <w:shd w:val="clear" w:color="auto" w:fill="auto"/>
            <w:tcMar>
              <w:top w:w="40" w:type="dxa"/>
              <w:left w:w="20" w:type="dxa"/>
              <w:bottom w:w="40" w:type="dxa"/>
              <w:right w:w="20" w:type="dxa"/>
            </w:tcMar>
          </w:tcPr>
          <w:p w14:paraId="518B41DF" w14:textId="77777777" w:rsidR="005C332D" w:rsidRDefault="00B93EAE">
            <w:pPr>
              <w:jc w:val="center"/>
              <w:textAlignment w:val="top"/>
            </w:pPr>
            <w:r>
              <w:rPr>
                <w:rFonts w:ascii="Times New Roman" w:eastAsia="宋体" w:hAnsi="Times New Roman"/>
                <w:color w:val="000000"/>
                <w:sz w:val="16"/>
                <w:szCs w:val="16"/>
              </w:rPr>
              <w:t xml:space="preserve">Common Stock, par value $0.001 </w:t>
            </w:r>
            <w:r>
              <w:rPr>
                <w:rFonts w:ascii="Times New Roman" w:eastAsia="宋体" w:hAnsi="Times New Roman"/>
                <w:color w:val="000000"/>
                <w:sz w:val="16"/>
                <w:szCs w:val="16"/>
              </w:rPr>
              <w:t>per share</w:t>
            </w:r>
          </w:p>
        </w:tc>
        <w:tc>
          <w:tcPr>
            <w:tcW w:w="0" w:type="auto"/>
            <w:gridSpan w:val="3"/>
            <w:shd w:val="clear" w:color="auto" w:fill="auto"/>
            <w:tcMar>
              <w:top w:w="40" w:type="dxa"/>
              <w:left w:w="20" w:type="dxa"/>
              <w:bottom w:w="40" w:type="dxa"/>
              <w:right w:w="20" w:type="dxa"/>
            </w:tcMar>
            <w:vAlign w:val="bottom"/>
          </w:tcPr>
          <w:p w14:paraId="518B41E0" w14:textId="77777777" w:rsidR="005C332D" w:rsidRDefault="00B93EAE">
            <w:pPr>
              <w:jc w:val="center"/>
              <w:textAlignment w:val="bottom"/>
            </w:pPr>
            <w:r>
              <w:rPr>
                <w:rFonts w:ascii="Times New Roman" w:eastAsia="宋体" w:hAnsi="Times New Roman"/>
                <w:color w:val="000000"/>
                <w:sz w:val="16"/>
                <w:szCs w:val="16"/>
              </w:rPr>
              <w:t>CSCO</w:t>
            </w:r>
          </w:p>
        </w:tc>
        <w:tc>
          <w:tcPr>
            <w:tcW w:w="0" w:type="auto"/>
            <w:gridSpan w:val="3"/>
            <w:shd w:val="clear" w:color="auto" w:fill="auto"/>
            <w:tcMar>
              <w:top w:w="40" w:type="dxa"/>
              <w:left w:w="20" w:type="dxa"/>
              <w:bottom w:w="40" w:type="dxa"/>
              <w:right w:w="20" w:type="dxa"/>
            </w:tcMar>
          </w:tcPr>
          <w:p w14:paraId="518B41E1" w14:textId="77777777" w:rsidR="005C332D" w:rsidRDefault="00B93EAE">
            <w:pPr>
              <w:jc w:val="center"/>
              <w:textAlignment w:val="top"/>
            </w:pPr>
            <w:r>
              <w:rPr>
                <w:rFonts w:ascii="Times New Roman" w:eastAsia="宋体" w:hAnsi="Times New Roman"/>
                <w:color w:val="000000"/>
                <w:sz w:val="16"/>
                <w:szCs w:val="16"/>
              </w:rPr>
              <w:t>The Nasdaq Stock Market LLC</w:t>
            </w:r>
          </w:p>
        </w:tc>
      </w:tr>
    </w:tbl>
    <w:p w14:paraId="518B41E3" w14:textId="77777777" w:rsidR="005C332D" w:rsidRDefault="00B93EAE">
      <w:pPr>
        <w:jc w:val="center"/>
      </w:pPr>
      <w:r>
        <w:rPr>
          <w:rFonts w:ascii="Times New Roman" w:eastAsia="宋体" w:hAnsi="Times New Roman"/>
          <w:b/>
          <w:bCs/>
          <w:color w:val="000000"/>
          <w:sz w:val="16"/>
          <w:szCs w:val="16"/>
        </w:rPr>
        <w:t>Securities registered pursuant to Section 12(g) of the Act: None</w:t>
      </w:r>
    </w:p>
    <w:p w14:paraId="518B41E4" w14:textId="77777777" w:rsidR="005C332D" w:rsidRDefault="00B93EAE">
      <w:pPr>
        <w:spacing w:after="20"/>
        <w:jc w:val="center"/>
      </w:pPr>
      <w:r>
        <w:rPr>
          <w:rFonts w:ascii="Times New Roman" w:eastAsia="宋体" w:hAnsi="Times New Roman"/>
          <w:color w:val="000000"/>
          <w:sz w:val="15"/>
          <w:szCs w:val="15"/>
        </w:rPr>
        <w:t>_____________________________________ </w:t>
      </w:r>
    </w:p>
    <w:p w14:paraId="518B41E5" w14:textId="77777777" w:rsidR="005C332D" w:rsidRDefault="00B93EAE">
      <w:pPr>
        <w:spacing w:after="20"/>
      </w:pPr>
      <w:r>
        <w:rPr>
          <w:rFonts w:ascii="Times New Roman" w:eastAsia="宋体" w:hAnsi="Times New Roman"/>
          <w:color w:val="000000"/>
          <w:sz w:val="17"/>
          <w:szCs w:val="17"/>
        </w:rPr>
        <w:t xml:space="preserve">Indicate by check mark if the registrant is a well-known seasoned issuer, as defined in Rule 405 of the </w:t>
      </w:r>
      <w:r>
        <w:rPr>
          <w:rFonts w:ascii="Times New Roman" w:eastAsia="宋体" w:hAnsi="Times New Roman"/>
          <w:color w:val="000000"/>
          <w:sz w:val="17"/>
          <w:szCs w:val="17"/>
        </w:rPr>
        <w:t>Securities Act.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7"/>
          <w:szCs w:val="17"/>
        </w:rPr>
        <w:t>  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7"/>
          <w:szCs w:val="17"/>
        </w:rPr>
        <w:t> No</w:t>
      </w:r>
    </w:p>
    <w:p w14:paraId="518B41E6" w14:textId="77777777" w:rsidR="005C332D" w:rsidRDefault="00B93EAE">
      <w:pPr>
        <w:spacing w:after="20"/>
      </w:pPr>
      <w:r>
        <w:rPr>
          <w:rFonts w:ascii="Times New Roman" w:eastAsia="宋体" w:hAnsi="Times New Roman"/>
          <w:color w:val="000000"/>
          <w:sz w:val="17"/>
          <w:szCs w:val="17"/>
        </w:rPr>
        <w:t>Indicate by check mark if the registrant is not required to file reports pursuant to Section 13 or Section 15(d) of the Act.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17"/>
          <w:szCs w:val="17"/>
        </w:rPr>
        <w:t>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7"/>
          <w:szCs w:val="17"/>
        </w:rPr>
        <w:t xml:space="preserve">  No </w:t>
      </w:r>
    </w:p>
    <w:p w14:paraId="518B41E7" w14:textId="77777777" w:rsidR="005C332D" w:rsidRDefault="00B93EAE">
      <w:pPr>
        <w:spacing w:after="40"/>
      </w:pPr>
      <w:r>
        <w:rPr>
          <w:rFonts w:ascii="Times New Roman" w:eastAsia="宋体" w:hAnsi="Times New Roman"/>
          <w:color w:val="000000"/>
          <w:sz w:val="17"/>
          <w:szCs w:val="17"/>
        </w:rPr>
        <w:t>Indicate by check mark whether the registrant (1) has filed all reports requi</w:t>
      </w:r>
      <w:r>
        <w:rPr>
          <w:rFonts w:ascii="Times New Roman" w:eastAsia="宋体" w:hAnsi="Times New Roman"/>
          <w:color w:val="000000"/>
          <w:sz w:val="17"/>
          <w:szCs w:val="17"/>
        </w:rPr>
        <w:t>red to be filed by Section 13 or 15(d) of the Securities Exchange Act of 1934 during the preceding 12 months (or for such shorter period that the registrant was required to file such reports), and (2) has been subject to such filing requirements for the pa</w:t>
      </w:r>
      <w:r>
        <w:rPr>
          <w:rFonts w:ascii="Times New Roman" w:eastAsia="宋体" w:hAnsi="Times New Roman"/>
          <w:color w:val="000000"/>
          <w:sz w:val="17"/>
          <w:szCs w:val="17"/>
        </w:rPr>
        <w:t>st 90 days.    </w:t>
      </w:r>
      <w:r>
        <w:rPr>
          <w:rFonts w:ascii="Arial Unicode MS" w:eastAsia="Arial Unicode MS" w:hAnsi="Arial Unicode MS" w:cs="Arial Unicode MS" w:hint="eastAsia"/>
          <w:color w:val="000000"/>
          <w:sz w:val="17"/>
          <w:szCs w:val="17"/>
        </w:rPr>
        <w:t>☒</w:t>
      </w:r>
      <w:r>
        <w:rPr>
          <w:rFonts w:ascii="Times New Roman" w:eastAsia="宋体" w:hAnsi="Times New Roman"/>
          <w:color w:val="000000"/>
          <w:sz w:val="17"/>
          <w:szCs w:val="17"/>
        </w:rPr>
        <w:t>  Yes   </w:t>
      </w:r>
      <w:r>
        <w:rPr>
          <w:rFonts w:ascii="Arial Unicode MS" w:eastAsia="Arial Unicode MS" w:hAnsi="Arial Unicode MS" w:cs="Arial Unicode MS" w:hint="eastAsia"/>
          <w:color w:val="000000"/>
          <w:sz w:val="17"/>
          <w:szCs w:val="17"/>
        </w:rPr>
        <w:t>☐</w:t>
      </w:r>
      <w:r>
        <w:rPr>
          <w:rFonts w:ascii="Times New Roman" w:eastAsia="宋体" w:hAnsi="Times New Roman"/>
          <w:color w:val="000000"/>
          <w:sz w:val="17"/>
          <w:szCs w:val="17"/>
        </w:rPr>
        <w:t> No</w:t>
      </w:r>
    </w:p>
    <w:p w14:paraId="518B41E8" w14:textId="77777777" w:rsidR="005C332D" w:rsidRDefault="00B93EAE">
      <w:pPr>
        <w:spacing w:after="40"/>
      </w:pPr>
      <w:r>
        <w:rPr>
          <w:rFonts w:ascii="Times New Roman" w:eastAsia="宋体" w:hAnsi="Times New Roman"/>
          <w:color w:val="000000"/>
          <w:sz w:val="17"/>
          <w:szCs w:val="17"/>
        </w:rPr>
        <w:t xml:space="preserve">Indicate by check mark whether the registrant has submitted electronically every Interactive Data File required to be submitted pursuant to Rule 405 of Regulation S-T (§232.405 of this chapter) during the preceding </w:t>
      </w:r>
      <w:r>
        <w:rPr>
          <w:rFonts w:ascii="Times New Roman" w:eastAsia="宋体" w:hAnsi="Times New Roman"/>
          <w:color w:val="000000"/>
          <w:sz w:val="17"/>
          <w:szCs w:val="17"/>
        </w:rPr>
        <w:t>12 months (or for such shorter period that the registrant was required to submit such files).    </w:t>
      </w:r>
      <w:r>
        <w:rPr>
          <w:rFonts w:ascii="Arial Unicode MS" w:eastAsia="Arial Unicode MS" w:hAnsi="Arial Unicode MS" w:cs="Arial Unicode MS" w:hint="eastAsia"/>
          <w:color w:val="000000"/>
          <w:sz w:val="17"/>
          <w:szCs w:val="17"/>
        </w:rPr>
        <w:t>☒</w:t>
      </w:r>
      <w:r>
        <w:rPr>
          <w:rFonts w:ascii="Times New Roman" w:eastAsia="宋体" w:hAnsi="Times New Roman"/>
          <w:color w:val="000000"/>
          <w:sz w:val="17"/>
          <w:szCs w:val="17"/>
        </w:rPr>
        <w:t>  Yes    </w:t>
      </w:r>
      <w:r>
        <w:rPr>
          <w:rFonts w:ascii="Arial Unicode MS" w:eastAsia="Arial Unicode MS" w:hAnsi="Arial Unicode MS" w:cs="Arial Unicode MS" w:hint="eastAsia"/>
          <w:color w:val="000000"/>
          <w:sz w:val="17"/>
          <w:szCs w:val="17"/>
        </w:rPr>
        <w:t>☐</w:t>
      </w:r>
      <w:r>
        <w:rPr>
          <w:rFonts w:ascii="Times New Roman" w:eastAsia="宋体" w:hAnsi="Times New Roman"/>
          <w:color w:val="000000"/>
          <w:sz w:val="17"/>
          <w:szCs w:val="17"/>
        </w:rPr>
        <w:t> No</w:t>
      </w:r>
    </w:p>
    <w:p w14:paraId="518B41E9" w14:textId="77777777" w:rsidR="005C332D" w:rsidRDefault="00B93EAE">
      <w:r>
        <w:rPr>
          <w:rFonts w:ascii="Times New Roman" w:eastAsia="宋体" w:hAnsi="Times New Roman"/>
          <w:color w:val="000000"/>
          <w:sz w:val="17"/>
          <w:szCs w:val="17"/>
        </w:rPr>
        <w:t>Indicate by check mark whether the registrant is a large accelerated filer, an accelerated filer, a non-accelerated filer, a smaller reporting c</w:t>
      </w:r>
      <w:r>
        <w:rPr>
          <w:rFonts w:ascii="Times New Roman" w:eastAsia="宋体" w:hAnsi="Times New Roman"/>
          <w:color w:val="000000"/>
          <w:sz w:val="17"/>
          <w:szCs w:val="17"/>
        </w:rPr>
        <w:t>ompany, or an emerging growth company. See the definitions of “large accelerated filer,” “accelerated filer,” “smaller reporting company,” and “emerging growth company” in Rule 12b-2 of the Exchange Act.</w:t>
      </w:r>
    </w:p>
    <w:tbl>
      <w:tblPr>
        <w:tblW w:w="4665" w:type="pct"/>
        <w:tblCellMar>
          <w:top w:w="15" w:type="dxa"/>
          <w:left w:w="15" w:type="dxa"/>
          <w:bottom w:w="15" w:type="dxa"/>
          <w:right w:w="15" w:type="dxa"/>
        </w:tblCellMar>
        <w:tblLook w:val="04A0" w:firstRow="1" w:lastRow="0" w:firstColumn="1" w:lastColumn="0" w:noHBand="0" w:noVBand="1"/>
      </w:tblPr>
      <w:tblGrid>
        <w:gridCol w:w="51"/>
        <w:gridCol w:w="1515"/>
        <w:gridCol w:w="37"/>
        <w:gridCol w:w="36"/>
        <w:gridCol w:w="36"/>
        <w:gridCol w:w="36"/>
        <w:gridCol w:w="46"/>
        <w:gridCol w:w="128"/>
        <w:gridCol w:w="36"/>
        <w:gridCol w:w="36"/>
        <w:gridCol w:w="3487"/>
        <w:gridCol w:w="36"/>
        <w:gridCol w:w="37"/>
        <w:gridCol w:w="87"/>
        <w:gridCol w:w="36"/>
        <w:gridCol w:w="84"/>
        <w:gridCol w:w="1699"/>
        <w:gridCol w:w="36"/>
        <w:gridCol w:w="36"/>
        <w:gridCol w:w="36"/>
        <w:gridCol w:w="36"/>
        <w:gridCol w:w="46"/>
        <w:gridCol w:w="128"/>
        <w:gridCol w:w="36"/>
      </w:tblGrid>
      <w:tr w:rsidR="005C332D" w14:paraId="518B4202" w14:textId="77777777">
        <w:tc>
          <w:tcPr>
            <w:tcW w:w="50" w:type="pct"/>
            <w:shd w:val="clear" w:color="auto" w:fill="auto"/>
            <w:vAlign w:val="bottom"/>
          </w:tcPr>
          <w:p w14:paraId="518B41EA" w14:textId="77777777" w:rsidR="005C332D" w:rsidRDefault="005C332D">
            <w:pPr>
              <w:rPr>
                <w:rFonts w:ascii="宋体"/>
              </w:rPr>
            </w:pPr>
          </w:p>
        </w:tc>
        <w:tc>
          <w:tcPr>
            <w:tcW w:w="1021" w:type="pct"/>
            <w:shd w:val="clear" w:color="auto" w:fill="auto"/>
            <w:vAlign w:val="bottom"/>
          </w:tcPr>
          <w:p w14:paraId="518B41EB" w14:textId="77777777" w:rsidR="005C332D" w:rsidRDefault="005C332D">
            <w:pPr>
              <w:rPr>
                <w:rFonts w:ascii="宋体"/>
              </w:rPr>
            </w:pPr>
          </w:p>
        </w:tc>
        <w:tc>
          <w:tcPr>
            <w:tcW w:w="5" w:type="pct"/>
            <w:shd w:val="clear" w:color="auto" w:fill="auto"/>
            <w:vAlign w:val="bottom"/>
          </w:tcPr>
          <w:p w14:paraId="518B41EC" w14:textId="77777777" w:rsidR="005C332D" w:rsidRDefault="005C332D">
            <w:pPr>
              <w:rPr>
                <w:rFonts w:ascii="宋体"/>
              </w:rPr>
            </w:pPr>
          </w:p>
        </w:tc>
        <w:tc>
          <w:tcPr>
            <w:tcW w:w="5" w:type="pct"/>
            <w:shd w:val="clear" w:color="auto" w:fill="auto"/>
            <w:vAlign w:val="bottom"/>
          </w:tcPr>
          <w:p w14:paraId="518B41ED" w14:textId="77777777" w:rsidR="005C332D" w:rsidRDefault="005C332D">
            <w:pPr>
              <w:rPr>
                <w:rFonts w:ascii="宋体"/>
              </w:rPr>
            </w:pPr>
          </w:p>
        </w:tc>
        <w:tc>
          <w:tcPr>
            <w:tcW w:w="26" w:type="pct"/>
            <w:shd w:val="clear" w:color="auto" w:fill="auto"/>
            <w:vAlign w:val="bottom"/>
          </w:tcPr>
          <w:p w14:paraId="518B41EE" w14:textId="77777777" w:rsidR="005C332D" w:rsidRDefault="005C332D">
            <w:pPr>
              <w:rPr>
                <w:rFonts w:ascii="宋体"/>
              </w:rPr>
            </w:pPr>
          </w:p>
        </w:tc>
        <w:tc>
          <w:tcPr>
            <w:tcW w:w="5" w:type="pct"/>
            <w:shd w:val="clear" w:color="auto" w:fill="auto"/>
            <w:vAlign w:val="bottom"/>
          </w:tcPr>
          <w:p w14:paraId="518B41EF" w14:textId="77777777" w:rsidR="005C332D" w:rsidRDefault="005C332D">
            <w:pPr>
              <w:rPr>
                <w:rFonts w:ascii="宋体"/>
              </w:rPr>
            </w:pPr>
          </w:p>
        </w:tc>
        <w:tc>
          <w:tcPr>
            <w:tcW w:w="50" w:type="pct"/>
            <w:shd w:val="clear" w:color="auto" w:fill="auto"/>
            <w:vAlign w:val="bottom"/>
          </w:tcPr>
          <w:p w14:paraId="518B41F0" w14:textId="77777777" w:rsidR="005C332D" w:rsidRDefault="005C332D">
            <w:pPr>
              <w:rPr>
                <w:rFonts w:ascii="宋体"/>
              </w:rPr>
            </w:pPr>
          </w:p>
        </w:tc>
        <w:tc>
          <w:tcPr>
            <w:tcW w:w="142" w:type="pct"/>
            <w:shd w:val="clear" w:color="auto" w:fill="auto"/>
            <w:vAlign w:val="bottom"/>
          </w:tcPr>
          <w:p w14:paraId="518B41F1" w14:textId="77777777" w:rsidR="005C332D" w:rsidRDefault="005C332D">
            <w:pPr>
              <w:rPr>
                <w:rFonts w:ascii="宋体"/>
              </w:rPr>
            </w:pPr>
          </w:p>
        </w:tc>
        <w:tc>
          <w:tcPr>
            <w:tcW w:w="5" w:type="pct"/>
            <w:shd w:val="clear" w:color="auto" w:fill="auto"/>
            <w:vAlign w:val="bottom"/>
          </w:tcPr>
          <w:p w14:paraId="518B41F2" w14:textId="77777777" w:rsidR="005C332D" w:rsidRDefault="005C332D">
            <w:pPr>
              <w:rPr>
                <w:rFonts w:ascii="宋体"/>
              </w:rPr>
            </w:pPr>
          </w:p>
        </w:tc>
        <w:tc>
          <w:tcPr>
            <w:tcW w:w="50" w:type="pct"/>
            <w:shd w:val="clear" w:color="auto" w:fill="auto"/>
            <w:vAlign w:val="bottom"/>
          </w:tcPr>
          <w:p w14:paraId="518B41F3" w14:textId="77777777" w:rsidR="005C332D" w:rsidRDefault="005C332D">
            <w:pPr>
              <w:rPr>
                <w:rFonts w:ascii="宋体"/>
              </w:rPr>
            </w:pPr>
          </w:p>
        </w:tc>
        <w:tc>
          <w:tcPr>
            <w:tcW w:w="2287" w:type="pct"/>
            <w:shd w:val="clear" w:color="auto" w:fill="auto"/>
            <w:vAlign w:val="bottom"/>
          </w:tcPr>
          <w:p w14:paraId="518B41F4" w14:textId="77777777" w:rsidR="005C332D" w:rsidRDefault="005C332D">
            <w:pPr>
              <w:rPr>
                <w:rFonts w:ascii="宋体"/>
              </w:rPr>
            </w:pPr>
          </w:p>
        </w:tc>
        <w:tc>
          <w:tcPr>
            <w:tcW w:w="5" w:type="pct"/>
            <w:shd w:val="clear" w:color="auto" w:fill="auto"/>
            <w:vAlign w:val="bottom"/>
          </w:tcPr>
          <w:p w14:paraId="518B41F5" w14:textId="77777777" w:rsidR="005C332D" w:rsidRDefault="005C332D">
            <w:pPr>
              <w:rPr>
                <w:rFonts w:ascii="宋体"/>
              </w:rPr>
            </w:pPr>
          </w:p>
        </w:tc>
        <w:tc>
          <w:tcPr>
            <w:tcW w:w="5" w:type="pct"/>
            <w:shd w:val="clear" w:color="auto" w:fill="auto"/>
            <w:vAlign w:val="bottom"/>
          </w:tcPr>
          <w:p w14:paraId="518B41F6" w14:textId="77777777" w:rsidR="005C332D" w:rsidRDefault="005C332D">
            <w:pPr>
              <w:rPr>
                <w:rFonts w:ascii="宋体"/>
              </w:rPr>
            </w:pPr>
          </w:p>
        </w:tc>
        <w:tc>
          <w:tcPr>
            <w:tcW w:w="26" w:type="pct"/>
            <w:shd w:val="clear" w:color="auto" w:fill="auto"/>
            <w:vAlign w:val="bottom"/>
          </w:tcPr>
          <w:p w14:paraId="518B41F7" w14:textId="77777777" w:rsidR="005C332D" w:rsidRDefault="005C332D">
            <w:pPr>
              <w:rPr>
                <w:rFonts w:ascii="宋体"/>
              </w:rPr>
            </w:pPr>
          </w:p>
        </w:tc>
        <w:tc>
          <w:tcPr>
            <w:tcW w:w="5" w:type="pct"/>
            <w:shd w:val="clear" w:color="auto" w:fill="auto"/>
            <w:vAlign w:val="bottom"/>
          </w:tcPr>
          <w:p w14:paraId="518B41F8" w14:textId="77777777" w:rsidR="005C332D" w:rsidRDefault="005C332D">
            <w:pPr>
              <w:rPr>
                <w:rFonts w:ascii="宋体"/>
              </w:rPr>
            </w:pPr>
          </w:p>
        </w:tc>
        <w:tc>
          <w:tcPr>
            <w:tcW w:w="50" w:type="pct"/>
            <w:shd w:val="clear" w:color="auto" w:fill="auto"/>
            <w:vAlign w:val="bottom"/>
          </w:tcPr>
          <w:p w14:paraId="518B41F9" w14:textId="77777777" w:rsidR="005C332D" w:rsidRDefault="005C332D">
            <w:pPr>
              <w:rPr>
                <w:rFonts w:ascii="宋体"/>
              </w:rPr>
            </w:pPr>
          </w:p>
        </w:tc>
        <w:tc>
          <w:tcPr>
            <w:tcW w:w="1021" w:type="pct"/>
            <w:shd w:val="clear" w:color="auto" w:fill="auto"/>
            <w:vAlign w:val="bottom"/>
          </w:tcPr>
          <w:p w14:paraId="518B41FA" w14:textId="77777777" w:rsidR="005C332D" w:rsidRDefault="005C332D">
            <w:pPr>
              <w:rPr>
                <w:rFonts w:ascii="宋体"/>
              </w:rPr>
            </w:pPr>
          </w:p>
        </w:tc>
        <w:tc>
          <w:tcPr>
            <w:tcW w:w="5" w:type="pct"/>
            <w:shd w:val="clear" w:color="auto" w:fill="auto"/>
            <w:vAlign w:val="bottom"/>
          </w:tcPr>
          <w:p w14:paraId="518B41FB" w14:textId="77777777" w:rsidR="005C332D" w:rsidRDefault="005C332D">
            <w:pPr>
              <w:rPr>
                <w:rFonts w:ascii="宋体"/>
              </w:rPr>
            </w:pPr>
          </w:p>
        </w:tc>
        <w:tc>
          <w:tcPr>
            <w:tcW w:w="5" w:type="pct"/>
            <w:shd w:val="clear" w:color="auto" w:fill="auto"/>
            <w:vAlign w:val="bottom"/>
          </w:tcPr>
          <w:p w14:paraId="518B41FC" w14:textId="77777777" w:rsidR="005C332D" w:rsidRDefault="005C332D">
            <w:pPr>
              <w:rPr>
                <w:rFonts w:ascii="宋体"/>
              </w:rPr>
            </w:pPr>
          </w:p>
        </w:tc>
        <w:tc>
          <w:tcPr>
            <w:tcW w:w="26" w:type="pct"/>
            <w:shd w:val="clear" w:color="auto" w:fill="auto"/>
            <w:vAlign w:val="bottom"/>
          </w:tcPr>
          <w:p w14:paraId="518B41FD" w14:textId="77777777" w:rsidR="005C332D" w:rsidRDefault="005C332D">
            <w:pPr>
              <w:rPr>
                <w:rFonts w:ascii="宋体"/>
              </w:rPr>
            </w:pPr>
          </w:p>
        </w:tc>
        <w:tc>
          <w:tcPr>
            <w:tcW w:w="5" w:type="pct"/>
            <w:shd w:val="clear" w:color="auto" w:fill="auto"/>
            <w:vAlign w:val="bottom"/>
          </w:tcPr>
          <w:p w14:paraId="518B41FE" w14:textId="77777777" w:rsidR="005C332D" w:rsidRDefault="005C332D">
            <w:pPr>
              <w:rPr>
                <w:rFonts w:ascii="宋体"/>
              </w:rPr>
            </w:pPr>
          </w:p>
        </w:tc>
        <w:tc>
          <w:tcPr>
            <w:tcW w:w="50" w:type="pct"/>
            <w:shd w:val="clear" w:color="auto" w:fill="auto"/>
            <w:vAlign w:val="bottom"/>
          </w:tcPr>
          <w:p w14:paraId="518B41FF" w14:textId="77777777" w:rsidR="005C332D" w:rsidRDefault="005C332D">
            <w:pPr>
              <w:rPr>
                <w:rFonts w:ascii="宋体"/>
              </w:rPr>
            </w:pPr>
          </w:p>
        </w:tc>
        <w:tc>
          <w:tcPr>
            <w:tcW w:w="142" w:type="pct"/>
            <w:shd w:val="clear" w:color="auto" w:fill="auto"/>
            <w:vAlign w:val="bottom"/>
          </w:tcPr>
          <w:p w14:paraId="518B4200" w14:textId="77777777" w:rsidR="005C332D" w:rsidRDefault="005C332D">
            <w:pPr>
              <w:rPr>
                <w:rFonts w:ascii="宋体"/>
              </w:rPr>
            </w:pPr>
          </w:p>
        </w:tc>
        <w:tc>
          <w:tcPr>
            <w:tcW w:w="5" w:type="pct"/>
            <w:shd w:val="clear" w:color="auto" w:fill="auto"/>
            <w:vAlign w:val="bottom"/>
          </w:tcPr>
          <w:p w14:paraId="518B4201" w14:textId="77777777" w:rsidR="005C332D" w:rsidRDefault="005C332D">
            <w:pPr>
              <w:rPr>
                <w:rFonts w:ascii="宋体"/>
              </w:rPr>
            </w:pPr>
          </w:p>
        </w:tc>
      </w:tr>
      <w:tr w:rsidR="005C332D" w14:paraId="518B420B" w14:textId="77777777">
        <w:tc>
          <w:tcPr>
            <w:tcW w:w="0" w:type="auto"/>
            <w:gridSpan w:val="3"/>
            <w:shd w:val="clear" w:color="auto" w:fill="auto"/>
            <w:tcMar>
              <w:top w:w="40" w:type="dxa"/>
              <w:left w:w="20" w:type="dxa"/>
              <w:bottom w:w="40" w:type="dxa"/>
              <w:right w:w="20" w:type="dxa"/>
            </w:tcMar>
            <w:vAlign w:val="bottom"/>
          </w:tcPr>
          <w:p w14:paraId="518B4203" w14:textId="77777777" w:rsidR="005C332D" w:rsidRDefault="00B93EAE">
            <w:pPr>
              <w:textAlignment w:val="bottom"/>
            </w:pPr>
            <w:r>
              <w:rPr>
                <w:rFonts w:ascii="Times New Roman" w:eastAsia="宋体" w:hAnsi="Times New Roman"/>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518B4204"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18B4205" w14:textId="77777777" w:rsidR="005C332D" w:rsidRDefault="00B93EAE">
            <w:pPr>
              <w:jc w:val="center"/>
              <w:textAlignment w:val="bottom"/>
            </w:pPr>
            <w:r>
              <w:rPr>
                <w:rFonts w:ascii="Arial Unicode MS" w:eastAsia="Arial Unicode MS" w:hAnsi="Arial Unicode MS" w:cs="Arial Unicode MS" w:hint="eastAsia"/>
                <w:color w:val="000000"/>
                <w:sz w:val="16"/>
                <w:szCs w:val="16"/>
              </w:rPr>
              <w:t>☒</w:t>
            </w:r>
          </w:p>
        </w:tc>
        <w:tc>
          <w:tcPr>
            <w:tcW w:w="0" w:type="auto"/>
            <w:gridSpan w:val="3"/>
            <w:shd w:val="clear" w:color="auto" w:fill="auto"/>
            <w:tcMar>
              <w:top w:w="0" w:type="dxa"/>
              <w:left w:w="20" w:type="dxa"/>
              <w:bottom w:w="0" w:type="dxa"/>
              <w:right w:w="20" w:type="dxa"/>
            </w:tcMar>
            <w:vAlign w:val="bottom"/>
          </w:tcPr>
          <w:p w14:paraId="518B420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207"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18B4208" w14:textId="77777777" w:rsidR="005C332D" w:rsidRDefault="00B93EAE">
            <w:pPr>
              <w:textAlignment w:val="bottom"/>
            </w:pPr>
            <w:r>
              <w:rPr>
                <w:rFonts w:ascii="Times New Roman" w:eastAsia="宋体" w:hAnsi="Times New Roman"/>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518B4209" w14:textId="77777777" w:rsidR="005C332D" w:rsidRDefault="00B93EAE">
            <w:pPr>
              <w:jc w:val="cente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18B420A" w14:textId="77777777" w:rsidR="005C332D" w:rsidRDefault="00B93EAE">
            <w:pPr>
              <w:jc w:val="center"/>
              <w:textAlignment w:val="bottom"/>
            </w:pPr>
            <w:r>
              <w:rPr>
                <w:rFonts w:ascii="Arial Unicode MS" w:eastAsia="Arial Unicode MS" w:hAnsi="Arial Unicode MS" w:cs="Arial Unicode MS" w:hint="eastAsia"/>
                <w:color w:val="000000"/>
                <w:sz w:val="16"/>
                <w:szCs w:val="16"/>
              </w:rPr>
              <w:t>☐</w:t>
            </w:r>
          </w:p>
        </w:tc>
      </w:tr>
      <w:tr w:rsidR="005C332D" w14:paraId="518B4210" w14:textId="77777777">
        <w:trPr>
          <w:trHeight w:val="60"/>
        </w:trPr>
        <w:tc>
          <w:tcPr>
            <w:tcW w:w="0" w:type="auto"/>
            <w:gridSpan w:val="3"/>
            <w:shd w:val="clear" w:color="auto" w:fill="auto"/>
            <w:tcMar>
              <w:top w:w="0" w:type="dxa"/>
              <w:left w:w="20" w:type="dxa"/>
              <w:bottom w:w="0" w:type="dxa"/>
              <w:right w:w="20" w:type="dxa"/>
            </w:tcMar>
            <w:vAlign w:val="bottom"/>
          </w:tcPr>
          <w:p w14:paraId="518B420C" w14:textId="77777777" w:rsidR="005C332D" w:rsidRDefault="005C332D">
            <w:pPr>
              <w:rPr>
                <w:rFonts w:ascii="宋体"/>
              </w:rPr>
            </w:pPr>
          </w:p>
        </w:tc>
        <w:tc>
          <w:tcPr>
            <w:tcW w:w="0" w:type="auto"/>
            <w:gridSpan w:val="9"/>
            <w:shd w:val="clear" w:color="auto" w:fill="auto"/>
            <w:tcMar>
              <w:top w:w="0" w:type="dxa"/>
              <w:left w:w="20" w:type="dxa"/>
              <w:bottom w:w="0" w:type="dxa"/>
              <w:right w:w="20" w:type="dxa"/>
            </w:tcMar>
            <w:vAlign w:val="bottom"/>
          </w:tcPr>
          <w:p w14:paraId="518B420D" w14:textId="77777777" w:rsidR="005C332D" w:rsidRDefault="005C332D">
            <w:pPr>
              <w:rPr>
                <w:rFonts w:ascii="宋体"/>
              </w:rPr>
            </w:pPr>
          </w:p>
        </w:tc>
        <w:tc>
          <w:tcPr>
            <w:tcW w:w="0" w:type="auto"/>
            <w:gridSpan w:val="6"/>
            <w:shd w:val="clear" w:color="auto" w:fill="auto"/>
            <w:tcMar>
              <w:top w:w="0" w:type="dxa"/>
              <w:left w:w="20" w:type="dxa"/>
              <w:bottom w:w="0" w:type="dxa"/>
              <w:right w:w="20" w:type="dxa"/>
            </w:tcMar>
            <w:vAlign w:val="bottom"/>
          </w:tcPr>
          <w:p w14:paraId="518B420E" w14:textId="77777777" w:rsidR="005C332D" w:rsidRDefault="005C332D">
            <w:pPr>
              <w:rPr>
                <w:rFonts w:ascii="宋体"/>
              </w:rPr>
            </w:pPr>
          </w:p>
        </w:tc>
        <w:tc>
          <w:tcPr>
            <w:tcW w:w="0" w:type="auto"/>
            <w:gridSpan w:val="6"/>
            <w:shd w:val="clear" w:color="auto" w:fill="auto"/>
            <w:tcMar>
              <w:top w:w="0" w:type="dxa"/>
              <w:left w:w="20" w:type="dxa"/>
              <w:bottom w:w="0" w:type="dxa"/>
              <w:right w:w="20" w:type="dxa"/>
            </w:tcMar>
            <w:vAlign w:val="bottom"/>
          </w:tcPr>
          <w:p w14:paraId="518B420F" w14:textId="77777777" w:rsidR="005C332D" w:rsidRDefault="005C332D">
            <w:pPr>
              <w:rPr>
                <w:rFonts w:ascii="宋体"/>
              </w:rPr>
            </w:pPr>
          </w:p>
        </w:tc>
      </w:tr>
      <w:tr w:rsidR="005C332D" w14:paraId="518B4219" w14:textId="77777777">
        <w:tc>
          <w:tcPr>
            <w:tcW w:w="0" w:type="auto"/>
            <w:gridSpan w:val="3"/>
            <w:shd w:val="clear" w:color="auto" w:fill="auto"/>
            <w:tcMar>
              <w:top w:w="40" w:type="dxa"/>
              <w:left w:w="20" w:type="dxa"/>
              <w:bottom w:w="40" w:type="dxa"/>
              <w:right w:w="20" w:type="dxa"/>
            </w:tcMar>
            <w:vAlign w:val="bottom"/>
          </w:tcPr>
          <w:p w14:paraId="518B4211" w14:textId="77777777" w:rsidR="005C332D" w:rsidRDefault="00B93EAE">
            <w:pPr>
              <w:textAlignment w:val="bottom"/>
            </w:pPr>
            <w:r>
              <w:rPr>
                <w:rFonts w:ascii="Times New Roman" w:eastAsia="宋体" w:hAnsi="Times New Roman"/>
                <w:color w:val="000000"/>
                <w:sz w:val="16"/>
                <w:szCs w:val="16"/>
              </w:rPr>
              <w:t>Non-accelerated filer</w:t>
            </w:r>
          </w:p>
        </w:tc>
        <w:tc>
          <w:tcPr>
            <w:tcW w:w="0" w:type="auto"/>
            <w:gridSpan w:val="3"/>
            <w:shd w:val="clear" w:color="auto" w:fill="auto"/>
            <w:tcMar>
              <w:top w:w="0" w:type="dxa"/>
              <w:left w:w="20" w:type="dxa"/>
              <w:bottom w:w="0" w:type="dxa"/>
              <w:right w:w="20" w:type="dxa"/>
            </w:tcMar>
            <w:vAlign w:val="bottom"/>
          </w:tcPr>
          <w:p w14:paraId="518B421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213" w14:textId="77777777" w:rsidR="005C332D" w:rsidRDefault="00B93EAE">
            <w:pPr>
              <w:jc w:val="center"/>
              <w:textAlignment w:val="bottom"/>
            </w:pPr>
            <w:r>
              <w:rPr>
                <w:rFonts w:ascii="Arial Unicode MS" w:eastAsia="Arial Unicode MS" w:hAnsi="Arial Unicode MS" w:cs="Arial Unicode MS" w:hint="eastAsia"/>
                <w:color w:val="000000"/>
                <w:sz w:val="16"/>
                <w:szCs w:val="16"/>
              </w:rPr>
              <w:t>☐</w:t>
            </w:r>
          </w:p>
        </w:tc>
        <w:tc>
          <w:tcPr>
            <w:tcW w:w="0" w:type="auto"/>
            <w:gridSpan w:val="3"/>
            <w:shd w:val="clear" w:color="auto" w:fill="auto"/>
            <w:tcMar>
              <w:top w:w="0" w:type="dxa"/>
              <w:left w:w="20" w:type="dxa"/>
              <w:bottom w:w="0" w:type="dxa"/>
              <w:right w:w="20" w:type="dxa"/>
            </w:tcMar>
            <w:vAlign w:val="bottom"/>
          </w:tcPr>
          <w:p w14:paraId="518B421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215"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18B4216" w14:textId="77777777" w:rsidR="005C332D" w:rsidRDefault="00B93EAE">
            <w:pPr>
              <w:textAlignment w:val="bottom"/>
            </w:pPr>
            <w:r>
              <w:rPr>
                <w:rFonts w:ascii="Times New Roman" w:eastAsia="宋体" w:hAnsi="Times New Roman"/>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518B4217" w14:textId="77777777" w:rsidR="005C332D" w:rsidRDefault="00B93EAE">
            <w:pPr>
              <w:jc w:val="cente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18B4218" w14:textId="77777777" w:rsidR="005C332D" w:rsidRDefault="00B93EAE">
            <w:pPr>
              <w:jc w:val="center"/>
              <w:textAlignment w:val="bottom"/>
            </w:pPr>
            <w:r>
              <w:rPr>
                <w:rFonts w:ascii="Arial Unicode MS" w:eastAsia="Arial Unicode MS" w:hAnsi="Arial Unicode MS" w:cs="Arial Unicode MS" w:hint="eastAsia"/>
                <w:color w:val="000000"/>
                <w:sz w:val="16"/>
                <w:szCs w:val="16"/>
              </w:rPr>
              <w:t>☐</w:t>
            </w:r>
          </w:p>
        </w:tc>
      </w:tr>
      <w:tr w:rsidR="005C332D" w14:paraId="518B4222" w14:textId="77777777">
        <w:trPr>
          <w:trHeight w:val="60"/>
        </w:trPr>
        <w:tc>
          <w:tcPr>
            <w:tcW w:w="0" w:type="auto"/>
            <w:gridSpan w:val="3"/>
            <w:shd w:val="clear" w:color="auto" w:fill="auto"/>
            <w:tcMar>
              <w:top w:w="0" w:type="dxa"/>
              <w:left w:w="20" w:type="dxa"/>
              <w:bottom w:w="0" w:type="dxa"/>
              <w:right w:w="20" w:type="dxa"/>
            </w:tcMar>
            <w:vAlign w:val="bottom"/>
          </w:tcPr>
          <w:p w14:paraId="518B421A"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1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1C"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1D"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1E"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1F"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20"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21" w14:textId="77777777" w:rsidR="005C332D" w:rsidRDefault="005C332D">
            <w:pPr>
              <w:rPr>
                <w:rFonts w:ascii="宋体"/>
              </w:rPr>
            </w:pPr>
          </w:p>
        </w:tc>
      </w:tr>
      <w:tr w:rsidR="005C332D" w14:paraId="518B422B" w14:textId="77777777">
        <w:tc>
          <w:tcPr>
            <w:tcW w:w="0" w:type="auto"/>
            <w:gridSpan w:val="3"/>
            <w:shd w:val="clear" w:color="auto" w:fill="auto"/>
            <w:tcMar>
              <w:top w:w="0" w:type="dxa"/>
              <w:left w:w="20" w:type="dxa"/>
              <w:bottom w:w="0" w:type="dxa"/>
              <w:right w:w="20" w:type="dxa"/>
            </w:tcMar>
            <w:vAlign w:val="bottom"/>
          </w:tcPr>
          <w:p w14:paraId="518B422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2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25"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26"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2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228" w14:textId="77777777" w:rsidR="005C332D" w:rsidRDefault="00B93EAE">
            <w:pPr>
              <w:textAlignment w:val="bottom"/>
            </w:pPr>
            <w:r>
              <w:rPr>
                <w:rFonts w:ascii="Times New Roman" w:eastAsia="宋体" w:hAnsi="Times New Roman"/>
                <w:color w:val="000000"/>
                <w:sz w:val="16"/>
                <w:szCs w:val="16"/>
              </w:rPr>
              <w:t>Emerging growth company</w:t>
            </w:r>
          </w:p>
        </w:tc>
        <w:tc>
          <w:tcPr>
            <w:tcW w:w="0" w:type="auto"/>
            <w:gridSpan w:val="3"/>
            <w:shd w:val="clear" w:color="auto" w:fill="auto"/>
            <w:tcMar>
              <w:top w:w="0" w:type="dxa"/>
              <w:left w:w="20" w:type="dxa"/>
              <w:bottom w:w="0" w:type="dxa"/>
              <w:right w:w="20" w:type="dxa"/>
            </w:tcMar>
            <w:vAlign w:val="bottom"/>
          </w:tcPr>
          <w:p w14:paraId="518B422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22A" w14:textId="77777777" w:rsidR="005C332D" w:rsidRDefault="00B93EAE">
            <w:pPr>
              <w:jc w:val="center"/>
              <w:textAlignment w:val="bottom"/>
            </w:pPr>
            <w:r>
              <w:rPr>
                <w:rFonts w:ascii="Arial Unicode MS" w:eastAsia="Arial Unicode MS" w:hAnsi="Arial Unicode MS" w:cs="Arial Unicode MS" w:hint="eastAsia"/>
                <w:color w:val="000000"/>
                <w:sz w:val="16"/>
                <w:szCs w:val="16"/>
              </w:rPr>
              <w:t>☐</w:t>
            </w:r>
          </w:p>
        </w:tc>
      </w:tr>
    </w:tbl>
    <w:p w14:paraId="518B422C" w14:textId="77777777" w:rsidR="005C332D" w:rsidRDefault="00B93EAE">
      <w:pPr>
        <w:spacing w:after="40"/>
      </w:pPr>
      <w:r>
        <w:rPr>
          <w:rFonts w:ascii="Times New Roman" w:eastAsia="宋体" w:hAnsi="Times New Roman"/>
          <w:color w:val="000000"/>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7"/>
          <w:szCs w:val="17"/>
        </w:rPr>
        <w:t>☐</w:t>
      </w:r>
    </w:p>
    <w:p w14:paraId="518B422D" w14:textId="77777777" w:rsidR="005C332D" w:rsidRDefault="00B93EAE">
      <w:pPr>
        <w:spacing w:after="20"/>
      </w:pPr>
      <w:r>
        <w:rPr>
          <w:rFonts w:ascii="Times New Roman" w:eastAsia="宋体" w:hAnsi="Times New Roman"/>
          <w:color w:val="000000"/>
          <w:sz w:val="17"/>
          <w:szCs w:val="17"/>
        </w:rPr>
        <w:t>Ind</w:t>
      </w:r>
      <w:r>
        <w:rPr>
          <w:rFonts w:ascii="Times New Roman" w:eastAsia="宋体" w:hAnsi="Times New Roman"/>
          <w:color w:val="000000"/>
          <w:sz w:val="17"/>
          <w:szCs w:val="17"/>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Times New Roman" w:eastAsia="宋体" w:hAnsi="Times New Roman"/>
          <w:color w:val="000000"/>
          <w:sz w:val="17"/>
          <w:szCs w:val="17"/>
        </w:rPr>
        <w:t xml:space="preserve">registered public accounting firm that prepared or issued its audit report. </w:t>
      </w:r>
      <w:r>
        <w:rPr>
          <w:rFonts w:ascii="Arial Unicode MS" w:eastAsia="Arial Unicode MS" w:hAnsi="Arial Unicode MS" w:cs="Arial Unicode MS" w:hint="eastAsia"/>
          <w:color w:val="000000"/>
          <w:sz w:val="17"/>
          <w:szCs w:val="17"/>
        </w:rPr>
        <w:t>☒</w:t>
      </w:r>
      <w:r>
        <w:rPr>
          <w:rFonts w:ascii="Times New Roman" w:eastAsia="宋体" w:hAnsi="Times New Roman"/>
          <w:color w:val="000000"/>
          <w:sz w:val="17"/>
          <w:szCs w:val="17"/>
        </w:rPr>
        <w:t xml:space="preserve"> </w:t>
      </w:r>
    </w:p>
    <w:p w14:paraId="518B422E" w14:textId="77777777" w:rsidR="005C332D" w:rsidRDefault="00B93EAE">
      <w:pPr>
        <w:spacing w:after="40"/>
      </w:pPr>
      <w:r>
        <w:rPr>
          <w:rFonts w:ascii="Times New Roman" w:eastAsia="宋体" w:hAnsi="Times New Roman"/>
          <w:color w:val="000000"/>
          <w:sz w:val="17"/>
          <w:szCs w:val="17"/>
        </w:rPr>
        <w:t>Indicate by check mark whether the registrant is a shell company (as defined in Rule 12b-2 of the Act).    </w:t>
      </w:r>
      <w:r>
        <w:rPr>
          <w:rFonts w:ascii="Arial Unicode MS" w:eastAsia="Arial Unicode MS" w:hAnsi="Arial Unicode MS" w:cs="Arial Unicode MS" w:hint="eastAsia"/>
          <w:color w:val="000000"/>
          <w:sz w:val="17"/>
          <w:szCs w:val="17"/>
        </w:rPr>
        <w:t>☐</w:t>
      </w:r>
      <w:r>
        <w:rPr>
          <w:rFonts w:ascii="Times New Roman" w:eastAsia="宋体" w:hAnsi="Times New Roman"/>
          <w:color w:val="000000"/>
          <w:sz w:val="17"/>
          <w:szCs w:val="17"/>
        </w:rPr>
        <w:t> Yes    </w:t>
      </w:r>
      <w:r>
        <w:rPr>
          <w:rFonts w:ascii="Arial Unicode MS" w:eastAsia="Arial Unicode MS" w:hAnsi="Arial Unicode MS" w:cs="Arial Unicode MS" w:hint="eastAsia"/>
          <w:color w:val="000000"/>
          <w:sz w:val="17"/>
          <w:szCs w:val="17"/>
        </w:rPr>
        <w:t>☒</w:t>
      </w:r>
      <w:r>
        <w:rPr>
          <w:rFonts w:ascii="Times New Roman" w:eastAsia="宋体" w:hAnsi="Times New Roman"/>
          <w:color w:val="000000"/>
          <w:sz w:val="17"/>
          <w:szCs w:val="17"/>
        </w:rPr>
        <w:t> No</w:t>
      </w:r>
    </w:p>
    <w:p w14:paraId="518B422F" w14:textId="77777777" w:rsidR="005C332D" w:rsidRDefault="00B93EAE">
      <w:pPr>
        <w:spacing w:after="40"/>
      </w:pPr>
      <w:r>
        <w:rPr>
          <w:rFonts w:ascii="Times New Roman" w:eastAsia="宋体" w:hAnsi="Times New Roman"/>
          <w:color w:val="000000"/>
          <w:sz w:val="17"/>
          <w:szCs w:val="17"/>
        </w:rPr>
        <w:t>Aggregate market value of registrant’s common stock held</w:t>
      </w:r>
      <w:r>
        <w:rPr>
          <w:rFonts w:ascii="Times New Roman" w:eastAsia="宋体" w:hAnsi="Times New Roman"/>
          <w:color w:val="000000"/>
          <w:sz w:val="17"/>
          <w:szCs w:val="17"/>
        </w:rPr>
        <w:t xml:space="preserve"> by non-affiliates of the registrant, based upon the closing price of a share of the registrant’s common stock on January 28, 2022 as reported by the Nasdaq Global Select Market on that date: $230.8 billion </w:t>
      </w:r>
    </w:p>
    <w:p w14:paraId="518B4230" w14:textId="77777777" w:rsidR="005C332D" w:rsidRDefault="00B93EAE">
      <w:pPr>
        <w:spacing w:after="40"/>
      </w:pPr>
      <w:r>
        <w:rPr>
          <w:rFonts w:ascii="Times New Roman" w:eastAsia="宋体" w:hAnsi="Times New Roman"/>
          <w:color w:val="000000"/>
          <w:sz w:val="17"/>
          <w:szCs w:val="17"/>
        </w:rPr>
        <w:t xml:space="preserve">Number of shares of the registrant’s common stock outstanding as of September 2, 2022: 4,108,844,167 </w:t>
      </w:r>
    </w:p>
    <w:p w14:paraId="518B4231" w14:textId="77777777" w:rsidR="005C332D" w:rsidRDefault="00B93EAE">
      <w:pPr>
        <w:spacing w:after="40"/>
        <w:jc w:val="center"/>
      </w:pPr>
      <w:r>
        <w:rPr>
          <w:rFonts w:ascii="Times New Roman" w:eastAsia="宋体" w:hAnsi="Times New Roman"/>
          <w:color w:val="000000"/>
          <w:sz w:val="15"/>
          <w:szCs w:val="15"/>
        </w:rPr>
        <w:t>____________________________________ </w:t>
      </w:r>
    </w:p>
    <w:p w14:paraId="518B4232" w14:textId="77777777" w:rsidR="005C332D" w:rsidRDefault="00B93EAE">
      <w:pPr>
        <w:spacing w:after="40"/>
        <w:jc w:val="center"/>
      </w:pPr>
      <w:r>
        <w:rPr>
          <w:rFonts w:ascii="Times New Roman" w:eastAsia="宋体" w:hAnsi="Times New Roman"/>
          <w:b/>
          <w:bCs/>
          <w:color w:val="000000"/>
          <w:sz w:val="17"/>
          <w:szCs w:val="17"/>
        </w:rPr>
        <w:t>DOCUMENTS INCORPORATED BY REFERENCE</w:t>
      </w:r>
    </w:p>
    <w:p w14:paraId="518B4233" w14:textId="77777777" w:rsidR="005C332D" w:rsidRDefault="00B93EAE">
      <w:pPr>
        <w:spacing w:after="40"/>
      </w:pPr>
      <w:r>
        <w:rPr>
          <w:rFonts w:ascii="Times New Roman" w:eastAsia="宋体" w:hAnsi="Times New Roman"/>
          <w:color w:val="000000"/>
          <w:sz w:val="17"/>
          <w:szCs w:val="17"/>
        </w:rPr>
        <w:t>Portions of the registrant’s definitive Proxy Statement relating to the 2022 Ann</w:t>
      </w:r>
      <w:r>
        <w:rPr>
          <w:rFonts w:ascii="Times New Roman" w:eastAsia="宋体" w:hAnsi="Times New Roman"/>
          <w:color w:val="000000"/>
          <w:sz w:val="17"/>
          <w:szCs w:val="17"/>
        </w:rPr>
        <w:t>ual Meeting of Stockholders, to be held on December 8, 2022, are incorporated by reference into Part III of this Annual Report on Form 10-K where indicated.</w:t>
      </w:r>
    </w:p>
    <w:p w14:paraId="518B4234" w14:textId="77777777" w:rsidR="005C332D" w:rsidRDefault="005C332D"/>
    <w:p w14:paraId="518B4235" w14:textId="77777777" w:rsidR="005C332D" w:rsidRDefault="00B93EAE">
      <w:r>
        <w:pict w14:anchorId="518B870E">
          <v:rect id="_x0000_i1025" style="width:415.3pt;height:1.5pt" o:hralign="center" o:hrstd="t" o:hr="t" fillcolor="#a0a0a0" stroked="f"/>
        </w:pict>
      </w:r>
    </w:p>
    <w:p w14:paraId="518B4236" w14:textId="77777777" w:rsidR="005C332D" w:rsidRDefault="00B93EAE">
      <w:hyperlink r:id="rId7" w:anchor="i049852cab38845aabd2a79d07dacda86_7" w:history="1">
        <w:r>
          <w:rPr>
            <w:rStyle w:val="a5"/>
            <w:rFonts w:ascii="Times New Roman" w:eastAsia="宋体" w:hAnsi="Times New Roman"/>
            <w:sz w:val="20"/>
            <w:szCs w:val="20"/>
          </w:rPr>
          <w:t>Table of Contents</w:t>
        </w:r>
      </w:hyperlink>
    </w:p>
    <w:tbl>
      <w:tblPr>
        <w:tblW w:w="4985" w:type="pct"/>
        <w:tblCellMar>
          <w:top w:w="15" w:type="dxa"/>
          <w:left w:w="15" w:type="dxa"/>
          <w:bottom w:w="15" w:type="dxa"/>
          <w:right w:w="15" w:type="dxa"/>
        </w:tblCellMar>
        <w:tblLook w:val="04A0" w:firstRow="1" w:lastRow="0" w:firstColumn="1" w:lastColumn="0" w:noHBand="0" w:noVBand="1"/>
      </w:tblPr>
      <w:tblGrid>
        <w:gridCol w:w="82"/>
        <w:gridCol w:w="661"/>
        <w:gridCol w:w="36"/>
        <w:gridCol w:w="36"/>
        <w:gridCol w:w="36"/>
        <w:gridCol w:w="36"/>
        <w:gridCol w:w="40"/>
        <w:gridCol w:w="6582"/>
        <w:gridCol w:w="38"/>
        <w:gridCol w:w="36"/>
        <w:gridCol w:w="36"/>
        <w:gridCol w:w="36"/>
        <w:gridCol w:w="42"/>
        <w:gridCol w:w="578"/>
        <w:gridCol w:w="36"/>
      </w:tblGrid>
      <w:tr w:rsidR="005C332D" w14:paraId="518B4246" w14:textId="77777777">
        <w:tc>
          <w:tcPr>
            <w:tcW w:w="50" w:type="pct"/>
            <w:shd w:val="clear" w:color="auto" w:fill="auto"/>
            <w:vAlign w:val="bottom"/>
          </w:tcPr>
          <w:p w14:paraId="518B4237" w14:textId="77777777" w:rsidR="005C332D" w:rsidRDefault="005C332D">
            <w:pPr>
              <w:rPr>
                <w:rFonts w:ascii="宋体"/>
              </w:rPr>
            </w:pPr>
          </w:p>
        </w:tc>
        <w:tc>
          <w:tcPr>
            <w:tcW w:w="406" w:type="pct"/>
            <w:shd w:val="clear" w:color="auto" w:fill="auto"/>
            <w:vAlign w:val="bottom"/>
          </w:tcPr>
          <w:p w14:paraId="518B4238" w14:textId="77777777" w:rsidR="005C332D" w:rsidRDefault="005C332D">
            <w:pPr>
              <w:rPr>
                <w:rFonts w:ascii="宋体"/>
              </w:rPr>
            </w:pPr>
          </w:p>
        </w:tc>
        <w:tc>
          <w:tcPr>
            <w:tcW w:w="5" w:type="pct"/>
            <w:shd w:val="clear" w:color="auto" w:fill="auto"/>
            <w:vAlign w:val="bottom"/>
          </w:tcPr>
          <w:p w14:paraId="518B4239" w14:textId="77777777" w:rsidR="005C332D" w:rsidRDefault="005C332D">
            <w:pPr>
              <w:rPr>
                <w:rFonts w:ascii="宋体"/>
              </w:rPr>
            </w:pPr>
          </w:p>
        </w:tc>
        <w:tc>
          <w:tcPr>
            <w:tcW w:w="5" w:type="pct"/>
            <w:shd w:val="clear" w:color="auto" w:fill="auto"/>
            <w:vAlign w:val="bottom"/>
          </w:tcPr>
          <w:p w14:paraId="518B423A" w14:textId="77777777" w:rsidR="005C332D" w:rsidRDefault="005C332D">
            <w:pPr>
              <w:rPr>
                <w:rFonts w:ascii="宋体"/>
              </w:rPr>
            </w:pPr>
          </w:p>
        </w:tc>
        <w:tc>
          <w:tcPr>
            <w:tcW w:w="26" w:type="pct"/>
            <w:shd w:val="clear" w:color="auto" w:fill="auto"/>
            <w:vAlign w:val="bottom"/>
          </w:tcPr>
          <w:p w14:paraId="518B423B" w14:textId="77777777" w:rsidR="005C332D" w:rsidRDefault="005C332D">
            <w:pPr>
              <w:rPr>
                <w:rFonts w:ascii="宋体"/>
              </w:rPr>
            </w:pPr>
          </w:p>
        </w:tc>
        <w:tc>
          <w:tcPr>
            <w:tcW w:w="5" w:type="pct"/>
            <w:shd w:val="clear" w:color="auto" w:fill="auto"/>
            <w:vAlign w:val="bottom"/>
          </w:tcPr>
          <w:p w14:paraId="518B423C" w14:textId="77777777" w:rsidR="005C332D" w:rsidRDefault="005C332D">
            <w:pPr>
              <w:rPr>
                <w:rFonts w:ascii="宋体"/>
              </w:rPr>
            </w:pPr>
          </w:p>
        </w:tc>
        <w:tc>
          <w:tcPr>
            <w:tcW w:w="50" w:type="pct"/>
            <w:shd w:val="clear" w:color="auto" w:fill="auto"/>
            <w:vAlign w:val="bottom"/>
          </w:tcPr>
          <w:p w14:paraId="518B423D" w14:textId="77777777" w:rsidR="005C332D" w:rsidRDefault="005C332D">
            <w:pPr>
              <w:rPr>
                <w:rFonts w:ascii="宋体"/>
              </w:rPr>
            </w:pPr>
          </w:p>
        </w:tc>
        <w:tc>
          <w:tcPr>
            <w:tcW w:w="3991" w:type="pct"/>
            <w:shd w:val="clear" w:color="auto" w:fill="auto"/>
            <w:vAlign w:val="bottom"/>
          </w:tcPr>
          <w:p w14:paraId="518B423E" w14:textId="77777777" w:rsidR="005C332D" w:rsidRDefault="005C332D">
            <w:pPr>
              <w:rPr>
                <w:rFonts w:ascii="宋体"/>
              </w:rPr>
            </w:pPr>
          </w:p>
        </w:tc>
        <w:tc>
          <w:tcPr>
            <w:tcW w:w="5" w:type="pct"/>
            <w:shd w:val="clear" w:color="auto" w:fill="auto"/>
            <w:vAlign w:val="bottom"/>
          </w:tcPr>
          <w:p w14:paraId="518B423F" w14:textId="77777777" w:rsidR="005C332D" w:rsidRDefault="005C332D">
            <w:pPr>
              <w:rPr>
                <w:rFonts w:ascii="宋体"/>
              </w:rPr>
            </w:pPr>
          </w:p>
        </w:tc>
        <w:tc>
          <w:tcPr>
            <w:tcW w:w="5" w:type="pct"/>
            <w:shd w:val="clear" w:color="auto" w:fill="auto"/>
            <w:vAlign w:val="bottom"/>
          </w:tcPr>
          <w:p w14:paraId="518B4240" w14:textId="77777777" w:rsidR="005C332D" w:rsidRDefault="005C332D">
            <w:pPr>
              <w:rPr>
                <w:rFonts w:ascii="宋体"/>
              </w:rPr>
            </w:pPr>
          </w:p>
        </w:tc>
        <w:tc>
          <w:tcPr>
            <w:tcW w:w="26" w:type="pct"/>
            <w:shd w:val="clear" w:color="auto" w:fill="auto"/>
            <w:vAlign w:val="bottom"/>
          </w:tcPr>
          <w:p w14:paraId="518B4241" w14:textId="77777777" w:rsidR="005C332D" w:rsidRDefault="005C332D">
            <w:pPr>
              <w:rPr>
                <w:rFonts w:ascii="宋体"/>
              </w:rPr>
            </w:pPr>
          </w:p>
        </w:tc>
        <w:tc>
          <w:tcPr>
            <w:tcW w:w="5" w:type="pct"/>
            <w:shd w:val="clear" w:color="auto" w:fill="auto"/>
            <w:vAlign w:val="bottom"/>
          </w:tcPr>
          <w:p w14:paraId="518B4242" w14:textId="77777777" w:rsidR="005C332D" w:rsidRDefault="005C332D">
            <w:pPr>
              <w:rPr>
                <w:rFonts w:ascii="宋体"/>
              </w:rPr>
            </w:pPr>
          </w:p>
        </w:tc>
        <w:tc>
          <w:tcPr>
            <w:tcW w:w="50" w:type="pct"/>
            <w:shd w:val="clear" w:color="auto" w:fill="auto"/>
            <w:vAlign w:val="bottom"/>
          </w:tcPr>
          <w:p w14:paraId="518B4243" w14:textId="77777777" w:rsidR="005C332D" w:rsidRDefault="005C332D">
            <w:pPr>
              <w:rPr>
                <w:rFonts w:ascii="宋体"/>
              </w:rPr>
            </w:pPr>
          </w:p>
        </w:tc>
        <w:tc>
          <w:tcPr>
            <w:tcW w:w="362" w:type="pct"/>
            <w:shd w:val="clear" w:color="auto" w:fill="auto"/>
            <w:vAlign w:val="bottom"/>
          </w:tcPr>
          <w:p w14:paraId="518B4244" w14:textId="77777777" w:rsidR="005C332D" w:rsidRDefault="005C332D">
            <w:pPr>
              <w:rPr>
                <w:rFonts w:ascii="宋体"/>
              </w:rPr>
            </w:pPr>
          </w:p>
        </w:tc>
        <w:tc>
          <w:tcPr>
            <w:tcW w:w="5" w:type="pct"/>
            <w:shd w:val="clear" w:color="auto" w:fill="auto"/>
            <w:vAlign w:val="bottom"/>
          </w:tcPr>
          <w:p w14:paraId="518B4245" w14:textId="77777777" w:rsidR="005C332D" w:rsidRDefault="005C332D">
            <w:pPr>
              <w:rPr>
                <w:rFonts w:ascii="宋体"/>
              </w:rPr>
            </w:pPr>
          </w:p>
        </w:tc>
      </w:tr>
      <w:tr w:rsidR="005C332D" w14:paraId="518B424C" w14:textId="77777777">
        <w:tc>
          <w:tcPr>
            <w:tcW w:w="0" w:type="auto"/>
            <w:gridSpan w:val="3"/>
            <w:shd w:val="clear" w:color="auto" w:fill="auto"/>
            <w:tcMar>
              <w:top w:w="0" w:type="dxa"/>
              <w:left w:w="20" w:type="dxa"/>
              <w:bottom w:w="0" w:type="dxa"/>
              <w:right w:w="20" w:type="dxa"/>
            </w:tcMar>
            <w:vAlign w:val="bottom"/>
          </w:tcPr>
          <w:p w14:paraId="518B4247"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4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249" w14:textId="77777777" w:rsidR="005C332D" w:rsidRDefault="00B93EAE">
            <w:pPr>
              <w:jc w:val="center"/>
              <w:textAlignment w:val="bottom"/>
            </w:pPr>
            <w:r>
              <w:rPr>
                <w:rFonts w:ascii="Times New Roman" w:eastAsia="宋体" w:hAnsi="Times New Roman"/>
                <w:b/>
                <w:bCs/>
                <w:color w:val="000000"/>
                <w:sz w:val="20"/>
                <w:szCs w:val="20"/>
                <w:u w:val="single"/>
              </w:rPr>
              <w:t>PART I</w:t>
            </w:r>
          </w:p>
        </w:tc>
        <w:tc>
          <w:tcPr>
            <w:tcW w:w="0" w:type="auto"/>
            <w:gridSpan w:val="3"/>
            <w:shd w:val="clear" w:color="auto" w:fill="auto"/>
            <w:tcMar>
              <w:top w:w="0" w:type="dxa"/>
              <w:left w:w="20" w:type="dxa"/>
              <w:bottom w:w="0" w:type="dxa"/>
              <w:right w:w="20" w:type="dxa"/>
            </w:tcMar>
            <w:vAlign w:val="bottom"/>
          </w:tcPr>
          <w:p w14:paraId="518B424A"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4B" w14:textId="77777777" w:rsidR="005C332D" w:rsidRDefault="005C332D">
            <w:pPr>
              <w:rPr>
                <w:rFonts w:ascii="宋体"/>
              </w:rPr>
            </w:pPr>
          </w:p>
        </w:tc>
      </w:tr>
      <w:tr w:rsidR="005C332D" w14:paraId="518B4252" w14:textId="77777777">
        <w:tc>
          <w:tcPr>
            <w:tcW w:w="0" w:type="auto"/>
            <w:gridSpan w:val="3"/>
            <w:shd w:val="clear" w:color="auto" w:fill="auto"/>
            <w:tcMar>
              <w:top w:w="40" w:type="dxa"/>
              <w:left w:w="20" w:type="dxa"/>
              <w:bottom w:w="40" w:type="dxa"/>
              <w:right w:w="20" w:type="dxa"/>
            </w:tcMar>
          </w:tcPr>
          <w:p w14:paraId="518B424D" w14:textId="77777777" w:rsidR="005C332D" w:rsidRDefault="00B93EAE">
            <w:pPr>
              <w:textAlignment w:val="top"/>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vAlign w:val="bottom"/>
          </w:tcPr>
          <w:p w14:paraId="518B424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4F" w14:textId="77777777" w:rsidR="005C332D" w:rsidRDefault="00B93EAE">
            <w:pPr>
              <w:textAlignment w:val="top"/>
            </w:pPr>
            <w:hyperlink r:id="rId8" w:anchor="i049852cab38845aabd2a79d07dacda86_16" w:history="1">
              <w:r>
                <w:rPr>
                  <w:rStyle w:val="a5"/>
                  <w:rFonts w:ascii="Times New Roman" w:eastAsia="宋体" w:hAnsi="Times New Roman"/>
                  <w:sz w:val="20"/>
                  <w:szCs w:val="20"/>
                </w:rPr>
                <w:t>Business</w:t>
              </w:r>
            </w:hyperlink>
          </w:p>
        </w:tc>
        <w:tc>
          <w:tcPr>
            <w:tcW w:w="0" w:type="auto"/>
            <w:gridSpan w:val="3"/>
            <w:shd w:val="clear" w:color="auto" w:fill="auto"/>
            <w:tcMar>
              <w:top w:w="0" w:type="dxa"/>
              <w:left w:w="20" w:type="dxa"/>
              <w:bottom w:w="0" w:type="dxa"/>
              <w:right w:w="20" w:type="dxa"/>
            </w:tcMar>
            <w:vAlign w:val="bottom"/>
          </w:tcPr>
          <w:p w14:paraId="518B425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51" w14:textId="77777777" w:rsidR="005C332D" w:rsidRDefault="00B93EAE">
            <w:pPr>
              <w:jc w:val="right"/>
              <w:textAlignment w:val="top"/>
            </w:pPr>
            <w:hyperlink r:id="rId9" w:anchor="i049852cab38845aabd2a79d07dacda86_16" w:history="1">
              <w:r>
                <w:rPr>
                  <w:rStyle w:val="a5"/>
                  <w:rFonts w:ascii="Times New Roman" w:eastAsia="宋体" w:hAnsi="Times New Roman"/>
                  <w:sz w:val="20"/>
                  <w:szCs w:val="20"/>
                  <w:u w:val="none"/>
                </w:rPr>
                <w:t>1</w:t>
              </w:r>
            </w:hyperlink>
          </w:p>
        </w:tc>
      </w:tr>
      <w:tr w:rsidR="005C332D" w14:paraId="518B4258" w14:textId="77777777">
        <w:tc>
          <w:tcPr>
            <w:tcW w:w="0" w:type="auto"/>
            <w:gridSpan w:val="3"/>
            <w:shd w:val="clear" w:color="auto" w:fill="auto"/>
            <w:tcMar>
              <w:top w:w="40" w:type="dxa"/>
              <w:left w:w="20" w:type="dxa"/>
              <w:bottom w:w="40" w:type="dxa"/>
              <w:right w:w="20" w:type="dxa"/>
            </w:tcMar>
          </w:tcPr>
          <w:p w14:paraId="518B4253" w14:textId="77777777" w:rsidR="005C332D" w:rsidRDefault="00B93EAE">
            <w:pPr>
              <w:textAlignment w:val="top"/>
            </w:pPr>
            <w:r>
              <w:rPr>
                <w:rFonts w:ascii="Times New Roman" w:eastAsia="宋体" w:hAnsi="Times New Roman"/>
                <w:color w:val="000000"/>
                <w:sz w:val="20"/>
                <w:szCs w:val="20"/>
              </w:rPr>
              <w:t>Item 1A.</w:t>
            </w:r>
          </w:p>
        </w:tc>
        <w:tc>
          <w:tcPr>
            <w:tcW w:w="0" w:type="auto"/>
            <w:gridSpan w:val="3"/>
            <w:shd w:val="clear" w:color="auto" w:fill="auto"/>
            <w:tcMar>
              <w:top w:w="0" w:type="dxa"/>
              <w:left w:w="20" w:type="dxa"/>
              <w:bottom w:w="0" w:type="dxa"/>
              <w:right w:w="20" w:type="dxa"/>
            </w:tcMar>
            <w:vAlign w:val="bottom"/>
          </w:tcPr>
          <w:p w14:paraId="518B425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55" w14:textId="77777777" w:rsidR="005C332D" w:rsidRDefault="00B93EAE">
            <w:pPr>
              <w:textAlignment w:val="top"/>
            </w:pPr>
            <w:hyperlink r:id="rId10" w:anchor="i049852cab38845aabd2a79d07dacda86_19" w:history="1">
              <w:r>
                <w:rPr>
                  <w:rStyle w:val="a5"/>
                  <w:rFonts w:ascii="Times New Roman" w:eastAsia="宋体" w:hAnsi="Times New Roman"/>
                  <w:sz w:val="20"/>
                  <w:szCs w:val="20"/>
                </w:rPr>
                <w:t>Risk Factors</w:t>
              </w:r>
            </w:hyperlink>
          </w:p>
        </w:tc>
        <w:tc>
          <w:tcPr>
            <w:tcW w:w="0" w:type="auto"/>
            <w:gridSpan w:val="3"/>
            <w:shd w:val="clear" w:color="auto" w:fill="auto"/>
            <w:tcMar>
              <w:top w:w="0" w:type="dxa"/>
              <w:left w:w="20" w:type="dxa"/>
              <w:bottom w:w="0" w:type="dxa"/>
              <w:right w:w="20" w:type="dxa"/>
            </w:tcMar>
            <w:vAlign w:val="bottom"/>
          </w:tcPr>
          <w:p w14:paraId="518B425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57" w14:textId="77777777" w:rsidR="005C332D" w:rsidRDefault="00B93EAE">
            <w:pPr>
              <w:jc w:val="right"/>
              <w:textAlignment w:val="top"/>
            </w:pPr>
            <w:hyperlink r:id="rId11" w:anchor="i049852cab38845aabd2a79d07dacda86_19" w:history="1">
              <w:r>
                <w:rPr>
                  <w:rStyle w:val="a5"/>
                  <w:rFonts w:ascii="Times New Roman" w:eastAsia="宋体" w:hAnsi="Times New Roman"/>
                  <w:sz w:val="20"/>
                  <w:szCs w:val="20"/>
                  <w:u w:val="none"/>
                </w:rPr>
                <w:t>14</w:t>
              </w:r>
            </w:hyperlink>
          </w:p>
        </w:tc>
      </w:tr>
      <w:tr w:rsidR="005C332D" w14:paraId="518B425E" w14:textId="77777777">
        <w:tc>
          <w:tcPr>
            <w:tcW w:w="0" w:type="auto"/>
            <w:gridSpan w:val="3"/>
            <w:shd w:val="clear" w:color="auto" w:fill="auto"/>
            <w:tcMar>
              <w:top w:w="40" w:type="dxa"/>
              <w:left w:w="20" w:type="dxa"/>
              <w:bottom w:w="40" w:type="dxa"/>
              <w:right w:w="20" w:type="dxa"/>
            </w:tcMar>
          </w:tcPr>
          <w:p w14:paraId="518B4259" w14:textId="77777777" w:rsidR="005C332D" w:rsidRDefault="00B93EAE">
            <w:pPr>
              <w:textAlignment w:val="top"/>
            </w:pPr>
            <w:r>
              <w:rPr>
                <w:rFonts w:ascii="Times New Roman" w:eastAsia="宋体" w:hAnsi="Times New Roman"/>
                <w:color w:val="000000"/>
                <w:sz w:val="20"/>
                <w:szCs w:val="20"/>
              </w:rPr>
              <w:t>Item 1B.</w:t>
            </w:r>
          </w:p>
        </w:tc>
        <w:tc>
          <w:tcPr>
            <w:tcW w:w="0" w:type="auto"/>
            <w:gridSpan w:val="3"/>
            <w:shd w:val="clear" w:color="auto" w:fill="auto"/>
            <w:tcMar>
              <w:top w:w="0" w:type="dxa"/>
              <w:left w:w="20" w:type="dxa"/>
              <w:bottom w:w="0" w:type="dxa"/>
              <w:right w:w="20" w:type="dxa"/>
            </w:tcMar>
            <w:vAlign w:val="bottom"/>
          </w:tcPr>
          <w:p w14:paraId="518B425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5B" w14:textId="77777777" w:rsidR="005C332D" w:rsidRDefault="00B93EAE">
            <w:pPr>
              <w:textAlignment w:val="top"/>
            </w:pPr>
            <w:hyperlink r:id="rId12" w:anchor="i049852cab38845aabd2a79d07dacda86_22" w:history="1">
              <w:r>
                <w:rPr>
                  <w:rStyle w:val="a5"/>
                  <w:rFonts w:ascii="Times New Roman" w:eastAsia="宋体" w:hAnsi="Times New Roman"/>
                  <w:sz w:val="20"/>
                  <w:szCs w:val="20"/>
                </w:rPr>
                <w:t>Unresolved Staff Comments</w:t>
              </w:r>
            </w:hyperlink>
          </w:p>
        </w:tc>
        <w:tc>
          <w:tcPr>
            <w:tcW w:w="0" w:type="auto"/>
            <w:gridSpan w:val="3"/>
            <w:shd w:val="clear" w:color="auto" w:fill="auto"/>
            <w:tcMar>
              <w:top w:w="0" w:type="dxa"/>
              <w:left w:w="20" w:type="dxa"/>
              <w:bottom w:w="0" w:type="dxa"/>
              <w:right w:w="20" w:type="dxa"/>
            </w:tcMar>
            <w:vAlign w:val="bottom"/>
          </w:tcPr>
          <w:p w14:paraId="518B425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5D" w14:textId="77777777" w:rsidR="005C332D" w:rsidRDefault="00B93EAE">
            <w:pPr>
              <w:jc w:val="right"/>
              <w:textAlignment w:val="top"/>
            </w:pPr>
            <w:hyperlink r:id="rId13" w:anchor="i049852cab38845aabd2a79d07dacda86_22" w:history="1">
              <w:r>
                <w:rPr>
                  <w:rStyle w:val="a5"/>
                  <w:rFonts w:ascii="Times New Roman" w:eastAsia="宋体" w:hAnsi="Times New Roman"/>
                  <w:sz w:val="20"/>
                  <w:szCs w:val="20"/>
                  <w:u w:val="none"/>
                </w:rPr>
                <w:t>29</w:t>
              </w:r>
            </w:hyperlink>
          </w:p>
        </w:tc>
      </w:tr>
      <w:tr w:rsidR="005C332D" w14:paraId="518B4264" w14:textId="77777777">
        <w:tc>
          <w:tcPr>
            <w:tcW w:w="0" w:type="auto"/>
            <w:gridSpan w:val="3"/>
            <w:shd w:val="clear" w:color="auto" w:fill="auto"/>
            <w:tcMar>
              <w:top w:w="40" w:type="dxa"/>
              <w:left w:w="20" w:type="dxa"/>
              <w:bottom w:w="40" w:type="dxa"/>
              <w:right w:w="20" w:type="dxa"/>
            </w:tcMar>
          </w:tcPr>
          <w:p w14:paraId="518B425F" w14:textId="77777777" w:rsidR="005C332D" w:rsidRDefault="00B93EAE">
            <w:pPr>
              <w:textAlignment w:val="top"/>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vAlign w:val="bottom"/>
          </w:tcPr>
          <w:p w14:paraId="518B426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61" w14:textId="77777777" w:rsidR="005C332D" w:rsidRDefault="00B93EAE">
            <w:pPr>
              <w:textAlignment w:val="top"/>
            </w:pPr>
            <w:hyperlink r:id="rId14" w:anchor="i049852cab38845aabd2a79d07dacda86_25" w:history="1">
              <w:r>
                <w:rPr>
                  <w:rStyle w:val="a5"/>
                  <w:rFonts w:ascii="Times New Roman" w:eastAsia="宋体" w:hAnsi="Times New Roman"/>
                  <w:sz w:val="20"/>
                  <w:szCs w:val="20"/>
                </w:rPr>
                <w:t>Properties</w:t>
              </w:r>
            </w:hyperlink>
          </w:p>
        </w:tc>
        <w:tc>
          <w:tcPr>
            <w:tcW w:w="0" w:type="auto"/>
            <w:gridSpan w:val="3"/>
            <w:shd w:val="clear" w:color="auto" w:fill="auto"/>
            <w:tcMar>
              <w:top w:w="0" w:type="dxa"/>
              <w:left w:w="20" w:type="dxa"/>
              <w:bottom w:w="0" w:type="dxa"/>
              <w:right w:w="20" w:type="dxa"/>
            </w:tcMar>
            <w:vAlign w:val="bottom"/>
          </w:tcPr>
          <w:p w14:paraId="518B426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63" w14:textId="77777777" w:rsidR="005C332D" w:rsidRDefault="00B93EAE">
            <w:pPr>
              <w:jc w:val="right"/>
              <w:textAlignment w:val="top"/>
            </w:pPr>
            <w:hyperlink r:id="rId15" w:anchor="i049852cab38845aabd2a79d07dacda86_25" w:history="1">
              <w:r>
                <w:rPr>
                  <w:rStyle w:val="a5"/>
                  <w:rFonts w:ascii="Times New Roman" w:eastAsia="宋体" w:hAnsi="Times New Roman"/>
                  <w:sz w:val="20"/>
                  <w:szCs w:val="20"/>
                  <w:u w:val="none"/>
                </w:rPr>
                <w:t>29</w:t>
              </w:r>
            </w:hyperlink>
          </w:p>
        </w:tc>
      </w:tr>
      <w:tr w:rsidR="005C332D" w14:paraId="518B426A" w14:textId="77777777">
        <w:tc>
          <w:tcPr>
            <w:tcW w:w="0" w:type="auto"/>
            <w:gridSpan w:val="3"/>
            <w:shd w:val="clear" w:color="auto" w:fill="auto"/>
            <w:tcMar>
              <w:top w:w="40" w:type="dxa"/>
              <w:left w:w="20" w:type="dxa"/>
              <w:bottom w:w="40" w:type="dxa"/>
              <w:right w:w="20" w:type="dxa"/>
            </w:tcMar>
          </w:tcPr>
          <w:p w14:paraId="518B4265" w14:textId="77777777" w:rsidR="005C332D" w:rsidRDefault="00B93EAE">
            <w:pPr>
              <w:textAlignment w:val="top"/>
            </w:pPr>
            <w:r>
              <w:rPr>
                <w:rFonts w:ascii="Times New Roman" w:eastAsia="宋体" w:hAnsi="Times New Roman"/>
                <w:color w:val="000000"/>
                <w:sz w:val="20"/>
                <w:szCs w:val="20"/>
              </w:rPr>
              <w:t>Item 3.</w:t>
            </w:r>
          </w:p>
        </w:tc>
        <w:tc>
          <w:tcPr>
            <w:tcW w:w="0" w:type="auto"/>
            <w:gridSpan w:val="3"/>
            <w:shd w:val="clear" w:color="auto" w:fill="auto"/>
            <w:tcMar>
              <w:top w:w="0" w:type="dxa"/>
              <w:left w:w="20" w:type="dxa"/>
              <w:bottom w:w="0" w:type="dxa"/>
              <w:right w:w="20" w:type="dxa"/>
            </w:tcMar>
            <w:vAlign w:val="bottom"/>
          </w:tcPr>
          <w:p w14:paraId="518B426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67" w14:textId="77777777" w:rsidR="005C332D" w:rsidRDefault="00B93EAE">
            <w:pPr>
              <w:textAlignment w:val="top"/>
            </w:pPr>
            <w:hyperlink r:id="rId16" w:anchor="i049852cab38845aabd2a79d07dacda86_28" w:history="1">
              <w:r>
                <w:rPr>
                  <w:rStyle w:val="a5"/>
                  <w:rFonts w:ascii="Times New Roman" w:eastAsia="宋体" w:hAnsi="Times New Roman"/>
                  <w:sz w:val="20"/>
                  <w:szCs w:val="20"/>
                </w:rPr>
                <w:t>Legal Proceedings</w:t>
              </w:r>
            </w:hyperlink>
          </w:p>
        </w:tc>
        <w:tc>
          <w:tcPr>
            <w:tcW w:w="0" w:type="auto"/>
            <w:gridSpan w:val="3"/>
            <w:shd w:val="clear" w:color="auto" w:fill="auto"/>
            <w:tcMar>
              <w:top w:w="0" w:type="dxa"/>
              <w:left w:w="20" w:type="dxa"/>
              <w:bottom w:w="0" w:type="dxa"/>
              <w:right w:w="20" w:type="dxa"/>
            </w:tcMar>
            <w:vAlign w:val="bottom"/>
          </w:tcPr>
          <w:p w14:paraId="518B426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69" w14:textId="77777777" w:rsidR="005C332D" w:rsidRDefault="00B93EAE">
            <w:pPr>
              <w:jc w:val="right"/>
              <w:textAlignment w:val="top"/>
            </w:pPr>
            <w:hyperlink r:id="rId17" w:anchor="i049852cab38845aabd2a79d07dacda86_28" w:history="1">
              <w:r>
                <w:rPr>
                  <w:rStyle w:val="a5"/>
                  <w:rFonts w:ascii="Times New Roman" w:eastAsia="宋体" w:hAnsi="Times New Roman"/>
                  <w:sz w:val="20"/>
                  <w:szCs w:val="20"/>
                  <w:u w:val="none"/>
                </w:rPr>
                <w:t>29</w:t>
              </w:r>
            </w:hyperlink>
          </w:p>
        </w:tc>
      </w:tr>
      <w:tr w:rsidR="005C332D" w14:paraId="518B4270" w14:textId="77777777">
        <w:tc>
          <w:tcPr>
            <w:tcW w:w="0" w:type="auto"/>
            <w:gridSpan w:val="3"/>
            <w:shd w:val="clear" w:color="auto" w:fill="auto"/>
            <w:tcMar>
              <w:top w:w="40" w:type="dxa"/>
              <w:left w:w="20" w:type="dxa"/>
              <w:bottom w:w="40" w:type="dxa"/>
              <w:right w:w="20" w:type="dxa"/>
            </w:tcMar>
          </w:tcPr>
          <w:p w14:paraId="518B426B" w14:textId="77777777" w:rsidR="005C332D" w:rsidRDefault="00B93EAE">
            <w:pPr>
              <w:textAlignment w:val="top"/>
            </w:pPr>
            <w:r>
              <w:rPr>
                <w:rFonts w:ascii="Times New Roman" w:eastAsia="宋体" w:hAnsi="Times New Roman"/>
                <w:color w:val="000000"/>
                <w:sz w:val="20"/>
                <w:szCs w:val="20"/>
              </w:rPr>
              <w:t>Item 4.</w:t>
            </w:r>
          </w:p>
        </w:tc>
        <w:tc>
          <w:tcPr>
            <w:tcW w:w="0" w:type="auto"/>
            <w:gridSpan w:val="3"/>
            <w:shd w:val="clear" w:color="auto" w:fill="auto"/>
            <w:tcMar>
              <w:top w:w="0" w:type="dxa"/>
              <w:left w:w="20" w:type="dxa"/>
              <w:bottom w:w="0" w:type="dxa"/>
              <w:right w:w="20" w:type="dxa"/>
            </w:tcMar>
            <w:vAlign w:val="bottom"/>
          </w:tcPr>
          <w:p w14:paraId="518B426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6D" w14:textId="77777777" w:rsidR="005C332D" w:rsidRDefault="00B93EAE">
            <w:pPr>
              <w:textAlignment w:val="top"/>
            </w:pPr>
            <w:hyperlink r:id="rId18" w:anchor="i049852cab38845aabd2a79d07dacda86_31" w:history="1">
              <w:r>
                <w:rPr>
                  <w:rStyle w:val="a5"/>
                  <w:rFonts w:ascii="Times New Roman" w:eastAsia="宋体" w:hAnsi="Times New Roman"/>
                  <w:sz w:val="20"/>
                  <w:szCs w:val="20"/>
                </w:rPr>
                <w:t>Mine Safety Disclosures</w:t>
              </w:r>
            </w:hyperlink>
          </w:p>
        </w:tc>
        <w:tc>
          <w:tcPr>
            <w:tcW w:w="0" w:type="auto"/>
            <w:gridSpan w:val="3"/>
            <w:shd w:val="clear" w:color="auto" w:fill="auto"/>
            <w:tcMar>
              <w:top w:w="0" w:type="dxa"/>
              <w:left w:w="20" w:type="dxa"/>
              <w:bottom w:w="0" w:type="dxa"/>
              <w:right w:w="20" w:type="dxa"/>
            </w:tcMar>
            <w:vAlign w:val="bottom"/>
          </w:tcPr>
          <w:p w14:paraId="518B426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6F" w14:textId="77777777" w:rsidR="005C332D" w:rsidRDefault="00B93EAE">
            <w:pPr>
              <w:jc w:val="right"/>
              <w:textAlignment w:val="top"/>
            </w:pPr>
            <w:hyperlink r:id="rId19" w:anchor="i049852cab38845aabd2a79d07dacda86_31" w:history="1">
              <w:r>
                <w:rPr>
                  <w:rStyle w:val="a5"/>
                  <w:rFonts w:ascii="Times New Roman" w:eastAsia="宋体" w:hAnsi="Times New Roman"/>
                  <w:sz w:val="20"/>
                  <w:szCs w:val="20"/>
                  <w:u w:val="none"/>
                </w:rPr>
                <w:t>29</w:t>
              </w:r>
            </w:hyperlink>
          </w:p>
        </w:tc>
      </w:tr>
      <w:tr w:rsidR="005C332D" w14:paraId="518B4276" w14:textId="77777777">
        <w:tc>
          <w:tcPr>
            <w:tcW w:w="0" w:type="auto"/>
            <w:gridSpan w:val="3"/>
            <w:shd w:val="clear" w:color="auto" w:fill="auto"/>
            <w:tcMar>
              <w:top w:w="0" w:type="dxa"/>
              <w:left w:w="20" w:type="dxa"/>
              <w:bottom w:w="0" w:type="dxa"/>
              <w:right w:w="20" w:type="dxa"/>
            </w:tcMar>
            <w:vAlign w:val="bottom"/>
          </w:tcPr>
          <w:p w14:paraId="518B4271"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7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73" w14:textId="77777777" w:rsidR="005C332D" w:rsidRDefault="00B93EAE">
            <w:pPr>
              <w:jc w:val="center"/>
              <w:textAlignment w:val="top"/>
            </w:pPr>
            <w:r>
              <w:rPr>
                <w:rFonts w:ascii="Times New Roman" w:eastAsia="宋体" w:hAnsi="Times New Roman"/>
                <w:b/>
                <w:bCs/>
                <w:color w:val="000000"/>
                <w:sz w:val="20"/>
                <w:szCs w:val="20"/>
                <w:u w:val="single"/>
              </w:rPr>
              <w:t>PART II</w:t>
            </w:r>
          </w:p>
        </w:tc>
        <w:tc>
          <w:tcPr>
            <w:tcW w:w="0" w:type="auto"/>
            <w:gridSpan w:val="3"/>
            <w:shd w:val="clear" w:color="auto" w:fill="auto"/>
            <w:tcMar>
              <w:top w:w="0" w:type="dxa"/>
              <w:left w:w="20" w:type="dxa"/>
              <w:bottom w:w="0" w:type="dxa"/>
              <w:right w:w="20" w:type="dxa"/>
            </w:tcMar>
            <w:vAlign w:val="bottom"/>
          </w:tcPr>
          <w:p w14:paraId="518B427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75" w14:textId="77777777" w:rsidR="005C332D" w:rsidRDefault="005C332D">
            <w:pPr>
              <w:rPr>
                <w:rFonts w:ascii="宋体"/>
              </w:rPr>
            </w:pPr>
          </w:p>
        </w:tc>
      </w:tr>
      <w:tr w:rsidR="005C332D" w14:paraId="518B427C" w14:textId="77777777">
        <w:tc>
          <w:tcPr>
            <w:tcW w:w="0" w:type="auto"/>
            <w:gridSpan w:val="3"/>
            <w:shd w:val="clear" w:color="auto" w:fill="auto"/>
            <w:tcMar>
              <w:top w:w="40" w:type="dxa"/>
              <w:left w:w="20" w:type="dxa"/>
              <w:bottom w:w="40" w:type="dxa"/>
              <w:right w:w="20" w:type="dxa"/>
            </w:tcMar>
          </w:tcPr>
          <w:p w14:paraId="518B4277" w14:textId="77777777" w:rsidR="005C332D" w:rsidRDefault="00B93EAE">
            <w:pPr>
              <w:textAlignment w:val="top"/>
            </w:pPr>
            <w:r>
              <w:rPr>
                <w:rFonts w:ascii="Times New Roman" w:eastAsia="宋体" w:hAnsi="Times New Roman"/>
                <w:color w:val="000000"/>
                <w:sz w:val="20"/>
                <w:szCs w:val="20"/>
              </w:rPr>
              <w:t>Item 5.</w:t>
            </w:r>
          </w:p>
        </w:tc>
        <w:tc>
          <w:tcPr>
            <w:tcW w:w="0" w:type="auto"/>
            <w:gridSpan w:val="3"/>
            <w:shd w:val="clear" w:color="auto" w:fill="auto"/>
            <w:tcMar>
              <w:top w:w="0" w:type="dxa"/>
              <w:left w:w="20" w:type="dxa"/>
              <w:bottom w:w="0" w:type="dxa"/>
              <w:right w:w="20" w:type="dxa"/>
            </w:tcMar>
            <w:vAlign w:val="bottom"/>
          </w:tcPr>
          <w:p w14:paraId="518B427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79" w14:textId="77777777" w:rsidR="005C332D" w:rsidRDefault="00B93EAE">
            <w:pPr>
              <w:textAlignment w:val="top"/>
            </w:pPr>
            <w:hyperlink r:id="rId20" w:anchor="i049852cab38845aabd2a79d07dacda86_37" w:history="1">
              <w:r>
                <w:rPr>
                  <w:rStyle w:val="a5"/>
                  <w:rFonts w:ascii="Times New Roman" w:eastAsia="宋体" w:hAnsi="Times New Roman"/>
                  <w:sz w:val="20"/>
                  <w:szCs w:val="20"/>
                </w:rPr>
                <w:t>Market for Registrant’s Common Equity, Related Stockholder Matters, and Issuer Purchases of Equity Securities</w:t>
              </w:r>
            </w:hyperlink>
          </w:p>
        </w:tc>
        <w:tc>
          <w:tcPr>
            <w:tcW w:w="0" w:type="auto"/>
            <w:gridSpan w:val="3"/>
            <w:shd w:val="clear" w:color="auto" w:fill="auto"/>
            <w:tcMar>
              <w:top w:w="0" w:type="dxa"/>
              <w:left w:w="20" w:type="dxa"/>
              <w:bottom w:w="0" w:type="dxa"/>
              <w:right w:w="20" w:type="dxa"/>
            </w:tcMar>
            <w:vAlign w:val="bottom"/>
          </w:tcPr>
          <w:p w14:paraId="518B427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7B" w14:textId="77777777" w:rsidR="005C332D" w:rsidRDefault="00B93EAE">
            <w:pPr>
              <w:jc w:val="right"/>
              <w:textAlignment w:val="top"/>
            </w:pPr>
            <w:hyperlink r:id="rId21" w:anchor="i049852cab38845aabd2a79d07dacda86_37" w:history="1">
              <w:r>
                <w:rPr>
                  <w:rStyle w:val="a5"/>
                  <w:rFonts w:ascii="Times New Roman" w:eastAsia="宋体" w:hAnsi="Times New Roman"/>
                  <w:sz w:val="20"/>
                  <w:szCs w:val="20"/>
                  <w:u w:val="none"/>
                </w:rPr>
                <w:t>30</w:t>
              </w:r>
            </w:hyperlink>
          </w:p>
        </w:tc>
      </w:tr>
      <w:tr w:rsidR="005C332D" w14:paraId="518B4282" w14:textId="77777777">
        <w:tc>
          <w:tcPr>
            <w:tcW w:w="0" w:type="auto"/>
            <w:gridSpan w:val="3"/>
            <w:shd w:val="clear" w:color="auto" w:fill="auto"/>
            <w:tcMar>
              <w:top w:w="40" w:type="dxa"/>
              <w:left w:w="20" w:type="dxa"/>
              <w:bottom w:w="40" w:type="dxa"/>
              <w:right w:w="20" w:type="dxa"/>
            </w:tcMar>
          </w:tcPr>
          <w:p w14:paraId="518B427D" w14:textId="77777777" w:rsidR="005C332D" w:rsidRDefault="00B93EAE">
            <w:pPr>
              <w:textAlignment w:val="top"/>
            </w:pPr>
            <w:r>
              <w:rPr>
                <w:rFonts w:ascii="Times New Roman" w:eastAsia="宋体" w:hAnsi="Times New Roman"/>
                <w:color w:val="000000"/>
                <w:sz w:val="20"/>
                <w:szCs w:val="20"/>
              </w:rPr>
              <w:t>Item 6.</w:t>
            </w:r>
          </w:p>
        </w:tc>
        <w:tc>
          <w:tcPr>
            <w:tcW w:w="0" w:type="auto"/>
            <w:gridSpan w:val="3"/>
            <w:shd w:val="clear" w:color="auto" w:fill="auto"/>
            <w:tcMar>
              <w:top w:w="0" w:type="dxa"/>
              <w:left w:w="20" w:type="dxa"/>
              <w:bottom w:w="0" w:type="dxa"/>
              <w:right w:w="20" w:type="dxa"/>
            </w:tcMar>
            <w:vAlign w:val="bottom"/>
          </w:tcPr>
          <w:p w14:paraId="518B427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7F" w14:textId="77777777" w:rsidR="005C332D" w:rsidRDefault="00B93EAE">
            <w:pPr>
              <w:textAlignment w:val="top"/>
            </w:pPr>
            <w:hyperlink r:id="rId22" w:anchor="i049852cab38845aabd2a79d07dacda86_43" w:history="1">
              <w:r>
                <w:rPr>
                  <w:rStyle w:val="a5"/>
                  <w:rFonts w:ascii="Times New Roman" w:eastAsia="宋体" w:hAnsi="Times New Roman"/>
                  <w:sz w:val="20"/>
                  <w:szCs w:val="20"/>
                </w:rPr>
                <w:t>[Reserved]</w:t>
              </w:r>
            </w:hyperlink>
          </w:p>
        </w:tc>
        <w:tc>
          <w:tcPr>
            <w:tcW w:w="0" w:type="auto"/>
            <w:gridSpan w:val="3"/>
            <w:shd w:val="clear" w:color="auto" w:fill="auto"/>
            <w:tcMar>
              <w:top w:w="0" w:type="dxa"/>
              <w:left w:w="20" w:type="dxa"/>
              <w:bottom w:w="0" w:type="dxa"/>
              <w:right w:w="20" w:type="dxa"/>
            </w:tcMar>
            <w:vAlign w:val="bottom"/>
          </w:tcPr>
          <w:p w14:paraId="518B428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81" w14:textId="77777777" w:rsidR="005C332D" w:rsidRDefault="00B93EAE">
            <w:pPr>
              <w:jc w:val="right"/>
              <w:textAlignment w:val="top"/>
            </w:pPr>
            <w:hyperlink r:id="rId23" w:anchor="i049852cab38845aabd2a79d07dacda86_43" w:history="1">
              <w:r>
                <w:rPr>
                  <w:rStyle w:val="a5"/>
                  <w:rFonts w:ascii="Times New Roman" w:eastAsia="宋体" w:hAnsi="Times New Roman"/>
                  <w:sz w:val="20"/>
                  <w:szCs w:val="20"/>
                  <w:u w:val="none"/>
                </w:rPr>
                <w:t>31</w:t>
              </w:r>
            </w:hyperlink>
          </w:p>
        </w:tc>
      </w:tr>
      <w:tr w:rsidR="005C332D" w14:paraId="518B4288" w14:textId="77777777">
        <w:tc>
          <w:tcPr>
            <w:tcW w:w="0" w:type="auto"/>
            <w:gridSpan w:val="3"/>
            <w:shd w:val="clear" w:color="auto" w:fill="auto"/>
            <w:tcMar>
              <w:top w:w="40" w:type="dxa"/>
              <w:left w:w="20" w:type="dxa"/>
              <w:bottom w:w="40" w:type="dxa"/>
              <w:right w:w="20" w:type="dxa"/>
            </w:tcMar>
          </w:tcPr>
          <w:p w14:paraId="518B4283" w14:textId="77777777" w:rsidR="005C332D" w:rsidRDefault="00B93EAE">
            <w:pPr>
              <w:textAlignment w:val="top"/>
            </w:pPr>
            <w:r>
              <w:rPr>
                <w:rFonts w:ascii="Times New Roman" w:eastAsia="宋体" w:hAnsi="Times New Roman"/>
                <w:color w:val="000000"/>
                <w:sz w:val="20"/>
                <w:szCs w:val="20"/>
              </w:rPr>
              <w:t>Item 7.</w:t>
            </w:r>
          </w:p>
        </w:tc>
        <w:tc>
          <w:tcPr>
            <w:tcW w:w="0" w:type="auto"/>
            <w:gridSpan w:val="3"/>
            <w:shd w:val="clear" w:color="auto" w:fill="auto"/>
            <w:tcMar>
              <w:top w:w="0" w:type="dxa"/>
              <w:left w:w="20" w:type="dxa"/>
              <w:bottom w:w="0" w:type="dxa"/>
              <w:right w:w="20" w:type="dxa"/>
            </w:tcMar>
            <w:vAlign w:val="bottom"/>
          </w:tcPr>
          <w:p w14:paraId="518B428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85" w14:textId="77777777" w:rsidR="005C332D" w:rsidRDefault="00B93EAE">
            <w:pPr>
              <w:textAlignment w:val="top"/>
            </w:pPr>
            <w:hyperlink r:id="rId24" w:anchor="i049852cab38845aabd2a79d07dacda86_46" w:history="1">
              <w:r>
                <w:rPr>
                  <w:rStyle w:val="a5"/>
                  <w:rFonts w:ascii="Times New Roman" w:eastAsia="宋体" w:hAnsi="Times New Roman"/>
                  <w:sz w:val="20"/>
                  <w:szCs w:val="20"/>
                </w:rPr>
                <w:t xml:space="preserve">Management’s Discussion and </w:t>
              </w:r>
              <w:r>
                <w:rPr>
                  <w:rStyle w:val="a5"/>
                  <w:rFonts w:ascii="Times New Roman" w:eastAsia="宋体" w:hAnsi="Times New Roman"/>
                  <w:sz w:val="20"/>
                  <w:szCs w:val="20"/>
                </w:rPr>
                <w:t>Analysis of Financial Condition and Results of Operations</w:t>
              </w:r>
            </w:hyperlink>
          </w:p>
        </w:tc>
        <w:tc>
          <w:tcPr>
            <w:tcW w:w="0" w:type="auto"/>
            <w:gridSpan w:val="3"/>
            <w:shd w:val="clear" w:color="auto" w:fill="auto"/>
            <w:tcMar>
              <w:top w:w="0" w:type="dxa"/>
              <w:left w:w="20" w:type="dxa"/>
              <w:bottom w:w="0" w:type="dxa"/>
              <w:right w:w="20" w:type="dxa"/>
            </w:tcMar>
            <w:vAlign w:val="bottom"/>
          </w:tcPr>
          <w:p w14:paraId="518B428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87" w14:textId="77777777" w:rsidR="005C332D" w:rsidRDefault="00B93EAE">
            <w:pPr>
              <w:jc w:val="right"/>
              <w:textAlignment w:val="top"/>
            </w:pPr>
            <w:hyperlink r:id="rId25" w:anchor="i049852cab38845aabd2a79d07dacda86_46" w:history="1">
              <w:r>
                <w:rPr>
                  <w:rStyle w:val="a5"/>
                  <w:rFonts w:ascii="Times New Roman" w:eastAsia="宋体" w:hAnsi="Times New Roman"/>
                  <w:sz w:val="20"/>
                  <w:szCs w:val="20"/>
                  <w:u w:val="none"/>
                </w:rPr>
                <w:t>32</w:t>
              </w:r>
            </w:hyperlink>
          </w:p>
        </w:tc>
      </w:tr>
      <w:tr w:rsidR="005C332D" w14:paraId="518B428E" w14:textId="77777777">
        <w:tc>
          <w:tcPr>
            <w:tcW w:w="0" w:type="auto"/>
            <w:gridSpan w:val="3"/>
            <w:shd w:val="clear" w:color="auto" w:fill="auto"/>
            <w:tcMar>
              <w:top w:w="40" w:type="dxa"/>
              <w:left w:w="20" w:type="dxa"/>
              <w:bottom w:w="40" w:type="dxa"/>
              <w:right w:w="20" w:type="dxa"/>
            </w:tcMar>
          </w:tcPr>
          <w:p w14:paraId="518B4289" w14:textId="77777777" w:rsidR="005C332D" w:rsidRDefault="00B93EAE">
            <w:pPr>
              <w:textAlignment w:val="top"/>
            </w:pPr>
            <w:r>
              <w:rPr>
                <w:rFonts w:ascii="Times New Roman" w:eastAsia="宋体" w:hAnsi="Times New Roman"/>
                <w:color w:val="000000"/>
                <w:sz w:val="20"/>
                <w:szCs w:val="20"/>
              </w:rPr>
              <w:t>Item 7A.</w:t>
            </w:r>
          </w:p>
        </w:tc>
        <w:tc>
          <w:tcPr>
            <w:tcW w:w="0" w:type="auto"/>
            <w:gridSpan w:val="3"/>
            <w:shd w:val="clear" w:color="auto" w:fill="auto"/>
            <w:tcMar>
              <w:top w:w="0" w:type="dxa"/>
              <w:left w:w="20" w:type="dxa"/>
              <w:bottom w:w="0" w:type="dxa"/>
              <w:right w:w="20" w:type="dxa"/>
            </w:tcMar>
            <w:vAlign w:val="bottom"/>
          </w:tcPr>
          <w:p w14:paraId="518B428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8B" w14:textId="77777777" w:rsidR="005C332D" w:rsidRDefault="00B93EAE">
            <w:pPr>
              <w:textAlignment w:val="top"/>
            </w:pPr>
            <w:hyperlink r:id="rId26" w:anchor="i049852cab38845aabd2a79d07dacda86_79"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0" w:type="dxa"/>
              <w:left w:w="20" w:type="dxa"/>
              <w:bottom w:w="0" w:type="dxa"/>
              <w:right w:w="20" w:type="dxa"/>
            </w:tcMar>
            <w:vAlign w:val="bottom"/>
          </w:tcPr>
          <w:p w14:paraId="518B428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8D" w14:textId="77777777" w:rsidR="005C332D" w:rsidRDefault="00B93EAE">
            <w:pPr>
              <w:jc w:val="right"/>
              <w:textAlignment w:val="top"/>
            </w:pPr>
            <w:hyperlink r:id="rId27" w:anchor="i049852cab38845aabd2a79d07dacda86_79" w:history="1">
              <w:r>
                <w:rPr>
                  <w:rStyle w:val="a5"/>
                  <w:rFonts w:ascii="Times New Roman" w:eastAsia="宋体" w:hAnsi="Times New Roman"/>
                  <w:sz w:val="20"/>
                  <w:szCs w:val="20"/>
                  <w:u w:val="none"/>
                </w:rPr>
                <w:t>53</w:t>
              </w:r>
            </w:hyperlink>
          </w:p>
        </w:tc>
      </w:tr>
      <w:tr w:rsidR="005C332D" w14:paraId="518B4294" w14:textId="77777777">
        <w:tc>
          <w:tcPr>
            <w:tcW w:w="0" w:type="auto"/>
            <w:gridSpan w:val="3"/>
            <w:shd w:val="clear" w:color="auto" w:fill="auto"/>
            <w:tcMar>
              <w:top w:w="40" w:type="dxa"/>
              <w:left w:w="20" w:type="dxa"/>
              <w:bottom w:w="40" w:type="dxa"/>
              <w:right w:w="20" w:type="dxa"/>
            </w:tcMar>
          </w:tcPr>
          <w:p w14:paraId="518B428F" w14:textId="77777777" w:rsidR="005C332D" w:rsidRDefault="00B93EAE">
            <w:pPr>
              <w:textAlignment w:val="top"/>
            </w:pPr>
            <w:r>
              <w:rPr>
                <w:rFonts w:ascii="Times New Roman" w:eastAsia="宋体" w:hAnsi="Times New Roman"/>
                <w:color w:val="000000"/>
                <w:sz w:val="20"/>
                <w:szCs w:val="20"/>
              </w:rPr>
              <w:t>Item 8.</w:t>
            </w:r>
          </w:p>
        </w:tc>
        <w:tc>
          <w:tcPr>
            <w:tcW w:w="0" w:type="auto"/>
            <w:gridSpan w:val="3"/>
            <w:shd w:val="clear" w:color="auto" w:fill="auto"/>
            <w:tcMar>
              <w:top w:w="0" w:type="dxa"/>
              <w:left w:w="20" w:type="dxa"/>
              <w:bottom w:w="0" w:type="dxa"/>
              <w:right w:w="20" w:type="dxa"/>
            </w:tcMar>
            <w:vAlign w:val="bottom"/>
          </w:tcPr>
          <w:p w14:paraId="518B429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91" w14:textId="77777777" w:rsidR="005C332D" w:rsidRDefault="00B93EAE">
            <w:pPr>
              <w:textAlignment w:val="top"/>
            </w:pPr>
            <w:hyperlink r:id="rId28" w:anchor="i049852cab38845aabd2a79d07dacda86_82" w:history="1">
              <w:r>
                <w:rPr>
                  <w:rStyle w:val="a5"/>
                  <w:rFonts w:ascii="Times New Roman" w:eastAsia="宋体" w:hAnsi="Times New Roman"/>
                  <w:sz w:val="20"/>
                  <w:szCs w:val="20"/>
                </w:rPr>
                <w:t>Financial Statements and Supplementary Data</w:t>
              </w:r>
            </w:hyperlink>
          </w:p>
        </w:tc>
        <w:tc>
          <w:tcPr>
            <w:tcW w:w="0" w:type="auto"/>
            <w:gridSpan w:val="3"/>
            <w:shd w:val="clear" w:color="auto" w:fill="auto"/>
            <w:tcMar>
              <w:top w:w="0" w:type="dxa"/>
              <w:left w:w="20" w:type="dxa"/>
              <w:bottom w:w="0" w:type="dxa"/>
              <w:right w:w="20" w:type="dxa"/>
            </w:tcMar>
            <w:vAlign w:val="bottom"/>
          </w:tcPr>
          <w:p w14:paraId="518B429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93" w14:textId="77777777" w:rsidR="005C332D" w:rsidRDefault="00B93EAE">
            <w:pPr>
              <w:jc w:val="right"/>
              <w:textAlignment w:val="top"/>
            </w:pPr>
            <w:hyperlink r:id="rId29" w:anchor="i049852cab38845aabd2a79d07dacda86_82" w:history="1">
              <w:r>
                <w:rPr>
                  <w:rStyle w:val="a5"/>
                  <w:rFonts w:ascii="Times New Roman" w:eastAsia="宋体" w:hAnsi="Times New Roman"/>
                  <w:sz w:val="20"/>
                  <w:szCs w:val="20"/>
                  <w:u w:val="none"/>
                </w:rPr>
                <w:t>55</w:t>
              </w:r>
            </w:hyperlink>
          </w:p>
        </w:tc>
      </w:tr>
      <w:tr w:rsidR="005C332D" w14:paraId="518B429A" w14:textId="77777777">
        <w:tc>
          <w:tcPr>
            <w:tcW w:w="0" w:type="auto"/>
            <w:gridSpan w:val="3"/>
            <w:shd w:val="clear" w:color="auto" w:fill="auto"/>
            <w:tcMar>
              <w:top w:w="40" w:type="dxa"/>
              <w:left w:w="20" w:type="dxa"/>
              <w:bottom w:w="40" w:type="dxa"/>
              <w:right w:w="20" w:type="dxa"/>
            </w:tcMar>
          </w:tcPr>
          <w:p w14:paraId="518B4295" w14:textId="77777777" w:rsidR="005C332D" w:rsidRDefault="00B93EAE">
            <w:pPr>
              <w:textAlignment w:val="top"/>
            </w:pPr>
            <w:r>
              <w:rPr>
                <w:rFonts w:ascii="Times New Roman" w:eastAsia="宋体" w:hAnsi="Times New Roman"/>
                <w:color w:val="000000"/>
                <w:sz w:val="20"/>
                <w:szCs w:val="20"/>
              </w:rPr>
              <w:t>Item 9.</w:t>
            </w:r>
          </w:p>
        </w:tc>
        <w:tc>
          <w:tcPr>
            <w:tcW w:w="0" w:type="auto"/>
            <w:gridSpan w:val="3"/>
            <w:shd w:val="clear" w:color="auto" w:fill="auto"/>
            <w:tcMar>
              <w:top w:w="0" w:type="dxa"/>
              <w:left w:w="20" w:type="dxa"/>
              <w:bottom w:w="0" w:type="dxa"/>
              <w:right w:w="20" w:type="dxa"/>
            </w:tcMar>
            <w:vAlign w:val="bottom"/>
          </w:tcPr>
          <w:p w14:paraId="518B429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97" w14:textId="77777777" w:rsidR="005C332D" w:rsidRDefault="00B93EAE">
            <w:pPr>
              <w:textAlignment w:val="top"/>
            </w:pPr>
            <w:hyperlink r:id="rId30" w:anchor="i049852cab38845aabd2a79d07dacda86_172" w:history="1">
              <w:r>
                <w:rPr>
                  <w:rStyle w:val="a5"/>
                  <w:rFonts w:ascii="Times New Roman" w:eastAsia="宋体" w:hAnsi="Times New Roman"/>
                  <w:sz w:val="20"/>
                  <w:szCs w:val="20"/>
                </w:rPr>
                <w:t>Change</w:t>
              </w:r>
              <w:r>
                <w:rPr>
                  <w:rStyle w:val="a5"/>
                  <w:rFonts w:ascii="Times New Roman" w:eastAsia="宋体" w:hAnsi="Times New Roman"/>
                  <w:sz w:val="20"/>
                  <w:szCs w:val="20"/>
                </w:rPr>
                <w:t>s in and Disagreements with Accountants on Accounting and Financial Disclosure</w:t>
              </w:r>
            </w:hyperlink>
          </w:p>
        </w:tc>
        <w:tc>
          <w:tcPr>
            <w:tcW w:w="0" w:type="auto"/>
            <w:gridSpan w:val="3"/>
            <w:shd w:val="clear" w:color="auto" w:fill="auto"/>
            <w:tcMar>
              <w:top w:w="0" w:type="dxa"/>
              <w:left w:w="20" w:type="dxa"/>
              <w:bottom w:w="0" w:type="dxa"/>
              <w:right w:w="20" w:type="dxa"/>
            </w:tcMar>
            <w:vAlign w:val="bottom"/>
          </w:tcPr>
          <w:p w14:paraId="518B429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99" w14:textId="77777777" w:rsidR="005C332D" w:rsidRDefault="00B93EAE">
            <w:pPr>
              <w:jc w:val="right"/>
              <w:textAlignment w:val="top"/>
            </w:pPr>
            <w:hyperlink r:id="rId31" w:anchor="i049852cab38845aabd2a79d07dacda86_172" w:history="1">
              <w:r>
                <w:rPr>
                  <w:rStyle w:val="a5"/>
                  <w:rFonts w:ascii="Times New Roman" w:eastAsia="宋体" w:hAnsi="Times New Roman"/>
                  <w:sz w:val="20"/>
                  <w:szCs w:val="20"/>
                  <w:u w:val="none"/>
                </w:rPr>
                <w:t>103</w:t>
              </w:r>
            </w:hyperlink>
          </w:p>
        </w:tc>
      </w:tr>
      <w:tr w:rsidR="005C332D" w14:paraId="518B42A0" w14:textId="77777777">
        <w:tc>
          <w:tcPr>
            <w:tcW w:w="0" w:type="auto"/>
            <w:gridSpan w:val="3"/>
            <w:shd w:val="clear" w:color="auto" w:fill="auto"/>
            <w:tcMar>
              <w:top w:w="40" w:type="dxa"/>
              <w:left w:w="20" w:type="dxa"/>
              <w:bottom w:w="40" w:type="dxa"/>
              <w:right w:w="20" w:type="dxa"/>
            </w:tcMar>
          </w:tcPr>
          <w:p w14:paraId="518B429B" w14:textId="77777777" w:rsidR="005C332D" w:rsidRDefault="00B93EAE">
            <w:pPr>
              <w:textAlignment w:val="top"/>
            </w:pPr>
            <w:r>
              <w:rPr>
                <w:rFonts w:ascii="Times New Roman" w:eastAsia="宋体" w:hAnsi="Times New Roman"/>
                <w:color w:val="000000"/>
                <w:sz w:val="20"/>
                <w:szCs w:val="20"/>
              </w:rPr>
              <w:t>Item 9A.</w:t>
            </w:r>
          </w:p>
        </w:tc>
        <w:tc>
          <w:tcPr>
            <w:tcW w:w="0" w:type="auto"/>
            <w:gridSpan w:val="3"/>
            <w:shd w:val="clear" w:color="auto" w:fill="auto"/>
            <w:tcMar>
              <w:top w:w="0" w:type="dxa"/>
              <w:left w:w="20" w:type="dxa"/>
              <w:bottom w:w="0" w:type="dxa"/>
              <w:right w:w="20" w:type="dxa"/>
            </w:tcMar>
            <w:vAlign w:val="bottom"/>
          </w:tcPr>
          <w:p w14:paraId="518B429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9D" w14:textId="77777777" w:rsidR="005C332D" w:rsidRDefault="00B93EAE">
            <w:pPr>
              <w:textAlignment w:val="top"/>
            </w:pPr>
            <w:hyperlink r:id="rId32" w:anchor="i049852cab38845aabd2a79d07dacda86_175" w:history="1">
              <w:r>
                <w:rPr>
                  <w:rStyle w:val="a5"/>
                  <w:rFonts w:ascii="Times New Roman" w:eastAsia="宋体" w:hAnsi="Times New Roman"/>
                  <w:sz w:val="20"/>
                  <w:szCs w:val="20"/>
                </w:rPr>
                <w:t>Controls and Procedures</w:t>
              </w:r>
            </w:hyperlink>
          </w:p>
        </w:tc>
        <w:tc>
          <w:tcPr>
            <w:tcW w:w="0" w:type="auto"/>
            <w:gridSpan w:val="3"/>
            <w:shd w:val="clear" w:color="auto" w:fill="auto"/>
            <w:tcMar>
              <w:top w:w="0" w:type="dxa"/>
              <w:left w:w="20" w:type="dxa"/>
              <w:bottom w:w="0" w:type="dxa"/>
              <w:right w:w="20" w:type="dxa"/>
            </w:tcMar>
            <w:vAlign w:val="bottom"/>
          </w:tcPr>
          <w:p w14:paraId="518B429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9F" w14:textId="77777777" w:rsidR="005C332D" w:rsidRDefault="00B93EAE">
            <w:pPr>
              <w:jc w:val="right"/>
              <w:textAlignment w:val="top"/>
            </w:pPr>
            <w:hyperlink r:id="rId33" w:anchor="i049852cab38845aabd2a79d07dacda86_175" w:history="1">
              <w:r>
                <w:rPr>
                  <w:rStyle w:val="a5"/>
                  <w:rFonts w:ascii="Times New Roman" w:eastAsia="宋体" w:hAnsi="Times New Roman"/>
                  <w:sz w:val="20"/>
                  <w:szCs w:val="20"/>
                  <w:u w:val="none"/>
                </w:rPr>
                <w:t>103</w:t>
              </w:r>
            </w:hyperlink>
          </w:p>
        </w:tc>
      </w:tr>
      <w:tr w:rsidR="005C332D" w14:paraId="518B42A6" w14:textId="77777777">
        <w:tc>
          <w:tcPr>
            <w:tcW w:w="0" w:type="auto"/>
            <w:gridSpan w:val="3"/>
            <w:shd w:val="clear" w:color="auto" w:fill="auto"/>
            <w:tcMar>
              <w:top w:w="40" w:type="dxa"/>
              <w:left w:w="20" w:type="dxa"/>
              <w:bottom w:w="40" w:type="dxa"/>
              <w:right w:w="20" w:type="dxa"/>
            </w:tcMar>
          </w:tcPr>
          <w:p w14:paraId="518B42A1" w14:textId="77777777" w:rsidR="005C332D" w:rsidRDefault="00B93EAE">
            <w:pPr>
              <w:textAlignment w:val="top"/>
            </w:pPr>
            <w:r>
              <w:rPr>
                <w:rFonts w:ascii="Times New Roman" w:eastAsia="宋体" w:hAnsi="Times New Roman"/>
                <w:color w:val="000000"/>
                <w:sz w:val="20"/>
                <w:szCs w:val="20"/>
              </w:rPr>
              <w:t>Item 9B.</w:t>
            </w:r>
          </w:p>
        </w:tc>
        <w:tc>
          <w:tcPr>
            <w:tcW w:w="0" w:type="auto"/>
            <w:gridSpan w:val="3"/>
            <w:shd w:val="clear" w:color="auto" w:fill="auto"/>
            <w:tcMar>
              <w:top w:w="0" w:type="dxa"/>
              <w:left w:w="20" w:type="dxa"/>
              <w:bottom w:w="0" w:type="dxa"/>
              <w:right w:w="20" w:type="dxa"/>
            </w:tcMar>
            <w:vAlign w:val="bottom"/>
          </w:tcPr>
          <w:p w14:paraId="518B42A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A3" w14:textId="77777777" w:rsidR="005C332D" w:rsidRDefault="00B93EAE">
            <w:pPr>
              <w:textAlignment w:val="top"/>
            </w:pPr>
            <w:hyperlink r:id="rId34" w:anchor="i049852cab38845aabd2a79d07dacda86_178" w:history="1">
              <w:r>
                <w:rPr>
                  <w:rStyle w:val="a5"/>
                  <w:rFonts w:ascii="Times New Roman" w:eastAsia="宋体" w:hAnsi="Times New Roman"/>
                  <w:sz w:val="20"/>
                  <w:szCs w:val="20"/>
                </w:rPr>
                <w:t>Other Information</w:t>
              </w:r>
            </w:hyperlink>
          </w:p>
        </w:tc>
        <w:tc>
          <w:tcPr>
            <w:tcW w:w="0" w:type="auto"/>
            <w:gridSpan w:val="3"/>
            <w:shd w:val="clear" w:color="auto" w:fill="auto"/>
            <w:tcMar>
              <w:top w:w="0" w:type="dxa"/>
              <w:left w:w="20" w:type="dxa"/>
              <w:bottom w:w="0" w:type="dxa"/>
              <w:right w:w="20" w:type="dxa"/>
            </w:tcMar>
            <w:vAlign w:val="bottom"/>
          </w:tcPr>
          <w:p w14:paraId="518B42A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A5" w14:textId="77777777" w:rsidR="005C332D" w:rsidRDefault="00B93EAE">
            <w:pPr>
              <w:jc w:val="right"/>
              <w:textAlignment w:val="top"/>
            </w:pPr>
            <w:hyperlink r:id="rId35" w:anchor="i049852cab38845aabd2a79d07dacda86_178" w:history="1">
              <w:r>
                <w:rPr>
                  <w:rStyle w:val="a5"/>
                  <w:rFonts w:ascii="Times New Roman" w:eastAsia="宋体" w:hAnsi="Times New Roman"/>
                  <w:sz w:val="20"/>
                  <w:szCs w:val="20"/>
                  <w:u w:val="none"/>
                </w:rPr>
                <w:t>103</w:t>
              </w:r>
            </w:hyperlink>
          </w:p>
        </w:tc>
      </w:tr>
      <w:tr w:rsidR="005C332D" w14:paraId="518B42AC" w14:textId="77777777">
        <w:tc>
          <w:tcPr>
            <w:tcW w:w="0" w:type="auto"/>
            <w:gridSpan w:val="3"/>
            <w:shd w:val="clear" w:color="auto" w:fill="auto"/>
            <w:tcMar>
              <w:top w:w="40" w:type="dxa"/>
              <w:left w:w="20" w:type="dxa"/>
              <w:bottom w:w="40" w:type="dxa"/>
              <w:right w:w="20" w:type="dxa"/>
            </w:tcMar>
          </w:tcPr>
          <w:p w14:paraId="518B42A7" w14:textId="77777777" w:rsidR="005C332D" w:rsidRDefault="00B93EAE">
            <w:pPr>
              <w:textAlignment w:val="top"/>
            </w:pPr>
            <w:r>
              <w:rPr>
                <w:rFonts w:ascii="Times New Roman" w:eastAsia="宋体" w:hAnsi="Times New Roman"/>
                <w:color w:val="000000"/>
                <w:sz w:val="20"/>
                <w:szCs w:val="20"/>
              </w:rPr>
              <w:t>Item 9C.</w:t>
            </w:r>
          </w:p>
        </w:tc>
        <w:tc>
          <w:tcPr>
            <w:tcW w:w="0" w:type="auto"/>
            <w:gridSpan w:val="3"/>
            <w:shd w:val="clear" w:color="auto" w:fill="auto"/>
            <w:tcMar>
              <w:top w:w="0" w:type="dxa"/>
              <w:left w:w="20" w:type="dxa"/>
              <w:bottom w:w="0" w:type="dxa"/>
              <w:right w:w="20" w:type="dxa"/>
            </w:tcMar>
            <w:vAlign w:val="bottom"/>
          </w:tcPr>
          <w:p w14:paraId="518B42A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A9" w14:textId="77777777" w:rsidR="005C332D" w:rsidRDefault="00B93EAE">
            <w:pPr>
              <w:textAlignment w:val="top"/>
            </w:pPr>
            <w:hyperlink r:id="rId36" w:anchor="i049852cab38845aabd2a79d07dacda86_1796" w:history="1">
              <w:r>
                <w:rPr>
                  <w:rStyle w:val="a5"/>
                  <w:rFonts w:ascii="Times New Roman" w:eastAsia="宋体" w:hAnsi="Times New Roman"/>
                  <w:sz w:val="20"/>
                  <w:szCs w:val="20"/>
                </w:rPr>
                <w:t>Disclosure Regarding Foreign Jurisdictions that Prevent Inspections</w:t>
              </w:r>
            </w:hyperlink>
          </w:p>
        </w:tc>
        <w:tc>
          <w:tcPr>
            <w:tcW w:w="0" w:type="auto"/>
            <w:gridSpan w:val="3"/>
            <w:shd w:val="clear" w:color="auto" w:fill="auto"/>
            <w:tcMar>
              <w:top w:w="0" w:type="dxa"/>
              <w:left w:w="20" w:type="dxa"/>
              <w:bottom w:w="0" w:type="dxa"/>
              <w:right w:w="20" w:type="dxa"/>
            </w:tcMar>
            <w:vAlign w:val="bottom"/>
          </w:tcPr>
          <w:p w14:paraId="518B42A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AB" w14:textId="77777777" w:rsidR="005C332D" w:rsidRDefault="00B93EAE">
            <w:pPr>
              <w:jc w:val="right"/>
              <w:textAlignment w:val="top"/>
            </w:pPr>
            <w:hyperlink r:id="rId37" w:anchor="i049852cab38845aabd2a79d07dacda86_1796" w:history="1">
              <w:r>
                <w:rPr>
                  <w:rStyle w:val="a5"/>
                  <w:rFonts w:ascii="Times New Roman" w:eastAsia="宋体" w:hAnsi="Times New Roman"/>
                  <w:sz w:val="20"/>
                  <w:szCs w:val="20"/>
                  <w:u w:val="none"/>
                </w:rPr>
                <w:t>103</w:t>
              </w:r>
            </w:hyperlink>
          </w:p>
        </w:tc>
      </w:tr>
      <w:tr w:rsidR="005C332D" w14:paraId="518B42B2" w14:textId="77777777">
        <w:tc>
          <w:tcPr>
            <w:tcW w:w="0" w:type="auto"/>
            <w:gridSpan w:val="3"/>
            <w:shd w:val="clear" w:color="auto" w:fill="auto"/>
            <w:tcMar>
              <w:top w:w="0" w:type="dxa"/>
              <w:left w:w="20" w:type="dxa"/>
              <w:bottom w:w="0" w:type="dxa"/>
              <w:right w:w="20" w:type="dxa"/>
            </w:tcMar>
            <w:vAlign w:val="bottom"/>
          </w:tcPr>
          <w:p w14:paraId="518B42AD"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A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AF" w14:textId="77777777" w:rsidR="005C332D" w:rsidRDefault="00B93EAE">
            <w:pPr>
              <w:jc w:val="center"/>
              <w:textAlignment w:val="top"/>
            </w:pPr>
            <w:r>
              <w:rPr>
                <w:rFonts w:ascii="Times New Roman" w:eastAsia="宋体" w:hAnsi="Times New Roman"/>
                <w:b/>
                <w:bCs/>
                <w:color w:val="000000"/>
                <w:sz w:val="20"/>
                <w:szCs w:val="20"/>
                <w:u w:val="single"/>
              </w:rPr>
              <w:t>PART III</w:t>
            </w:r>
          </w:p>
        </w:tc>
        <w:tc>
          <w:tcPr>
            <w:tcW w:w="0" w:type="auto"/>
            <w:gridSpan w:val="3"/>
            <w:shd w:val="clear" w:color="auto" w:fill="auto"/>
            <w:tcMar>
              <w:top w:w="0" w:type="dxa"/>
              <w:left w:w="20" w:type="dxa"/>
              <w:bottom w:w="0" w:type="dxa"/>
              <w:right w:w="20" w:type="dxa"/>
            </w:tcMar>
            <w:vAlign w:val="bottom"/>
          </w:tcPr>
          <w:p w14:paraId="518B42B0"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B1" w14:textId="77777777" w:rsidR="005C332D" w:rsidRDefault="005C332D">
            <w:pPr>
              <w:rPr>
                <w:rFonts w:ascii="宋体"/>
              </w:rPr>
            </w:pPr>
          </w:p>
        </w:tc>
      </w:tr>
      <w:tr w:rsidR="005C332D" w14:paraId="518B42B8" w14:textId="77777777">
        <w:tc>
          <w:tcPr>
            <w:tcW w:w="0" w:type="auto"/>
            <w:gridSpan w:val="3"/>
            <w:shd w:val="clear" w:color="auto" w:fill="auto"/>
            <w:tcMar>
              <w:top w:w="40" w:type="dxa"/>
              <w:left w:w="20" w:type="dxa"/>
              <w:bottom w:w="40" w:type="dxa"/>
              <w:right w:w="20" w:type="dxa"/>
            </w:tcMar>
          </w:tcPr>
          <w:p w14:paraId="518B42B3" w14:textId="77777777" w:rsidR="005C332D" w:rsidRDefault="00B93EAE">
            <w:pPr>
              <w:textAlignment w:val="top"/>
            </w:pPr>
            <w:r>
              <w:rPr>
                <w:rFonts w:ascii="Times New Roman" w:eastAsia="宋体" w:hAnsi="Times New Roman"/>
                <w:color w:val="000000"/>
                <w:sz w:val="20"/>
                <w:szCs w:val="20"/>
              </w:rPr>
              <w:t>Item 10.</w:t>
            </w:r>
          </w:p>
        </w:tc>
        <w:tc>
          <w:tcPr>
            <w:tcW w:w="0" w:type="auto"/>
            <w:gridSpan w:val="3"/>
            <w:shd w:val="clear" w:color="auto" w:fill="auto"/>
            <w:tcMar>
              <w:top w:w="0" w:type="dxa"/>
              <w:left w:w="20" w:type="dxa"/>
              <w:bottom w:w="0" w:type="dxa"/>
              <w:right w:w="20" w:type="dxa"/>
            </w:tcMar>
            <w:vAlign w:val="bottom"/>
          </w:tcPr>
          <w:p w14:paraId="518B42B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B5" w14:textId="77777777" w:rsidR="005C332D" w:rsidRDefault="00B93EAE">
            <w:pPr>
              <w:textAlignment w:val="top"/>
            </w:pPr>
            <w:hyperlink r:id="rId38" w:anchor="i049852cab38845aabd2a79d07dacda86_184" w:history="1">
              <w:r>
                <w:rPr>
                  <w:rStyle w:val="a5"/>
                  <w:rFonts w:ascii="Times New Roman" w:eastAsia="宋体" w:hAnsi="Times New Roman"/>
                  <w:sz w:val="20"/>
                  <w:szCs w:val="20"/>
                </w:rPr>
                <w:t>Directors, Executive Officers and Corporate Governance</w:t>
              </w:r>
            </w:hyperlink>
          </w:p>
        </w:tc>
        <w:tc>
          <w:tcPr>
            <w:tcW w:w="0" w:type="auto"/>
            <w:gridSpan w:val="3"/>
            <w:shd w:val="clear" w:color="auto" w:fill="auto"/>
            <w:tcMar>
              <w:top w:w="0" w:type="dxa"/>
              <w:left w:w="20" w:type="dxa"/>
              <w:bottom w:w="0" w:type="dxa"/>
              <w:right w:w="20" w:type="dxa"/>
            </w:tcMar>
            <w:vAlign w:val="bottom"/>
          </w:tcPr>
          <w:p w14:paraId="518B42B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B7" w14:textId="77777777" w:rsidR="005C332D" w:rsidRDefault="00B93EAE">
            <w:pPr>
              <w:jc w:val="right"/>
              <w:textAlignment w:val="top"/>
            </w:pPr>
            <w:hyperlink r:id="rId39" w:anchor="i049852cab38845aabd2a79d07dacda86_184" w:history="1">
              <w:r>
                <w:rPr>
                  <w:rStyle w:val="a5"/>
                  <w:rFonts w:ascii="Times New Roman" w:eastAsia="宋体" w:hAnsi="Times New Roman"/>
                  <w:sz w:val="20"/>
                  <w:szCs w:val="20"/>
                  <w:u w:val="none"/>
                </w:rPr>
                <w:t>104</w:t>
              </w:r>
            </w:hyperlink>
          </w:p>
        </w:tc>
      </w:tr>
      <w:tr w:rsidR="005C332D" w14:paraId="518B42BE" w14:textId="77777777">
        <w:tc>
          <w:tcPr>
            <w:tcW w:w="0" w:type="auto"/>
            <w:gridSpan w:val="3"/>
            <w:shd w:val="clear" w:color="auto" w:fill="auto"/>
            <w:tcMar>
              <w:top w:w="40" w:type="dxa"/>
              <w:left w:w="20" w:type="dxa"/>
              <w:bottom w:w="40" w:type="dxa"/>
              <w:right w:w="20" w:type="dxa"/>
            </w:tcMar>
          </w:tcPr>
          <w:p w14:paraId="518B42B9" w14:textId="77777777" w:rsidR="005C332D" w:rsidRDefault="00B93EAE">
            <w:pPr>
              <w:textAlignment w:val="top"/>
            </w:pPr>
            <w:r>
              <w:rPr>
                <w:rFonts w:ascii="Times New Roman" w:eastAsia="宋体" w:hAnsi="Times New Roman"/>
                <w:color w:val="000000"/>
                <w:sz w:val="20"/>
                <w:szCs w:val="20"/>
              </w:rPr>
              <w:lastRenderedPageBreak/>
              <w:t>Item 11.</w:t>
            </w:r>
          </w:p>
        </w:tc>
        <w:tc>
          <w:tcPr>
            <w:tcW w:w="0" w:type="auto"/>
            <w:gridSpan w:val="3"/>
            <w:shd w:val="clear" w:color="auto" w:fill="auto"/>
            <w:tcMar>
              <w:top w:w="0" w:type="dxa"/>
              <w:left w:w="20" w:type="dxa"/>
              <w:bottom w:w="0" w:type="dxa"/>
              <w:right w:w="20" w:type="dxa"/>
            </w:tcMar>
            <w:vAlign w:val="bottom"/>
          </w:tcPr>
          <w:p w14:paraId="518B42B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BB" w14:textId="77777777" w:rsidR="005C332D" w:rsidRDefault="00B93EAE">
            <w:pPr>
              <w:textAlignment w:val="top"/>
            </w:pPr>
            <w:hyperlink r:id="rId40" w:anchor="i049852cab38845aabd2a79d07dacda86_187" w:history="1">
              <w:r>
                <w:rPr>
                  <w:rStyle w:val="a5"/>
                  <w:rFonts w:ascii="Times New Roman" w:eastAsia="宋体" w:hAnsi="Times New Roman"/>
                  <w:sz w:val="20"/>
                  <w:szCs w:val="20"/>
                </w:rPr>
                <w:t>Executive Compensation</w:t>
              </w:r>
            </w:hyperlink>
          </w:p>
        </w:tc>
        <w:tc>
          <w:tcPr>
            <w:tcW w:w="0" w:type="auto"/>
            <w:gridSpan w:val="3"/>
            <w:shd w:val="clear" w:color="auto" w:fill="auto"/>
            <w:tcMar>
              <w:top w:w="0" w:type="dxa"/>
              <w:left w:w="20" w:type="dxa"/>
              <w:bottom w:w="0" w:type="dxa"/>
              <w:right w:w="20" w:type="dxa"/>
            </w:tcMar>
            <w:vAlign w:val="bottom"/>
          </w:tcPr>
          <w:p w14:paraId="518B42B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BD" w14:textId="77777777" w:rsidR="005C332D" w:rsidRDefault="00B93EAE">
            <w:pPr>
              <w:jc w:val="right"/>
              <w:textAlignment w:val="top"/>
            </w:pPr>
            <w:hyperlink r:id="rId41" w:anchor="i049852cab38845aabd2a79d07dacda86_187" w:history="1">
              <w:r>
                <w:rPr>
                  <w:rStyle w:val="a5"/>
                  <w:rFonts w:ascii="Times New Roman" w:eastAsia="宋体" w:hAnsi="Times New Roman"/>
                  <w:sz w:val="20"/>
                  <w:szCs w:val="20"/>
                  <w:u w:val="none"/>
                </w:rPr>
                <w:t>104</w:t>
              </w:r>
            </w:hyperlink>
          </w:p>
        </w:tc>
      </w:tr>
      <w:tr w:rsidR="005C332D" w14:paraId="518B42C4" w14:textId="77777777">
        <w:tc>
          <w:tcPr>
            <w:tcW w:w="0" w:type="auto"/>
            <w:gridSpan w:val="3"/>
            <w:shd w:val="clear" w:color="auto" w:fill="auto"/>
            <w:tcMar>
              <w:top w:w="40" w:type="dxa"/>
              <w:left w:w="20" w:type="dxa"/>
              <w:bottom w:w="40" w:type="dxa"/>
              <w:right w:w="20" w:type="dxa"/>
            </w:tcMar>
          </w:tcPr>
          <w:p w14:paraId="518B42BF" w14:textId="77777777" w:rsidR="005C332D" w:rsidRDefault="00B93EAE">
            <w:pPr>
              <w:textAlignment w:val="top"/>
            </w:pPr>
            <w:r>
              <w:rPr>
                <w:rFonts w:ascii="Times New Roman" w:eastAsia="宋体" w:hAnsi="Times New Roman"/>
                <w:color w:val="000000"/>
                <w:sz w:val="20"/>
                <w:szCs w:val="20"/>
              </w:rPr>
              <w:t>Item 12.</w:t>
            </w:r>
          </w:p>
        </w:tc>
        <w:tc>
          <w:tcPr>
            <w:tcW w:w="0" w:type="auto"/>
            <w:gridSpan w:val="3"/>
            <w:shd w:val="clear" w:color="auto" w:fill="auto"/>
            <w:tcMar>
              <w:top w:w="0" w:type="dxa"/>
              <w:left w:w="20" w:type="dxa"/>
              <w:bottom w:w="0" w:type="dxa"/>
              <w:right w:w="20" w:type="dxa"/>
            </w:tcMar>
            <w:vAlign w:val="bottom"/>
          </w:tcPr>
          <w:p w14:paraId="518B42C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C1" w14:textId="77777777" w:rsidR="005C332D" w:rsidRDefault="00B93EAE">
            <w:pPr>
              <w:textAlignment w:val="top"/>
            </w:pPr>
            <w:hyperlink r:id="rId42" w:anchor="i049852cab38845aabd2a79d07dacda86_190" w:history="1">
              <w:r>
                <w:rPr>
                  <w:rStyle w:val="a5"/>
                  <w:rFonts w:ascii="Times New Roman" w:eastAsia="宋体" w:hAnsi="Times New Roman"/>
                  <w:sz w:val="20"/>
                  <w:szCs w:val="20"/>
                </w:rPr>
                <w:t>Security Ownership of Certain Beneficial Owners and Management and Related Stockholder Matters</w:t>
              </w:r>
            </w:hyperlink>
          </w:p>
        </w:tc>
        <w:tc>
          <w:tcPr>
            <w:tcW w:w="0" w:type="auto"/>
            <w:gridSpan w:val="3"/>
            <w:shd w:val="clear" w:color="auto" w:fill="auto"/>
            <w:tcMar>
              <w:top w:w="0" w:type="dxa"/>
              <w:left w:w="20" w:type="dxa"/>
              <w:bottom w:w="0" w:type="dxa"/>
              <w:right w:w="20" w:type="dxa"/>
            </w:tcMar>
            <w:vAlign w:val="bottom"/>
          </w:tcPr>
          <w:p w14:paraId="518B42C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C3" w14:textId="77777777" w:rsidR="005C332D" w:rsidRDefault="00B93EAE">
            <w:pPr>
              <w:jc w:val="right"/>
              <w:textAlignment w:val="top"/>
            </w:pPr>
            <w:hyperlink r:id="rId43" w:anchor="i049852cab38845aabd2a79d07dacda86_190" w:history="1">
              <w:r>
                <w:rPr>
                  <w:rStyle w:val="a5"/>
                  <w:rFonts w:ascii="Times New Roman" w:eastAsia="宋体" w:hAnsi="Times New Roman"/>
                  <w:sz w:val="20"/>
                  <w:szCs w:val="20"/>
                  <w:u w:val="none"/>
                </w:rPr>
                <w:t>104</w:t>
              </w:r>
            </w:hyperlink>
          </w:p>
        </w:tc>
      </w:tr>
      <w:tr w:rsidR="005C332D" w14:paraId="518B42CA" w14:textId="77777777">
        <w:tc>
          <w:tcPr>
            <w:tcW w:w="0" w:type="auto"/>
            <w:gridSpan w:val="3"/>
            <w:shd w:val="clear" w:color="auto" w:fill="auto"/>
            <w:tcMar>
              <w:top w:w="40" w:type="dxa"/>
              <w:left w:w="20" w:type="dxa"/>
              <w:bottom w:w="40" w:type="dxa"/>
              <w:right w:w="20" w:type="dxa"/>
            </w:tcMar>
          </w:tcPr>
          <w:p w14:paraId="518B42C5" w14:textId="77777777" w:rsidR="005C332D" w:rsidRDefault="00B93EAE">
            <w:pPr>
              <w:textAlignment w:val="top"/>
            </w:pPr>
            <w:r>
              <w:rPr>
                <w:rFonts w:ascii="Times New Roman" w:eastAsia="宋体" w:hAnsi="Times New Roman"/>
                <w:color w:val="000000"/>
                <w:sz w:val="20"/>
                <w:szCs w:val="20"/>
              </w:rPr>
              <w:t>Item 13.</w:t>
            </w:r>
          </w:p>
        </w:tc>
        <w:tc>
          <w:tcPr>
            <w:tcW w:w="0" w:type="auto"/>
            <w:gridSpan w:val="3"/>
            <w:shd w:val="clear" w:color="auto" w:fill="auto"/>
            <w:tcMar>
              <w:top w:w="0" w:type="dxa"/>
              <w:left w:w="20" w:type="dxa"/>
              <w:bottom w:w="0" w:type="dxa"/>
              <w:right w:w="20" w:type="dxa"/>
            </w:tcMar>
            <w:vAlign w:val="bottom"/>
          </w:tcPr>
          <w:p w14:paraId="518B42C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C7" w14:textId="77777777" w:rsidR="005C332D" w:rsidRDefault="00B93EAE">
            <w:pPr>
              <w:textAlignment w:val="top"/>
            </w:pPr>
            <w:hyperlink r:id="rId44" w:anchor="i049852cab38845aabd2a79d07dacda86_193" w:history="1">
              <w:r>
                <w:rPr>
                  <w:rStyle w:val="a5"/>
                  <w:rFonts w:ascii="Times New Roman" w:eastAsia="宋体" w:hAnsi="Times New Roman"/>
                  <w:sz w:val="20"/>
                  <w:szCs w:val="20"/>
                </w:rPr>
                <w:t>Certain Relationships and Related Transactions, and Director Independence</w:t>
              </w:r>
            </w:hyperlink>
          </w:p>
        </w:tc>
        <w:tc>
          <w:tcPr>
            <w:tcW w:w="0" w:type="auto"/>
            <w:gridSpan w:val="3"/>
            <w:shd w:val="clear" w:color="auto" w:fill="auto"/>
            <w:tcMar>
              <w:top w:w="0" w:type="dxa"/>
              <w:left w:w="20" w:type="dxa"/>
              <w:bottom w:w="0" w:type="dxa"/>
              <w:right w:w="20" w:type="dxa"/>
            </w:tcMar>
            <w:vAlign w:val="bottom"/>
          </w:tcPr>
          <w:p w14:paraId="518B42C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C9" w14:textId="77777777" w:rsidR="005C332D" w:rsidRDefault="00B93EAE">
            <w:pPr>
              <w:jc w:val="right"/>
              <w:textAlignment w:val="top"/>
            </w:pPr>
            <w:hyperlink r:id="rId45" w:anchor="i049852cab38845aabd2a79d07dacda86_193" w:history="1">
              <w:r>
                <w:rPr>
                  <w:rStyle w:val="a5"/>
                  <w:rFonts w:ascii="Times New Roman" w:eastAsia="宋体" w:hAnsi="Times New Roman"/>
                  <w:sz w:val="20"/>
                  <w:szCs w:val="20"/>
                  <w:u w:val="none"/>
                </w:rPr>
                <w:t>104</w:t>
              </w:r>
            </w:hyperlink>
          </w:p>
        </w:tc>
      </w:tr>
      <w:tr w:rsidR="005C332D" w14:paraId="518B42D0" w14:textId="77777777">
        <w:tc>
          <w:tcPr>
            <w:tcW w:w="0" w:type="auto"/>
            <w:gridSpan w:val="3"/>
            <w:shd w:val="clear" w:color="auto" w:fill="auto"/>
            <w:tcMar>
              <w:top w:w="40" w:type="dxa"/>
              <w:left w:w="20" w:type="dxa"/>
              <w:bottom w:w="40" w:type="dxa"/>
              <w:right w:w="20" w:type="dxa"/>
            </w:tcMar>
          </w:tcPr>
          <w:p w14:paraId="518B42CB" w14:textId="77777777" w:rsidR="005C332D" w:rsidRDefault="00B93EAE">
            <w:pPr>
              <w:textAlignment w:val="top"/>
            </w:pPr>
            <w:r>
              <w:rPr>
                <w:rFonts w:ascii="Times New Roman" w:eastAsia="宋体" w:hAnsi="Times New Roman"/>
                <w:color w:val="000000"/>
                <w:sz w:val="20"/>
                <w:szCs w:val="20"/>
              </w:rPr>
              <w:t>Item 14.</w:t>
            </w:r>
          </w:p>
        </w:tc>
        <w:tc>
          <w:tcPr>
            <w:tcW w:w="0" w:type="auto"/>
            <w:gridSpan w:val="3"/>
            <w:shd w:val="clear" w:color="auto" w:fill="auto"/>
            <w:tcMar>
              <w:top w:w="0" w:type="dxa"/>
              <w:left w:w="20" w:type="dxa"/>
              <w:bottom w:w="0" w:type="dxa"/>
              <w:right w:w="20" w:type="dxa"/>
            </w:tcMar>
            <w:vAlign w:val="bottom"/>
          </w:tcPr>
          <w:p w14:paraId="518B42C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CD" w14:textId="77777777" w:rsidR="005C332D" w:rsidRDefault="00B93EAE">
            <w:pPr>
              <w:textAlignment w:val="top"/>
            </w:pPr>
            <w:hyperlink r:id="rId46" w:anchor="i049852cab38845aabd2a79d07dacda86_196" w:history="1">
              <w:r>
                <w:rPr>
                  <w:rStyle w:val="a5"/>
                  <w:rFonts w:ascii="Times New Roman" w:eastAsia="宋体" w:hAnsi="Times New Roman"/>
                  <w:sz w:val="20"/>
                  <w:szCs w:val="20"/>
                </w:rPr>
                <w:t>Principal Accountant Fees and Services</w:t>
              </w:r>
            </w:hyperlink>
          </w:p>
        </w:tc>
        <w:tc>
          <w:tcPr>
            <w:tcW w:w="0" w:type="auto"/>
            <w:gridSpan w:val="3"/>
            <w:shd w:val="clear" w:color="auto" w:fill="auto"/>
            <w:tcMar>
              <w:top w:w="0" w:type="dxa"/>
              <w:left w:w="20" w:type="dxa"/>
              <w:bottom w:w="0" w:type="dxa"/>
              <w:right w:w="20" w:type="dxa"/>
            </w:tcMar>
            <w:vAlign w:val="bottom"/>
          </w:tcPr>
          <w:p w14:paraId="518B42C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CF" w14:textId="77777777" w:rsidR="005C332D" w:rsidRDefault="00B93EAE">
            <w:pPr>
              <w:jc w:val="right"/>
              <w:textAlignment w:val="top"/>
            </w:pPr>
            <w:hyperlink r:id="rId47" w:anchor="i049852cab38845aabd2a79d07dacda86_196" w:history="1">
              <w:r>
                <w:rPr>
                  <w:rStyle w:val="a5"/>
                  <w:rFonts w:ascii="Times New Roman" w:eastAsia="宋体" w:hAnsi="Times New Roman"/>
                  <w:sz w:val="20"/>
                  <w:szCs w:val="20"/>
                  <w:u w:val="none"/>
                </w:rPr>
                <w:t>104</w:t>
              </w:r>
            </w:hyperlink>
          </w:p>
        </w:tc>
      </w:tr>
      <w:tr w:rsidR="005C332D" w14:paraId="518B42D6" w14:textId="77777777">
        <w:tc>
          <w:tcPr>
            <w:tcW w:w="0" w:type="auto"/>
            <w:gridSpan w:val="3"/>
            <w:shd w:val="clear" w:color="auto" w:fill="auto"/>
            <w:tcMar>
              <w:top w:w="0" w:type="dxa"/>
              <w:left w:w="20" w:type="dxa"/>
              <w:bottom w:w="0" w:type="dxa"/>
              <w:right w:w="20" w:type="dxa"/>
            </w:tcMar>
            <w:vAlign w:val="bottom"/>
          </w:tcPr>
          <w:p w14:paraId="518B42D1"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D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D3" w14:textId="77777777" w:rsidR="005C332D" w:rsidRDefault="00B93EAE">
            <w:pPr>
              <w:jc w:val="center"/>
              <w:textAlignment w:val="top"/>
            </w:pPr>
            <w:r>
              <w:rPr>
                <w:rFonts w:ascii="Times New Roman" w:eastAsia="宋体" w:hAnsi="Times New Roman"/>
                <w:b/>
                <w:bCs/>
                <w:color w:val="000000"/>
                <w:sz w:val="20"/>
                <w:szCs w:val="20"/>
                <w:u w:val="single"/>
              </w:rPr>
              <w:t>PART IV</w:t>
            </w:r>
          </w:p>
        </w:tc>
        <w:tc>
          <w:tcPr>
            <w:tcW w:w="0" w:type="auto"/>
            <w:gridSpan w:val="3"/>
            <w:shd w:val="clear" w:color="auto" w:fill="auto"/>
            <w:tcMar>
              <w:top w:w="0" w:type="dxa"/>
              <w:left w:w="20" w:type="dxa"/>
              <w:bottom w:w="0" w:type="dxa"/>
              <w:right w:w="20" w:type="dxa"/>
            </w:tcMar>
            <w:vAlign w:val="bottom"/>
          </w:tcPr>
          <w:p w14:paraId="518B42D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D5" w14:textId="77777777" w:rsidR="005C332D" w:rsidRDefault="005C332D">
            <w:pPr>
              <w:rPr>
                <w:rFonts w:ascii="宋体"/>
              </w:rPr>
            </w:pPr>
          </w:p>
        </w:tc>
      </w:tr>
      <w:tr w:rsidR="005C332D" w14:paraId="518B42DC" w14:textId="77777777">
        <w:tc>
          <w:tcPr>
            <w:tcW w:w="0" w:type="auto"/>
            <w:gridSpan w:val="3"/>
            <w:shd w:val="clear" w:color="auto" w:fill="auto"/>
            <w:tcMar>
              <w:top w:w="40" w:type="dxa"/>
              <w:left w:w="20" w:type="dxa"/>
              <w:bottom w:w="40" w:type="dxa"/>
              <w:right w:w="20" w:type="dxa"/>
            </w:tcMar>
          </w:tcPr>
          <w:p w14:paraId="518B42D7" w14:textId="77777777" w:rsidR="005C332D" w:rsidRDefault="00B93EAE">
            <w:pPr>
              <w:textAlignment w:val="top"/>
            </w:pPr>
            <w:r>
              <w:rPr>
                <w:rFonts w:ascii="Times New Roman" w:eastAsia="宋体" w:hAnsi="Times New Roman"/>
                <w:color w:val="000000"/>
                <w:sz w:val="20"/>
                <w:szCs w:val="20"/>
              </w:rPr>
              <w:t>Item 15.</w:t>
            </w:r>
          </w:p>
        </w:tc>
        <w:tc>
          <w:tcPr>
            <w:tcW w:w="0" w:type="auto"/>
            <w:gridSpan w:val="3"/>
            <w:shd w:val="clear" w:color="auto" w:fill="auto"/>
            <w:tcMar>
              <w:top w:w="0" w:type="dxa"/>
              <w:left w:w="20" w:type="dxa"/>
              <w:bottom w:w="0" w:type="dxa"/>
              <w:right w:w="20" w:type="dxa"/>
            </w:tcMar>
            <w:vAlign w:val="bottom"/>
          </w:tcPr>
          <w:p w14:paraId="518B42D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D9" w14:textId="77777777" w:rsidR="005C332D" w:rsidRDefault="00B93EAE">
            <w:pPr>
              <w:textAlignment w:val="top"/>
            </w:pPr>
            <w:hyperlink r:id="rId48" w:anchor="i049852cab38845aabd2a79d07dacda86_202" w:history="1">
              <w:r>
                <w:rPr>
                  <w:rStyle w:val="a5"/>
                  <w:rFonts w:ascii="Times New Roman" w:eastAsia="宋体" w:hAnsi="Times New Roman"/>
                  <w:sz w:val="20"/>
                  <w:szCs w:val="20"/>
                </w:rPr>
                <w:t>Exhibits and Financial Statement Schedules</w:t>
              </w:r>
            </w:hyperlink>
          </w:p>
        </w:tc>
        <w:tc>
          <w:tcPr>
            <w:tcW w:w="0" w:type="auto"/>
            <w:gridSpan w:val="3"/>
            <w:shd w:val="clear" w:color="auto" w:fill="auto"/>
            <w:tcMar>
              <w:top w:w="0" w:type="dxa"/>
              <w:left w:w="20" w:type="dxa"/>
              <w:bottom w:w="0" w:type="dxa"/>
              <w:right w:w="20" w:type="dxa"/>
            </w:tcMar>
            <w:vAlign w:val="bottom"/>
          </w:tcPr>
          <w:p w14:paraId="518B42D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DB" w14:textId="77777777" w:rsidR="005C332D" w:rsidRDefault="00B93EAE">
            <w:pPr>
              <w:jc w:val="right"/>
              <w:textAlignment w:val="top"/>
            </w:pPr>
            <w:hyperlink r:id="rId49" w:anchor="i049852cab38845aabd2a79d07dacda86_202" w:history="1">
              <w:r>
                <w:rPr>
                  <w:rStyle w:val="a5"/>
                  <w:rFonts w:ascii="Times New Roman" w:eastAsia="宋体" w:hAnsi="Times New Roman"/>
                  <w:sz w:val="20"/>
                  <w:szCs w:val="20"/>
                  <w:u w:val="none"/>
                </w:rPr>
                <w:t>104</w:t>
              </w:r>
            </w:hyperlink>
          </w:p>
        </w:tc>
      </w:tr>
      <w:tr w:rsidR="005C332D" w14:paraId="518B42E2" w14:textId="77777777">
        <w:tc>
          <w:tcPr>
            <w:tcW w:w="0" w:type="auto"/>
            <w:gridSpan w:val="3"/>
            <w:shd w:val="clear" w:color="auto" w:fill="auto"/>
            <w:tcMar>
              <w:top w:w="40" w:type="dxa"/>
              <w:left w:w="20" w:type="dxa"/>
              <w:bottom w:w="40" w:type="dxa"/>
              <w:right w:w="20" w:type="dxa"/>
            </w:tcMar>
          </w:tcPr>
          <w:p w14:paraId="518B42DD" w14:textId="77777777" w:rsidR="005C332D" w:rsidRDefault="00B93EAE">
            <w:pPr>
              <w:textAlignment w:val="top"/>
            </w:pPr>
            <w:r>
              <w:rPr>
                <w:rFonts w:ascii="Times New Roman" w:eastAsia="宋体" w:hAnsi="Times New Roman"/>
                <w:color w:val="000000"/>
                <w:sz w:val="20"/>
                <w:szCs w:val="20"/>
              </w:rPr>
              <w:t>Item 16.</w:t>
            </w:r>
          </w:p>
        </w:tc>
        <w:tc>
          <w:tcPr>
            <w:tcW w:w="0" w:type="auto"/>
            <w:gridSpan w:val="3"/>
            <w:shd w:val="clear" w:color="auto" w:fill="auto"/>
            <w:tcMar>
              <w:top w:w="0" w:type="dxa"/>
              <w:left w:w="20" w:type="dxa"/>
              <w:bottom w:w="0" w:type="dxa"/>
              <w:right w:w="20" w:type="dxa"/>
            </w:tcMar>
            <w:vAlign w:val="bottom"/>
          </w:tcPr>
          <w:p w14:paraId="518B42D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DF" w14:textId="77777777" w:rsidR="005C332D" w:rsidRDefault="00B93EAE">
            <w:pPr>
              <w:textAlignment w:val="top"/>
            </w:pPr>
            <w:hyperlink r:id="rId50" w:anchor="i049852cab38845aabd2a79d07dacda86_211" w:history="1">
              <w:r>
                <w:rPr>
                  <w:rStyle w:val="a5"/>
                  <w:rFonts w:ascii="Times New Roman" w:eastAsia="宋体" w:hAnsi="Times New Roman"/>
                  <w:sz w:val="20"/>
                  <w:szCs w:val="20"/>
                </w:rPr>
                <w:t>Form 10-K Summary</w:t>
              </w:r>
            </w:hyperlink>
          </w:p>
        </w:tc>
        <w:tc>
          <w:tcPr>
            <w:tcW w:w="0" w:type="auto"/>
            <w:gridSpan w:val="3"/>
            <w:shd w:val="clear" w:color="auto" w:fill="auto"/>
            <w:tcMar>
              <w:top w:w="0" w:type="dxa"/>
              <w:left w:w="20" w:type="dxa"/>
              <w:bottom w:w="0" w:type="dxa"/>
              <w:right w:w="20" w:type="dxa"/>
            </w:tcMar>
            <w:vAlign w:val="bottom"/>
          </w:tcPr>
          <w:p w14:paraId="518B42E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E1" w14:textId="77777777" w:rsidR="005C332D" w:rsidRDefault="00B93EAE">
            <w:pPr>
              <w:jc w:val="right"/>
              <w:textAlignment w:val="top"/>
            </w:pPr>
            <w:hyperlink r:id="rId51" w:anchor="i049852cab38845aabd2a79d07dacda86_211" w:history="1">
              <w:r>
                <w:rPr>
                  <w:rStyle w:val="a5"/>
                  <w:rFonts w:ascii="Times New Roman" w:eastAsia="宋体" w:hAnsi="Times New Roman"/>
                  <w:sz w:val="20"/>
                  <w:szCs w:val="20"/>
                  <w:u w:val="none"/>
                </w:rPr>
                <w:t>106</w:t>
              </w:r>
            </w:hyperlink>
          </w:p>
        </w:tc>
      </w:tr>
      <w:tr w:rsidR="005C332D" w14:paraId="518B42E8" w14:textId="77777777">
        <w:tc>
          <w:tcPr>
            <w:tcW w:w="0" w:type="auto"/>
            <w:gridSpan w:val="3"/>
            <w:shd w:val="clear" w:color="auto" w:fill="auto"/>
            <w:tcMar>
              <w:top w:w="0" w:type="dxa"/>
              <w:left w:w="20" w:type="dxa"/>
              <w:bottom w:w="0" w:type="dxa"/>
              <w:right w:w="20" w:type="dxa"/>
            </w:tcMar>
            <w:vAlign w:val="bottom"/>
          </w:tcPr>
          <w:p w14:paraId="518B42E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2E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E5" w14:textId="77777777" w:rsidR="005C332D" w:rsidRDefault="00B93EAE">
            <w:pPr>
              <w:textAlignment w:val="top"/>
            </w:pPr>
            <w:hyperlink r:id="rId52" w:anchor="i049852cab38845aabd2a79d07dacda86_214" w:history="1">
              <w:r>
                <w:rPr>
                  <w:rStyle w:val="a5"/>
                  <w:rFonts w:ascii="Times New Roman" w:eastAsia="宋体" w:hAnsi="Times New Roman"/>
                  <w:sz w:val="20"/>
                  <w:szCs w:val="20"/>
                </w:rPr>
                <w:t>Signatures</w:t>
              </w:r>
            </w:hyperlink>
          </w:p>
        </w:tc>
        <w:tc>
          <w:tcPr>
            <w:tcW w:w="0" w:type="auto"/>
            <w:gridSpan w:val="3"/>
            <w:shd w:val="clear" w:color="auto" w:fill="auto"/>
            <w:tcMar>
              <w:top w:w="0" w:type="dxa"/>
              <w:left w:w="20" w:type="dxa"/>
              <w:bottom w:w="0" w:type="dxa"/>
              <w:right w:w="20" w:type="dxa"/>
            </w:tcMar>
            <w:vAlign w:val="bottom"/>
          </w:tcPr>
          <w:p w14:paraId="518B42E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tcPr>
          <w:p w14:paraId="518B42E7" w14:textId="77777777" w:rsidR="005C332D" w:rsidRDefault="00B93EAE">
            <w:pPr>
              <w:jc w:val="right"/>
              <w:textAlignment w:val="top"/>
            </w:pPr>
            <w:hyperlink r:id="rId53" w:anchor="i049852cab38845aabd2a79d07dacda86_214" w:history="1">
              <w:r>
                <w:rPr>
                  <w:rStyle w:val="a5"/>
                  <w:rFonts w:ascii="Times New Roman" w:eastAsia="宋体" w:hAnsi="Times New Roman"/>
                  <w:sz w:val="20"/>
                  <w:szCs w:val="20"/>
                  <w:u w:val="none"/>
                </w:rPr>
                <w:t>107</w:t>
              </w:r>
            </w:hyperlink>
          </w:p>
        </w:tc>
      </w:tr>
    </w:tbl>
    <w:p w14:paraId="518B42E9" w14:textId="77777777" w:rsidR="005C332D" w:rsidRDefault="005C332D"/>
    <w:p w14:paraId="518B42EA" w14:textId="77777777" w:rsidR="005C332D" w:rsidRDefault="005C332D"/>
    <w:p w14:paraId="518B42EB" w14:textId="77777777" w:rsidR="005C332D" w:rsidRDefault="00B93EAE">
      <w:r>
        <w:pict w14:anchorId="518B870F">
          <v:rect id="_x0000_i1026" style="width:415.3pt;height:1.5pt" o:hralign="center" o:hrstd="t" o:hr="t" fillcolor="#a0a0a0" stroked="f"/>
        </w:pict>
      </w:r>
    </w:p>
    <w:p w14:paraId="518B42EC" w14:textId="77777777" w:rsidR="005C332D" w:rsidRDefault="00B93EAE">
      <w:hyperlink r:id="rId54" w:anchor="i049852cab38845aabd2a79d07dacda86_7" w:history="1">
        <w:r>
          <w:rPr>
            <w:rStyle w:val="a5"/>
            <w:rFonts w:ascii="Times New Roman" w:eastAsia="宋体" w:hAnsi="Times New Roman"/>
            <w:sz w:val="20"/>
            <w:szCs w:val="20"/>
          </w:rPr>
          <w:t>Table of Contents</w:t>
        </w:r>
      </w:hyperlink>
    </w:p>
    <w:p w14:paraId="518B42ED" w14:textId="77777777" w:rsidR="005C332D" w:rsidRDefault="00B93EAE">
      <w:pPr>
        <w:jc w:val="both"/>
      </w:pPr>
      <w:r>
        <w:rPr>
          <w:rFonts w:ascii="Times New Roman" w:eastAsia="宋体" w:hAnsi="Times New Roman"/>
          <w:i/>
          <w:iCs/>
          <w:color w:val="000000"/>
          <w:sz w:val="20"/>
          <w:szCs w:val="20"/>
        </w:rPr>
        <w:t>This Annual Report on Form 10-K, including the “Management’s Discussion and Analysis of Financial Condition and Results of Operations,” contains forward-looking statements regarding fut</w:t>
      </w:r>
      <w:r>
        <w:rPr>
          <w:rFonts w:ascii="Times New Roman" w:eastAsia="宋体" w:hAnsi="Times New Roman"/>
          <w:i/>
          <w:iCs/>
          <w:color w:val="000000"/>
          <w:sz w:val="20"/>
          <w:szCs w:val="20"/>
        </w:rPr>
        <w:t>ure events and our future results that are subject to the safe harbors created under the Securities Act of 1933, as amended (the “Securities Act”), and the Securities Exchange Act of 1934, as amended (the “Exchange Act”). All statements other than statemen</w:t>
      </w:r>
      <w:r>
        <w:rPr>
          <w:rFonts w:ascii="Times New Roman" w:eastAsia="宋体" w:hAnsi="Times New Roman"/>
          <w:i/>
          <w:iCs/>
          <w:color w:val="000000"/>
          <w:sz w:val="20"/>
          <w:szCs w:val="20"/>
        </w:rPr>
        <w:t>ts of historical facts are statements that could be deemed forward-looking statements. These statements are based on current expectations, estimates, forecasts, and projections about the industries in which we operate and the beliefs and assumptions of our</w:t>
      </w:r>
      <w:r>
        <w:rPr>
          <w:rFonts w:ascii="Times New Roman" w:eastAsia="宋体" w:hAnsi="Times New Roman"/>
          <w:i/>
          <w:iCs/>
          <w:color w:val="000000"/>
          <w:sz w:val="20"/>
          <w:szCs w:val="20"/>
        </w:rPr>
        <w:t xml:space="preserve"> management. Words such as “expects,” “anticipates,” “targets,” “goals,” “projects,” “intends,” “plans,” “believes,” “momentum,” “seeks,” “estimates,” “continues,” “endeavors,” “strives,” “may,” variations of such words, and similar expressions are intende</w:t>
      </w:r>
      <w:r>
        <w:rPr>
          <w:rFonts w:ascii="Times New Roman" w:eastAsia="宋体" w:hAnsi="Times New Roman"/>
          <w:i/>
          <w:iCs/>
          <w:color w:val="000000"/>
          <w:sz w:val="20"/>
          <w:szCs w:val="20"/>
        </w:rPr>
        <w:t>d to identify such forward-looking statements. In addition, any statements that refer to projections of our future financial performance, our anticipated growth and trends in our businesses, future responses to and effects of the COVID-19 pandemic, and oth</w:t>
      </w:r>
      <w:r>
        <w:rPr>
          <w:rFonts w:ascii="Times New Roman" w:eastAsia="宋体" w:hAnsi="Times New Roman"/>
          <w:i/>
          <w:iCs/>
          <w:color w:val="000000"/>
          <w:sz w:val="20"/>
          <w:szCs w:val="20"/>
        </w:rPr>
        <w:t xml:space="preserve">er characterizations of future events or circumstances are forward-looking statements. Readers are cautioned that these forward-looking statements are only predictions and are subject to risks, uncertainties, and assumptions that are difficult to predict, </w:t>
      </w:r>
      <w:r>
        <w:rPr>
          <w:rFonts w:ascii="Times New Roman" w:eastAsia="宋体" w:hAnsi="Times New Roman"/>
          <w:i/>
          <w:iCs/>
          <w:color w:val="000000"/>
          <w:sz w:val="20"/>
          <w:szCs w:val="20"/>
        </w:rPr>
        <w:t xml:space="preserve">including those identified below, under “Item 1A. Risk Factors,” and elsewhere herein. Therefore, actual results may differ materially and adversely from those expressed in any forward-looking statements. We undertake no obligation to revise or update any </w:t>
      </w:r>
      <w:r>
        <w:rPr>
          <w:rFonts w:ascii="Times New Roman" w:eastAsia="宋体" w:hAnsi="Times New Roman"/>
          <w:i/>
          <w:iCs/>
          <w:color w:val="000000"/>
          <w:sz w:val="20"/>
          <w:szCs w:val="20"/>
        </w:rPr>
        <w:t>forward-looking statements for any reason.</w:t>
      </w:r>
    </w:p>
    <w:p w14:paraId="518B42EE" w14:textId="77777777" w:rsidR="005C332D" w:rsidRDefault="005C332D">
      <w:pPr>
        <w:jc w:val="both"/>
      </w:pPr>
    </w:p>
    <w:p w14:paraId="518B42EF" w14:textId="77777777" w:rsidR="005C332D" w:rsidRDefault="00B93EAE">
      <w:pPr>
        <w:jc w:val="center"/>
      </w:pPr>
      <w:r>
        <w:rPr>
          <w:rFonts w:ascii="Times New Roman" w:eastAsia="宋体" w:hAnsi="Times New Roman"/>
          <w:b/>
          <w:bCs/>
          <w:color w:val="000000"/>
          <w:sz w:val="20"/>
          <w:szCs w:val="20"/>
        </w:rPr>
        <w:t>PART I</w:t>
      </w:r>
    </w:p>
    <w:tbl>
      <w:tblPr>
        <w:tblW w:w="1557"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5C332D" w14:paraId="518B42F6" w14:textId="77777777">
        <w:tc>
          <w:tcPr>
            <w:tcW w:w="50" w:type="pct"/>
            <w:shd w:val="clear" w:color="auto" w:fill="auto"/>
            <w:vAlign w:val="bottom"/>
          </w:tcPr>
          <w:p w14:paraId="518B42F0" w14:textId="77777777" w:rsidR="005C332D" w:rsidRDefault="005C332D">
            <w:pPr>
              <w:rPr>
                <w:rFonts w:ascii="宋体"/>
              </w:rPr>
            </w:pPr>
          </w:p>
        </w:tc>
        <w:tc>
          <w:tcPr>
            <w:tcW w:w="1822" w:type="pct"/>
            <w:shd w:val="clear" w:color="auto" w:fill="auto"/>
            <w:vAlign w:val="bottom"/>
          </w:tcPr>
          <w:p w14:paraId="518B42F1" w14:textId="77777777" w:rsidR="005C332D" w:rsidRDefault="005C332D">
            <w:pPr>
              <w:rPr>
                <w:rFonts w:ascii="宋体"/>
              </w:rPr>
            </w:pPr>
          </w:p>
        </w:tc>
        <w:tc>
          <w:tcPr>
            <w:tcW w:w="5" w:type="pct"/>
            <w:shd w:val="clear" w:color="auto" w:fill="auto"/>
            <w:vAlign w:val="bottom"/>
          </w:tcPr>
          <w:p w14:paraId="518B42F2" w14:textId="77777777" w:rsidR="005C332D" w:rsidRDefault="005C332D">
            <w:pPr>
              <w:rPr>
                <w:rFonts w:ascii="宋体"/>
              </w:rPr>
            </w:pPr>
          </w:p>
        </w:tc>
        <w:tc>
          <w:tcPr>
            <w:tcW w:w="50" w:type="pct"/>
            <w:shd w:val="clear" w:color="auto" w:fill="auto"/>
            <w:vAlign w:val="bottom"/>
          </w:tcPr>
          <w:p w14:paraId="518B42F3" w14:textId="77777777" w:rsidR="005C332D" w:rsidRDefault="005C332D">
            <w:pPr>
              <w:rPr>
                <w:rFonts w:ascii="宋体"/>
              </w:rPr>
            </w:pPr>
          </w:p>
        </w:tc>
        <w:tc>
          <w:tcPr>
            <w:tcW w:w="3067" w:type="pct"/>
            <w:shd w:val="clear" w:color="auto" w:fill="auto"/>
            <w:vAlign w:val="bottom"/>
          </w:tcPr>
          <w:p w14:paraId="518B42F4" w14:textId="77777777" w:rsidR="005C332D" w:rsidRDefault="005C332D">
            <w:pPr>
              <w:rPr>
                <w:rFonts w:ascii="宋体"/>
              </w:rPr>
            </w:pPr>
          </w:p>
        </w:tc>
        <w:tc>
          <w:tcPr>
            <w:tcW w:w="5" w:type="pct"/>
            <w:shd w:val="clear" w:color="auto" w:fill="auto"/>
            <w:vAlign w:val="bottom"/>
          </w:tcPr>
          <w:p w14:paraId="518B42F5" w14:textId="77777777" w:rsidR="005C332D" w:rsidRDefault="005C332D">
            <w:pPr>
              <w:rPr>
                <w:rFonts w:ascii="宋体"/>
              </w:rPr>
            </w:pPr>
          </w:p>
        </w:tc>
      </w:tr>
      <w:tr w:rsidR="005C332D" w14:paraId="518B42F9" w14:textId="77777777">
        <w:tc>
          <w:tcPr>
            <w:tcW w:w="0" w:type="auto"/>
            <w:gridSpan w:val="3"/>
            <w:shd w:val="clear" w:color="auto" w:fill="auto"/>
            <w:tcMar>
              <w:top w:w="40" w:type="dxa"/>
              <w:left w:w="20" w:type="dxa"/>
              <w:bottom w:w="40" w:type="dxa"/>
              <w:right w:w="20" w:type="dxa"/>
            </w:tcMar>
          </w:tcPr>
          <w:p w14:paraId="518B42F7" w14:textId="77777777" w:rsidR="005C332D" w:rsidRDefault="00B93EAE">
            <w:pPr>
              <w:textAlignment w:val="top"/>
            </w:pPr>
            <w:r>
              <w:rPr>
                <w:rFonts w:ascii="Times New Roman" w:eastAsia="宋体" w:hAnsi="Times New Roman"/>
                <w:b/>
                <w:bCs/>
                <w:color w:val="000000"/>
                <w:sz w:val="20"/>
                <w:szCs w:val="20"/>
              </w:rPr>
              <w:t>Item 1.</w:t>
            </w:r>
          </w:p>
        </w:tc>
        <w:tc>
          <w:tcPr>
            <w:tcW w:w="0" w:type="auto"/>
            <w:gridSpan w:val="3"/>
            <w:shd w:val="clear" w:color="auto" w:fill="auto"/>
            <w:tcMar>
              <w:top w:w="40" w:type="dxa"/>
              <w:left w:w="20" w:type="dxa"/>
              <w:bottom w:w="40" w:type="dxa"/>
              <w:right w:w="20" w:type="dxa"/>
            </w:tcMar>
          </w:tcPr>
          <w:p w14:paraId="518B42F8" w14:textId="77777777" w:rsidR="005C332D" w:rsidRDefault="00B93EAE">
            <w:pPr>
              <w:textAlignment w:val="top"/>
            </w:pPr>
            <w:r>
              <w:rPr>
                <w:rFonts w:ascii="Times New Roman" w:eastAsia="宋体" w:hAnsi="Times New Roman"/>
                <w:b/>
                <w:bCs/>
                <w:color w:val="000000"/>
                <w:sz w:val="20"/>
                <w:szCs w:val="20"/>
              </w:rPr>
              <w:t>Business</w:t>
            </w:r>
          </w:p>
        </w:tc>
      </w:tr>
    </w:tbl>
    <w:p w14:paraId="518B42FA" w14:textId="77777777" w:rsidR="005C332D" w:rsidRDefault="00B93EAE">
      <w:pPr>
        <w:spacing w:before="120" w:after="120"/>
        <w:jc w:val="both"/>
      </w:pPr>
      <w:r>
        <w:rPr>
          <w:rFonts w:ascii="Times New Roman" w:eastAsia="宋体" w:hAnsi="Times New Roman"/>
          <w:b/>
          <w:bCs/>
          <w:color w:val="000000"/>
          <w:sz w:val="20"/>
          <w:szCs w:val="20"/>
        </w:rPr>
        <w:t>General</w:t>
      </w:r>
    </w:p>
    <w:p w14:paraId="518B42FB" w14:textId="77777777" w:rsidR="005C332D" w:rsidRDefault="00B93EAE">
      <w:pPr>
        <w:spacing w:before="120"/>
        <w:jc w:val="both"/>
      </w:pPr>
      <w:r>
        <w:rPr>
          <w:rFonts w:ascii="Times New Roman" w:eastAsia="宋体" w:hAnsi="Times New Roman"/>
          <w:color w:val="000000"/>
          <w:sz w:val="20"/>
          <w:szCs w:val="20"/>
        </w:rPr>
        <w:t>Cisco designs and sells a broad range of technologies that power the Internet. We are integrating our platforms across networking, security, collaboration, applications and the cloud. These platforms are designed to help our customers manage more users, de</w:t>
      </w:r>
      <w:r>
        <w:rPr>
          <w:rFonts w:ascii="Times New Roman" w:eastAsia="宋体" w:hAnsi="Times New Roman"/>
          <w:color w:val="000000"/>
          <w:sz w:val="20"/>
          <w:szCs w:val="20"/>
        </w:rPr>
        <w:t xml:space="preserve">vices and things connecting to their networks. This will enable us to provide customers with a highly secure, intelligent platform for their digital business. </w:t>
      </w:r>
    </w:p>
    <w:p w14:paraId="518B42FC" w14:textId="77777777" w:rsidR="005C332D" w:rsidRDefault="00B93EAE">
      <w:pPr>
        <w:spacing w:before="120"/>
        <w:jc w:val="both"/>
      </w:pPr>
      <w:r>
        <w:rPr>
          <w:rFonts w:ascii="Times New Roman" w:eastAsia="宋体" w:hAnsi="Times New Roman"/>
          <w:color w:val="000000"/>
          <w:sz w:val="20"/>
          <w:szCs w:val="20"/>
        </w:rPr>
        <w:t xml:space="preserve">We conduct our business globally and manage our business by geography. Our business is organized into the following three geographic segments: Americas; Europe, Middle East, and Africa (EMEA); and Asia Pacific, Japan, and China (APJC). </w:t>
      </w:r>
    </w:p>
    <w:p w14:paraId="518B42FD" w14:textId="77777777" w:rsidR="005C332D" w:rsidRDefault="00B93EAE">
      <w:pPr>
        <w:spacing w:before="120"/>
        <w:jc w:val="both"/>
      </w:pPr>
      <w:r>
        <w:rPr>
          <w:rFonts w:ascii="Times New Roman" w:eastAsia="宋体" w:hAnsi="Times New Roman"/>
          <w:color w:val="000000"/>
          <w:sz w:val="20"/>
          <w:szCs w:val="20"/>
        </w:rPr>
        <w:t>Our products and te</w:t>
      </w:r>
      <w:r>
        <w:rPr>
          <w:rFonts w:ascii="Times New Roman" w:eastAsia="宋体" w:hAnsi="Times New Roman"/>
          <w:color w:val="000000"/>
          <w:sz w:val="20"/>
          <w:szCs w:val="20"/>
        </w:rPr>
        <w:t>chnologies are grouped into the following categories: Secure, Agile Networks; Internet for the Future; Collaboration; End-to-End Security; Optimized Application Experiences; and Other Products. In addition to our product offerings, we provide a broad range</w:t>
      </w:r>
      <w:r>
        <w:rPr>
          <w:rFonts w:ascii="Times New Roman" w:eastAsia="宋体" w:hAnsi="Times New Roman"/>
          <w:color w:val="000000"/>
          <w:sz w:val="20"/>
          <w:szCs w:val="20"/>
        </w:rPr>
        <w:t xml:space="preserve"> of service offerings, including technical support services and advanced services. Increasingly, we are delivering our technologies through software and services. Our customers include businesses of all sizes, public institutions, governments, and service </w:t>
      </w:r>
      <w:r>
        <w:rPr>
          <w:rFonts w:ascii="Times New Roman" w:eastAsia="宋体" w:hAnsi="Times New Roman"/>
          <w:color w:val="000000"/>
          <w:sz w:val="20"/>
          <w:szCs w:val="20"/>
        </w:rPr>
        <w:t>providers, including large webscale providers. These customers often look to us as a strategic partner to help them use information technology (IT) to differentiate themselves and drive positive business outcomes.</w:t>
      </w:r>
    </w:p>
    <w:p w14:paraId="518B42FE" w14:textId="77777777" w:rsidR="005C332D" w:rsidRDefault="00B93EAE">
      <w:pPr>
        <w:spacing w:before="120"/>
        <w:jc w:val="both"/>
      </w:pPr>
      <w:r>
        <w:rPr>
          <w:rFonts w:ascii="Times New Roman" w:eastAsia="宋体" w:hAnsi="Times New Roman"/>
          <w:color w:val="000000"/>
          <w:sz w:val="20"/>
          <w:szCs w:val="20"/>
        </w:rPr>
        <w:t>We were incorporated in California in 1984</w:t>
      </w:r>
      <w:r>
        <w:rPr>
          <w:rFonts w:ascii="Times New Roman" w:eastAsia="宋体" w:hAnsi="Times New Roman"/>
          <w:color w:val="000000"/>
          <w:sz w:val="20"/>
          <w:szCs w:val="20"/>
        </w:rPr>
        <w:t xml:space="preserve"> and reincorporated in Delaware in 2021. Our headquarters are in San Jose, California. The mailing address of our headquarters is 170 West Tasman Drive, San Jose, California 95134-1706, and our telephone number at that location is (408) 526-4000. Our websi</w:t>
      </w:r>
      <w:r>
        <w:rPr>
          <w:rFonts w:ascii="Times New Roman" w:eastAsia="宋体" w:hAnsi="Times New Roman"/>
          <w:color w:val="000000"/>
          <w:sz w:val="20"/>
          <w:szCs w:val="20"/>
        </w:rPr>
        <w:t xml:space="preserve">te is www.cisco.com. Through a link on the Investor Relations section of our website, we make available the following filings as soon as reasonably practicable after they are electronically filed with or furnished to the Securities and Exchange Commission </w:t>
      </w:r>
      <w:r>
        <w:rPr>
          <w:rFonts w:ascii="Times New Roman" w:eastAsia="宋体" w:hAnsi="Times New Roman"/>
          <w:color w:val="000000"/>
          <w:sz w:val="20"/>
          <w:szCs w:val="20"/>
        </w:rPr>
        <w:t>(SEC) at sec.gov: our Annual Report on Form 10-K, Quarterly Reports on Form 10-Q, Current Reports on Form 8-K, and any amendments to those reports or other information filed or furnished pursuant to Section 13(a) or 15(d) of the Exchange Act. All such fili</w:t>
      </w:r>
      <w:r>
        <w:rPr>
          <w:rFonts w:ascii="Times New Roman" w:eastAsia="宋体" w:hAnsi="Times New Roman"/>
          <w:color w:val="000000"/>
          <w:sz w:val="20"/>
          <w:szCs w:val="20"/>
        </w:rPr>
        <w:t>ngs are available free of charge. The information published on our website, or any other website referenced herein, is not incorporated into this report.</w:t>
      </w:r>
    </w:p>
    <w:p w14:paraId="518B42FF" w14:textId="77777777" w:rsidR="005C332D" w:rsidRDefault="00B93EAE">
      <w:pPr>
        <w:spacing w:before="120"/>
        <w:jc w:val="both"/>
      </w:pPr>
      <w:r>
        <w:rPr>
          <w:rFonts w:ascii="Times New Roman" w:eastAsia="宋体" w:hAnsi="Times New Roman"/>
          <w:b/>
          <w:bCs/>
          <w:color w:val="000000"/>
          <w:sz w:val="20"/>
          <w:szCs w:val="20"/>
        </w:rPr>
        <w:t>Strategy and Priorities</w:t>
      </w:r>
    </w:p>
    <w:p w14:paraId="518B4300" w14:textId="77777777" w:rsidR="005C332D" w:rsidRDefault="00B93EAE">
      <w:pPr>
        <w:spacing w:before="120"/>
        <w:jc w:val="both"/>
      </w:pPr>
      <w:r>
        <w:rPr>
          <w:rFonts w:ascii="Times New Roman" w:eastAsia="宋体" w:hAnsi="Times New Roman"/>
          <w:color w:val="000000"/>
          <w:sz w:val="20"/>
          <w:szCs w:val="20"/>
        </w:rPr>
        <w:t xml:space="preserve">As our customers add billions of new connections to their enterprises, and as </w:t>
      </w:r>
      <w:r>
        <w:rPr>
          <w:rFonts w:ascii="Times New Roman" w:eastAsia="宋体" w:hAnsi="Times New Roman"/>
          <w:color w:val="000000"/>
          <w:sz w:val="20"/>
          <w:szCs w:val="20"/>
        </w:rPr>
        <w:t>more applications move to a multicloud environment, the network becomes even more critical. Our customers are navigating change at an unprecedented pace. In this dynamic environment, we believe their priorities are to reimagine applications, power hybrid w</w:t>
      </w:r>
      <w:r>
        <w:rPr>
          <w:rFonts w:ascii="Times New Roman" w:eastAsia="宋体" w:hAnsi="Times New Roman"/>
          <w:color w:val="000000"/>
          <w:sz w:val="20"/>
          <w:szCs w:val="20"/>
        </w:rPr>
        <w:t>ork, transform infrastructure, and secure the enterprise.</w:t>
      </w:r>
    </w:p>
    <w:p w14:paraId="518B4301" w14:textId="77777777" w:rsidR="005C332D" w:rsidRDefault="00B93EAE">
      <w:pPr>
        <w:spacing w:before="120"/>
        <w:jc w:val="both"/>
      </w:pPr>
      <w:r>
        <w:rPr>
          <w:rFonts w:ascii="Times New Roman" w:eastAsia="宋体" w:hAnsi="Times New Roman"/>
          <w:color w:val="000000"/>
          <w:sz w:val="20"/>
          <w:szCs w:val="20"/>
        </w:rPr>
        <w:t>Our strategy is to help our customers connect, secure, and automate to accelerate their digital agility in a cloud-first world. We are committed to driving a trusted customer experience, through our</w:t>
      </w:r>
      <w:r>
        <w:rPr>
          <w:rFonts w:ascii="Times New Roman" w:eastAsia="宋体" w:hAnsi="Times New Roman"/>
          <w:color w:val="000000"/>
          <w:sz w:val="20"/>
          <w:szCs w:val="20"/>
        </w:rPr>
        <w:t xml:space="preserve"> innovation, choice, and people. </w:t>
      </w:r>
    </w:p>
    <w:p w14:paraId="518B4302" w14:textId="77777777" w:rsidR="005C332D" w:rsidRDefault="005C332D">
      <w:pPr>
        <w:spacing w:before="120"/>
        <w:jc w:val="both"/>
      </w:pPr>
    </w:p>
    <w:p w14:paraId="518B4303" w14:textId="77777777" w:rsidR="005C332D" w:rsidRDefault="00B93EAE">
      <w:pPr>
        <w:jc w:val="center"/>
      </w:pPr>
      <w:r>
        <w:rPr>
          <w:rFonts w:ascii="Times New Roman" w:eastAsia="宋体" w:hAnsi="Times New Roman"/>
          <w:color w:val="000000"/>
          <w:sz w:val="20"/>
          <w:szCs w:val="20"/>
        </w:rPr>
        <w:t>1</w:t>
      </w:r>
    </w:p>
    <w:p w14:paraId="518B4304" w14:textId="77777777" w:rsidR="005C332D" w:rsidRDefault="00B93EAE">
      <w:r>
        <w:pict w14:anchorId="518B8710">
          <v:rect id="_x0000_i1027" style="width:415.3pt;height:1.5pt" o:hralign="center" o:hrstd="t" o:hr="t" fillcolor="#a0a0a0" stroked="f"/>
        </w:pict>
      </w:r>
    </w:p>
    <w:p w14:paraId="518B4305" w14:textId="77777777" w:rsidR="005C332D" w:rsidRDefault="00B93EAE">
      <w:hyperlink r:id="rId55" w:anchor="i049852cab38845aabd2a79d07dacda86_7" w:history="1">
        <w:r>
          <w:rPr>
            <w:rStyle w:val="a5"/>
            <w:rFonts w:ascii="Times New Roman" w:eastAsia="宋体" w:hAnsi="Times New Roman"/>
            <w:sz w:val="20"/>
            <w:szCs w:val="20"/>
          </w:rPr>
          <w:t>Table of Contents</w:t>
        </w:r>
      </w:hyperlink>
    </w:p>
    <w:p w14:paraId="518B4306" w14:textId="77777777" w:rsidR="005C332D" w:rsidRDefault="00B93EAE">
      <w:pPr>
        <w:spacing w:before="120"/>
        <w:jc w:val="both"/>
      </w:pPr>
      <w:r>
        <w:rPr>
          <w:rFonts w:ascii="Times New Roman" w:eastAsia="宋体" w:hAnsi="Times New Roman"/>
          <w:b/>
          <w:bCs/>
          <w:i/>
          <w:iCs/>
          <w:color w:val="000000"/>
          <w:sz w:val="20"/>
          <w:szCs w:val="20"/>
        </w:rPr>
        <w:t>Customer Priorities</w:t>
      </w:r>
    </w:p>
    <w:p w14:paraId="518B4307" w14:textId="77777777" w:rsidR="005C332D" w:rsidRDefault="00B93EAE">
      <w:pPr>
        <w:spacing w:before="120"/>
        <w:jc w:val="both"/>
      </w:pPr>
      <w:r>
        <w:rPr>
          <w:rFonts w:ascii="Times New Roman" w:eastAsia="宋体" w:hAnsi="Times New Roman"/>
          <w:i/>
          <w:iCs/>
          <w:color w:val="000000"/>
          <w:sz w:val="20"/>
          <w:szCs w:val="20"/>
        </w:rPr>
        <w:t>Reimagine Applications</w:t>
      </w:r>
    </w:p>
    <w:p w14:paraId="518B4308" w14:textId="77777777" w:rsidR="005C332D" w:rsidRDefault="00B93EAE">
      <w:pPr>
        <w:spacing w:before="120"/>
        <w:jc w:val="both"/>
      </w:pPr>
      <w:r>
        <w:rPr>
          <w:rFonts w:ascii="Times New Roman" w:eastAsia="宋体" w:hAnsi="Times New Roman"/>
          <w:color w:val="000000"/>
          <w:sz w:val="20"/>
          <w:szCs w:val="20"/>
        </w:rPr>
        <w:t xml:space="preserve">In our </w:t>
      </w:r>
      <w:r>
        <w:rPr>
          <w:rFonts w:ascii="Times New Roman" w:eastAsia="宋体" w:hAnsi="Times New Roman"/>
          <w:color w:val="000000"/>
          <w:sz w:val="20"/>
          <w:szCs w:val="20"/>
        </w:rPr>
        <w:t>view, over the next several years, customers will be increasingly writing modern software applications that can run on any hybrid cloud, and will be adding billions of connections to their environments. In a multicloud environment, customers have to reimag</w:t>
      </w:r>
      <w:r>
        <w:rPr>
          <w:rFonts w:ascii="Times New Roman" w:eastAsia="宋体" w:hAnsi="Times New Roman"/>
          <w:color w:val="000000"/>
          <w:sz w:val="20"/>
          <w:szCs w:val="20"/>
        </w:rPr>
        <w:t>ine how they design, develop and deploy their applications. They need to be able to build applications quickly, deploy them nearly anywhere, monitor experiences, and act in real time.</w:t>
      </w:r>
    </w:p>
    <w:p w14:paraId="518B4309" w14:textId="77777777" w:rsidR="005C332D" w:rsidRDefault="00B93EAE">
      <w:pPr>
        <w:spacing w:before="120"/>
        <w:jc w:val="both"/>
      </w:pPr>
      <w:r>
        <w:rPr>
          <w:rFonts w:ascii="Times New Roman" w:eastAsia="宋体" w:hAnsi="Times New Roman"/>
          <w:color w:val="000000"/>
          <w:sz w:val="20"/>
          <w:szCs w:val="20"/>
        </w:rPr>
        <w:t>We believe we are uniquely positioned to enable successful business outc</w:t>
      </w:r>
      <w:r>
        <w:rPr>
          <w:rFonts w:ascii="Times New Roman" w:eastAsia="宋体" w:hAnsi="Times New Roman"/>
          <w:color w:val="000000"/>
          <w:sz w:val="20"/>
          <w:szCs w:val="20"/>
        </w:rPr>
        <w:t>omes for customers in hybrid and multicloud environments. In our view, networks are increasingly critical to business success and we believe our customers will benefit from the insights and intelligence that we are making accessible through our highly diff</w:t>
      </w:r>
      <w:r>
        <w:rPr>
          <w:rFonts w:ascii="Times New Roman" w:eastAsia="宋体" w:hAnsi="Times New Roman"/>
          <w:color w:val="000000"/>
          <w:sz w:val="20"/>
          <w:szCs w:val="20"/>
        </w:rPr>
        <w:t>erentiated platforms.</w:t>
      </w:r>
    </w:p>
    <w:p w14:paraId="518B430A" w14:textId="77777777" w:rsidR="005C332D" w:rsidRDefault="00B93EAE">
      <w:pPr>
        <w:spacing w:before="120"/>
        <w:jc w:val="both"/>
      </w:pPr>
      <w:r>
        <w:rPr>
          <w:rFonts w:ascii="Times New Roman" w:eastAsia="宋体" w:hAnsi="Times New Roman"/>
          <w:color w:val="000000"/>
          <w:sz w:val="20"/>
          <w:szCs w:val="20"/>
        </w:rPr>
        <w:t>We are continuing our commitment to deliver full stack observability from the application to the infrastructure to give our customers greater insights that enable faster, better decision making. We are doing this through adding key el</w:t>
      </w:r>
      <w:r>
        <w:rPr>
          <w:rFonts w:ascii="Times New Roman" w:eastAsia="宋体" w:hAnsi="Times New Roman"/>
          <w:color w:val="000000"/>
          <w:sz w:val="20"/>
          <w:szCs w:val="20"/>
        </w:rPr>
        <w:t>ements to our portfolio, such as: infrastructure optimization with Intersight, network monitoring with technology from ThousandEyes, application performance monitoring with AppDynamics, as well as our security innovations.</w:t>
      </w:r>
    </w:p>
    <w:p w14:paraId="518B430B" w14:textId="77777777" w:rsidR="005C332D" w:rsidRDefault="00B93EAE">
      <w:pPr>
        <w:spacing w:before="120"/>
        <w:jc w:val="both"/>
      </w:pPr>
      <w:r>
        <w:rPr>
          <w:rFonts w:ascii="Times New Roman" w:eastAsia="宋体" w:hAnsi="Times New Roman"/>
          <w:i/>
          <w:iCs/>
          <w:color w:val="000000"/>
          <w:sz w:val="20"/>
          <w:szCs w:val="20"/>
        </w:rPr>
        <w:t>Power Hybrid Work</w:t>
      </w:r>
    </w:p>
    <w:p w14:paraId="518B430C" w14:textId="77777777" w:rsidR="005C332D" w:rsidRDefault="00B93EAE">
      <w:pPr>
        <w:spacing w:before="120"/>
        <w:jc w:val="both"/>
      </w:pPr>
      <w:r>
        <w:rPr>
          <w:rFonts w:ascii="Times New Roman" w:eastAsia="宋体" w:hAnsi="Times New Roman"/>
          <w:color w:val="000000"/>
          <w:sz w:val="20"/>
          <w:szCs w:val="20"/>
        </w:rPr>
        <w:t>Since the COVID</w:t>
      </w:r>
      <w:r>
        <w:rPr>
          <w:rFonts w:ascii="Times New Roman" w:eastAsia="宋体" w:hAnsi="Times New Roman"/>
          <w:color w:val="000000"/>
          <w:sz w:val="20"/>
          <w:szCs w:val="20"/>
        </w:rPr>
        <w:t>-19 pandemic began, the world has shifted to a hybrid work environment, and we believe that our customers are looking to support a blend of onsite and offsite workers. To enable a hybrid workforce, customers require secure access, collaboration, and techno</w:t>
      </w:r>
      <w:r>
        <w:rPr>
          <w:rFonts w:ascii="Times New Roman" w:eastAsia="宋体" w:hAnsi="Times New Roman"/>
          <w:color w:val="000000"/>
          <w:sz w:val="20"/>
          <w:szCs w:val="20"/>
        </w:rPr>
        <w:t>logies to empower their teams to connect seamlessly and to work from anywhere.</w:t>
      </w:r>
    </w:p>
    <w:p w14:paraId="518B430D" w14:textId="77777777" w:rsidR="005C332D" w:rsidRDefault="00B93EAE">
      <w:pPr>
        <w:spacing w:before="120"/>
        <w:jc w:val="both"/>
      </w:pPr>
      <w:r>
        <w:rPr>
          <w:rFonts w:ascii="Times New Roman" w:eastAsia="宋体" w:hAnsi="Times New Roman"/>
          <w:color w:val="000000"/>
          <w:sz w:val="20"/>
          <w:szCs w:val="20"/>
        </w:rPr>
        <w:t>Customers are looking to us to help improve how their people communicate, collaborate and to increase productivity. At Cisco, we are focused on providing and delivering highly secure collaboration experiences to help our customers create a secure hybrid wo</w:t>
      </w:r>
      <w:r>
        <w:rPr>
          <w:rFonts w:ascii="Times New Roman" w:eastAsia="宋体" w:hAnsi="Times New Roman"/>
          <w:color w:val="000000"/>
          <w:sz w:val="20"/>
          <w:szCs w:val="20"/>
        </w:rPr>
        <w:t xml:space="preserve">rk environment. </w:t>
      </w:r>
    </w:p>
    <w:p w14:paraId="518B430E" w14:textId="77777777" w:rsidR="005C332D" w:rsidRDefault="00B93EAE">
      <w:pPr>
        <w:spacing w:before="120"/>
        <w:jc w:val="both"/>
      </w:pPr>
      <w:r>
        <w:rPr>
          <w:rFonts w:ascii="Times New Roman" w:eastAsia="宋体" w:hAnsi="Times New Roman"/>
          <w:color w:val="000000"/>
          <w:sz w:val="20"/>
          <w:szCs w:val="20"/>
        </w:rPr>
        <w:t>We believe our collaboration portfolio, which includes our subscription-based Webex conferencing platform, with meetings, devices, calling and messaging, is at the center of our customers’ strategy for enabling their teams to be more produ</w:t>
      </w:r>
      <w:r>
        <w:rPr>
          <w:rFonts w:ascii="Times New Roman" w:eastAsia="宋体" w:hAnsi="Times New Roman"/>
          <w:color w:val="000000"/>
          <w:sz w:val="20"/>
          <w:szCs w:val="20"/>
        </w:rPr>
        <w:t>ctive and secure. To help our customers transform their workplaces, we continue to invest to expand our capabilities by introducing new Webex Calling innovations in the Webex Suite to improve work flexibility, reliability, and quality. Additionally, we als</w:t>
      </w:r>
      <w:r>
        <w:rPr>
          <w:rFonts w:ascii="Times New Roman" w:eastAsia="宋体" w:hAnsi="Times New Roman"/>
          <w:color w:val="000000"/>
          <w:sz w:val="20"/>
          <w:szCs w:val="20"/>
        </w:rPr>
        <w:t>o launched new devices for hybrid work — the Webex Room Bar and a Cisco Video Phone.</w:t>
      </w:r>
    </w:p>
    <w:p w14:paraId="518B430F" w14:textId="77777777" w:rsidR="005C332D" w:rsidRDefault="00B93EAE">
      <w:pPr>
        <w:spacing w:before="120"/>
        <w:jc w:val="both"/>
      </w:pPr>
      <w:r>
        <w:rPr>
          <w:rFonts w:ascii="Times New Roman" w:eastAsia="宋体" w:hAnsi="Times New Roman"/>
          <w:i/>
          <w:iCs/>
          <w:color w:val="000000"/>
          <w:sz w:val="20"/>
          <w:szCs w:val="20"/>
        </w:rPr>
        <w:t>Transform Infrastructure</w:t>
      </w:r>
    </w:p>
    <w:p w14:paraId="518B4310" w14:textId="77777777" w:rsidR="005C332D" w:rsidRDefault="00B93EAE">
      <w:pPr>
        <w:spacing w:before="120"/>
        <w:jc w:val="both"/>
      </w:pPr>
      <w:r>
        <w:rPr>
          <w:rFonts w:ascii="Times New Roman" w:eastAsia="宋体" w:hAnsi="Times New Roman"/>
          <w:color w:val="000000"/>
          <w:sz w:val="20"/>
          <w:szCs w:val="20"/>
        </w:rPr>
        <w:t>In an increasingly digital and connected world, where each new connection to the Internet puts more demand on the network, our customers are looki</w:t>
      </w:r>
      <w:r>
        <w:rPr>
          <w:rFonts w:ascii="Times New Roman" w:eastAsia="宋体" w:hAnsi="Times New Roman"/>
          <w:color w:val="000000"/>
          <w:sz w:val="20"/>
          <w:szCs w:val="20"/>
        </w:rPr>
        <w:t>ng to modernize and transform their infrastructure in an automated way in order to manage and monitor each connection in real time. Our strategy to help our customers transform their infrastructure with the network at the core began with Software-Defined A</w:t>
      </w:r>
      <w:r>
        <w:rPr>
          <w:rFonts w:ascii="Times New Roman" w:eastAsia="宋体" w:hAnsi="Times New Roman"/>
          <w:color w:val="000000"/>
          <w:sz w:val="20"/>
          <w:szCs w:val="20"/>
        </w:rPr>
        <w:t>ccess (SD-Access) technology, one of our leading enterprise architectures, and continued with the launch of our Catalyst 9000 series of switches.</w:t>
      </w:r>
    </w:p>
    <w:p w14:paraId="518B4311" w14:textId="77777777" w:rsidR="005C332D" w:rsidRDefault="00B93EAE">
      <w:pPr>
        <w:spacing w:before="120"/>
        <w:jc w:val="both"/>
      </w:pPr>
      <w:r>
        <w:rPr>
          <w:rFonts w:ascii="Times New Roman" w:eastAsia="宋体" w:hAnsi="Times New Roman"/>
          <w:color w:val="000000"/>
          <w:sz w:val="20"/>
          <w:szCs w:val="20"/>
        </w:rPr>
        <w:t>We have continued to transform our enterprise access portfolio by bringing together several technologies to fo</w:t>
      </w:r>
      <w:r>
        <w:rPr>
          <w:rFonts w:ascii="Times New Roman" w:eastAsia="宋体" w:hAnsi="Times New Roman"/>
          <w:color w:val="000000"/>
          <w:sz w:val="20"/>
          <w:szCs w:val="20"/>
        </w:rPr>
        <w:t xml:space="preserve">rm the only integrated architecture with built-in simplicity, automation and security at the foundation. This architecture is designed to enable our customers to securely connect their users and devices to applications and data over any network, no matter </w:t>
      </w:r>
      <w:r>
        <w:rPr>
          <w:rFonts w:ascii="Times New Roman" w:eastAsia="宋体" w:hAnsi="Times New Roman"/>
          <w:color w:val="000000"/>
          <w:sz w:val="20"/>
          <w:szCs w:val="20"/>
        </w:rPr>
        <w:t xml:space="preserve">where they are. </w:t>
      </w:r>
    </w:p>
    <w:p w14:paraId="518B4312" w14:textId="77777777" w:rsidR="005C332D" w:rsidRDefault="00B93EAE">
      <w:pPr>
        <w:spacing w:before="120"/>
        <w:jc w:val="both"/>
      </w:pPr>
      <w:r>
        <w:rPr>
          <w:rFonts w:ascii="Times New Roman" w:eastAsia="宋体" w:hAnsi="Times New Roman"/>
          <w:color w:val="000000"/>
          <w:sz w:val="20"/>
          <w:szCs w:val="20"/>
        </w:rPr>
        <w:t>We have introduced several innovations that extend our networking capabilities to wireless and enterprise routing products, including Software-Defined Wide Area Network (SD-WAN) and Internet of Things (IoT) edge platforms. Our SD-WAN solut</w:t>
      </w:r>
      <w:r>
        <w:rPr>
          <w:rFonts w:ascii="Times New Roman" w:eastAsia="宋体" w:hAnsi="Times New Roman"/>
          <w:color w:val="000000"/>
          <w:sz w:val="20"/>
          <w:szCs w:val="20"/>
        </w:rPr>
        <w:t>ions are designed to provide direct branch to cloud connectivity, enabling the workforce to access their software-as-a-service (SaaS) applications and workloads in an optimized and highly secure manner. We have continued to expand our SD-WAN offering, thro</w:t>
      </w:r>
      <w:r>
        <w:rPr>
          <w:rFonts w:ascii="Times New Roman" w:eastAsia="宋体" w:hAnsi="Times New Roman"/>
          <w:color w:val="000000"/>
          <w:sz w:val="20"/>
          <w:szCs w:val="20"/>
        </w:rPr>
        <w:t>ugh our Cloud OnRamp integrations with several webscale providers to deliver predictable and highly secure application experiences.</w:t>
      </w:r>
    </w:p>
    <w:p w14:paraId="518B4313" w14:textId="77777777" w:rsidR="005C332D" w:rsidRDefault="00B93EAE">
      <w:pPr>
        <w:spacing w:before="120"/>
        <w:jc w:val="both"/>
      </w:pPr>
      <w:r>
        <w:rPr>
          <w:rFonts w:ascii="Times New Roman" w:eastAsia="宋体" w:hAnsi="Times New Roman"/>
          <w:color w:val="000000"/>
          <w:sz w:val="20"/>
          <w:szCs w:val="20"/>
        </w:rPr>
        <w:t>To further our innovation in this area, we are applying the latest technologies, such as machine learning and advanced analy</w:t>
      </w:r>
      <w:r>
        <w:rPr>
          <w:rFonts w:ascii="Times New Roman" w:eastAsia="宋体" w:hAnsi="Times New Roman"/>
          <w:color w:val="000000"/>
          <w:sz w:val="20"/>
          <w:szCs w:val="20"/>
        </w:rPr>
        <w:t>tics, to operate and enhance network capabilities. These network product offerings are designed to help enable customers to detect cybersecurity threats, even in encrypted traffic. As such, we have created, in our view, the only network that is designed fo</w:t>
      </w:r>
      <w:r>
        <w:rPr>
          <w:rFonts w:ascii="Times New Roman" w:eastAsia="宋体" w:hAnsi="Times New Roman"/>
          <w:color w:val="000000"/>
          <w:sz w:val="20"/>
          <w:szCs w:val="20"/>
        </w:rPr>
        <w:t>r security while also helping to maintain privacy.</w:t>
      </w:r>
    </w:p>
    <w:p w14:paraId="518B4314" w14:textId="77777777" w:rsidR="005C332D" w:rsidRDefault="00B93EAE">
      <w:pPr>
        <w:spacing w:before="120"/>
        <w:jc w:val="both"/>
      </w:pPr>
      <w:r>
        <w:rPr>
          <w:rFonts w:ascii="Times New Roman" w:eastAsia="宋体" w:hAnsi="Times New Roman"/>
          <w:color w:val="000000"/>
          <w:sz w:val="20"/>
          <w:szCs w:val="20"/>
        </w:rPr>
        <w:t>Our customers are operating in multicloud environments with private, public and hybrid clouds. For the data center, our strategy is to deliver multicloud architectures that bring policy and operational con</w:t>
      </w:r>
      <w:r>
        <w:rPr>
          <w:rFonts w:ascii="Times New Roman" w:eastAsia="宋体" w:hAnsi="Times New Roman"/>
          <w:color w:val="000000"/>
          <w:sz w:val="20"/>
          <w:szCs w:val="20"/>
        </w:rPr>
        <w:t>sistency, regardless of where applications or data reside, by extending our Application Centric Infrastructure (ACI) and our hyperconverged offerings. We continue to invest in our data center portfolio to help meet the growing demand for cloud-delivered te</w:t>
      </w:r>
      <w:r>
        <w:rPr>
          <w:rFonts w:ascii="Times New Roman" w:eastAsia="宋体" w:hAnsi="Times New Roman"/>
          <w:color w:val="000000"/>
          <w:sz w:val="20"/>
          <w:szCs w:val="20"/>
        </w:rPr>
        <w:t>chnologies. Our recently launched Nexus Cloud platform is designed to help our customers deploy, manage, and operate their data center networks from the cloud.</w:t>
      </w:r>
    </w:p>
    <w:p w14:paraId="518B4315" w14:textId="77777777" w:rsidR="005C332D" w:rsidRDefault="00B93EAE">
      <w:pPr>
        <w:jc w:val="center"/>
      </w:pPr>
      <w:r>
        <w:rPr>
          <w:rFonts w:ascii="Times New Roman" w:eastAsia="宋体" w:hAnsi="Times New Roman"/>
          <w:color w:val="000000"/>
          <w:sz w:val="20"/>
          <w:szCs w:val="20"/>
        </w:rPr>
        <w:t>2</w:t>
      </w:r>
    </w:p>
    <w:p w14:paraId="518B4316" w14:textId="77777777" w:rsidR="005C332D" w:rsidRDefault="00B93EAE">
      <w:r>
        <w:pict w14:anchorId="518B8711">
          <v:rect id="_x0000_i1028" style="width:415.3pt;height:1.5pt" o:hralign="center" o:hrstd="t" o:hr="t" fillcolor="#a0a0a0" stroked="f"/>
        </w:pict>
      </w:r>
    </w:p>
    <w:p w14:paraId="518B4317" w14:textId="77777777" w:rsidR="005C332D" w:rsidRDefault="00B93EAE">
      <w:hyperlink r:id="rId56" w:anchor="i049852cab38845aabd2a79d07dacda86_7" w:history="1">
        <w:r>
          <w:rPr>
            <w:rStyle w:val="a5"/>
            <w:rFonts w:ascii="Times New Roman" w:eastAsia="宋体" w:hAnsi="Times New Roman"/>
            <w:sz w:val="20"/>
            <w:szCs w:val="20"/>
          </w:rPr>
          <w:t>Table of Contents</w:t>
        </w:r>
      </w:hyperlink>
    </w:p>
    <w:p w14:paraId="518B4318" w14:textId="77777777" w:rsidR="005C332D" w:rsidRDefault="00B93EAE">
      <w:pPr>
        <w:spacing w:before="120"/>
        <w:jc w:val="both"/>
      </w:pPr>
      <w:r>
        <w:rPr>
          <w:rFonts w:ascii="Times New Roman" w:eastAsia="宋体" w:hAnsi="Times New Roman"/>
          <w:color w:val="000000"/>
          <w:sz w:val="20"/>
          <w:szCs w:val="20"/>
        </w:rPr>
        <w:t>Our technology strategy for the Internet for the Future is aimed at addressing the broad adoption of multicloud and application environments. We continue to make significant investm</w:t>
      </w:r>
      <w:r>
        <w:rPr>
          <w:rFonts w:ascii="Times New Roman" w:eastAsia="宋体" w:hAnsi="Times New Roman"/>
          <w:color w:val="000000"/>
          <w:sz w:val="20"/>
          <w:szCs w:val="20"/>
        </w:rPr>
        <w:t>ents in the development of software, silicon and optics — which we believe are the building blocks for the Internet for the Future.</w:t>
      </w:r>
    </w:p>
    <w:p w14:paraId="518B4319" w14:textId="77777777" w:rsidR="005C332D" w:rsidRDefault="00B93EAE">
      <w:pPr>
        <w:spacing w:before="120"/>
        <w:jc w:val="both"/>
      </w:pPr>
      <w:r>
        <w:rPr>
          <w:rFonts w:ascii="Times New Roman" w:eastAsia="宋体" w:hAnsi="Times New Roman"/>
          <w:color w:val="000000"/>
          <w:sz w:val="20"/>
          <w:szCs w:val="20"/>
        </w:rPr>
        <w:t>We introduced Cisco Silicon One, a single unified silicon architecture, as well as the Cisco 8000 carrier-class router famil</w:t>
      </w:r>
      <w:r>
        <w:rPr>
          <w:rFonts w:ascii="Times New Roman" w:eastAsia="宋体" w:hAnsi="Times New Roman"/>
          <w:color w:val="000000"/>
          <w:sz w:val="20"/>
          <w:szCs w:val="20"/>
        </w:rPr>
        <w:t>y built on Cisco Silicon One and our operating system, Cisco IOS XR7. We have also expanded our Cisco Silicon One platform from a routing focused solution to one which addresses the webscale switching market. By combining our routed optical networking solu</w:t>
      </w:r>
      <w:r>
        <w:rPr>
          <w:rFonts w:ascii="Times New Roman" w:eastAsia="宋体" w:hAnsi="Times New Roman"/>
          <w:color w:val="000000"/>
          <w:sz w:val="20"/>
          <w:szCs w:val="20"/>
        </w:rPr>
        <w:t>tion integrating our routers with pluggable optics, we are able to further help deliver cost savings to our customers.</w:t>
      </w:r>
    </w:p>
    <w:p w14:paraId="518B431A" w14:textId="77777777" w:rsidR="005C332D" w:rsidRDefault="00B93EAE">
      <w:pPr>
        <w:spacing w:before="120"/>
        <w:jc w:val="both"/>
      </w:pPr>
      <w:r>
        <w:rPr>
          <w:rFonts w:ascii="Times New Roman" w:eastAsia="宋体" w:hAnsi="Times New Roman"/>
          <w:i/>
          <w:iCs/>
          <w:color w:val="000000"/>
          <w:sz w:val="20"/>
          <w:szCs w:val="20"/>
        </w:rPr>
        <w:t>Secure the Enterprise</w:t>
      </w:r>
    </w:p>
    <w:p w14:paraId="518B431B" w14:textId="77777777" w:rsidR="005C332D" w:rsidRDefault="00B93EAE">
      <w:pPr>
        <w:spacing w:before="120"/>
        <w:jc w:val="both"/>
      </w:pPr>
      <w:r>
        <w:rPr>
          <w:rFonts w:ascii="Times New Roman" w:eastAsia="宋体" w:hAnsi="Times New Roman"/>
          <w:color w:val="000000"/>
          <w:sz w:val="20"/>
          <w:szCs w:val="20"/>
        </w:rPr>
        <w:t xml:space="preserve">With the rapid growth in modern applications, and with more distributed work environments, securing the enterprise </w:t>
      </w:r>
      <w:r>
        <w:rPr>
          <w:rFonts w:ascii="Times New Roman" w:eastAsia="宋体" w:hAnsi="Times New Roman"/>
          <w:color w:val="000000"/>
          <w:sz w:val="20"/>
          <w:szCs w:val="20"/>
        </w:rPr>
        <w:t>has become more complex and difficult for our customers to manage. We believe every organization requires new or enhanced security architectures to defend against increasing cyber attacks. Our security strategy is focused on delivering a simple and effecti</w:t>
      </w:r>
      <w:r>
        <w:rPr>
          <w:rFonts w:ascii="Times New Roman" w:eastAsia="宋体" w:hAnsi="Times New Roman"/>
          <w:color w:val="000000"/>
          <w:sz w:val="20"/>
          <w:szCs w:val="20"/>
        </w:rPr>
        <w:t>ve cyber-security architecture combining network, cloud and endpoint-based solutions that recognizes the critical importance of data privacy.</w:t>
      </w:r>
    </w:p>
    <w:p w14:paraId="518B431C" w14:textId="77777777" w:rsidR="005C332D" w:rsidRDefault="00B93EAE">
      <w:pPr>
        <w:spacing w:before="120"/>
        <w:jc w:val="both"/>
      </w:pPr>
      <w:r>
        <w:rPr>
          <w:rFonts w:ascii="Times New Roman" w:eastAsia="宋体" w:hAnsi="Times New Roman"/>
          <w:color w:val="000000"/>
          <w:sz w:val="20"/>
          <w:szCs w:val="20"/>
        </w:rPr>
        <w:t xml:space="preserve">We are investing significant resources across our security portfolio focused on cloud-based offerings, artificial </w:t>
      </w:r>
      <w:r>
        <w:rPr>
          <w:rFonts w:ascii="Times New Roman" w:eastAsia="宋体" w:hAnsi="Times New Roman"/>
          <w:color w:val="000000"/>
          <w:sz w:val="20"/>
          <w:szCs w:val="20"/>
        </w:rPr>
        <w:t>intelligence-driven threat detection and end-to-end security architectures. We recently unveiled our strategic plan for a global, cloud-delivered, integrated platform that secures and connects organizations of any shape and size. Cisco Security Cloud is de</w:t>
      </w:r>
      <w:r>
        <w:rPr>
          <w:rFonts w:ascii="Times New Roman" w:eastAsia="宋体" w:hAnsi="Times New Roman"/>
          <w:color w:val="000000"/>
          <w:sz w:val="20"/>
          <w:szCs w:val="20"/>
        </w:rPr>
        <w:t>signed to be the most open, end-to-end, security platform across hybrid multi-cloud environments, while also minimizing the attack surface and automating security policies across an organization’s environment. This extends to our secure access service edge</w:t>
      </w:r>
      <w:r>
        <w:rPr>
          <w:rFonts w:ascii="Times New Roman" w:eastAsia="宋体" w:hAnsi="Times New Roman"/>
          <w:color w:val="000000"/>
          <w:sz w:val="20"/>
          <w:szCs w:val="20"/>
        </w:rPr>
        <w:t xml:space="preserve"> (SASE) framework and Zero Trust architecture, where we have developed a cloud-delivered stack. We are also delivering unified detection and response capabilities with Cisco SecureX, our cloud-native platform, which is a built-in platform that connects our</w:t>
      </w:r>
      <w:r>
        <w:rPr>
          <w:rFonts w:ascii="Times New Roman" w:eastAsia="宋体" w:hAnsi="Times New Roman"/>
          <w:color w:val="000000"/>
          <w:sz w:val="20"/>
          <w:szCs w:val="20"/>
        </w:rPr>
        <w:t xml:space="preserve"> Cisco Secure portfolio and our customers’ infrastructure. Additionally, we recently announced new offerings aimed at securing our customers’ operations with Talos On-Demand, allowing for custom research on the threat environment, and Secure Cloud Analytic</w:t>
      </w:r>
      <w:r>
        <w:rPr>
          <w:rFonts w:ascii="Times New Roman" w:eastAsia="宋体" w:hAnsi="Times New Roman"/>
          <w:color w:val="000000"/>
          <w:sz w:val="20"/>
          <w:szCs w:val="20"/>
        </w:rPr>
        <w:t>s, which leverages the network as a sensor to detect threats across network infrastructure, both on-premises and in private and public clouds.</w:t>
      </w:r>
    </w:p>
    <w:p w14:paraId="518B431D" w14:textId="77777777" w:rsidR="005C332D" w:rsidRDefault="00B93EAE">
      <w:pPr>
        <w:spacing w:before="120"/>
        <w:jc w:val="both"/>
      </w:pPr>
      <w:r>
        <w:rPr>
          <w:rFonts w:ascii="Times New Roman" w:eastAsia="宋体" w:hAnsi="Times New Roman"/>
          <w:b/>
          <w:bCs/>
          <w:i/>
          <w:iCs/>
          <w:color w:val="000000"/>
          <w:sz w:val="20"/>
          <w:szCs w:val="20"/>
        </w:rPr>
        <w:t>Strategic Pillars</w:t>
      </w:r>
    </w:p>
    <w:p w14:paraId="518B431E" w14:textId="77777777" w:rsidR="005C332D" w:rsidRDefault="00B93EAE">
      <w:pPr>
        <w:spacing w:before="120"/>
        <w:jc w:val="both"/>
      </w:pPr>
      <w:r>
        <w:rPr>
          <w:rFonts w:ascii="Times New Roman" w:eastAsia="宋体" w:hAnsi="Times New Roman"/>
          <w:color w:val="000000"/>
          <w:sz w:val="20"/>
          <w:szCs w:val="20"/>
        </w:rPr>
        <w:t>To execute on our strategy and address our customer priorities, we are focusing on the followin</w:t>
      </w:r>
      <w:r>
        <w:rPr>
          <w:rFonts w:ascii="Times New Roman" w:eastAsia="宋体" w:hAnsi="Times New Roman"/>
          <w:color w:val="000000"/>
          <w:sz w:val="20"/>
          <w:szCs w:val="20"/>
        </w:rPr>
        <w:t>g six strategic pillars:</w:t>
      </w:r>
    </w:p>
    <w:p w14:paraId="518B431F"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i/>
          <w:iCs/>
          <w:color w:val="000000"/>
          <w:sz w:val="20"/>
          <w:szCs w:val="20"/>
        </w:rPr>
        <w:t>Secure, Agile Networks</w:t>
      </w:r>
      <w:r>
        <w:rPr>
          <w:rFonts w:ascii="Times New Roman" w:eastAsia="宋体" w:hAnsi="Times New Roman"/>
          <w:color w:val="000000"/>
          <w:sz w:val="20"/>
          <w:szCs w:val="20"/>
        </w:rPr>
        <w:t xml:space="preserve"> — Build networking solutions with built-in simplicity, security, agility and automation that can be consumed as-a-service.</w:t>
      </w:r>
    </w:p>
    <w:p w14:paraId="518B4320" w14:textId="77777777" w:rsidR="005C332D" w:rsidRDefault="00B93EAE">
      <w:pPr>
        <w:spacing w:before="60"/>
        <w:ind w:hanging="360"/>
        <w:jc w:val="both"/>
      </w:pPr>
      <w:r>
        <w:rPr>
          <w:rFonts w:ascii="Times New Roman" w:eastAsia="宋体" w:hAnsi="Times New Roman"/>
          <w:color w:val="000000"/>
          <w:sz w:val="20"/>
          <w:szCs w:val="20"/>
        </w:rPr>
        <w:t>•</w:t>
      </w:r>
      <w:r>
        <w:rPr>
          <w:rFonts w:ascii="Times New Roman" w:eastAsia="宋体" w:hAnsi="Times New Roman"/>
          <w:i/>
          <w:iCs/>
          <w:color w:val="000000"/>
          <w:sz w:val="20"/>
          <w:szCs w:val="20"/>
        </w:rPr>
        <w:t>Optimized Application Experiences</w:t>
      </w:r>
      <w:r>
        <w:rPr>
          <w:rFonts w:ascii="Times New Roman" w:eastAsia="宋体" w:hAnsi="Times New Roman"/>
          <w:color w:val="000000"/>
          <w:sz w:val="20"/>
          <w:szCs w:val="20"/>
        </w:rPr>
        <w:t xml:space="preserve"> — Enable greater speed, agility and scale of cloud-native applications.</w:t>
      </w:r>
    </w:p>
    <w:p w14:paraId="518B4321" w14:textId="77777777" w:rsidR="005C332D" w:rsidRDefault="00B93EAE">
      <w:pPr>
        <w:spacing w:before="60"/>
        <w:ind w:hanging="360"/>
        <w:jc w:val="both"/>
      </w:pPr>
      <w:r>
        <w:rPr>
          <w:rFonts w:ascii="Times New Roman" w:eastAsia="宋体" w:hAnsi="Times New Roman"/>
          <w:color w:val="000000"/>
          <w:sz w:val="20"/>
          <w:szCs w:val="20"/>
        </w:rPr>
        <w:t>•</w:t>
      </w:r>
      <w:r>
        <w:rPr>
          <w:rFonts w:ascii="Times New Roman" w:eastAsia="宋体" w:hAnsi="Times New Roman"/>
          <w:i/>
          <w:iCs/>
          <w:color w:val="000000"/>
          <w:sz w:val="20"/>
          <w:szCs w:val="20"/>
        </w:rPr>
        <w:t>Hybrid Work</w:t>
      </w:r>
      <w:r>
        <w:rPr>
          <w:rFonts w:ascii="Times New Roman" w:eastAsia="宋体" w:hAnsi="Times New Roman"/>
          <w:color w:val="000000"/>
          <w:sz w:val="20"/>
          <w:szCs w:val="20"/>
        </w:rPr>
        <w:t xml:space="preserve"> — Deliver highly secure access, a safer workplace and collaboration experiences for the hybrid workforce. </w:t>
      </w:r>
    </w:p>
    <w:p w14:paraId="518B4322" w14:textId="77777777" w:rsidR="005C332D" w:rsidRDefault="00B93EAE">
      <w:pPr>
        <w:spacing w:before="60"/>
        <w:ind w:hanging="360"/>
        <w:jc w:val="both"/>
      </w:pPr>
      <w:r>
        <w:rPr>
          <w:rFonts w:ascii="Times New Roman" w:eastAsia="宋体" w:hAnsi="Times New Roman"/>
          <w:color w:val="000000"/>
          <w:sz w:val="20"/>
          <w:szCs w:val="20"/>
        </w:rPr>
        <w:t>•</w:t>
      </w:r>
      <w:r>
        <w:rPr>
          <w:rFonts w:ascii="Times New Roman" w:eastAsia="宋体" w:hAnsi="Times New Roman"/>
          <w:i/>
          <w:iCs/>
          <w:color w:val="000000"/>
          <w:sz w:val="20"/>
          <w:szCs w:val="20"/>
        </w:rPr>
        <w:t>Internet for the Future</w:t>
      </w:r>
      <w:r>
        <w:rPr>
          <w:rFonts w:ascii="Times New Roman" w:eastAsia="宋体" w:hAnsi="Times New Roman"/>
          <w:color w:val="000000"/>
          <w:sz w:val="20"/>
          <w:szCs w:val="20"/>
        </w:rPr>
        <w:t xml:space="preserve"> — Transform connectivity by efficientl</w:t>
      </w:r>
      <w:r>
        <w:rPr>
          <w:rFonts w:ascii="Times New Roman" w:eastAsia="宋体" w:hAnsi="Times New Roman"/>
          <w:color w:val="000000"/>
          <w:sz w:val="20"/>
          <w:szCs w:val="20"/>
        </w:rPr>
        <w:t xml:space="preserve">y meeting the ever-growing demand for low-latency and higher speeds. </w:t>
      </w:r>
    </w:p>
    <w:p w14:paraId="518B4323" w14:textId="77777777" w:rsidR="005C332D" w:rsidRDefault="00B93EAE">
      <w:pPr>
        <w:spacing w:before="60"/>
        <w:ind w:hanging="360"/>
        <w:jc w:val="both"/>
      </w:pPr>
      <w:r>
        <w:rPr>
          <w:rFonts w:ascii="Times New Roman" w:eastAsia="宋体" w:hAnsi="Times New Roman"/>
          <w:color w:val="000000"/>
          <w:sz w:val="20"/>
          <w:szCs w:val="20"/>
        </w:rPr>
        <w:t>•</w:t>
      </w:r>
      <w:r>
        <w:rPr>
          <w:rFonts w:ascii="Times New Roman" w:eastAsia="宋体" w:hAnsi="Times New Roman"/>
          <w:i/>
          <w:iCs/>
          <w:color w:val="000000"/>
          <w:sz w:val="20"/>
          <w:szCs w:val="20"/>
        </w:rPr>
        <w:t>End-to-End Security</w:t>
      </w:r>
      <w:r>
        <w:rPr>
          <w:rFonts w:ascii="Times New Roman" w:eastAsia="宋体" w:hAnsi="Times New Roman"/>
          <w:color w:val="000000"/>
          <w:sz w:val="20"/>
          <w:szCs w:val="20"/>
        </w:rPr>
        <w:t xml:space="preserve"> — Build simple, integrated, and high efficacy end-to-end security solutions, delivered on-premise or in the cloud. </w:t>
      </w:r>
    </w:p>
    <w:p w14:paraId="518B4324" w14:textId="77777777" w:rsidR="005C332D" w:rsidRDefault="00B93EAE">
      <w:pPr>
        <w:spacing w:before="60"/>
        <w:ind w:hanging="360"/>
        <w:jc w:val="both"/>
      </w:pPr>
      <w:r>
        <w:rPr>
          <w:rFonts w:ascii="Times New Roman" w:eastAsia="宋体" w:hAnsi="Times New Roman"/>
          <w:color w:val="000000"/>
          <w:sz w:val="20"/>
          <w:szCs w:val="20"/>
        </w:rPr>
        <w:t>•</w:t>
      </w:r>
      <w:r>
        <w:rPr>
          <w:rFonts w:ascii="Times New Roman" w:eastAsia="宋体" w:hAnsi="Times New Roman"/>
          <w:i/>
          <w:iCs/>
          <w:color w:val="000000"/>
          <w:sz w:val="20"/>
          <w:szCs w:val="20"/>
        </w:rPr>
        <w:t>Capabilities at the Edge</w:t>
      </w:r>
      <w:r>
        <w:rPr>
          <w:rFonts w:ascii="Times New Roman" w:eastAsia="宋体" w:hAnsi="Times New Roman"/>
          <w:color w:val="000000"/>
          <w:sz w:val="20"/>
          <w:szCs w:val="20"/>
        </w:rPr>
        <w:t xml:space="preserve"> — Develop new capabilit</w:t>
      </w:r>
      <w:r>
        <w:rPr>
          <w:rFonts w:ascii="Times New Roman" w:eastAsia="宋体" w:hAnsi="Times New Roman"/>
          <w:color w:val="000000"/>
          <w:sz w:val="20"/>
          <w:szCs w:val="20"/>
        </w:rPr>
        <w:t xml:space="preserve">ies for a distributed world while enhancing the developer experience and extending enterprise and carrier networks. </w:t>
      </w:r>
    </w:p>
    <w:p w14:paraId="518B4325" w14:textId="77777777" w:rsidR="005C332D" w:rsidRDefault="00B93EAE">
      <w:pPr>
        <w:spacing w:before="120"/>
        <w:jc w:val="both"/>
      </w:pPr>
      <w:r>
        <w:rPr>
          <w:rFonts w:ascii="Times New Roman" w:eastAsia="宋体" w:hAnsi="Times New Roman"/>
          <w:color w:val="000000"/>
          <w:sz w:val="20"/>
          <w:szCs w:val="20"/>
        </w:rPr>
        <w:t>We are also accelerating our efforts to enable the delivery of network functionality as a service as our customers increasingly want to con</w:t>
      </w:r>
      <w:r>
        <w:rPr>
          <w:rFonts w:ascii="Times New Roman" w:eastAsia="宋体" w:hAnsi="Times New Roman"/>
          <w:color w:val="000000"/>
          <w:sz w:val="20"/>
          <w:szCs w:val="20"/>
        </w:rPr>
        <w:t xml:space="preserve">sume technologies in flexible ways. We made the initial step with our as-a-service portfolio, Cisco Plus, and our first offer, Cisco Plus hybrid cloud, which combines our data center compute, networking and storage portfolio. Cisco Plus includes our plans </w:t>
      </w:r>
      <w:r>
        <w:rPr>
          <w:rFonts w:ascii="Times New Roman" w:eastAsia="宋体" w:hAnsi="Times New Roman"/>
          <w:color w:val="000000"/>
          <w:sz w:val="20"/>
          <w:szCs w:val="20"/>
        </w:rPr>
        <w:t>to deliver networking-as-a-service, which is designed to unify networking, security and observability across access, wide area network (WAN), and cloud domains.</w:t>
      </w:r>
    </w:p>
    <w:p w14:paraId="518B4326" w14:textId="77777777" w:rsidR="005C332D" w:rsidRDefault="00B93EAE">
      <w:pPr>
        <w:spacing w:before="120"/>
        <w:jc w:val="both"/>
      </w:pPr>
      <w:r>
        <w:rPr>
          <w:rFonts w:ascii="Times New Roman" w:eastAsia="宋体" w:hAnsi="Times New Roman"/>
          <w:b/>
          <w:bCs/>
          <w:color w:val="000000"/>
          <w:sz w:val="20"/>
          <w:szCs w:val="20"/>
        </w:rPr>
        <w:t>Transforming our Business Model</w:t>
      </w:r>
    </w:p>
    <w:p w14:paraId="518B4327" w14:textId="77777777" w:rsidR="005C332D" w:rsidRDefault="00B93EAE">
      <w:pPr>
        <w:spacing w:before="120"/>
        <w:jc w:val="both"/>
      </w:pPr>
      <w:r>
        <w:rPr>
          <w:rFonts w:ascii="Times New Roman" w:eastAsia="宋体" w:hAnsi="Times New Roman"/>
          <w:color w:val="000000"/>
          <w:sz w:val="20"/>
          <w:szCs w:val="20"/>
        </w:rPr>
        <w:t xml:space="preserve">We are transforming our offerings to meet the evolving </w:t>
      </w:r>
      <w:r>
        <w:rPr>
          <w:rFonts w:ascii="Times New Roman" w:eastAsia="宋体" w:hAnsi="Times New Roman"/>
          <w:color w:val="000000"/>
          <w:sz w:val="20"/>
          <w:szCs w:val="20"/>
        </w:rPr>
        <w:t>needs of our customers. Historically, our various networking technology products have aligned with their respective product categories. However, increasingly our offerings are crossing multiple product categories. As our core networking offerings evolve, w</w:t>
      </w:r>
      <w:r>
        <w:rPr>
          <w:rFonts w:ascii="Times New Roman" w:eastAsia="宋体" w:hAnsi="Times New Roman"/>
          <w:color w:val="000000"/>
          <w:sz w:val="20"/>
          <w:szCs w:val="20"/>
        </w:rPr>
        <w:t xml:space="preserve">e expect we will add more common software features across our core networking platforms. We are increasing the amount of software offerings that we provide and the proportion of subscription software offerings. We have various software offerings that fall </w:t>
      </w:r>
      <w:r>
        <w:rPr>
          <w:rFonts w:ascii="Times New Roman" w:eastAsia="宋体" w:hAnsi="Times New Roman"/>
          <w:color w:val="000000"/>
          <w:sz w:val="20"/>
          <w:szCs w:val="20"/>
        </w:rPr>
        <w:t>into the broad categories of subscription arrangements and perpetual licenses. Our subscription arrangements include term software licenses and associated service arrangements, as well as SaaS.</w:t>
      </w:r>
    </w:p>
    <w:p w14:paraId="518B4328" w14:textId="77777777" w:rsidR="005C332D" w:rsidRDefault="005C332D">
      <w:pPr>
        <w:spacing w:before="120"/>
        <w:jc w:val="both"/>
      </w:pPr>
    </w:p>
    <w:p w14:paraId="518B4329" w14:textId="77777777" w:rsidR="005C332D" w:rsidRDefault="00B93EAE">
      <w:pPr>
        <w:jc w:val="center"/>
      </w:pPr>
      <w:r>
        <w:rPr>
          <w:rFonts w:ascii="Times New Roman" w:eastAsia="宋体" w:hAnsi="Times New Roman"/>
          <w:color w:val="000000"/>
          <w:sz w:val="20"/>
          <w:szCs w:val="20"/>
        </w:rPr>
        <w:t>3</w:t>
      </w:r>
    </w:p>
    <w:p w14:paraId="518B432A" w14:textId="77777777" w:rsidR="005C332D" w:rsidRDefault="00B93EAE">
      <w:r>
        <w:pict w14:anchorId="518B8712">
          <v:rect id="_x0000_i1029" style="width:415.3pt;height:1.5pt" o:hralign="center" o:hrstd="t" o:hr="t" fillcolor="#a0a0a0" stroked="f"/>
        </w:pict>
      </w:r>
    </w:p>
    <w:p w14:paraId="518B432B" w14:textId="77777777" w:rsidR="005C332D" w:rsidRDefault="00B93EAE">
      <w:hyperlink r:id="rId57" w:anchor="i049852cab38845aabd2a79d07dacda86_7" w:history="1">
        <w:r>
          <w:rPr>
            <w:rStyle w:val="a5"/>
            <w:rFonts w:ascii="Times New Roman" w:eastAsia="宋体" w:hAnsi="Times New Roman"/>
            <w:sz w:val="20"/>
            <w:szCs w:val="20"/>
          </w:rPr>
          <w:t>Table of Contents</w:t>
        </w:r>
      </w:hyperlink>
    </w:p>
    <w:p w14:paraId="518B432C" w14:textId="77777777" w:rsidR="005C332D" w:rsidRDefault="00B93EAE">
      <w:pPr>
        <w:spacing w:before="120"/>
        <w:jc w:val="both"/>
      </w:pPr>
      <w:r>
        <w:rPr>
          <w:rFonts w:ascii="Times New Roman" w:eastAsia="宋体" w:hAnsi="Times New Roman"/>
          <w:color w:val="000000"/>
          <w:sz w:val="20"/>
          <w:szCs w:val="20"/>
        </w:rPr>
        <w:t>As part of the transformation of our business, we continued to make strides to develop and sell more software and subscription-based offerings. We</w:t>
      </w:r>
      <w:r>
        <w:rPr>
          <w:rFonts w:ascii="Times New Roman" w:eastAsia="宋体" w:hAnsi="Times New Roman"/>
          <w:color w:val="000000"/>
          <w:sz w:val="20"/>
          <w:szCs w:val="20"/>
        </w:rPr>
        <w:t xml:space="preserve"> are also focused on the entire customer lifecycle to drive expansion and renewals. We will continue to invest in network-as-a-service offerings to provide our customers with flexibility in how they want to consume our technologies.</w:t>
      </w:r>
    </w:p>
    <w:p w14:paraId="518B432D" w14:textId="77777777" w:rsidR="005C332D" w:rsidRDefault="00B93EAE">
      <w:pPr>
        <w:spacing w:before="120"/>
        <w:jc w:val="both"/>
      </w:pPr>
      <w:r>
        <w:rPr>
          <w:rFonts w:ascii="Times New Roman" w:eastAsia="宋体" w:hAnsi="Times New Roman"/>
          <w:color w:val="000000"/>
          <w:sz w:val="20"/>
          <w:szCs w:val="20"/>
        </w:rPr>
        <w:t>For a discussion of the</w:t>
      </w:r>
      <w:r>
        <w:rPr>
          <w:rFonts w:ascii="Times New Roman" w:eastAsia="宋体" w:hAnsi="Times New Roman"/>
          <w:color w:val="000000"/>
          <w:sz w:val="20"/>
          <w:szCs w:val="20"/>
        </w:rPr>
        <w:t xml:space="preserve"> risks associated with our strategy, see “Item 1A. Risk Factors,” including the risk factor entitled “We depend upon the development of new products and services, and enhancements to existing products and services, and if we fail to predict and respond to </w:t>
      </w:r>
      <w:r>
        <w:rPr>
          <w:rFonts w:ascii="Times New Roman" w:eastAsia="宋体" w:hAnsi="Times New Roman"/>
          <w:color w:val="000000"/>
          <w:sz w:val="20"/>
          <w:szCs w:val="20"/>
        </w:rPr>
        <w:t>emerging technological trends and customers’ changing needs, our operating results and market share may suffer.” For information regarding sales of our major products and services, see Note 19 to the Consolidated Financial Statements.</w:t>
      </w:r>
    </w:p>
    <w:p w14:paraId="518B432E" w14:textId="77777777" w:rsidR="005C332D" w:rsidRDefault="00B93EAE">
      <w:pPr>
        <w:spacing w:before="120"/>
        <w:jc w:val="both"/>
      </w:pPr>
      <w:r>
        <w:rPr>
          <w:rFonts w:ascii="Times New Roman" w:eastAsia="宋体" w:hAnsi="Times New Roman"/>
          <w:b/>
          <w:bCs/>
          <w:color w:val="000000"/>
          <w:sz w:val="20"/>
          <w:szCs w:val="20"/>
        </w:rPr>
        <w:t>Products and Services</w:t>
      </w:r>
    </w:p>
    <w:p w14:paraId="518B432F" w14:textId="77777777" w:rsidR="005C332D" w:rsidRDefault="00B93EAE">
      <w:pPr>
        <w:spacing w:before="120"/>
        <w:jc w:val="both"/>
      </w:pPr>
      <w:r>
        <w:rPr>
          <w:rFonts w:ascii="Times New Roman" w:eastAsia="宋体" w:hAnsi="Times New Roman"/>
          <w:color w:val="000000"/>
          <w:sz w:val="20"/>
          <w:szCs w:val="20"/>
        </w:rPr>
        <w:t xml:space="preserve">Our products and services are grouped into the following categories: </w:t>
      </w:r>
    </w:p>
    <w:p w14:paraId="518B4330" w14:textId="77777777" w:rsidR="005C332D" w:rsidRDefault="00B93EAE">
      <w:pPr>
        <w:spacing w:before="120"/>
        <w:jc w:val="both"/>
      </w:pPr>
      <w:r>
        <w:rPr>
          <w:rFonts w:ascii="Times New Roman" w:eastAsia="宋体" w:hAnsi="Times New Roman"/>
          <w:b/>
          <w:bCs/>
          <w:i/>
          <w:iCs/>
          <w:color w:val="000000"/>
          <w:sz w:val="20"/>
          <w:szCs w:val="20"/>
        </w:rPr>
        <w:t>Secure, Agile Networks</w:t>
      </w:r>
    </w:p>
    <w:p w14:paraId="518B4331" w14:textId="77777777" w:rsidR="005C332D" w:rsidRDefault="00B93EAE">
      <w:pPr>
        <w:spacing w:before="120"/>
        <w:jc w:val="both"/>
      </w:pPr>
      <w:r>
        <w:rPr>
          <w:rFonts w:ascii="Times New Roman" w:eastAsia="宋体" w:hAnsi="Times New Roman"/>
          <w:color w:val="000000"/>
          <w:sz w:val="20"/>
          <w:szCs w:val="20"/>
        </w:rPr>
        <w:t xml:space="preserve">Secure, Agile Networks consists of our core networking technologies of switching, enterprise routing, wireless, and compute products. These </w:t>
      </w:r>
      <w:r>
        <w:rPr>
          <w:rFonts w:ascii="Times New Roman" w:eastAsia="宋体" w:hAnsi="Times New Roman"/>
          <w:color w:val="000000"/>
          <w:sz w:val="20"/>
          <w:szCs w:val="20"/>
        </w:rPr>
        <w:t>technologies consist of both hardware and software offerings, including software licenses and SaaS, that help our customers build networks, automate, orchestrate, integrate, and digitize data. We believe it is critical for us to continue to deliver continu</w:t>
      </w:r>
      <w:r>
        <w:rPr>
          <w:rFonts w:ascii="Times New Roman" w:eastAsia="宋体" w:hAnsi="Times New Roman"/>
          <w:color w:val="000000"/>
          <w:sz w:val="20"/>
          <w:szCs w:val="20"/>
        </w:rPr>
        <w:t>ous value to our customers. We continued to make progress in shifting more of our business to software and subscriptions across our core networking portfolio, and in expanding our software offerings. Our objective is to continue moving to cloud-managed sol</w:t>
      </w:r>
      <w:r>
        <w:rPr>
          <w:rFonts w:ascii="Times New Roman" w:eastAsia="宋体" w:hAnsi="Times New Roman"/>
          <w:color w:val="000000"/>
          <w:sz w:val="20"/>
          <w:szCs w:val="20"/>
        </w:rPr>
        <w:t>utions across our enterprise networking portfolio.</w:t>
      </w:r>
    </w:p>
    <w:p w14:paraId="518B4332" w14:textId="77777777" w:rsidR="005C332D" w:rsidRDefault="00B93EAE">
      <w:pPr>
        <w:spacing w:before="120"/>
        <w:jc w:val="both"/>
      </w:pPr>
      <w:r>
        <w:rPr>
          <w:rFonts w:ascii="Times New Roman" w:eastAsia="宋体" w:hAnsi="Times New Roman"/>
          <w:color w:val="000000"/>
          <w:sz w:val="20"/>
          <w:szCs w:val="20"/>
        </w:rPr>
        <w:t>Our Switching portfolio encompasses campus switching as well as data center switching offerings. Our campus switching offerings provide the foundation for converged data, voice, video, and IoT services. Th</w:t>
      </w:r>
      <w:r>
        <w:rPr>
          <w:rFonts w:ascii="Times New Roman" w:eastAsia="宋体" w:hAnsi="Times New Roman"/>
          <w:color w:val="000000"/>
          <w:sz w:val="20"/>
          <w:szCs w:val="20"/>
        </w:rPr>
        <w:t>ese switches offer enhanced security and reliability and are designed to scale efficiently as our customers grow. Within campus switching are our Catalyst 9000 series of switches that include hardware with embedded software, along with a software subscript</w:t>
      </w:r>
      <w:r>
        <w:rPr>
          <w:rFonts w:ascii="Times New Roman" w:eastAsia="宋体" w:hAnsi="Times New Roman"/>
          <w:color w:val="000000"/>
          <w:sz w:val="20"/>
          <w:szCs w:val="20"/>
        </w:rPr>
        <w:t>ion referred to as Cisco DNA. Cisco DNA provides automation, analytics and security features and can be centrally monitored, managed, and configured. With the expansion of WiFi-6, we have expanded our portfolio to include multigigabit technology in our swi</w:t>
      </w:r>
      <w:r>
        <w:rPr>
          <w:rFonts w:ascii="Times New Roman" w:eastAsia="宋体" w:hAnsi="Times New Roman"/>
          <w:color w:val="000000"/>
          <w:sz w:val="20"/>
          <w:szCs w:val="20"/>
        </w:rPr>
        <w:t>tches in order to manage higher bandwidth and manage network speed. Our data center switching offerings provide the foundation for mission critical data centers with high availability, scalability, and security across traditional data centers and private a</w:t>
      </w:r>
      <w:r>
        <w:rPr>
          <w:rFonts w:ascii="Times New Roman" w:eastAsia="宋体" w:hAnsi="Times New Roman"/>
          <w:color w:val="000000"/>
          <w:sz w:val="20"/>
          <w:szCs w:val="20"/>
        </w:rPr>
        <w:t>nd public cloud data centers. We continue to add greater visibility and analytics across our networks and applications, enabling us to deliver better experiences for our customers.</w:t>
      </w:r>
    </w:p>
    <w:p w14:paraId="518B4333" w14:textId="77777777" w:rsidR="005C332D" w:rsidRDefault="00B93EAE">
      <w:pPr>
        <w:spacing w:before="120"/>
        <w:jc w:val="both"/>
      </w:pPr>
      <w:r>
        <w:rPr>
          <w:rFonts w:ascii="Times New Roman" w:eastAsia="宋体" w:hAnsi="Times New Roman"/>
          <w:color w:val="000000"/>
          <w:sz w:val="20"/>
          <w:szCs w:val="20"/>
        </w:rPr>
        <w:t xml:space="preserve">Our Enterprise Routing portfolio interconnects public and private wireline </w:t>
      </w:r>
      <w:r>
        <w:rPr>
          <w:rFonts w:ascii="Times New Roman" w:eastAsia="宋体" w:hAnsi="Times New Roman"/>
          <w:color w:val="000000"/>
          <w:sz w:val="20"/>
          <w:szCs w:val="20"/>
        </w:rPr>
        <w:t>and mobile networks, delivering highly secure and reliable connectivity to campus, data center and branch networks for our large to small enterprise and commercial customers. Our routing solutions are designed to meet the scale, reliability, and security n</w:t>
      </w:r>
      <w:r>
        <w:rPr>
          <w:rFonts w:ascii="Times New Roman" w:eastAsia="宋体" w:hAnsi="Times New Roman"/>
          <w:color w:val="000000"/>
          <w:sz w:val="20"/>
          <w:szCs w:val="20"/>
        </w:rPr>
        <w:t>eeds of our customers.</w:t>
      </w:r>
    </w:p>
    <w:p w14:paraId="518B4334" w14:textId="77777777" w:rsidR="005C332D" w:rsidRDefault="00B93EAE">
      <w:pPr>
        <w:spacing w:before="120"/>
        <w:jc w:val="both"/>
      </w:pPr>
      <w:r>
        <w:rPr>
          <w:rFonts w:ascii="Times New Roman" w:eastAsia="宋体" w:hAnsi="Times New Roman"/>
          <w:color w:val="000000"/>
          <w:sz w:val="20"/>
          <w:szCs w:val="20"/>
        </w:rPr>
        <w:t>Our Wireless portfolio provides indoor and outdoor wireless coverage designed for seamless roaming use of voice, video, and data applications. These products include wireless access points that are standalone, controller appliance-ba</w:t>
      </w:r>
      <w:r>
        <w:rPr>
          <w:rFonts w:ascii="Times New Roman" w:eastAsia="宋体" w:hAnsi="Times New Roman"/>
          <w:color w:val="000000"/>
          <w:sz w:val="20"/>
          <w:szCs w:val="20"/>
        </w:rPr>
        <w:t>sed, switch-converged, and Meraki cloud-managed offerings.</w:t>
      </w:r>
    </w:p>
    <w:p w14:paraId="518B4335" w14:textId="77777777" w:rsidR="005C332D" w:rsidRDefault="00B93EAE">
      <w:pPr>
        <w:spacing w:before="120"/>
        <w:jc w:val="both"/>
      </w:pPr>
      <w:r>
        <w:rPr>
          <w:rFonts w:ascii="Times New Roman" w:eastAsia="宋体" w:hAnsi="Times New Roman"/>
          <w:color w:val="000000"/>
          <w:sz w:val="20"/>
          <w:szCs w:val="20"/>
        </w:rPr>
        <w:t>Our Compute portfolio incorporates various technologies and solutions including the Cisco Unified Computing System, HyperFlex, our hyperconverged offering, and software management capabilities, whi</w:t>
      </w:r>
      <w:r>
        <w:rPr>
          <w:rFonts w:ascii="Times New Roman" w:eastAsia="宋体" w:hAnsi="Times New Roman"/>
          <w:color w:val="000000"/>
          <w:sz w:val="20"/>
          <w:szCs w:val="20"/>
        </w:rPr>
        <w:t>ch combine computing, networking, and storage infrastructure management and virtualization to deliver agility, simplicity, and scale.</w:t>
      </w:r>
    </w:p>
    <w:p w14:paraId="518B4336" w14:textId="77777777" w:rsidR="005C332D" w:rsidRDefault="00B93EAE">
      <w:pPr>
        <w:spacing w:before="120"/>
        <w:jc w:val="both"/>
      </w:pPr>
      <w:r>
        <w:rPr>
          <w:rFonts w:ascii="Times New Roman" w:eastAsia="宋体" w:hAnsi="Times New Roman"/>
          <w:b/>
          <w:bCs/>
          <w:i/>
          <w:iCs/>
          <w:color w:val="000000"/>
          <w:sz w:val="20"/>
          <w:szCs w:val="20"/>
        </w:rPr>
        <w:t>Internet for the Future</w:t>
      </w:r>
    </w:p>
    <w:p w14:paraId="518B4337" w14:textId="77777777" w:rsidR="005C332D" w:rsidRDefault="00B93EAE">
      <w:pPr>
        <w:spacing w:before="120"/>
        <w:jc w:val="both"/>
      </w:pPr>
      <w:r>
        <w:rPr>
          <w:rFonts w:ascii="Times New Roman" w:eastAsia="宋体" w:hAnsi="Times New Roman"/>
          <w:color w:val="000000"/>
          <w:sz w:val="20"/>
          <w:szCs w:val="20"/>
        </w:rPr>
        <w:t>Our Internet for the Future product category consists of our routed optical networking, 5G, silico</w:t>
      </w:r>
      <w:r>
        <w:rPr>
          <w:rFonts w:ascii="Times New Roman" w:eastAsia="宋体" w:hAnsi="Times New Roman"/>
          <w:color w:val="000000"/>
          <w:sz w:val="20"/>
          <w:szCs w:val="20"/>
        </w:rPr>
        <w:t xml:space="preserve">n and optics solutions. We are focusing on transforming connectivity to the Internet and the cloud environment by efficiently meeting the growing demand for low-latency and higher speeds. Our routed optical networking systems, based on our Silicon One and </w:t>
      </w:r>
      <w:r>
        <w:rPr>
          <w:rFonts w:ascii="Times New Roman" w:eastAsia="宋体" w:hAnsi="Times New Roman"/>
          <w:color w:val="000000"/>
          <w:sz w:val="20"/>
          <w:szCs w:val="20"/>
        </w:rPr>
        <w:t>pluggable optic solutions, allow us to transform the economics of building and operating networks for our service provider customers, including our webscale customers. We believe silicon and optics are foundational technologies for the continued buildout o</w:t>
      </w:r>
      <w:r>
        <w:rPr>
          <w:rFonts w:ascii="Times New Roman" w:eastAsia="宋体" w:hAnsi="Times New Roman"/>
          <w:color w:val="000000"/>
          <w:sz w:val="20"/>
          <w:szCs w:val="20"/>
        </w:rPr>
        <w:t>f the Internet. As connection speeds increase, optics become increasingly important in our view.</w:t>
      </w:r>
    </w:p>
    <w:p w14:paraId="518B4338" w14:textId="77777777" w:rsidR="005C332D" w:rsidRDefault="00B93EAE">
      <w:pPr>
        <w:spacing w:before="120"/>
        <w:jc w:val="both"/>
      </w:pPr>
      <w:r>
        <w:rPr>
          <w:rFonts w:ascii="Times New Roman" w:eastAsia="宋体" w:hAnsi="Times New Roman"/>
          <w:b/>
          <w:bCs/>
          <w:i/>
          <w:iCs/>
          <w:color w:val="000000"/>
          <w:sz w:val="20"/>
          <w:szCs w:val="20"/>
        </w:rPr>
        <w:t>Collaboration</w:t>
      </w:r>
    </w:p>
    <w:p w14:paraId="518B4339" w14:textId="77777777" w:rsidR="005C332D" w:rsidRDefault="00B93EAE">
      <w:pPr>
        <w:spacing w:before="120"/>
        <w:jc w:val="both"/>
      </w:pPr>
      <w:r>
        <w:rPr>
          <w:rFonts w:ascii="Times New Roman" w:eastAsia="宋体" w:hAnsi="Times New Roman"/>
          <w:color w:val="000000"/>
          <w:sz w:val="20"/>
          <w:szCs w:val="20"/>
        </w:rPr>
        <w:t>Our Collaboration product category consists of our Meetings, Collaboration Devices, Calling, Contact Center and Communication Platform as a Servi</w:t>
      </w:r>
      <w:r>
        <w:rPr>
          <w:rFonts w:ascii="Times New Roman" w:eastAsia="宋体" w:hAnsi="Times New Roman"/>
          <w:color w:val="000000"/>
          <w:sz w:val="20"/>
          <w:szCs w:val="20"/>
        </w:rPr>
        <w:t>ce (CPaaS) offerings. Our offerings within the Collaboration portfolio consist of software offerings, including perpetual licenses and subscription arrangements, as well as hardware. Our Collaboration strategy is to power hybrid work by reimagining employe</w:t>
      </w:r>
      <w:r>
        <w:rPr>
          <w:rFonts w:ascii="Times New Roman" w:eastAsia="宋体" w:hAnsi="Times New Roman"/>
          <w:color w:val="000000"/>
          <w:sz w:val="20"/>
          <w:szCs w:val="20"/>
        </w:rPr>
        <w:t>e and customer experiences to be more inclusive and engaging by providing technology that enables distributed teams to collaborate effortlessly. We offer end-to-end collaboration solutions that can be delivered from the cloud, on-premise or within hybrid c</w:t>
      </w:r>
      <w:r>
        <w:rPr>
          <w:rFonts w:ascii="Times New Roman" w:eastAsia="宋体" w:hAnsi="Times New Roman"/>
          <w:color w:val="000000"/>
          <w:sz w:val="20"/>
          <w:szCs w:val="20"/>
        </w:rPr>
        <w:t xml:space="preserve">loud environments allowing customers to transition their collaboration </w:t>
      </w:r>
    </w:p>
    <w:p w14:paraId="518B433A" w14:textId="77777777" w:rsidR="005C332D" w:rsidRDefault="00B93EAE">
      <w:pPr>
        <w:jc w:val="center"/>
      </w:pPr>
      <w:r>
        <w:rPr>
          <w:rFonts w:ascii="Times New Roman" w:eastAsia="宋体" w:hAnsi="Times New Roman"/>
          <w:color w:val="000000"/>
          <w:sz w:val="20"/>
          <w:szCs w:val="20"/>
        </w:rPr>
        <w:t>4</w:t>
      </w:r>
    </w:p>
    <w:p w14:paraId="518B433B" w14:textId="77777777" w:rsidR="005C332D" w:rsidRDefault="00B93EAE">
      <w:r>
        <w:pict w14:anchorId="518B8713">
          <v:rect id="_x0000_i1030" style="width:415.3pt;height:1.5pt" o:hralign="center" o:hrstd="t" o:hr="t" fillcolor="#a0a0a0" stroked="f"/>
        </w:pict>
      </w:r>
    </w:p>
    <w:p w14:paraId="518B433C" w14:textId="77777777" w:rsidR="005C332D" w:rsidRDefault="00B93EAE">
      <w:hyperlink r:id="rId58" w:anchor="i049852cab38845aabd2a79d07dacda86_7" w:history="1">
        <w:r>
          <w:rPr>
            <w:rStyle w:val="a5"/>
            <w:rFonts w:ascii="Times New Roman" w:eastAsia="宋体" w:hAnsi="Times New Roman"/>
            <w:sz w:val="20"/>
            <w:szCs w:val="20"/>
          </w:rPr>
          <w:t>Table of Contents</w:t>
        </w:r>
      </w:hyperlink>
    </w:p>
    <w:p w14:paraId="518B433D" w14:textId="77777777" w:rsidR="005C332D" w:rsidRDefault="00B93EAE">
      <w:pPr>
        <w:spacing w:before="120"/>
        <w:jc w:val="both"/>
      </w:pPr>
      <w:r>
        <w:rPr>
          <w:rFonts w:ascii="Times New Roman" w:eastAsia="宋体" w:hAnsi="Times New Roman"/>
          <w:color w:val="000000"/>
          <w:sz w:val="20"/>
          <w:szCs w:val="20"/>
        </w:rPr>
        <w:t>solutions fro</w:t>
      </w:r>
      <w:r>
        <w:rPr>
          <w:rFonts w:ascii="Times New Roman" w:eastAsia="宋体" w:hAnsi="Times New Roman"/>
          <w:color w:val="000000"/>
          <w:sz w:val="20"/>
          <w:szCs w:val="20"/>
        </w:rPr>
        <w:t>m on-premise to the cloud. Artificial intelligence (AI) and machine learning capabilities are embedded across the Webex portfolio, providing collaboration experiences that integrate people insights, relationship and audio intelligence to help improve produ</w:t>
      </w:r>
      <w:r>
        <w:rPr>
          <w:rFonts w:ascii="Times New Roman" w:eastAsia="宋体" w:hAnsi="Times New Roman"/>
          <w:color w:val="000000"/>
          <w:sz w:val="20"/>
          <w:szCs w:val="20"/>
        </w:rPr>
        <w:t>ctivity. Our CPaaS is a cloud communications platform that integrates communication channels and existing back-end business systems together to help enable the orchestration and automation of all customer and employee interactions.</w:t>
      </w:r>
    </w:p>
    <w:p w14:paraId="518B433E" w14:textId="77777777" w:rsidR="005C332D" w:rsidRDefault="00B93EAE">
      <w:pPr>
        <w:spacing w:before="120"/>
        <w:jc w:val="both"/>
      </w:pPr>
      <w:r>
        <w:rPr>
          <w:rFonts w:ascii="Times New Roman" w:eastAsia="宋体" w:hAnsi="Times New Roman"/>
          <w:b/>
          <w:bCs/>
          <w:i/>
          <w:iCs/>
          <w:color w:val="000000"/>
          <w:sz w:val="20"/>
          <w:szCs w:val="20"/>
        </w:rPr>
        <w:t>End-to-End Security</w:t>
      </w:r>
    </w:p>
    <w:p w14:paraId="518B433F" w14:textId="77777777" w:rsidR="005C332D" w:rsidRDefault="00B93EAE">
      <w:pPr>
        <w:spacing w:before="12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End-to-End Security product category consists of our Network Security, Cloud Security, Security Endpoints, Unified Threat Management and Zero Trust offerings. Security continues to be a leading priority for our customers, regardless of size or industry. We</w:t>
      </w:r>
      <w:r>
        <w:rPr>
          <w:rFonts w:ascii="Times New Roman" w:eastAsia="宋体" w:hAnsi="Times New Roman"/>
          <w:color w:val="000000"/>
          <w:sz w:val="20"/>
          <w:szCs w:val="20"/>
        </w:rPr>
        <w:t xml:space="preserve"> continue to invest in resources across our security portfolio focused on cloud-based offerings, AI-driven threat detection and end-to-end security architectures.</w:t>
      </w:r>
    </w:p>
    <w:p w14:paraId="518B4340" w14:textId="77777777" w:rsidR="005C332D" w:rsidRDefault="00B93EAE">
      <w:pPr>
        <w:spacing w:before="120"/>
        <w:jc w:val="both"/>
      </w:pPr>
      <w:r>
        <w:rPr>
          <w:rFonts w:ascii="Times New Roman" w:eastAsia="宋体" w:hAnsi="Times New Roman"/>
          <w:color w:val="000000"/>
          <w:sz w:val="20"/>
          <w:szCs w:val="20"/>
        </w:rPr>
        <w:t>Our SecureX solution provides unified visibility and detection across our entire portfolio to</w:t>
      </w:r>
      <w:r>
        <w:rPr>
          <w:rFonts w:ascii="Times New Roman" w:eastAsia="宋体" w:hAnsi="Times New Roman"/>
          <w:color w:val="000000"/>
          <w:sz w:val="20"/>
          <w:szCs w:val="20"/>
        </w:rPr>
        <w:t xml:space="preserve"> help our customers connect our integrated security portfolio and existing security infrastructure to provide simplicity, visibility, and efficiency. Secure Access by Duo is our core solution for identity verification and secure remote access. Our technolo</w:t>
      </w:r>
      <w:r>
        <w:rPr>
          <w:rFonts w:ascii="Times New Roman" w:eastAsia="宋体" w:hAnsi="Times New Roman"/>
          <w:color w:val="000000"/>
          <w:sz w:val="20"/>
          <w:szCs w:val="20"/>
        </w:rPr>
        <w:t>gy, Cisco+ Secure Connect solution, combines network and security functionality in a single, cloud-native service to help secure access wherever users and applications reside. Additionally, we continue to invest in expanding our SASE architecture by delive</w:t>
      </w:r>
      <w:r>
        <w:rPr>
          <w:rFonts w:ascii="Times New Roman" w:eastAsia="宋体" w:hAnsi="Times New Roman"/>
          <w:color w:val="000000"/>
          <w:sz w:val="20"/>
          <w:szCs w:val="20"/>
        </w:rPr>
        <w:t>ring combined network and security functionality in a single cloud-native service.</w:t>
      </w:r>
    </w:p>
    <w:p w14:paraId="518B4341" w14:textId="77777777" w:rsidR="005C332D" w:rsidRDefault="00B93EAE">
      <w:pPr>
        <w:spacing w:before="120"/>
        <w:jc w:val="both"/>
      </w:pPr>
      <w:r>
        <w:rPr>
          <w:rFonts w:ascii="Times New Roman" w:eastAsia="宋体" w:hAnsi="Times New Roman"/>
          <w:b/>
          <w:bCs/>
          <w:i/>
          <w:iCs/>
          <w:color w:val="000000"/>
          <w:sz w:val="20"/>
          <w:szCs w:val="20"/>
        </w:rPr>
        <w:t>Optimized Application Experiences</w:t>
      </w:r>
    </w:p>
    <w:p w14:paraId="518B4342" w14:textId="77777777" w:rsidR="005C332D" w:rsidRDefault="00B93EAE">
      <w:pPr>
        <w:spacing w:before="120"/>
        <w:jc w:val="both"/>
      </w:pPr>
      <w:r>
        <w:rPr>
          <w:rFonts w:ascii="Times New Roman" w:eastAsia="宋体" w:hAnsi="Times New Roman"/>
          <w:color w:val="000000"/>
          <w:sz w:val="20"/>
          <w:szCs w:val="20"/>
        </w:rPr>
        <w:t xml:space="preserve">The Optimized Application Experiences product category consist of our full stack observability and cloud-native platform </w:t>
      </w:r>
      <w:r>
        <w:rPr>
          <w:rFonts w:ascii="Times New Roman" w:eastAsia="宋体" w:hAnsi="Times New Roman"/>
          <w:color w:val="000000"/>
          <w:sz w:val="20"/>
          <w:szCs w:val="20"/>
        </w:rPr>
        <w:t>offerings. Our full stack observability offerings are designed to bring together and provide end-to-end visibility of our customer’s environments across applications, networks, multi-cloud infrastructures and the Internet, to help deliver full stack observ</w:t>
      </w:r>
      <w:r>
        <w:rPr>
          <w:rFonts w:ascii="Times New Roman" w:eastAsia="宋体" w:hAnsi="Times New Roman"/>
          <w:color w:val="000000"/>
          <w:sz w:val="20"/>
          <w:szCs w:val="20"/>
        </w:rPr>
        <w:t>ability for modern environments and drive relevant real-time insights. Our Intersight platform offers a foundational container platform and infrastructure as code capabilities to simplify deployment and provisioning for our customers. Our monitoring and an</w:t>
      </w:r>
      <w:r>
        <w:rPr>
          <w:rFonts w:ascii="Times New Roman" w:eastAsia="宋体" w:hAnsi="Times New Roman"/>
          <w:color w:val="000000"/>
          <w:sz w:val="20"/>
          <w:szCs w:val="20"/>
        </w:rPr>
        <w:t>alytics offering, AppDynamics, monitors performance across different application-related domains. Our network services offering, ThousandEyes, provides a 360-degree view of hybrid digital ecosystems—across cloud, SaaS and the Internet—by combining Internet</w:t>
      </w:r>
      <w:r>
        <w:rPr>
          <w:rFonts w:ascii="Times New Roman" w:eastAsia="宋体" w:hAnsi="Times New Roman"/>
          <w:color w:val="000000"/>
          <w:sz w:val="20"/>
          <w:szCs w:val="20"/>
        </w:rPr>
        <w:t xml:space="preserve"> and WAN visibility, testing of web-based user experiences, end-user monitoring and Internet Insights.</w:t>
      </w:r>
    </w:p>
    <w:p w14:paraId="518B4343" w14:textId="77777777" w:rsidR="005C332D" w:rsidRDefault="00B93EAE">
      <w:pPr>
        <w:spacing w:before="120"/>
      </w:pPr>
      <w:r>
        <w:rPr>
          <w:rFonts w:ascii="Times New Roman" w:eastAsia="宋体" w:hAnsi="Times New Roman"/>
          <w:b/>
          <w:bCs/>
          <w:i/>
          <w:iCs/>
          <w:color w:val="000000"/>
          <w:sz w:val="20"/>
          <w:szCs w:val="20"/>
        </w:rPr>
        <w:t>Services</w:t>
      </w:r>
    </w:p>
    <w:p w14:paraId="518B4344" w14:textId="77777777" w:rsidR="005C332D" w:rsidRDefault="00B93EAE">
      <w:pPr>
        <w:spacing w:before="120"/>
        <w:jc w:val="both"/>
      </w:pPr>
      <w:r>
        <w:rPr>
          <w:rFonts w:ascii="Times New Roman" w:eastAsia="宋体" w:hAnsi="Times New Roman"/>
          <w:color w:val="000000"/>
          <w:sz w:val="20"/>
          <w:szCs w:val="20"/>
        </w:rPr>
        <w:t>In addition to our product offerings, we provide a broad range of service and support options for our customers. Our overall service and support</w:t>
      </w:r>
      <w:r>
        <w:rPr>
          <w:rFonts w:ascii="Times New Roman" w:eastAsia="宋体" w:hAnsi="Times New Roman"/>
          <w:color w:val="000000"/>
          <w:sz w:val="20"/>
          <w:szCs w:val="20"/>
        </w:rPr>
        <w:t xml:space="preserve"> offerings are combined into one organization, Customer Experience, that is responsible for the end-to-end customer experience. </w:t>
      </w:r>
    </w:p>
    <w:p w14:paraId="518B4345" w14:textId="77777777" w:rsidR="005C332D" w:rsidRDefault="00B93EAE">
      <w:pPr>
        <w:spacing w:before="120"/>
        <w:jc w:val="both"/>
      </w:pPr>
      <w:r>
        <w:rPr>
          <w:rFonts w:ascii="Times New Roman" w:eastAsia="宋体" w:hAnsi="Times New Roman"/>
          <w:color w:val="000000"/>
          <w:sz w:val="20"/>
          <w:szCs w:val="20"/>
        </w:rPr>
        <w:t>Our support and maintenance services help our customers ensure their products operate efficiently, remain available, and benefi</w:t>
      </w:r>
      <w:r>
        <w:rPr>
          <w:rFonts w:ascii="Times New Roman" w:eastAsia="宋体" w:hAnsi="Times New Roman"/>
          <w:color w:val="000000"/>
          <w:sz w:val="20"/>
          <w:szCs w:val="20"/>
        </w:rPr>
        <w:t xml:space="preserve">t from the most up-to-date system and application software. These services help customers protect their network investments, manage risk, and minimize downtime for systems running mission-critical applications. A key example is Cisco Smart Services, which </w:t>
      </w:r>
      <w:r>
        <w:rPr>
          <w:rFonts w:ascii="Times New Roman" w:eastAsia="宋体" w:hAnsi="Times New Roman"/>
          <w:color w:val="222222"/>
          <w:sz w:val="20"/>
          <w:szCs w:val="20"/>
        </w:rPr>
        <w:t>leverages the intelligence from the installed base of our products and customer connections to protect and optimize network investments for our customers and partners.</w:t>
      </w:r>
      <w:r>
        <w:rPr>
          <w:rFonts w:ascii="Times New Roman" w:eastAsia="宋体" w:hAnsi="Times New Roman"/>
          <w:color w:val="000000"/>
          <w:sz w:val="20"/>
          <w:szCs w:val="20"/>
        </w:rPr>
        <w:t xml:space="preserve"> We have expanded these offerings from traditional hardware support to include software, solutions, and premium support.</w:t>
      </w:r>
    </w:p>
    <w:p w14:paraId="518B4346" w14:textId="77777777" w:rsidR="005C332D" w:rsidRDefault="00B93EAE">
      <w:pPr>
        <w:spacing w:before="120"/>
        <w:jc w:val="both"/>
      </w:pPr>
      <w:r>
        <w:rPr>
          <w:rFonts w:ascii="Times New Roman" w:eastAsia="宋体" w:hAnsi="Times New Roman"/>
          <w:color w:val="000000"/>
          <w:sz w:val="20"/>
          <w:szCs w:val="20"/>
        </w:rPr>
        <w:t>We also provide comprehensive advisory services that are focused on responsive, preventive, and consultative support of our technologie</w:t>
      </w:r>
      <w:r>
        <w:rPr>
          <w:rFonts w:ascii="Times New Roman" w:eastAsia="宋体" w:hAnsi="Times New Roman"/>
          <w:color w:val="000000"/>
          <w:sz w:val="20"/>
          <w:szCs w:val="20"/>
        </w:rPr>
        <w:t>s for specific networking needs. We are investing in and expanding advisory services in the areas of software, cloud, security, and analytics, which reflects our strategy of selling customer outcomes. We are focused on three priorities: utilizing technolog</w:t>
      </w:r>
      <w:r>
        <w:rPr>
          <w:rFonts w:ascii="Times New Roman" w:eastAsia="宋体" w:hAnsi="Times New Roman"/>
          <w:color w:val="000000"/>
          <w:sz w:val="20"/>
          <w:szCs w:val="20"/>
        </w:rPr>
        <w:t>y advisory services to drive higher product and services; assessment and migration services providing the tools, expertise and methodologies to enable our customers to migrate to new technology platforms; and providing optimization services aligned with cu</w:t>
      </w:r>
      <w:r>
        <w:rPr>
          <w:rFonts w:ascii="Times New Roman" w:eastAsia="宋体" w:hAnsi="Times New Roman"/>
          <w:color w:val="000000"/>
          <w:sz w:val="20"/>
          <w:szCs w:val="20"/>
        </w:rPr>
        <w:t>stomers’ business expectations.</w:t>
      </w:r>
    </w:p>
    <w:p w14:paraId="518B4347" w14:textId="77777777" w:rsidR="005C332D" w:rsidRDefault="00B93EAE">
      <w:pPr>
        <w:jc w:val="center"/>
      </w:pPr>
      <w:r>
        <w:rPr>
          <w:rFonts w:ascii="Times New Roman" w:eastAsia="宋体" w:hAnsi="Times New Roman"/>
          <w:color w:val="000000"/>
          <w:sz w:val="20"/>
          <w:szCs w:val="20"/>
        </w:rPr>
        <w:t>5</w:t>
      </w:r>
    </w:p>
    <w:p w14:paraId="518B4348" w14:textId="77777777" w:rsidR="005C332D" w:rsidRDefault="00B93EAE">
      <w:r>
        <w:pict w14:anchorId="518B8714">
          <v:rect id="_x0000_i1031" style="width:415.3pt;height:1.5pt" o:hralign="center" o:hrstd="t" o:hr="t" fillcolor="#a0a0a0" stroked="f"/>
        </w:pict>
      </w:r>
    </w:p>
    <w:p w14:paraId="518B4349" w14:textId="77777777" w:rsidR="005C332D" w:rsidRDefault="00B93EAE">
      <w:hyperlink r:id="rId59" w:anchor="i049852cab38845aabd2a79d07dacda86_7" w:history="1">
        <w:r>
          <w:rPr>
            <w:rStyle w:val="a5"/>
            <w:rFonts w:ascii="Times New Roman" w:eastAsia="宋体" w:hAnsi="Times New Roman"/>
            <w:sz w:val="20"/>
            <w:szCs w:val="20"/>
          </w:rPr>
          <w:t>Table of Contents</w:t>
        </w:r>
      </w:hyperlink>
    </w:p>
    <w:p w14:paraId="518B434A" w14:textId="77777777" w:rsidR="005C332D" w:rsidRDefault="00B93EAE">
      <w:pPr>
        <w:spacing w:before="120"/>
        <w:jc w:val="both"/>
      </w:pPr>
      <w:r>
        <w:rPr>
          <w:rFonts w:ascii="Times New Roman" w:eastAsia="宋体" w:hAnsi="Times New Roman"/>
          <w:b/>
          <w:bCs/>
          <w:color w:val="000000"/>
          <w:sz w:val="20"/>
          <w:szCs w:val="20"/>
        </w:rPr>
        <w:t xml:space="preserve">Customers and Markets </w:t>
      </w:r>
    </w:p>
    <w:p w14:paraId="518B434B" w14:textId="77777777" w:rsidR="005C332D" w:rsidRDefault="00B93EAE">
      <w:pPr>
        <w:spacing w:before="120"/>
        <w:jc w:val="both"/>
      </w:pPr>
      <w:r>
        <w:rPr>
          <w:rFonts w:ascii="Times New Roman" w:eastAsia="宋体" w:hAnsi="Times New Roman"/>
          <w:color w:val="000000"/>
          <w:sz w:val="20"/>
          <w:szCs w:val="20"/>
        </w:rPr>
        <w:t>Many factors influence the IT,</w:t>
      </w:r>
      <w:r>
        <w:rPr>
          <w:rFonts w:ascii="Times New Roman" w:eastAsia="宋体" w:hAnsi="Times New Roman"/>
          <w:color w:val="000000"/>
          <w:sz w:val="20"/>
          <w:szCs w:val="20"/>
        </w:rPr>
        <w:t xml:space="preserve"> collaboration, and networking requirements of our customers. These include the size of the organization, number and types of technology systems, geographic location, and business applications deployed throughout the customer’s network. Our customer base i</w:t>
      </w:r>
      <w:r>
        <w:rPr>
          <w:rFonts w:ascii="Times New Roman" w:eastAsia="宋体" w:hAnsi="Times New Roman"/>
          <w:color w:val="000000"/>
          <w:sz w:val="20"/>
          <w:szCs w:val="20"/>
        </w:rPr>
        <w:t>s not limited to any specific industry, geography, or market segment. Our customers primarily operate in the following markets: enterprise, commercial, service provider, and public sector.</w:t>
      </w:r>
    </w:p>
    <w:p w14:paraId="518B434C" w14:textId="77777777" w:rsidR="005C332D" w:rsidRDefault="00B93EAE">
      <w:pPr>
        <w:spacing w:before="120"/>
        <w:jc w:val="both"/>
      </w:pPr>
      <w:r>
        <w:rPr>
          <w:rFonts w:ascii="Times New Roman" w:eastAsia="宋体" w:hAnsi="Times New Roman"/>
          <w:b/>
          <w:bCs/>
          <w:i/>
          <w:iCs/>
          <w:color w:val="000000"/>
          <w:sz w:val="20"/>
          <w:szCs w:val="20"/>
        </w:rPr>
        <w:t xml:space="preserve">Enterprise </w:t>
      </w:r>
    </w:p>
    <w:p w14:paraId="518B434D" w14:textId="77777777" w:rsidR="005C332D" w:rsidRDefault="00B93EAE">
      <w:pPr>
        <w:spacing w:before="120"/>
        <w:jc w:val="both"/>
      </w:pPr>
      <w:r>
        <w:rPr>
          <w:rFonts w:ascii="Times New Roman" w:eastAsia="宋体" w:hAnsi="Times New Roman"/>
          <w:color w:val="000000"/>
          <w:sz w:val="20"/>
          <w:szCs w:val="20"/>
        </w:rPr>
        <w:t xml:space="preserve">Enterprise businesses are large regional, national, or </w:t>
      </w:r>
      <w:r>
        <w:rPr>
          <w:rFonts w:ascii="Times New Roman" w:eastAsia="宋体" w:hAnsi="Times New Roman"/>
          <w:color w:val="000000"/>
          <w:sz w:val="20"/>
          <w:szCs w:val="20"/>
        </w:rPr>
        <w:t>global organizations with multiple locations or branch offices. Many enterprise businesses have unique IT, collaboration, and networking needs within a multivendor environment. We offer service and support packages, financing, and managed network services,</w:t>
      </w:r>
      <w:r>
        <w:rPr>
          <w:rFonts w:ascii="Times New Roman" w:eastAsia="宋体" w:hAnsi="Times New Roman"/>
          <w:color w:val="000000"/>
          <w:sz w:val="20"/>
          <w:szCs w:val="20"/>
        </w:rPr>
        <w:t xml:space="preserve"> primarily through our service provider partners. We sell these products through a network of third-party application and technology vendors and channel partners, as well as selling directly to these customers.</w:t>
      </w:r>
    </w:p>
    <w:p w14:paraId="518B434E" w14:textId="77777777" w:rsidR="005C332D" w:rsidRDefault="00B93EAE">
      <w:pPr>
        <w:spacing w:before="120"/>
        <w:jc w:val="both"/>
      </w:pPr>
      <w:r>
        <w:rPr>
          <w:rFonts w:ascii="Times New Roman" w:eastAsia="宋体" w:hAnsi="Times New Roman"/>
          <w:b/>
          <w:bCs/>
          <w:i/>
          <w:iCs/>
          <w:color w:val="000000"/>
          <w:sz w:val="20"/>
          <w:szCs w:val="20"/>
        </w:rPr>
        <w:t>Commercial</w:t>
      </w:r>
    </w:p>
    <w:p w14:paraId="518B434F" w14:textId="77777777" w:rsidR="005C332D" w:rsidRDefault="00B93EAE">
      <w:pPr>
        <w:spacing w:before="120"/>
        <w:jc w:val="both"/>
      </w:pPr>
      <w:r>
        <w:rPr>
          <w:rFonts w:ascii="Times New Roman" w:eastAsia="宋体" w:hAnsi="Times New Roman"/>
          <w:color w:val="000000"/>
          <w:sz w:val="20"/>
          <w:szCs w:val="20"/>
        </w:rPr>
        <w:t>The commercial market represents l</w:t>
      </w:r>
      <w:r>
        <w:rPr>
          <w:rFonts w:ascii="Times New Roman" w:eastAsia="宋体" w:hAnsi="Times New Roman"/>
          <w:color w:val="000000"/>
          <w:sz w:val="20"/>
          <w:szCs w:val="20"/>
        </w:rPr>
        <w:t xml:space="preserve">arger, or midmarket and small businesses. We sell to our midmarket customers through a combination of our direct sales force and channel partners. These customers typically require the latest advanced technologies that our enterprise customers demand, but </w:t>
      </w:r>
      <w:r>
        <w:rPr>
          <w:rFonts w:ascii="Times New Roman" w:eastAsia="宋体" w:hAnsi="Times New Roman"/>
          <w:color w:val="000000"/>
          <w:sz w:val="20"/>
          <w:szCs w:val="20"/>
        </w:rPr>
        <w:t>with less complexity. Small businesses require information technologies and communications products that are easy to configure, install, and maintain. We sell to these smaller organizations within the commercial market primarily through channel partners.</w:t>
      </w:r>
    </w:p>
    <w:p w14:paraId="518B4350" w14:textId="77777777" w:rsidR="005C332D" w:rsidRDefault="00B93EAE">
      <w:pPr>
        <w:spacing w:before="120"/>
        <w:jc w:val="both"/>
      </w:pPr>
      <w:r>
        <w:rPr>
          <w:rFonts w:ascii="Times New Roman" w:eastAsia="宋体" w:hAnsi="Times New Roman"/>
          <w:b/>
          <w:bCs/>
          <w:i/>
          <w:iCs/>
          <w:color w:val="000000"/>
          <w:sz w:val="20"/>
          <w:szCs w:val="20"/>
        </w:rPr>
        <w:t>S</w:t>
      </w:r>
      <w:r>
        <w:rPr>
          <w:rFonts w:ascii="Times New Roman" w:eastAsia="宋体" w:hAnsi="Times New Roman"/>
          <w:b/>
          <w:bCs/>
          <w:i/>
          <w:iCs/>
          <w:color w:val="000000"/>
          <w:sz w:val="20"/>
          <w:szCs w:val="20"/>
        </w:rPr>
        <w:t>ervice Providers</w:t>
      </w:r>
    </w:p>
    <w:p w14:paraId="518B4351" w14:textId="77777777" w:rsidR="005C332D" w:rsidRDefault="00B93EAE">
      <w:pPr>
        <w:spacing w:before="120"/>
        <w:jc w:val="both"/>
      </w:pPr>
      <w:r>
        <w:rPr>
          <w:rFonts w:ascii="Times New Roman" w:eastAsia="宋体" w:hAnsi="Times New Roman"/>
          <w:color w:val="000000"/>
          <w:sz w:val="20"/>
          <w:szCs w:val="20"/>
        </w:rPr>
        <w:t>Service providers offer data, voice, video, and mobile/wireless services to businesses, governments, utilities, and consumers worldwide. The service provider market includes regional, national, and international wireline carriers, webscale</w:t>
      </w:r>
      <w:r>
        <w:rPr>
          <w:rFonts w:ascii="Times New Roman" w:eastAsia="宋体" w:hAnsi="Times New Roman"/>
          <w:color w:val="000000"/>
          <w:sz w:val="20"/>
          <w:szCs w:val="20"/>
        </w:rPr>
        <w:t xml:space="preserve"> operators as well as Internet, cable, and wireless providers. We also include media, broadcast, and content providers within our service provider market, as the lines in the telecommunications industry continue to blur between traditional network-based, c</w:t>
      </w:r>
      <w:r>
        <w:rPr>
          <w:rFonts w:ascii="Times New Roman" w:eastAsia="宋体" w:hAnsi="Times New Roman"/>
          <w:color w:val="000000"/>
          <w:sz w:val="20"/>
          <w:szCs w:val="20"/>
        </w:rPr>
        <w:t xml:space="preserve">ontent-based and application-based services. Service providers use a variety of our products and services for their own networks. In addition, many service providers use Cisco data center, virtualization, and collaboration technologies to offer managed or </w:t>
      </w:r>
      <w:r>
        <w:rPr>
          <w:rFonts w:ascii="Times New Roman" w:eastAsia="宋体" w:hAnsi="Times New Roman"/>
          <w:color w:val="000000"/>
          <w:sz w:val="20"/>
          <w:szCs w:val="20"/>
        </w:rPr>
        <w:t>Internet-based services to their business customers. Compared with other customers, service providers are more likely to require network design, deployment, and support services because of the greater scale and higher complexity of their networks, whose re</w:t>
      </w:r>
      <w:r>
        <w:rPr>
          <w:rFonts w:ascii="Times New Roman" w:eastAsia="宋体" w:hAnsi="Times New Roman"/>
          <w:color w:val="000000"/>
          <w:sz w:val="20"/>
          <w:szCs w:val="20"/>
        </w:rPr>
        <w:t>quirements are addressed, we believe, by our architectural approach.</w:t>
      </w:r>
    </w:p>
    <w:p w14:paraId="518B4352" w14:textId="77777777" w:rsidR="005C332D" w:rsidRDefault="00B93EAE">
      <w:pPr>
        <w:spacing w:before="120"/>
        <w:jc w:val="both"/>
      </w:pPr>
      <w:r>
        <w:rPr>
          <w:rFonts w:ascii="Times New Roman" w:eastAsia="宋体" w:hAnsi="Times New Roman"/>
          <w:b/>
          <w:bCs/>
          <w:i/>
          <w:iCs/>
          <w:color w:val="000000"/>
          <w:sz w:val="20"/>
          <w:szCs w:val="20"/>
        </w:rPr>
        <w:t>Public Sector</w:t>
      </w:r>
    </w:p>
    <w:p w14:paraId="518B4353" w14:textId="77777777" w:rsidR="005C332D" w:rsidRDefault="00B93EAE">
      <w:pPr>
        <w:spacing w:before="120"/>
        <w:jc w:val="both"/>
      </w:pPr>
      <w:r>
        <w:rPr>
          <w:rFonts w:ascii="Times New Roman" w:eastAsia="宋体" w:hAnsi="Times New Roman"/>
          <w:color w:val="000000"/>
          <w:sz w:val="20"/>
          <w:szCs w:val="20"/>
        </w:rPr>
        <w:t>The public sector market includes federal, state and local governments, as well as educational institution customers. Many public sector customers have unique IT, collaborat</w:t>
      </w:r>
      <w:r>
        <w:rPr>
          <w:rFonts w:ascii="Times New Roman" w:eastAsia="宋体" w:hAnsi="Times New Roman"/>
          <w:color w:val="000000"/>
          <w:sz w:val="20"/>
          <w:szCs w:val="20"/>
        </w:rPr>
        <w:t>ion, and networking needs within a multi-vendor environment. We sell to public sector customers through a network of third-party application and technology vendors, channel partners, as well as through direct sales.</w:t>
      </w:r>
    </w:p>
    <w:p w14:paraId="518B4354" w14:textId="77777777" w:rsidR="005C332D" w:rsidRDefault="00B93EAE">
      <w:pPr>
        <w:spacing w:before="120"/>
      </w:pPr>
      <w:r>
        <w:rPr>
          <w:rFonts w:ascii="Times New Roman" w:eastAsia="宋体" w:hAnsi="Times New Roman"/>
          <w:b/>
          <w:bCs/>
          <w:color w:val="000000"/>
          <w:sz w:val="20"/>
          <w:szCs w:val="20"/>
        </w:rPr>
        <w:t xml:space="preserve">Sales Overview </w:t>
      </w:r>
    </w:p>
    <w:p w14:paraId="518B4355" w14:textId="77777777" w:rsidR="005C332D" w:rsidRDefault="00B93EAE">
      <w:pPr>
        <w:spacing w:before="120"/>
        <w:jc w:val="both"/>
      </w:pPr>
      <w:r>
        <w:rPr>
          <w:rFonts w:ascii="Times New Roman" w:eastAsia="宋体" w:hAnsi="Times New Roman"/>
          <w:color w:val="000000"/>
          <w:sz w:val="20"/>
          <w:szCs w:val="20"/>
        </w:rPr>
        <w:t xml:space="preserve">As of the end of fiscal </w:t>
      </w:r>
      <w:r>
        <w:rPr>
          <w:rFonts w:ascii="Times New Roman" w:eastAsia="宋体" w:hAnsi="Times New Roman"/>
          <w:color w:val="000000"/>
          <w:sz w:val="20"/>
          <w:szCs w:val="20"/>
        </w:rPr>
        <w:t>2022, our worldwide sales and marketing functions consisted of approximately 26,000 employees, including managers, sales representatives, and technical support personnel. We sell our products and services both directly and through a variety of channels wit</w:t>
      </w:r>
      <w:r>
        <w:rPr>
          <w:rFonts w:ascii="Times New Roman" w:eastAsia="宋体" w:hAnsi="Times New Roman"/>
          <w:color w:val="000000"/>
          <w:sz w:val="20"/>
          <w:szCs w:val="20"/>
        </w:rPr>
        <w:t>h support from our salesforce. A substantial portion of our products and services is sold through channel partners, and the remainder is sold through direct sales. Channel partners include systems integrators, service providers, other resellers, and distri</w:t>
      </w:r>
      <w:r>
        <w:rPr>
          <w:rFonts w:ascii="Times New Roman" w:eastAsia="宋体" w:hAnsi="Times New Roman"/>
          <w:color w:val="000000"/>
          <w:sz w:val="20"/>
          <w:szCs w:val="20"/>
        </w:rPr>
        <w:t>butors.</w:t>
      </w:r>
    </w:p>
    <w:p w14:paraId="518B4356" w14:textId="77777777" w:rsidR="005C332D" w:rsidRDefault="00B93EAE">
      <w:pPr>
        <w:spacing w:before="120"/>
        <w:jc w:val="both"/>
      </w:pPr>
      <w:r>
        <w:rPr>
          <w:rFonts w:ascii="Times New Roman" w:eastAsia="宋体" w:hAnsi="Times New Roman"/>
          <w:color w:val="000000"/>
          <w:sz w:val="20"/>
          <w:szCs w:val="20"/>
        </w:rPr>
        <w:t xml:space="preserve">Systems integrators and service providers typically sell directly to end users and often provide system installation, technical support, professional services, and other support services in addition to network equipment sales. Systems </w:t>
      </w:r>
      <w:r>
        <w:rPr>
          <w:rFonts w:ascii="Times New Roman" w:eastAsia="宋体" w:hAnsi="Times New Roman"/>
          <w:color w:val="000000"/>
          <w:sz w:val="20"/>
          <w:szCs w:val="20"/>
        </w:rPr>
        <w:t>integrators also typically integrate our products into an overall solution. Some service providers are also systems integrators.</w:t>
      </w:r>
    </w:p>
    <w:p w14:paraId="518B4357" w14:textId="77777777" w:rsidR="005C332D" w:rsidRDefault="00B93EAE">
      <w:pPr>
        <w:spacing w:before="120"/>
        <w:jc w:val="both"/>
      </w:pPr>
      <w:r>
        <w:rPr>
          <w:rFonts w:ascii="Times New Roman" w:eastAsia="宋体" w:hAnsi="Times New Roman"/>
          <w:color w:val="000000"/>
          <w:sz w:val="20"/>
          <w:szCs w:val="20"/>
        </w:rPr>
        <w:t>Distributors may hold inventory and sell to systems integrators, service providers, and other resellers. We refer to sales thro</w:t>
      </w:r>
      <w:r>
        <w:rPr>
          <w:rFonts w:ascii="Times New Roman" w:eastAsia="宋体" w:hAnsi="Times New Roman"/>
          <w:color w:val="000000"/>
          <w:sz w:val="20"/>
          <w:szCs w:val="20"/>
        </w:rPr>
        <w:t>ugh distributors as our two-tier system of sales to the end customer. Revenue from two-tier distributors is recognized based on a sell-in method. These distributors may be given business terms that allow them to return a limited portion of inventory, recei</w:t>
      </w:r>
      <w:r>
        <w:rPr>
          <w:rFonts w:ascii="Times New Roman" w:eastAsia="宋体" w:hAnsi="Times New Roman"/>
          <w:color w:val="000000"/>
          <w:sz w:val="20"/>
          <w:szCs w:val="20"/>
        </w:rPr>
        <w:t>ve credits for changes in selling prices, receive certain rebates, and participate in various cooperative marketing programs.</w:t>
      </w:r>
    </w:p>
    <w:p w14:paraId="518B4358" w14:textId="77777777" w:rsidR="005C332D" w:rsidRDefault="00B93EAE">
      <w:pPr>
        <w:spacing w:before="120"/>
        <w:jc w:val="both"/>
      </w:pPr>
      <w:r>
        <w:rPr>
          <w:rFonts w:ascii="Times New Roman" w:eastAsia="宋体" w:hAnsi="Times New Roman"/>
          <w:color w:val="000000"/>
          <w:sz w:val="20"/>
          <w:szCs w:val="20"/>
        </w:rPr>
        <w:t>For information regarding risks related to our sales channels, see “Item 1A. Risk Factors,” including the risk factors entitled “D</w:t>
      </w:r>
      <w:r>
        <w:rPr>
          <w:rFonts w:ascii="Times New Roman" w:eastAsia="宋体" w:hAnsi="Times New Roman"/>
          <w:color w:val="000000"/>
          <w:sz w:val="20"/>
          <w:szCs w:val="20"/>
        </w:rPr>
        <w:t>isruption of or changes in our distribution model could harm our sales and margins” and “Inventory management relating to our sales to our two-tier distribution channel is complex, and excess inventory may harm our gross margins.”</w:t>
      </w:r>
    </w:p>
    <w:p w14:paraId="518B4359" w14:textId="77777777" w:rsidR="005C332D" w:rsidRDefault="00B93EAE">
      <w:pPr>
        <w:spacing w:before="120"/>
        <w:jc w:val="both"/>
      </w:pPr>
      <w:r>
        <w:rPr>
          <w:rFonts w:ascii="Times New Roman" w:eastAsia="宋体" w:hAnsi="Times New Roman"/>
          <w:color w:val="000000"/>
          <w:sz w:val="20"/>
          <w:szCs w:val="20"/>
        </w:rPr>
        <w:t>For information regarding</w:t>
      </w:r>
      <w:r>
        <w:rPr>
          <w:rFonts w:ascii="Times New Roman" w:eastAsia="宋体" w:hAnsi="Times New Roman"/>
          <w:color w:val="000000"/>
          <w:sz w:val="20"/>
          <w:szCs w:val="20"/>
        </w:rPr>
        <w:t xml:space="preserve"> risks relating to our international operations, see “Item 1A. Risk Factors,” including the risk factors entitled “Our operating results may be adversely affected by unfavorable economic and market conditions and the uncertain </w:t>
      </w:r>
    </w:p>
    <w:p w14:paraId="518B435A" w14:textId="77777777" w:rsidR="005C332D" w:rsidRDefault="00B93EAE">
      <w:pPr>
        <w:jc w:val="center"/>
      </w:pPr>
      <w:r>
        <w:rPr>
          <w:rFonts w:ascii="Times New Roman" w:eastAsia="宋体" w:hAnsi="Times New Roman"/>
          <w:color w:val="000000"/>
          <w:sz w:val="20"/>
          <w:szCs w:val="20"/>
        </w:rPr>
        <w:t>6</w:t>
      </w:r>
    </w:p>
    <w:p w14:paraId="518B435B" w14:textId="77777777" w:rsidR="005C332D" w:rsidRDefault="00B93EAE">
      <w:r>
        <w:pict w14:anchorId="518B8715">
          <v:rect id="_x0000_i1032" style="width:415.3pt;height:1.5pt" o:hralign="center" o:hrstd="t" o:hr="t" fillcolor="#a0a0a0" stroked="f"/>
        </w:pict>
      </w:r>
    </w:p>
    <w:p w14:paraId="518B435C" w14:textId="77777777" w:rsidR="005C332D" w:rsidRDefault="00B93EAE">
      <w:hyperlink r:id="rId60" w:anchor="i049852cab38845aabd2a79d07dacda86_7" w:history="1">
        <w:r>
          <w:rPr>
            <w:rStyle w:val="a5"/>
            <w:rFonts w:ascii="Times New Roman" w:eastAsia="宋体" w:hAnsi="Times New Roman"/>
            <w:sz w:val="20"/>
            <w:szCs w:val="20"/>
          </w:rPr>
          <w:t>Table of Contents</w:t>
        </w:r>
      </w:hyperlink>
    </w:p>
    <w:p w14:paraId="518B435D" w14:textId="77777777" w:rsidR="005C332D" w:rsidRDefault="00B93EAE">
      <w:pPr>
        <w:spacing w:before="120"/>
        <w:jc w:val="both"/>
      </w:pPr>
      <w:r>
        <w:rPr>
          <w:rFonts w:ascii="Times New Roman" w:eastAsia="宋体" w:hAnsi="Times New Roman"/>
          <w:color w:val="000000"/>
          <w:sz w:val="20"/>
          <w:szCs w:val="20"/>
        </w:rPr>
        <w:t xml:space="preserve">geopolitical environment;” “Entrance into new or developing markets exposes us to additional </w:t>
      </w:r>
      <w:r>
        <w:rPr>
          <w:rFonts w:ascii="Times New Roman" w:eastAsia="宋体" w:hAnsi="Times New Roman"/>
          <w:color w:val="000000"/>
          <w:sz w:val="20"/>
          <w:szCs w:val="20"/>
        </w:rPr>
        <w:t xml:space="preserve">competition and will likely increase demands on our service and support operations;” “Due to the global nature of our operations, political or economic changes or other factors in a specific country or region could harm our operating results and financial </w:t>
      </w:r>
      <w:r>
        <w:rPr>
          <w:rFonts w:ascii="Times New Roman" w:eastAsia="宋体" w:hAnsi="Times New Roman"/>
          <w:color w:val="000000"/>
          <w:sz w:val="20"/>
          <w:szCs w:val="20"/>
        </w:rPr>
        <w:t>condition;” “We are exposed to fluctuations in currency exchange rates that could negatively impact our financial results and cash flows;” and “Cyber attacks, data breaches or malware may disrupt our operations, harm our operating results and financial con</w:t>
      </w:r>
      <w:r>
        <w:rPr>
          <w:rFonts w:ascii="Times New Roman" w:eastAsia="宋体" w:hAnsi="Times New Roman"/>
          <w:color w:val="000000"/>
          <w:sz w:val="20"/>
          <w:szCs w:val="20"/>
        </w:rPr>
        <w:t>dition, and damage our reputation or otherwise materially harm our business; and cyber attacks or data breaches on our customers’ or third-party providers’ networks, or in cloud-based services provided to, by, or enabled by us, could result in claims of li</w:t>
      </w:r>
      <w:r>
        <w:rPr>
          <w:rFonts w:ascii="Times New Roman" w:eastAsia="宋体" w:hAnsi="Times New Roman"/>
          <w:color w:val="000000"/>
          <w:sz w:val="20"/>
          <w:szCs w:val="20"/>
        </w:rPr>
        <w:t>ability against us, give rise to legal and/or regulatory action, damage our reputation or otherwise materially harm our business,” among others.</w:t>
      </w:r>
    </w:p>
    <w:p w14:paraId="518B435E" w14:textId="77777777" w:rsidR="005C332D" w:rsidRDefault="00B93EAE">
      <w:pPr>
        <w:spacing w:before="120"/>
        <w:jc w:val="both"/>
      </w:pPr>
      <w:r>
        <w:rPr>
          <w:rFonts w:ascii="Times New Roman" w:eastAsia="宋体" w:hAnsi="Times New Roman"/>
          <w:color w:val="000000"/>
          <w:sz w:val="20"/>
          <w:szCs w:val="20"/>
        </w:rPr>
        <w:t>Our service offerings complement our products through a range of consulting, technical, project, quality, and s</w:t>
      </w:r>
      <w:r>
        <w:rPr>
          <w:rFonts w:ascii="Times New Roman" w:eastAsia="宋体" w:hAnsi="Times New Roman"/>
          <w:color w:val="000000"/>
          <w:sz w:val="20"/>
          <w:szCs w:val="20"/>
        </w:rPr>
        <w:t>oftware maintenance services, including 24-hour online and telephone support through technical assistance centers.</w:t>
      </w:r>
    </w:p>
    <w:p w14:paraId="518B435F" w14:textId="77777777" w:rsidR="005C332D" w:rsidRDefault="00B93EAE">
      <w:pPr>
        <w:spacing w:before="120"/>
        <w:jc w:val="both"/>
      </w:pPr>
      <w:r>
        <w:rPr>
          <w:rFonts w:ascii="Times New Roman" w:eastAsia="宋体" w:hAnsi="Times New Roman"/>
          <w:b/>
          <w:bCs/>
          <w:color w:val="000000"/>
          <w:sz w:val="20"/>
          <w:szCs w:val="20"/>
        </w:rPr>
        <w:t>Financing Arrangements</w:t>
      </w:r>
    </w:p>
    <w:p w14:paraId="518B4360" w14:textId="77777777" w:rsidR="005C332D" w:rsidRDefault="00B93EAE">
      <w:pPr>
        <w:spacing w:before="120"/>
        <w:jc w:val="both"/>
      </w:pPr>
      <w:r>
        <w:rPr>
          <w:rFonts w:ascii="Times New Roman" w:eastAsia="宋体" w:hAnsi="Times New Roman"/>
          <w:color w:val="000000"/>
          <w:sz w:val="20"/>
          <w:szCs w:val="20"/>
        </w:rPr>
        <w:t>We provide financing arrangements for certain qualified customers to build, maintain, and upgrade their networks. We b</w:t>
      </w:r>
      <w:r>
        <w:rPr>
          <w:rFonts w:ascii="Times New Roman" w:eastAsia="宋体" w:hAnsi="Times New Roman"/>
          <w:color w:val="000000"/>
          <w:sz w:val="20"/>
          <w:szCs w:val="20"/>
        </w:rPr>
        <w:t>elieve customer financing is a competitive advantage in obtaining business, particularly for those customers involved in significant infrastructure projects. Our financing arrangements include the following:</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8218"/>
        <w:gridCol w:w="37"/>
      </w:tblGrid>
      <w:tr w:rsidR="005C332D" w14:paraId="518B4364" w14:textId="77777777">
        <w:trPr>
          <w:jc w:val="center"/>
        </w:trPr>
        <w:tc>
          <w:tcPr>
            <w:tcW w:w="50" w:type="pct"/>
            <w:shd w:val="clear" w:color="auto" w:fill="auto"/>
            <w:vAlign w:val="bottom"/>
          </w:tcPr>
          <w:p w14:paraId="518B4361" w14:textId="77777777" w:rsidR="005C332D" w:rsidRDefault="005C332D">
            <w:pPr>
              <w:rPr>
                <w:rFonts w:ascii="宋体"/>
              </w:rPr>
            </w:pPr>
          </w:p>
        </w:tc>
        <w:tc>
          <w:tcPr>
            <w:tcW w:w="4945" w:type="pct"/>
            <w:shd w:val="clear" w:color="auto" w:fill="auto"/>
            <w:vAlign w:val="bottom"/>
          </w:tcPr>
          <w:p w14:paraId="518B4362" w14:textId="77777777" w:rsidR="005C332D" w:rsidRDefault="005C332D">
            <w:pPr>
              <w:rPr>
                <w:rFonts w:ascii="宋体"/>
              </w:rPr>
            </w:pPr>
          </w:p>
        </w:tc>
        <w:tc>
          <w:tcPr>
            <w:tcW w:w="5" w:type="pct"/>
            <w:shd w:val="clear" w:color="auto" w:fill="auto"/>
            <w:vAlign w:val="bottom"/>
          </w:tcPr>
          <w:p w14:paraId="518B4363" w14:textId="77777777" w:rsidR="005C332D" w:rsidRDefault="005C332D">
            <w:pPr>
              <w:rPr>
                <w:rFonts w:ascii="宋体"/>
              </w:rPr>
            </w:pPr>
          </w:p>
        </w:tc>
      </w:tr>
      <w:tr w:rsidR="005C332D" w14:paraId="518B4366" w14:textId="77777777">
        <w:trPr>
          <w:jc w:val="center"/>
        </w:trPr>
        <w:tc>
          <w:tcPr>
            <w:tcW w:w="0" w:type="auto"/>
            <w:gridSpan w:val="3"/>
            <w:shd w:val="clear" w:color="auto" w:fill="CCEEFF"/>
            <w:tcMar>
              <w:top w:w="40" w:type="dxa"/>
              <w:left w:w="20" w:type="dxa"/>
              <w:bottom w:w="40" w:type="dxa"/>
              <w:right w:w="20" w:type="dxa"/>
            </w:tcMar>
            <w:vAlign w:val="bottom"/>
          </w:tcPr>
          <w:p w14:paraId="518B4365" w14:textId="77777777" w:rsidR="005C332D" w:rsidRDefault="00B93EAE">
            <w:pPr>
              <w:textAlignment w:val="bottom"/>
            </w:pPr>
            <w:r>
              <w:rPr>
                <w:rFonts w:ascii="Times New Roman" w:eastAsia="宋体" w:hAnsi="Times New Roman"/>
                <w:color w:val="000000"/>
                <w:sz w:val="20"/>
                <w:szCs w:val="20"/>
              </w:rPr>
              <w:t>Leases:</w:t>
            </w:r>
          </w:p>
        </w:tc>
      </w:tr>
      <w:tr w:rsidR="005C332D" w14:paraId="518B4368" w14:textId="77777777">
        <w:trPr>
          <w:jc w:val="center"/>
        </w:trPr>
        <w:tc>
          <w:tcPr>
            <w:tcW w:w="0" w:type="auto"/>
            <w:gridSpan w:val="3"/>
            <w:shd w:val="clear" w:color="auto" w:fill="FFFFFF"/>
            <w:tcMar>
              <w:top w:w="40" w:type="dxa"/>
              <w:left w:w="155" w:type="dxa"/>
              <w:bottom w:w="40" w:type="dxa"/>
              <w:right w:w="20" w:type="dxa"/>
            </w:tcMar>
            <w:vAlign w:val="bottom"/>
          </w:tcPr>
          <w:p w14:paraId="518B4367" w14:textId="77777777" w:rsidR="005C332D" w:rsidRDefault="00B93EAE">
            <w:pPr>
              <w:textAlignment w:val="bottom"/>
            </w:pPr>
            <w:r>
              <w:rPr>
                <w:rFonts w:ascii="Times New Roman" w:eastAsia="宋体" w:hAnsi="Times New Roman"/>
                <w:color w:val="000000"/>
                <w:sz w:val="20"/>
                <w:szCs w:val="20"/>
              </w:rPr>
              <w:t>• Sales-type</w:t>
            </w:r>
          </w:p>
        </w:tc>
      </w:tr>
      <w:tr w:rsidR="005C332D" w14:paraId="518B436A" w14:textId="77777777">
        <w:trPr>
          <w:jc w:val="center"/>
        </w:trPr>
        <w:tc>
          <w:tcPr>
            <w:tcW w:w="0" w:type="auto"/>
            <w:gridSpan w:val="3"/>
            <w:shd w:val="clear" w:color="auto" w:fill="CCEEFF"/>
            <w:tcMar>
              <w:top w:w="40" w:type="dxa"/>
              <w:left w:w="155" w:type="dxa"/>
              <w:bottom w:w="40" w:type="dxa"/>
              <w:right w:w="20" w:type="dxa"/>
            </w:tcMar>
            <w:vAlign w:val="bottom"/>
          </w:tcPr>
          <w:p w14:paraId="518B4369" w14:textId="77777777" w:rsidR="005C332D" w:rsidRDefault="00B93EAE">
            <w:pPr>
              <w:textAlignment w:val="bottom"/>
            </w:pPr>
            <w:r>
              <w:rPr>
                <w:rFonts w:ascii="Times New Roman" w:eastAsia="宋体" w:hAnsi="Times New Roman"/>
                <w:color w:val="000000"/>
                <w:sz w:val="20"/>
                <w:szCs w:val="20"/>
              </w:rPr>
              <w:t xml:space="preserve">• Direct </w:t>
            </w:r>
            <w:r>
              <w:rPr>
                <w:rFonts w:ascii="Times New Roman" w:eastAsia="宋体" w:hAnsi="Times New Roman"/>
                <w:color w:val="000000"/>
                <w:sz w:val="20"/>
                <w:szCs w:val="20"/>
              </w:rPr>
              <w:t>financing</w:t>
            </w:r>
          </w:p>
        </w:tc>
      </w:tr>
      <w:tr w:rsidR="005C332D" w14:paraId="518B436C" w14:textId="77777777">
        <w:trPr>
          <w:jc w:val="center"/>
        </w:trPr>
        <w:tc>
          <w:tcPr>
            <w:tcW w:w="0" w:type="auto"/>
            <w:gridSpan w:val="3"/>
            <w:shd w:val="clear" w:color="auto" w:fill="FFFFFF"/>
            <w:tcMar>
              <w:top w:w="40" w:type="dxa"/>
              <w:left w:w="155" w:type="dxa"/>
              <w:bottom w:w="40" w:type="dxa"/>
              <w:right w:w="20" w:type="dxa"/>
            </w:tcMar>
            <w:vAlign w:val="bottom"/>
          </w:tcPr>
          <w:p w14:paraId="518B436B" w14:textId="77777777" w:rsidR="005C332D" w:rsidRDefault="00B93EAE">
            <w:pPr>
              <w:textAlignment w:val="bottom"/>
            </w:pPr>
            <w:r>
              <w:rPr>
                <w:rFonts w:ascii="Times New Roman" w:eastAsia="宋体" w:hAnsi="Times New Roman"/>
                <w:color w:val="000000"/>
                <w:sz w:val="20"/>
                <w:szCs w:val="20"/>
              </w:rPr>
              <w:t>• Operating</w:t>
            </w:r>
          </w:p>
        </w:tc>
      </w:tr>
      <w:tr w:rsidR="005C332D" w14:paraId="518B436E" w14:textId="77777777">
        <w:trPr>
          <w:jc w:val="center"/>
        </w:trPr>
        <w:tc>
          <w:tcPr>
            <w:tcW w:w="0" w:type="auto"/>
            <w:gridSpan w:val="3"/>
            <w:shd w:val="clear" w:color="auto" w:fill="CCEEFF"/>
            <w:tcMar>
              <w:top w:w="40" w:type="dxa"/>
              <w:left w:w="20" w:type="dxa"/>
              <w:bottom w:w="40" w:type="dxa"/>
              <w:right w:w="20" w:type="dxa"/>
            </w:tcMar>
            <w:vAlign w:val="bottom"/>
          </w:tcPr>
          <w:p w14:paraId="518B436D" w14:textId="77777777" w:rsidR="005C332D" w:rsidRDefault="00B93EAE">
            <w:pPr>
              <w:textAlignment w:val="bottom"/>
            </w:pPr>
            <w:r>
              <w:rPr>
                <w:rFonts w:ascii="Times New Roman" w:eastAsia="宋体" w:hAnsi="Times New Roman"/>
                <w:color w:val="000000"/>
                <w:sz w:val="20"/>
                <w:szCs w:val="20"/>
              </w:rPr>
              <w:t>Loans</w:t>
            </w:r>
          </w:p>
        </w:tc>
      </w:tr>
      <w:tr w:rsidR="005C332D" w14:paraId="518B4370" w14:textId="77777777">
        <w:trPr>
          <w:jc w:val="center"/>
        </w:trPr>
        <w:tc>
          <w:tcPr>
            <w:tcW w:w="0" w:type="auto"/>
            <w:gridSpan w:val="3"/>
            <w:shd w:val="clear" w:color="auto" w:fill="FFFFFF"/>
            <w:tcMar>
              <w:top w:w="40" w:type="dxa"/>
              <w:left w:w="20" w:type="dxa"/>
              <w:bottom w:w="40" w:type="dxa"/>
              <w:right w:w="20" w:type="dxa"/>
            </w:tcMar>
            <w:vAlign w:val="bottom"/>
          </w:tcPr>
          <w:p w14:paraId="518B436F" w14:textId="77777777" w:rsidR="005C332D" w:rsidRDefault="00B93EAE">
            <w:pPr>
              <w:textAlignment w:val="bottom"/>
            </w:pPr>
            <w:r>
              <w:rPr>
                <w:rFonts w:ascii="Times New Roman" w:eastAsia="宋体" w:hAnsi="Times New Roman"/>
                <w:color w:val="000000"/>
                <w:sz w:val="20"/>
                <w:szCs w:val="20"/>
              </w:rPr>
              <w:t>Financed service contracts</w:t>
            </w:r>
          </w:p>
        </w:tc>
      </w:tr>
      <w:tr w:rsidR="005C332D" w14:paraId="518B4372" w14:textId="77777777">
        <w:trPr>
          <w:jc w:val="center"/>
        </w:trPr>
        <w:tc>
          <w:tcPr>
            <w:tcW w:w="0" w:type="auto"/>
            <w:gridSpan w:val="3"/>
            <w:shd w:val="clear" w:color="auto" w:fill="CCEEFF"/>
            <w:tcMar>
              <w:top w:w="40" w:type="dxa"/>
              <w:left w:w="20" w:type="dxa"/>
              <w:bottom w:w="40" w:type="dxa"/>
              <w:right w:w="20" w:type="dxa"/>
            </w:tcMar>
            <w:vAlign w:val="bottom"/>
          </w:tcPr>
          <w:p w14:paraId="518B4371" w14:textId="77777777" w:rsidR="005C332D" w:rsidRDefault="00B93EAE">
            <w:pPr>
              <w:textAlignment w:val="bottom"/>
            </w:pPr>
            <w:r>
              <w:rPr>
                <w:rFonts w:ascii="Times New Roman" w:eastAsia="宋体" w:hAnsi="Times New Roman"/>
                <w:color w:val="000000"/>
                <w:sz w:val="20"/>
                <w:szCs w:val="20"/>
              </w:rPr>
              <w:t>Channels financing arrangements</w:t>
            </w:r>
          </w:p>
        </w:tc>
      </w:tr>
    </w:tbl>
    <w:p w14:paraId="518B4373" w14:textId="77777777" w:rsidR="005C332D" w:rsidRDefault="00B93EAE">
      <w:pPr>
        <w:spacing w:before="120"/>
        <w:jc w:val="both"/>
      </w:pPr>
      <w:r>
        <w:rPr>
          <w:rFonts w:ascii="Times New Roman" w:eastAsia="宋体" w:hAnsi="Times New Roman"/>
          <w:b/>
          <w:bCs/>
          <w:color w:val="000000"/>
          <w:sz w:val="20"/>
          <w:szCs w:val="20"/>
        </w:rPr>
        <w:t>Acquisitions, Investments, and Alliances</w:t>
      </w:r>
    </w:p>
    <w:p w14:paraId="518B4374" w14:textId="77777777" w:rsidR="005C332D" w:rsidRDefault="00B93EAE">
      <w:pPr>
        <w:spacing w:before="120"/>
        <w:jc w:val="both"/>
      </w:pPr>
      <w:r>
        <w:rPr>
          <w:rFonts w:ascii="Times New Roman" w:eastAsia="宋体" w:hAnsi="Times New Roman"/>
          <w:color w:val="000000"/>
          <w:sz w:val="20"/>
          <w:szCs w:val="20"/>
        </w:rPr>
        <w:t xml:space="preserve">The markets in which we compete require a wide variety of technologies, products, and capabilities. Our growth </w:t>
      </w:r>
      <w:r>
        <w:rPr>
          <w:rFonts w:ascii="Times New Roman" w:eastAsia="宋体" w:hAnsi="Times New Roman"/>
          <w:color w:val="000000"/>
          <w:sz w:val="20"/>
          <w:szCs w:val="20"/>
        </w:rPr>
        <w:t>strategy is based on the components of innovation, which we sometimes refer to as “build, buy, partner, invest, and co-develop.” This five-prong approach to how we innovate can be summarized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69"/>
        <w:gridCol w:w="1161"/>
        <w:gridCol w:w="36"/>
        <w:gridCol w:w="69"/>
        <w:gridCol w:w="6928"/>
        <w:gridCol w:w="36"/>
      </w:tblGrid>
      <w:tr w:rsidR="005C332D" w14:paraId="518B437B" w14:textId="77777777">
        <w:trPr>
          <w:jc w:val="center"/>
        </w:trPr>
        <w:tc>
          <w:tcPr>
            <w:tcW w:w="50" w:type="pct"/>
            <w:shd w:val="clear" w:color="auto" w:fill="auto"/>
            <w:vAlign w:val="bottom"/>
          </w:tcPr>
          <w:p w14:paraId="518B4375" w14:textId="77777777" w:rsidR="005C332D" w:rsidRDefault="005C332D">
            <w:pPr>
              <w:rPr>
                <w:rFonts w:ascii="宋体"/>
              </w:rPr>
            </w:pPr>
          </w:p>
        </w:tc>
        <w:tc>
          <w:tcPr>
            <w:tcW w:w="708" w:type="pct"/>
            <w:shd w:val="clear" w:color="auto" w:fill="auto"/>
            <w:vAlign w:val="bottom"/>
          </w:tcPr>
          <w:p w14:paraId="518B4376" w14:textId="77777777" w:rsidR="005C332D" w:rsidRDefault="005C332D">
            <w:pPr>
              <w:rPr>
                <w:rFonts w:ascii="宋体"/>
              </w:rPr>
            </w:pPr>
          </w:p>
        </w:tc>
        <w:tc>
          <w:tcPr>
            <w:tcW w:w="5" w:type="pct"/>
            <w:shd w:val="clear" w:color="auto" w:fill="auto"/>
            <w:vAlign w:val="bottom"/>
          </w:tcPr>
          <w:p w14:paraId="518B4377" w14:textId="77777777" w:rsidR="005C332D" w:rsidRDefault="005C332D">
            <w:pPr>
              <w:rPr>
                <w:rFonts w:ascii="宋体"/>
              </w:rPr>
            </w:pPr>
          </w:p>
        </w:tc>
        <w:tc>
          <w:tcPr>
            <w:tcW w:w="50" w:type="pct"/>
            <w:shd w:val="clear" w:color="auto" w:fill="auto"/>
            <w:vAlign w:val="bottom"/>
          </w:tcPr>
          <w:p w14:paraId="518B4378" w14:textId="77777777" w:rsidR="005C332D" w:rsidRDefault="005C332D">
            <w:pPr>
              <w:rPr>
                <w:rFonts w:ascii="宋体"/>
              </w:rPr>
            </w:pPr>
          </w:p>
        </w:tc>
        <w:tc>
          <w:tcPr>
            <w:tcW w:w="4181" w:type="pct"/>
            <w:shd w:val="clear" w:color="auto" w:fill="auto"/>
            <w:vAlign w:val="bottom"/>
          </w:tcPr>
          <w:p w14:paraId="518B4379" w14:textId="77777777" w:rsidR="005C332D" w:rsidRDefault="005C332D">
            <w:pPr>
              <w:rPr>
                <w:rFonts w:ascii="宋体"/>
              </w:rPr>
            </w:pPr>
          </w:p>
        </w:tc>
        <w:tc>
          <w:tcPr>
            <w:tcW w:w="5" w:type="pct"/>
            <w:shd w:val="clear" w:color="auto" w:fill="auto"/>
            <w:vAlign w:val="bottom"/>
          </w:tcPr>
          <w:p w14:paraId="518B437A" w14:textId="77777777" w:rsidR="005C332D" w:rsidRDefault="005C332D">
            <w:pPr>
              <w:rPr>
                <w:rFonts w:ascii="宋体"/>
              </w:rPr>
            </w:pPr>
          </w:p>
        </w:tc>
      </w:tr>
      <w:tr w:rsidR="005C332D" w14:paraId="518B437E" w14:textId="77777777">
        <w:trPr>
          <w:jc w:val="center"/>
        </w:trPr>
        <w:tc>
          <w:tcPr>
            <w:tcW w:w="0" w:type="auto"/>
            <w:gridSpan w:val="3"/>
            <w:shd w:val="clear" w:color="auto" w:fill="CCEEFF"/>
            <w:tcMar>
              <w:top w:w="40" w:type="dxa"/>
              <w:left w:w="20" w:type="dxa"/>
              <w:bottom w:w="40" w:type="dxa"/>
              <w:right w:w="20" w:type="dxa"/>
            </w:tcMar>
            <w:vAlign w:val="center"/>
          </w:tcPr>
          <w:p w14:paraId="518B437C" w14:textId="77777777" w:rsidR="005C332D" w:rsidRDefault="00B93EAE">
            <w:pPr>
              <w:textAlignment w:val="center"/>
            </w:pPr>
            <w:r>
              <w:rPr>
                <w:rFonts w:ascii="Times New Roman" w:eastAsia="宋体" w:hAnsi="Times New Roman"/>
                <w:b/>
                <w:bCs/>
                <w:color w:val="000000"/>
                <w:sz w:val="20"/>
                <w:szCs w:val="20"/>
              </w:rPr>
              <w:t>Build</w:t>
            </w:r>
          </w:p>
        </w:tc>
        <w:tc>
          <w:tcPr>
            <w:tcW w:w="0" w:type="auto"/>
            <w:gridSpan w:val="3"/>
            <w:shd w:val="clear" w:color="auto" w:fill="CCEEFF"/>
            <w:tcMar>
              <w:top w:w="40" w:type="dxa"/>
              <w:left w:w="20" w:type="dxa"/>
              <w:bottom w:w="40" w:type="dxa"/>
              <w:right w:w="20" w:type="dxa"/>
            </w:tcMar>
            <w:vAlign w:val="center"/>
          </w:tcPr>
          <w:p w14:paraId="518B437D" w14:textId="77777777" w:rsidR="005C332D" w:rsidRDefault="00B93EAE">
            <w:pPr>
              <w:jc w:val="both"/>
              <w:textAlignment w:val="center"/>
            </w:pPr>
            <w:r>
              <w:rPr>
                <w:rFonts w:ascii="Times New Roman" w:eastAsia="宋体" w:hAnsi="Times New Roman"/>
                <w:color w:val="000000"/>
                <w:sz w:val="20"/>
                <w:szCs w:val="20"/>
              </w:rPr>
              <w:t xml:space="preserve">Working within Cisco, with the </w:t>
            </w:r>
            <w:r>
              <w:rPr>
                <w:rFonts w:ascii="Times New Roman" w:eastAsia="宋体" w:hAnsi="Times New Roman"/>
                <w:color w:val="000000"/>
                <w:sz w:val="20"/>
                <w:szCs w:val="20"/>
              </w:rPr>
              <w:t>developer community, or with customers</w:t>
            </w:r>
          </w:p>
        </w:tc>
      </w:tr>
      <w:tr w:rsidR="005C332D" w14:paraId="518B4381" w14:textId="77777777">
        <w:trPr>
          <w:jc w:val="center"/>
        </w:trPr>
        <w:tc>
          <w:tcPr>
            <w:tcW w:w="0" w:type="auto"/>
            <w:gridSpan w:val="3"/>
            <w:shd w:val="clear" w:color="auto" w:fill="FFFFFF"/>
            <w:tcMar>
              <w:top w:w="40" w:type="dxa"/>
              <w:left w:w="20" w:type="dxa"/>
              <w:bottom w:w="40" w:type="dxa"/>
              <w:right w:w="20" w:type="dxa"/>
            </w:tcMar>
            <w:vAlign w:val="center"/>
          </w:tcPr>
          <w:p w14:paraId="518B437F" w14:textId="77777777" w:rsidR="005C332D" w:rsidRDefault="00B93EAE">
            <w:pPr>
              <w:textAlignment w:val="center"/>
            </w:pPr>
            <w:r>
              <w:rPr>
                <w:rFonts w:ascii="Times New Roman" w:eastAsia="宋体" w:hAnsi="Times New Roman"/>
                <w:b/>
                <w:bCs/>
                <w:color w:val="000000"/>
                <w:sz w:val="20"/>
                <w:szCs w:val="20"/>
              </w:rPr>
              <w:t>Buy</w:t>
            </w:r>
          </w:p>
        </w:tc>
        <w:tc>
          <w:tcPr>
            <w:tcW w:w="0" w:type="auto"/>
            <w:gridSpan w:val="3"/>
            <w:shd w:val="clear" w:color="auto" w:fill="FFFFFF"/>
            <w:tcMar>
              <w:top w:w="40" w:type="dxa"/>
              <w:left w:w="20" w:type="dxa"/>
              <w:bottom w:w="40" w:type="dxa"/>
              <w:right w:w="20" w:type="dxa"/>
            </w:tcMar>
            <w:vAlign w:val="center"/>
          </w:tcPr>
          <w:p w14:paraId="518B4380" w14:textId="77777777" w:rsidR="005C332D" w:rsidRDefault="00B93EAE">
            <w:pPr>
              <w:jc w:val="both"/>
              <w:textAlignment w:val="center"/>
            </w:pPr>
            <w:r>
              <w:rPr>
                <w:rFonts w:ascii="Times New Roman" w:eastAsia="宋体" w:hAnsi="Times New Roman"/>
                <w:color w:val="000000"/>
                <w:sz w:val="20"/>
                <w:szCs w:val="20"/>
              </w:rPr>
              <w:t>Acquiring or divesting, depending on goals</w:t>
            </w:r>
          </w:p>
        </w:tc>
      </w:tr>
      <w:tr w:rsidR="005C332D" w14:paraId="518B4384" w14:textId="77777777">
        <w:trPr>
          <w:jc w:val="center"/>
        </w:trPr>
        <w:tc>
          <w:tcPr>
            <w:tcW w:w="0" w:type="auto"/>
            <w:gridSpan w:val="3"/>
            <w:shd w:val="clear" w:color="auto" w:fill="CCEEFF"/>
            <w:tcMar>
              <w:top w:w="40" w:type="dxa"/>
              <w:left w:w="20" w:type="dxa"/>
              <w:bottom w:w="40" w:type="dxa"/>
              <w:right w:w="20" w:type="dxa"/>
            </w:tcMar>
            <w:vAlign w:val="center"/>
          </w:tcPr>
          <w:p w14:paraId="518B4382" w14:textId="77777777" w:rsidR="005C332D" w:rsidRDefault="00B93EAE">
            <w:pPr>
              <w:textAlignment w:val="center"/>
            </w:pPr>
            <w:r>
              <w:rPr>
                <w:rFonts w:ascii="Times New Roman" w:eastAsia="宋体" w:hAnsi="Times New Roman"/>
                <w:b/>
                <w:bCs/>
                <w:color w:val="000000"/>
                <w:sz w:val="20"/>
                <w:szCs w:val="20"/>
              </w:rPr>
              <w:t>Partner</w:t>
            </w:r>
          </w:p>
        </w:tc>
        <w:tc>
          <w:tcPr>
            <w:tcW w:w="0" w:type="auto"/>
            <w:gridSpan w:val="3"/>
            <w:shd w:val="clear" w:color="auto" w:fill="CCEEFF"/>
            <w:tcMar>
              <w:top w:w="40" w:type="dxa"/>
              <w:left w:w="20" w:type="dxa"/>
              <w:bottom w:w="40" w:type="dxa"/>
              <w:right w:w="20" w:type="dxa"/>
            </w:tcMar>
            <w:vAlign w:val="center"/>
          </w:tcPr>
          <w:p w14:paraId="518B4383" w14:textId="77777777" w:rsidR="005C332D" w:rsidRDefault="00B93EAE">
            <w:pPr>
              <w:jc w:val="both"/>
              <w:textAlignment w:val="center"/>
            </w:pPr>
            <w:r>
              <w:rPr>
                <w:rFonts w:ascii="Times New Roman" w:eastAsia="宋体" w:hAnsi="Times New Roman"/>
                <w:color w:val="000000"/>
                <w:sz w:val="20"/>
                <w:szCs w:val="20"/>
              </w:rPr>
              <w:t>Strategically partnering to further build out the business</w:t>
            </w:r>
          </w:p>
        </w:tc>
      </w:tr>
      <w:tr w:rsidR="005C332D" w14:paraId="518B4387" w14:textId="77777777">
        <w:trPr>
          <w:jc w:val="center"/>
        </w:trPr>
        <w:tc>
          <w:tcPr>
            <w:tcW w:w="0" w:type="auto"/>
            <w:gridSpan w:val="3"/>
            <w:shd w:val="clear" w:color="auto" w:fill="FFFFFF"/>
            <w:tcMar>
              <w:top w:w="40" w:type="dxa"/>
              <w:left w:w="20" w:type="dxa"/>
              <w:bottom w:w="40" w:type="dxa"/>
              <w:right w:w="20" w:type="dxa"/>
            </w:tcMar>
            <w:vAlign w:val="center"/>
          </w:tcPr>
          <w:p w14:paraId="518B4385" w14:textId="77777777" w:rsidR="005C332D" w:rsidRDefault="00B93EAE">
            <w:pPr>
              <w:textAlignment w:val="center"/>
            </w:pPr>
            <w:r>
              <w:rPr>
                <w:rFonts w:ascii="Times New Roman" w:eastAsia="宋体" w:hAnsi="Times New Roman"/>
                <w:b/>
                <w:bCs/>
                <w:color w:val="000000"/>
                <w:sz w:val="20"/>
                <w:szCs w:val="20"/>
              </w:rPr>
              <w:t>Invest</w:t>
            </w:r>
          </w:p>
        </w:tc>
        <w:tc>
          <w:tcPr>
            <w:tcW w:w="0" w:type="auto"/>
            <w:gridSpan w:val="3"/>
            <w:shd w:val="clear" w:color="auto" w:fill="FFFFFF"/>
            <w:tcMar>
              <w:top w:w="40" w:type="dxa"/>
              <w:left w:w="20" w:type="dxa"/>
              <w:bottom w:w="40" w:type="dxa"/>
              <w:right w:w="20" w:type="dxa"/>
            </w:tcMar>
            <w:vAlign w:val="center"/>
          </w:tcPr>
          <w:p w14:paraId="518B4386" w14:textId="77777777" w:rsidR="005C332D" w:rsidRDefault="00B93EAE">
            <w:pPr>
              <w:jc w:val="both"/>
              <w:textAlignment w:val="center"/>
            </w:pPr>
            <w:r>
              <w:rPr>
                <w:rFonts w:ascii="Times New Roman" w:eastAsia="宋体" w:hAnsi="Times New Roman"/>
                <w:color w:val="000000"/>
                <w:sz w:val="20"/>
                <w:szCs w:val="20"/>
              </w:rPr>
              <w:t xml:space="preserve">Making investments in areas where technology is in its infancy or where there is no </w:t>
            </w:r>
            <w:r>
              <w:rPr>
                <w:rFonts w:ascii="Times New Roman" w:eastAsia="宋体" w:hAnsi="Times New Roman"/>
                <w:color w:val="000000"/>
                <w:sz w:val="20"/>
                <w:szCs w:val="20"/>
              </w:rPr>
              <w:t>dominant technology</w:t>
            </w:r>
          </w:p>
        </w:tc>
      </w:tr>
      <w:tr w:rsidR="005C332D" w14:paraId="518B438A" w14:textId="77777777">
        <w:trPr>
          <w:jc w:val="center"/>
        </w:trPr>
        <w:tc>
          <w:tcPr>
            <w:tcW w:w="0" w:type="auto"/>
            <w:gridSpan w:val="3"/>
            <w:shd w:val="clear" w:color="auto" w:fill="CCEEFF"/>
            <w:tcMar>
              <w:top w:w="40" w:type="dxa"/>
              <w:left w:w="20" w:type="dxa"/>
              <w:bottom w:w="40" w:type="dxa"/>
              <w:right w:w="20" w:type="dxa"/>
            </w:tcMar>
            <w:vAlign w:val="center"/>
          </w:tcPr>
          <w:p w14:paraId="518B4388" w14:textId="77777777" w:rsidR="005C332D" w:rsidRDefault="00B93EAE">
            <w:pPr>
              <w:textAlignment w:val="center"/>
            </w:pPr>
            <w:r>
              <w:rPr>
                <w:rFonts w:ascii="Times New Roman" w:eastAsia="宋体" w:hAnsi="Times New Roman"/>
                <w:b/>
                <w:bCs/>
                <w:color w:val="000000"/>
                <w:sz w:val="20"/>
                <w:szCs w:val="20"/>
              </w:rPr>
              <w:t>Co-develop</w:t>
            </w:r>
          </w:p>
        </w:tc>
        <w:tc>
          <w:tcPr>
            <w:tcW w:w="0" w:type="auto"/>
            <w:gridSpan w:val="3"/>
            <w:shd w:val="clear" w:color="auto" w:fill="CCEEFF"/>
            <w:tcMar>
              <w:top w:w="40" w:type="dxa"/>
              <w:left w:w="20" w:type="dxa"/>
              <w:bottom w:w="40" w:type="dxa"/>
              <w:right w:w="20" w:type="dxa"/>
            </w:tcMar>
            <w:vAlign w:val="center"/>
          </w:tcPr>
          <w:p w14:paraId="518B4389" w14:textId="77777777" w:rsidR="005C332D" w:rsidRDefault="00B93EAE">
            <w:pPr>
              <w:jc w:val="both"/>
              <w:textAlignment w:val="center"/>
            </w:pPr>
            <w:r>
              <w:rPr>
                <w:rFonts w:ascii="Times New Roman" w:eastAsia="宋体" w:hAnsi="Times New Roman"/>
                <w:color w:val="000000"/>
                <w:sz w:val="20"/>
                <w:szCs w:val="20"/>
              </w:rPr>
              <w:t>Developing new solutions with multi-party teams that may include customers, channel partners, startups, independent software vendors, and academics</w:t>
            </w:r>
          </w:p>
        </w:tc>
      </w:tr>
    </w:tbl>
    <w:p w14:paraId="518B438B" w14:textId="77777777" w:rsidR="005C332D" w:rsidRDefault="00B93EAE">
      <w:pPr>
        <w:spacing w:before="120"/>
        <w:jc w:val="both"/>
      </w:pPr>
      <w:r>
        <w:rPr>
          <w:rFonts w:ascii="Times New Roman" w:eastAsia="宋体" w:hAnsi="Times New Roman"/>
          <w:b/>
          <w:bCs/>
          <w:i/>
          <w:iCs/>
          <w:color w:val="000000"/>
          <w:sz w:val="20"/>
          <w:szCs w:val="20"/>
        </w:rPr>
        <w:t>Acquisitions</w:t>
      </w:r>
    </w:p>
    <w:p w14:paraId="518B438C" w14:textId="77777777" w:rsidR="005C332D" w:rsidRDefault="00B93EAE">
      <w:pPr>
        <w:spacing w:before="120"/>
        <w:jc w:val="both"/>
      </w:pPr>
      <w:r>
        <w:rPr>
          <w:rFonts w:ascii="Times New Roman" w:eastAsia="宋体" w:hAnsi="Times New Roman"/>
          <w:color w:val="000000"/>
          <w:sz w:val="20"/>
          <w:szCs w:val="20"/>
        </w:rPr>
        <w:t xml:space="preserve">We have acquired many companies, and we expect to make </w:t>
      </w:r>
      <w:r>
        <w:rPr>
          <w:rFonts w:ascii="Times New Roman" w:eastAsia="宋体" w:hAnsi="Times New Roman"/>
          <w:color w:val="000000"/>
          <w:sz w:val="20"/>
          <w:szCs w:val="20"/>
        </w:rPr>
        <w:t>future acquisitions. Mergers and acquisitions of high-technology companies are inherently risky, especially if the acquired company has yet to generate revenue. No assurance can be given that our previous or future acquisitions will be successful or will n</w:t>
      </w:r>
      <w:r>
        <w:rPr>
          <w:rFonts w:ascii="Times New Roman" w:eastAsia="宋体" w:hAnsi="Times New Roman"/>
          <w:color w:val="000000"/>
          <w:sz w:val="20"/>
          <w:szCs w:val="20"/>
        </w:rPr>
        <w:t>ot materially adversely affect our financial condition or operating results. The risks associated with acquisitions are more fully discussed in “Item 1A. Risk Factors,” including the risk factor entitled “We have made and expect to continue to make acquisi</w:t>
      </w:r>
      <w:r>
        <w:rPr>
          <w:rFonts w:ascii="Times New Roman" w:eastAsia="宋体" w:hAnsi="Times New Roman"/>
          <w:color w:val="000000"/>
          <w:sz w:val="20"/>
          <w:szCs w:val="20"/>
        </w:rPr>
        <w:t>tions that could disrupt our operations and harm our operating results.”</w:t>
      </w:r>
    </w:p>
    <w:p w14:paraId="518B438D" w14:textId="77777777" w:rsidR="005C332D" w:rsidRDefault="00B93EAE">
      <w:pPr>
        <w:spacing w:before="120"/>
        <w:jc w:val="both"/>
      </w:pPr>
      <w:r>
        <w:rPr>
          <w:rFonts w:ascii="Times New Roman" w:eastAsia="宋体" w:hAnsi="Times New Roman"/>
          <w:b/>
          <w:bCs/>
          <w:i/>
          <w:iCs/>
          <w:color w:val="000000"/>
          <w:sz w:val="20"/>
          <w:szCs w:val="20"/>
        </w:rPr>
        <w:t>Investments in Privately Held Companies</w:t>
      </w:r>
    </w:p>
    <w:p w14:paraId="518B438E" w14:textId="77777777" w:rsidR="005C332D" w:rsidRDefault="00B93EAE">
      <w:pPr>
        <w:spacing w:before="120"/>
        <w:jc w:val="both"/>
      </w:pPr>
      <w:r>
        <w:rPr>
          <w:rFonts w:ascii="Times New Roman" w:eastAsia="宋体" w:hAnsi="Times New Roman"/>
          <w:color w:val="000000"/>
          <w:sz w:val="20"/>
          <w:szCs w:val="20"/>
        </w:rPr>
        <w:t>We make investments in privately held companies that develop technology or provide services that are complementary to our products or that prov</w:t>
      </w:r>
      <w:r>
        <w:rPr>
          <w:rFonts w:ascii="Times New Roman" w:eastAsia="宋体" w:hAnsi="Times New Roman"/>
          <w:color w:val="000000"/>
          <w:sz w:val="20"/>
          <w:szCs w:val="20"/>
        </w:rPr>
        <w:t>ide strategic value. The risks associated with these investments are more fully discussed in “Item 1A. Risk Factors,” including the risk factor entitled “We are exposed to fluctuations in the market values of our portfolio investments and in interest rates</w:t>
      </w:r>
      <w:r>
        <w:rPr>
          <w:rFonts w:ascii="Times New Roman" w:eastAsia="宋体" w:hAnsi="Times New Roman"/>
          <w:color w:val="000000"/>
          <w:sz w:val="20"/>
          <w:szCs w:val="20"/>
        </w:rPr>
        <w:t>; impairment of our investments could harm our earnings.”</w:t>
      </w:r>
    </w:p>
    <w:p w14:paraId="518B438F" w14:textId="77777777" w:rsidR="005C332D" w:rsidRDefault="00B93EAE">
      <w:pPr>
        <w:spacing w:before="120"/>
      </w:pPr>
      <w:r>
        <w:rPr>
          <w:rFonts w:ascii="Times New Roman" w:eastAsia="宋体" w:hAnsi="Times New Roman"/>
          <w:b/>
          <w:bCs/>
          <w:i/>
          <w:iCs/>
          <w:color w:val="000000"/>
          <w:sz w:val="20"/>
          <w:szCs w:val="20"/>
        </w:rPr>
        <w:t>Strategic Alliances</w:t>
      </w:r>
    </w:p>
    <w:p w14:paraId="518B4390" w14:textId="77777777" w:rsidR="005C332D" w:rsidRDefault="00B93EAE">
      <w:pPr>
        <w:spacing w:before="120"/>
        <w:jc w:val="both"/>
      </w:pPr>
      <w:r>
        <w:rPr>
          <w:rFonts w:ascii="Times New Roman" w:eastAsia="宋体" w:hAnsi="Times New Roman"/>
          <w:color w:val="000000"/>
          <w:sz w:val="20"/>
          <w:szCs w:val="20"/>
        </w:rPr>
        <w:t>We pursue strategic alliances with other companies in areas where collaboration can produce industry advancement and accelerate new markets. The objectives and goals of a strateg</w:t>
      </w:r>
      <w:r>
        <w:rPr>
          <w:rFonts w:ascii="Times New Roman" w:eastAsia="宋体" w:hAnsi="Times New Roman"/>
          <w:color w:val="000000"/>
          <w:sz w:val="20"/>
          <w:szCs w:val="20"/>
        </w:rPr>
        <w:t>ic alliance can include one or more of the following: technology exchange, product development, joint sales and marketing, or new market creation. Companies with which we have added or expanded strategic alliances during fiscal 2022 and in recent years inc</w:t>
      </w:r>
      <w:r>
        <w:rPr>
          <w:rFonts w:ascii="Times New Roman" w:eastAsia="宋体" w:hAnsi="Times New Roman"/>
          <w:color w:val="000000"/>
          <w:sz w:val="20"/>
          <w:szCs w:val="20"/>
        </w:rPr>
        <w:t xml:space="preserve">lude Apple Inc., Equinix Inc., Google LLC, International </w:t>
      </w:r>
    </w:p>
    <w:p w14:paraId="518B4391" w14:textId="77777777" w:rsidR="005C332D" w:rsidRDefault="00B93EAE">
      <w:pPr>
        <w:jc w:val="center"/>
      </w:pPr>
      <w:r>
        <w:rPr>
          <w:rFonts w:ascii="Times New Roman" w:eastAsia="宋体" w:hAnsi="Times New Roman"/>
          <w:color w:val="000000"/>
          <w:sz w:val="20"/>
          <w:szCs w:val="20"/>
        </w:rPr>
        <w:t>7</w:t>
      </w:r>
    </w:p>
    <w:p w14:paraId="518B4392" w14:textId="77777777" w:rsidR="005C332D" w:rsidRDefault="00B93EAE">
      <w:r>
        <w:pict w14:anchorId="518B8716">
          <v:rect id="_x0000_i1033" style="width:415.3pt;height:1.5pt" o:hralign="center" o:hrstd="t" o:hr="t" fillcolor="#a0a0a0" stroked="f"/>
        </w:pict>
      </w:r>
    </w:p>
    <w:p w14:paraId="518B4393" w14:textId="77777777" w:rsidR="005C332D" w:rsidRDefault="00B93EAE">
      <w:hyperlink r:id="rId61" w:anchor="i049852cab38845aabd2a79d07dacda86_7" w:history="1">
        <w:r>
          <w:rPr>
            <w:rStyle w:val="a5"/>
            <w:rFonts w:ascii="Times New Roman" w:eastAsia="宋体" w:hAnsi="Times New Roman"/>
            <w:sz w:val="20"/>
            <w:szCs w:val="20"/>
          </w:rPr>
          <w:t>Table of Contents</w:t>
        </w:r>
      </w:hyperlink>
    </w:p>
    <w:p w14:paraId="518B4394" w14:textId="77777777" w:rsidR="005C332D" w:rsidRDefault="00B93EAE">
      <w:pPr>
        <w:spacing w:before="120"/>
        <w:jc w:val="both"/>
      </w:pPr>
      <w:r>
        <w:rPr>
          <w:rFonts w:ascii="Times New Roman" w:eastAsia="宋体" w:hAnsi="Times New Roman"/>
          <w:color w:val="000000"/>
          <w:sz w:val="20"/>
          <w:szCs w:val="20"/>
        </w:rPr>
        <w:t>Business Machines Corporati</w:t>
      </w:r>
      <w:r>
        <w:rPr>
          <w:rFonts w:ascii="Times New Roman" w:eastAsia="宋体" w:hAnsi="Times New Roman"/>
          <w:color w:val="000000"/>
          <w:sz w:val="20"/>
          <w:szCs w:val="20"/>
        </w:rPr>
        <w:t>on, Microsoft Corporation, Samsung Electronics Co., Ltd., and Amazon Web Services LLC, among others.</w:t>
      </w:r>
    </w:p>
    <w:p w14:paraId="518B4395" w14:textId="77777777" w:rsidR="005C332D" w:rsidRDefault="00B93EAE">
      <w:pPr>
        <w:spacing w:before="120"/>
        <w:jc w:val="both"/>
      </w:pPr>
      <w:r>
        <w:rPr>
          <w:rFonts w:ascii="Times New Roman" w:eastAsia="宋体" w:hAnsi="Times New Roman"/>
          <w:color w:val="000000"/>
          <w:sz w:val="20"/>
          <w:szCs w:val="20"/>
        </w:rPr>
        <w:t>Companies with which we have strategic alliances in some areas may be competitors in other areas, and in our view this trend may increase. The risks associ</w:t>
      </w:r>
      <w:r>
        <w:rPr>
          <w:rFonts w:ascii="Times New Roman" w:eastAsia="宋体" w:hAnsi="Times New Roman"/>
          <w:color w:val="000000"/>
          <w:sz w:val="20"/>
          <w:szCs w:val="20"/>
        </w:rPr>
        <w:t>ated with our strategic alliances are more fully discussed in “Item 1A. Risk Factors,” including the risk factor entitled “If we do not successfully manage our strategic alliances, we may not realize the expected benefits from such alliances and we may exp</w:t>
      </w:r>
      <w:r>
        <w:rPr>
          <w:rFonts w:ascii="Times New Roman" w:eastAsia="宋体" w:hAnsi="Times New Roman"/>
          <w:color w:val="000000"/>
          <w:sz w:val="20"/>
          <w:szCs w:val="20"/>
        </w:rPr>
        <w:t>erience increased competition or delays in product development.”</w:t>
      </w:r>
    </w:p>
    <w:p w14:paraId="518B4396" w14:textId="77777777" w:rsidR="005C332D" w:rsidRDefault="00B93EAE">
      <w:pPr>
        <w:spacing w:before="120"/>
        <w:jc w:val="both"/>
      </w:pPr>
      <w:r>
        <w:rPr>
          <w:rFonts w:ascii="Times New Roman" w:eastAsia="宋体" w:hAnsi="Times New Roman"/>
          <w:b/>
          <w:bCs/>
          <w:color w:val="000000"/>
          <w:sz w:val="20"/>
          <w:szCs w:val="20"/>
        </w:rPr>
        <w:t>Competition</w:t>
      </w:r>
    </w:p>
    <w:p w14:paraId="518B4397" w14:textId="77777777" w:rsidR="005C332D" w:rsidRDefault="00B93EAE">
      <w:pPr>
        <w:spacing w:before="120"/>
        <w:jc w:val="both"/>
      </w:pPr>
      <w:r>
        <w:rPr>
          <w:rFonts w:ascii="Times New Roman" w:eastAsia="宋体" w:hAnsi="Times New Roman"/>
          <w:color w:val="000000"/>
          <w:sz w:val="20"/>
          <w:szCs w:val="20"/>
        </w:rPr>
        <w:t>We compete in the networking and communications equipment markets, providing products and services designed to transport, and help secure data, voice, and video traffic across clo</w:t>
      </w:r>
      <w:r>
        <w:rPr>
          <w:rFonts w:ascii="Times New Roman" w:eastAsia="宋体" w:hAnsi="Times New Roman"/>
          <w:color w:val="000000"/>
          <w:sz w:val="20"/>
          <w:szCs w:val="20"/>
        </w:rPr>
        <w:t>ud, private and public networks and the Internet. These market factors represent a competitive threat to us. We compete with numerous vendors in each product category. The overall number of our competitors providing niche product solutions may increase. Al</w:t>
      </w:r>
      <w:r>
        <w:rPr>
          <w:rFonts w:ascii="Times New Roman" w:eastAsia="宋体" w:hAnsi="Times New Roman"/>
          <w:color w:val="000000"/>
          <w:sz w:val="20"/>
          <w:szCs w:val="20"/>
        </w:rPr>
        <w:t>so, the identity and composition of competitors may change as we increase our activity in newer product areas, and in key priority and growth areas. As we continue to expand globally, we may see new competition in different geographic regions. In particula</w:t>
      </w:r>
      <w:r>
        <w:rPr>
          <w:rFonts w:ascii="Times New Roman" w:eastAsia="宋体" w:hAnsi="Times New Roman"/>
          <w:color w:val="000000"/>
          <w:sz w:val="20"/>
          <w:szCs w:val="20"/>
        </w:rPr>
        <w:t>r, we have experienced price-focused competition from competitors in Asia, especially from China, and we anticipate this will continue.</w:t>
      </w:r>
    </w:p>
    <w:p w14:paraId="518B4398" w14:textId="77777777" w:rsidR="005C332D" w:rsidRDefault="00B93EAE">
      <w:pPr>
        <w:spacing w:before="120"/>
        <w:jc w:val="both"/>
      </w:pPr>
      <w:r>
        <w:rPr>
          <w:rFonts w:ascii="Times New Roman" w:eastAsia="宋体" w:hAnsi="Times New Roman"/>
          <w:color w:val="000000"/>
          <w:sz w:val="20"/>
          <w:szCs w:val="20"/>
        </w:rPr>
        <w:t>Our competitors (in each case relative to only some of our products or services) include: Amazon Web Services LLC; Arist</w:t>
      </w:r>
      <w:r>
        <w:rPr>
          <w:rFonts w:ascii="Times New Roman" w:eastAsia="宋体" w:hAnsi="Times New Roman"/>
          <w:color w:val="000000"/>
          <w:sz w:val="20"/>
          <w:szCs w:val="20"/>
        </w:rPr>
        <w:t>a Networks, Inc.; Broadcom Inc.; Check Point Software Technologies Ltd.; Ciena Corporation; CrowdStrike Holdings, Inc.; Datadog Inc.; Dell Technologies Inc.; Dynatrace Inc.; Fortinet, Inc.; Hewlett-Packard Enterprise Company; Huawei Technologies Co., Ltd.;</w:t>
      </w:r>
      <w:r>
        <w:rPr>
          <w:rFonts w:ascii="Times New Roman" w:eastAsia="宋体" w:hAnsi="Times New Roman"/>
          <w:color w:val="000000"/>
          <w:sz w:val="20"/>
          <w:szCs w:val="20"/>
        </w:rPr>
        <w:t xml:space="preserve"> Juniper Networks, Inc.; Microsoft Corporation; New Relic, Inc.; Nokia Corporation; Palo Alto Networks, Inc.; RingCentral, Inc.; Ubiquiti Inc.; VMware, Inc.; Zoom Video Communications, Inc.; and Zscaler, Inc.; among others.</w:t>
      </w:r>
    </w:p>
    <w:p w14:paraId="518B4399" w14:textId="77777777" w:rsidR="005C332D" w:rsidRDefault="00B93EAE">
      <w:pPr>
        <w:spacing w:before="120"/>
        <w:jc w:val="both"/>
      </w:pPr>
      <w:r>
        <w:rPr>
          <w:rFonts w:ascii="Times New Roman" w:eastAsia="宋体" w:hAnsi="Times New Roman"/>
          <w:color w:val="000000"/>
          <w:sz w:val="20"/>
          <w:szCs w:val="20"/>
        </w:rPr>
        <w:t xml:space="preserve">Some of our competitors compete </w:t>
      </w:r>
      <w:r>
        <w:rPr>
          <w:rFonts w:ascii="Times New Roman" w:eastAsia="宋体" w:hAnsi="Times New Roman"/>
          <w:color w:val="000000"/>
          <w:sz w:val="20"/>
          <w:szCs w:val="20"/>
        </w:rPr>
        <w:t>across many of our product lines, while others are primarily focused in a specific product area. Barriers to entry are relatively low, and new ventures to create products that do or could compete with our products are regularly formed. In addition, some of</w:t>
      </w:r>
      <w:r>
        <w:rPr>
          <w:rFonts w:ascii="Times New Roman" w:eastAsia="宋体" w:hAnsi="Times New Roman"/>
          <w:color w:val="000000"/>
          <w:sz w:val="20"/>
          <w:szCs w:val="20"/>
        </w:rPr>
        <w:t xml:space="preserve"> our competitors may have greater resources, including technical and engineering resources, than we do. As we expand into new markets, we will face competition not only from our existing competitors but also from other competitors, including existing compa</w:t>
      </w:r>
      <w:r>
        <w:rPr>
          <w:rFonts w:ascii="Times New Roman" w:eastAsia="宋体" w:hAnsi="Times New Roman"/>
          <w:color w:val="000000"/>
          <w:sz w:val="20"/>
          <w:szCs w:val="20"/>
        </w:rPr>
        <w:t xml:space="preserve">nies with strong technological, marketing, and sales positions in those markets. We also sometimes face competition from resellers and distributors of our products. Companies with which we have strategic alliances in some areas may be competitors in other </w:t>
      </w:r>
      <w:r>
        <w:rPr>
          <w:rFonts w:ascii="Times New Roman" w:eastAsia="宋体" w:hAnsi="Times New Roman"/>
          <w:color w:val="000000"/>
          <w:sz w:val="20"/>
          <w:szCs w:val="20"/>
        </w:rPr>
        <w:t>areas, and this trend may increase. For example, the enterprise data center is undergoing a fundamental transformation arising from the convergence of technologies, including computing, networking, storage, and software, that previously were segregated. Du</w:t>
      </w:r>
      <w:r>
        <w:rPr>
          <w:rFonts w:ascii="Times New Roman" w:eastAsia="宋体" w:hAnsi="Times New Roman"/>
          <w:color w:val="000000"/>
          <w:sz w:val="20"/>
          <w:szCs w:val="20"/>
        </w:rPr>
        <w:t>e to several factors, including the availability of highly scalable and general purpose microprocessors, application-specific integrated circuits (ASICs) offering advanced services, standards-based protocols, cloud computing and virtualization, the converg</w:t>
      </w:r>
      <w:r>
        <w:rPr>
          <w:rFonts w:ascii="Times New Roman" w:eastAsia="宋体" w:hAnsi="Times New Roman"/>
          <w:color w:val="000000"/>
          <w:sz w:val="20"/>
          <w:szCs w:val="20"/>
        </w:rPr>
        <w:t>ence of technologies within the enterprise data center is spanning multiple, previously independent, technology segments. Also, some of our current and potential competitors for enterprise data center business have made acquisitions, or announced new strat</w:t>
      </w:r>
      <w:r>
        <w:rPr>
          <w:rFonts w:ascii="Times New Roman" w:eastAsia="宋体" w:hAnsi="Times New Roman"/>
          <w:color w:val="000000"/>
          <w:sz w:val="20"/>
          <w:szCs w:val="20"/>
        </w:rPr>
        <w:t>egic alliances, designed to position them to provide end-to-end technology solutions for the enterprise data center. As a result of all of these developments, we face greater competition in the development and sale of enterprise data center technologies, i</w:t>
      </w:r>
      <w:r>
        <w:rPr>
          <w:rFonts w:ascii="Times New Roman" w:eastAsia="宋体" w:hAnsi="Times New Roman"/>
          <w:color w:val="000000"/>
          <w:sz w:val="20"/>
          <w:szCs w:val="20"/>
        </w:rPr>
        <w:t>ncluding competition from entities that are among our long-term strategic alliance partners. Companies that are strategic alliance partners in some areas of our business may acquire or form alliances with our competitors, thereby reducing their business wi</w:t>
      </w:r>
      <w:r>
        <w:rPr>
          <w:rFonts w:ascii="Times New Roman" w:eastAsia="宋体" w:hAnsi="Times New Roman"/>
          <w:color w:val="000000"/>
          <w:sz w:val="20"/>
          <w:szCs w:val="20"/>
        </w:rPr>
        <w:t>th us.</w:t>
      </w:r>
    </w:p>
    <w:p w14:paraId="518B439A" w14:textId="77777777" w:rsidR="005C332D" w:rsidRDefault="00B93EAE">
      <w:pPr>
        <w:spacing w:before="120"/>
        <w:jc w:val="both"/>
      </w:pPr>
      <w:r>
        <w:rPr>
          <w:rFonts w:ascii="Times New Roman" w:eastAsia="宋体" w:hAnsi="Times New Roman"/>
          <w:color w:val="000000"/>
          <w:sz w:val="20"/>
          <w:szCs w:val="20"/>
        </w:rPr>
        <w:t>The principal competitive factors in the markets in which we presently compete and may compete in the future include the ability to sell successful business outcomes; the ability to provide a broad range of networking and communications products and servic</w:t>
      </w:r>
      <w:r>
        <w:rPr>
          <w:rFonts w:ascii="Times New Roman" w:eastAsia="宋体" w:hAnsi="Times New Roman"/>
          <w:color w:val="000000"/>
          <w:sz w:val="20"/>
          <w:szCs w:val="20"/>
        </w:rPr>
        <w:t>es; product performance; price; the ability to introduce new products, including providing continuous new customer value and products with price-performance advantages; the ability to reduce production costs; the ability to provide value-added features suc</w:t>
      </w:r>
      <w:r>
        <w:rPr>
          <w:rFonts w:ascii="Times New Roman" w:eastAsia="宋体" w:hAnsi="Times New Roman"/>
          <w:color w:val="000000"/>
          <w:sz w:val="20"/>
          <w:szCs w:val="20"/>
        </w:rPr>
        <w:t xml:space="preserve">h as security, reliability, and investment protection; conformance to standards; market presence; the ability to provide financing; and disruptive technology shifts and new business models. </w:t>
      </w:r>
    </w:p>
    <w:p w14:paraId="518B439B" w14:textId="77777777" w:rsidR="005C332D" w:rsidRDefault="00B93EAE">
      <w:pPr>
        <w:spacing w:before="120"/>
        <w:jc w:val="both"/>
      </w:pPr>
      <w:r>
        <w:rPr>
          <w:rFonts w:ascii="Times New Roman" w:eastAsia="宋体" w:hAnsi="Times New Roman"/>
          <w:color w:val="000000"/>
          <w:sz w:val="20"/>
          <w:szCs w:val="20"/>
        </w:rPr>
        <w:t>We also face competition from customers to which we license or su</w:t>
      </w:r>
      <w:r>
        <w:rPr>
          <w:rFonts w:ascii="Times New Roman" w:eastAsia="宋体" w:hAnsi="Times New Roman"/>
          <w:color w:val="000000"/>
          <w:sz w:val="20"/>
          <w:szCs w:val="20"/>
        </w:rPr>
        <w:t>pply technology and suppliers from which we transfer technology. The inherent nature of networking requires interoperability. As such, we must cooperate and, at the same time, compete with many companies. Any inability to effectively manage these complicat</w:t>
      </w:r>
      <w:r>
        <w:rPr>
          <w:rFonts w:ascii="Times New Roman" w:eastAsia="宋体" w:hAnsi="Times New Roman"/>
          <w:color w:val="000000"/>
          <w:sz w:val="20"/>
          <w:szCs w:val="20"/>
        </w:rPr>
        <w:t>ed relationships with customers, suppliers, and strategic alliance partners could have a material adverse effect on our business, operating results, and financial condition and accordingly affect our chances of success.</w:t>
      </w:r>
      <w:r>
        <w:rPr>
          <w:rFonts w:ascii="Times New Roman" w:eastAsia="宋体" w:hAnsi="Times New Roman"/>
          <w:b/>
          <w:bCs/>
          <w:color w:val="000000"/>
          <w:sz w:val="20"/>
          <w:szCs w:val="20"/>
        </w:rPr>
        <w:t xml:space="preserve"> </w:t>
      </w:r>
    </w:p>
    <w:p w14:paraId="518B439C" w14:textId="77777777" w:rsidR="005C332D" w:rsidRDefault="00B93EAE">
      <w:pPr>
        <w:jc w:val="center"/>
      </w:pPr>
      <w:r>
        <w:rPr>
          <w:rFonts w:ascii="Times New Roman" w:eastAsia="宋体" w:hAnsi="Times New Roman"/>
          <w:color w:val="000000"/>
          <w:sz w:val="20"/>
          <w:szCs w:val="20"/>
        </w:rPr>
        <w:t>8</w:t>
      </w:r>
    </w:p>
    <w:p w14:paraId="518B439D" w14:textId="77777777" w:rsidR="005C332D" w:rsidRDefault="00B93EAE">
      <w:r>
        <w:pict w14:anchorId="518B8717">
          <v:rect id="_x0000_i1034" style="width:415.3pt;height:1.5pt" o:hralign="center" o:hrstd="t" o:hr="t" fillcolor="#a0a0a0" stroked="f"/>
        </w:pict>
      </w:r>
    </w:p>
    <w:p w14:paraId="518B439E" w14:textId="77777777" w:rsidR="005C332D" w:rsidRDefault="00B93EAE">
      <w:hyperlink r:id="rId62" w:anchor="i049852cab38845aabd2a79d07dacda86_7" w:history="1">
        <w:r>
          <w:rPr>
            <w:rStyle w:val="a5"/>
            <w:rFonts w:ascii="Times New Roman" w:eastAsia="宋体" w:hAnsi="Times New Roman"/>
            <w:sz w:val="20"/>
            <w:szCs w:val="20"/>
          </w:rPr>
          <w:t>Table of Contents</w:t>
        </w:r>
      </w:hyperlink>
    </w:p>
    <w:p w14:paraId="518B439F" w14:textId="77777777" w:rsidR="005C332D" w:rsidRDefault="00B93EAE">
      <w:pPr>
        <w:spacing w:before="120"/>
        <w:jc w:val="both"/>
      </w:pPr>
      <w:r>
        <w:rPr>
          <w:rFonts w:ascii="Times New Roman" w:eastAsia="宋体" w:hAnsi="Times New Roman"/>
          <w:b/>
          <w:bCs/>
          <w:color w:val="000000"/>
          <w:sz w:val="20"/>
          <w:szCs w:val="20"/>
        </w:rPr>
        <w:t>Research and Development</w:t>
      </w:r>
    </w:p>
    <w:p w14:paraId="518B43A0" w14:textId="77777777" w:rsidR="005C332D" w:rsidRDefault="00B93EAE">
      <w:pPr>
        <w:spacing w:before="120"/>
        <w:jc w:val="both"/>
      </w:pPr>
      <w:r>
        <w:rPr>
          <w:rFonts w:ascii="Times New Roman" w:eastAsia="宋体" w:hAnsi="Times New Roman"/>
          <w:color w:val="000000"/>
          <w:sz w:val="20"/>
          <w:szCs w:val="20"/>
        </w:rPr>
        <w:t>We regularly introduce new products and features to address the requirements of our markets. We</w:t>
      </w:r>
      <w:r>
        <w:rPr>
          <w:rFonts w:ascii="Times New Roman" w:eastAsia="宋体" w:hAnsi="Times New Roman"/>
          <w:color w:val="000000"/>
          <w:sz w:val="20"/>
          <w:szCs w:val="20"/>
        </w:rPr>
        <w:t xml:space="preserve"> allocate our research and development budget among our product categories, which consist of Secure, Agile Networks; Internet for the Future; Collaboration; End-to-End Security; Optimized Application Experiences; and Other Product technologies. Our researc</w:t>
      </w:r>
      <w:r>
        <w:rPr>
          <w:rFonts w:ascii="Times New Roman" w:eastAsia="宋体" w:hAnsi="Times New Roman"/>
          <w:color w:val="000000"/>
          <w:sz w:val="20"/>
          <w:szCs w:val="20"/>
        </w:rPr>
        <w:t xml:space="preserve">h and development expenditures are applied generally to all product areas, with specific areas of focus being identified from time to time. Our expenditures for research and development costs were expensed as incurred. </w:t>
      </w:r>
    </w:p>
    <w:p w14:paraId="518B43A1" w14:textId="77777777" w:rsidR="005C332D" w:rsidRDefault="00B93EAE">
      <w:pPr>
        <w:spacing w:before="120"/>
        <w:jc w:val="both"/>
      </w:pPr>
      <w:r>
        <w:rPr>
          <w:rFonts w:ascii="Times New Roman" w:eastAsia="宋体" w:hAnsi="Times New Roman"/>
          <w:color w:val="000000"/>
          <w:sz w:val="20"/>
          <w:szCs w:val="20"/>
        </w:rPr>
        <w:t xml:space="preserve">The industry in which we compete is </w:t>
      </w:r>
      <w:r>
        <w:rPr>
          <w:rFonts w:ascii="Times New Roman" w:eastAsia="宋体" w:hAnsi="Times New Roman"/>
          <w:color w:val="000000"/>
          <w:sz w:val="20"/>
          <w:szCs w:val="20"/>
        </w:rPr>
        <w:t xml:space="preserve">subject to rapid technological developments, evolving standards, changes in customer requirements, and new product introductions and enhancements. As a result, our success depends, in part, on our ability, on a cost-effective and timely basis, to continue </w:t>
      </w:r>
      <w:r>
        <w:rPr>
          <w:rFonts w:ascii="Times New Roman" w:eastAsia="宋体" w:hAnsi="Times New Roman"/>
          <w:color w:val="000000"/>
          <w:sz w:val="20"/>
          <w:szCs w:val="20"/>
        </w:rPr>
        <w:t>to enhance our existing products and to develop and introduce new products that improve performance and reduce total cost of ownership. To achieve these objectives, our management and engineering personnel work with customers to identify and respond to cus</w:t>
      </w:r>
      <w:r>
        <w:rPr>
          <w:rFonts w:ascii="Times New Roman" w:eastAsia="宋体" w:hAnsi="Times New Roman"/>
          <w:color w:val="000000"/>
          <w:sz w:val="20"/>
          <w:szCs w:val="20"/>
        </w:rPr>
        <w:t>tomer needs, as well as with other innovators of Internet networking products, including universities, laboratories, and corporations. We also expect to continue to make acquisitions and strategic investments, where appropriate, to provide us with access t</w:t>
      </w:r>
      <w:r>
        <w:rPr>
          <w:rFonts w:ascii="Times New Roman" w:eastAsia="宋体" w:hAnsi="Times New Roman"/>
          <w:color w:val="000000"/>
          <w:sz w:val="20"/>
          <w:szCs w:val="20"/>
        </w:rPr>
        <w:t>o new technologies. Nonetheless, there can be no assurance that we will be able to successfully develop products to address new customer requirements and technological changes or that those products will achieve market acceptance.</w:t>
      </w:r>
    </w:p>
    <w:p w14:paraId="518B43A2" w14:textId="77777777" w:rsidR="005C332D" w:rsidRDefault="00B93EAE">
      <w:pPr>
        <w:spacing w:before="120"/>
        <w:jc w:val="both"/>
      </w:pPr>
      <w:r>
        <w:rPr>
          <w:rFonts w:ascii="Times New Roman" w:eastAsia="宋体" w:hAnsi="Times New Roman"/>
          <w:b/>
          <w:bCs/>
          <w:color w:val="000000"/>
          <w:sz w:val="20"/>
          <w:szCs w:val="20"/>
        </w:rPr>
        <w:t>Manufacturing</w:t>
      </w:r>
    </w:p>
    <w:p w14:paraId="518B43A3" w14:textId="77777777" w:rsidR="005C332D" w:rsidRDefault="00B93EAE">
      <w:pPr>
        <w:spacing w:before="120"/>
        <w:jc w:val="both"/>
      </w:pPr>
      <w:r>
        <w:rPr>
          <w:rFonts w:ascii="Times New Roman" w:eastAsia="宋体" w:hAnsi="Times New Roman"/>
          <w:color w:val="000000"/>
          <w:sz w:val="20"/>
          <w:szCs w:val="20"/>
        </w:rPr>
        <w:t xml:space="preserve">We rely on </w:t>
      </w:r>
      <w:r>
        <w:rPr>
          <w:rFonts w:ascii="Times New Roman" w:eastAsia="宋体" w:hAnsi="Times New Roman"/>
          <w:color w:val="000000"/>
          <w:sz w:val="20"/>
          <w:szCs w:val="20"/>
        </w:rPr>
        <w:t>contract manufacturers for our manufacturing needs. We presently use a variety of independent third-party companies to provide services related to printed-circuit board assembly, in-circuit test, product repair, and product assembly. Proprietary software i</w:t>
      </w:r>
      <w:r>
        <w:rPr>
          <w:rFonts w:ascii="Times New Roman" w:eastAsia="宋体" w:hAnsi="Times New Roman"/>
          <w:color w:val="000000"/>
          <w:sz w:val="20"/>
          <w:szCs w:val="20"/>
        </w:rPr>
        <w:t>n electronically programmable memory chips is used to configure products that meet customer requirements and to maintain quality control and security. The manufacturing process enables us to configure the hardware and software in unique combinations to mee</w:t>
      </w:r>
      <w:r>
        <w:rPr>
          <w:rFonts w:ascii="Times New Roman" w:eastAsia="宋体" w:hAnsi="Times New Roman"/>
          <w:color w:val="000000"/>
          <w:sz w:val="20"/>
          <w:szCs w:val="20"/>
        </w:rPr>
        <w:t xml:space="preserve">t a wide variety of individual customer requirements. The manufacturing process also uses automated testing equipment and burn-in procedures, as well as comprehensive inspection, testing, and statistical process controls, which are designed to help ensure </w:t>
      </w:r>
      <w:r>
        <w:rPr>
          <w:rFonts w:ascii="Times New Roman" w:eastAsia="宋体" w:hAnsi="Times New Roman"/>
          <w:color w:val="000000"/>
          <w:sz w:val="20"/>
          <w:szCs w:val="20"/>
        </w:rPr>
        <w:t>the quality and reliability of our products. The manufacturing processes and procedures are generally certified to International Organization for Standardization 9001 standards.</w:t>
      </w:r>
    </w:p>
    <w:p w14:paraId="518B43A4" w14:textId="77777777" w:rsidR="005C332D" w:rsidRDefault="00B93EAE">
      <w:pPr>
        <w:spacing w:before="120"/>
        <w:jc w:val="both"/>
      </w:pPr>
      <w:r>
        <w:rPr>
          <w:rFonts w:ascii="Times New Roman" w:eastAsia="宋体" w:hAnsi="Times New Roman"/>
          <w:color w:val="000000"/>
          <w:sz w:val="20"/>
          <w:szCs w:val="20"/>
        </w:rPr>
        <w:t>Our arrangements with contract manufacturers generally provide for quality, co</w:t>
      </w:r>
      <w:r>
        <w:rPr>
          <w:rFonts w:ascii="Times New Roman" w:eastAsia="宋体" w:hAnsi="Times New Roman"/>
          <w:color w:val="000000"/>
          <w:sz w:val="20"/>
          <w:szCs w:val="20"/>
        </w:rPr>
        <w:t xml:space="preserve">st, and delivery requirements, as well as manufacturing process terms, such as continuity of supply; inventory management; flexibility regarding capacity, quality, and cost management; oversight of manufacturing; and conditions for use of our intellectual </w:t>
      </w:r>
      <w:r>
        <w:rPr>
          <w:rFonts w:ascii="Times New Roman" w:eastAsia="宋体" w:hAnsi="Times New Roman"/>
          <w:color w:val="000000"/>
          <w:sz w:val="20"/>
          <w:szCs w:val="20"/>
        </w:rPr>
        <w:t>property. We have not entered into any significant long-term contracts with any manufacturing service provider. We generally have the option to renew arrangements on an as-needed basis. These arrangements generally do not commit us to purchase any particul</w:t>
      </w:r>
      <w:r>
        <w:rPr>
          <w:rFonts w:ascii="Times New Roman" w:eastAsia="宋体" w:hAnsi="Times New Roman"/>
          <w:color w:val="000000"/>
          <w:sz w:val="20"/>
          <w:szCs w:val="20"/>
        </w:rPr>
        <w:t>ar amount or any quantities beyond amounts covered by orders or forecasts that we submit covering discrete periods of time.</w:t>
      </w:r>
    </w:p>
    <w:p w14:paraId="518B43A5" w14:textId="77777777" w:rsidR="005C332D" w:rsidRDefault="00B93EAE">
      <w:pPr>
        <w:spacing w:before="120"/>
        <w:jc w:val="both"/>
      </w:pPr>
      <w:r>
        <w:rPr>
          <w:rFonts w:ascii="Times New Roman" w:eastAsia="宋体" w:hAnsi="Times New Roman"/>
          <w:b/>
          <w:bCs/>
          <w:color w:val="000000"/>
          <w:sz w:val="20"/>
          <w:szCs w:val="20"/>
        </w:rPr>
        <w:t>Patents, Intellectual Property, and Licensing</w:t>
      </w:r>
    </w:p>
    <w:p w14:paraId="518B43A6" w14:textId="77777777" w:rsidR="005C332D" w:rsidRDefault="00B93EAE">
      <w:pPr>
        <w:spacing w:before="120"/>
        <w:jc w:val="both"/>
      </w:pPr>
      <w:r>
        <w:rPr>
          <w:rFonts w:ascii="Times New Roman" w:eastAsia="宋体" w:hAnsi="Times New Roman"/>
          <w:color w:val="000000"/>
          <w:sz w:val="20"/>
          <w:szCs w:val="20"/>
        </w:rPr>
        <w:t xml:space="preserve">We seek to establish and maintain our proprietary rights in our technology and </w:t>
      </w:r>
      <w:r>
        <w:rPr>
          <w:rFonts w:ascii="Times New Roman" w:eastAsia="宋体" w:hAnsi="Times New Roman"/>
          <w:color w:val="000000"/>
          <w:sz w:val="20"/>
          <w:szCs w:val="20"/>
        </w:rPr>
        <w:t>products through the use of patents, copyrights, trademarks, and trade secret laws. We have a program to file applications for and obtain patents, copyrights, and trademarks in the United States and in selected foreign countries where we believe filing for</w:t>
      </w:r>
      <w:r>
        <w:rPr>
          <w:rFonts w:ascii="Times New Roman" w:eastAsia="宋体" w:hAnsi="Times New Roman"/>
          <w:color w:val="000000"/>
          <w:sz w:val="20"/>
          <w:szCs w:val="20"/>
        </w:rPr>
        <w:t xml:space="preserve"> such protection is appropriate. We also seek to maintain our trade secrets and confidential information by nondisclosure policies and through the use of appropriate confidentiality agreements. We have obtained a substantial number of patents and trademark</w:t>
      </w:r>
      <w:r>
        <w:rPr>
          <w:rFonts w:ascii="Times New Roman" w:eastAsia="宋体" w:hAnsi="Times New Roman"/>
          <w:color w:val="000000"/>
          <w:sz w:val="20"/>
          <w:szCs w:val="20"/>
        </w:rPr>
        <w:t>s in the United States and in other countries. There can be no assurance, however, that the rights obtained can be successfully enforced against infringing products in every jurisdiction. Although we believe the protection afforded by our patents, copyrigh</w:t>
      </w:r>
      <w:r>
        <w:rPr>
          <w:rFonts w:ascii="Times New Roman" w:eastAsia="宋体" w:hAnsi="Times New Roman"/>
          <w:color w:val="000000"/>
          <w:sz w:val="20"/>
          <w:szCs w:val="20"/>
        </w:rPr>
        <w:t>ts, trademarks, and trade secrets has value, the rapidly changing technology in the networking industry and uncertainties in the legal process make our future success dependent primarily on the innovative skills, technological expertise, and management abi</w:t>
      </w:r>
      <w:r>
        <w:rPr>
          <w:rFonts w:ascii="Times New Roman" w:eastAsia="宋体" w:hAnsi="Times New Roman"/>
          <w:color w:val="000000"/>
          <w:sz w:val="20"/>
          <w:szCs w:val="20"/>
        </w:rPr>
        <w:t>lities of our employees rather than on the protection afforded by patent, copyright, trademark, and trade secret laws.</w:t>
      </w:r>
    </w:p>
    <w:p w14:paraId="518B43A7" w14:textId="77777777" w:rsidR="005C332D" w:rsidRDefault="00B93EAE">
      <w:pPr>
        <w:spacing w:before="120"/>
        <w:jc w:val="both"/>
      </w:pPr>
      <w:r>
        <w:rPr>
          <w:rFonts w:ascii="Times New Roman" w:eastAsia="宋体" w:hAnsi="Times New Roman"/>
          <w:color w:val="000000"/>
          <w:sz w:val="20"/>
          <w:szCs w:val="20"/>
        </w:rPr>
        <w:t>Many of our products are designed to include software or other intellectual property licensed from third parties. While it may be necessa</w:t>
      </w:r>
      <w:r>
        <w:rPr>
          <w:rFonts w:ascii="Times New Roman" w:eastAsia="宋体" w:hAnsi="Times New Roman"/>
          <w:color w:val="000000"/>
          <w:sz w:val="20"/>
          <w:szCs w:val="20"/>
        </w:rPr>
        <w:t>ry in the future to seek or renew licenses relating to various aspects of our products, we believe, based upon past experience and standard industry practice, that such licenses generally could be obtained on commercially reasonable terms. Nonetheless, the</w:t>
      </w:r>
      <w:r>
        <w:rPr>
          <w:rFonts w:ascii="Times New Roman" w:eastAsia="宋体" w:hAnsi="Times New Roman"/>
          <w:color w:val="000000"/>
          <w:sz w:val="20"/>
          <w:szCs w:val="20"/>
        </w:rPr>
        <w:t>re can be no assurance that the necessary licenses would be available on acceptable terms, if at all. Our inability to obtain certain licenses or other rights or to obtain such licenses or rights on favorable terms, or the need to engage in litigation rega</w:t>
      </w:r>
      <w:r>
        <w:rPr>
          <w:rFonts w:ascii="Times New Roman" w:eastAsia="宋体" w:hAnsi="Times New Roman"/>
          <w:color w:val="000000"/>
          <w:sz w:val="20"/>
          <w:szCs w:val="20"/>
        </w:rPr>
        <w:t>rding these matters, could have a material adverse effect on our business, operating results, and financial condition. Moreover, inclusion in our products of software or other intellectual property licensed from third parties on a nonexclusive basis can li</w:t>
      </w:r>
      <w:r>
        <w:rPr>
          <w:rFonts w:ascii="Times New Roman" w:eastAsia="宋体" w:hAnsi="Times New Roman"/>
          <w:color w:val="000000"/>
          <w:sz w:val="20"/>
          <w:szCs w:val="20"/>
        </w:rPr>
        <w:t>mit our ability to protect our proprietary rights in our products.</w:t>
      </w:r>
    </w:p>
    <w:p w14:paraId="518B43A8" w14:textId="77777777" w:rsidR="005C332D" w:rsidRDefault="00B93EAE">
      <w:pPr>
        <w:jc w:val="center"/>
      </w:pPr>
      <w:r>
        <w:rPr>
          <w:rFonts w:ascii="Times New Roman" w:eastAsia="宋体" w:hAnsi="Times New Roman"/>
          <w:color w:val="000000"/>
          <w:sz w:val="20"/>
          <w:szCs w:val="20"/>
        </w:rPr>
        <w:t>9</w:t>
      </w:r>
    </w:p>
    <w:p w14:paraId="518B43A9" w14:textId="77777777" w:rsidR="005C332D" w:rsidRDefault="00B93EAE">
      <w:r>
        <w:pict w14:anchorId="518B8718">
          <v:rect id="_x0000_i1035" style="width:415.3pt;height:1.5pt" o:hralign="center" o:hrstd="t" o:hr="t" fillcolor="#a0a0a0" stroked="f"/>
        </w:pict>
      </w:r>
    </w:p>
    <w:p w14:paraId="518B43AA" w14:textId="77777777" w:rsidR="005C332D" w:rsidRDefault="00B93EAE">
      <w:hyperlink r:id="rId63" w:anchor="i049852cab38845aabd2a79d07dacda86_7" w:history="1">
        <w:r>
          <w:rPr>
            <w:rStyle w:val="a5"/>
            <w:rFonts w:ascii="Times New Roman" w:eastAsia="宋体" w:hAnsi="Times New Roman"/>
            <w:sz w:val="20"/>
            <w:szCs w:val="20"/>
          </w:rPr>
          <w:t>Table of Contents</w:t>
        </w:r>
      </w:hyperlink>
    </w:p>
    <w:p w14:paraId="518B43AB" w14:textId="77777777" w:rsidR="005C332D" w:rsidRDefault="00B93EAE">
      <w:pPr>
        <w:spacing w:before="120"/>
        <w:jc w:val="both"/>
      </w:pPr>
      <w:r>
        <w:rPr>
          <w:rFonts w:ascii="Times New Roman" w:eastAsia="宋体" w:hAnsi="Times New Roman"/>
          <w:color w:val="000000"/>
          <w:sz w:val="20"/>
          <w:szCs w:val="20"/>
        </w:rPr>
        <w:t>The industry in wh</w:t>
      </w:r>
      <w:r>
        <w:rPr>
          <w:rFonts w:ascii="Times New Roman" w:eastAsia="宋体" w:hAnsi="Times New Roman"/>
          <w:color w:val="000000"/>
          <w:sz w:val="20"/>
          <w:szCs w:val="20"/>
        </w:rPr>
        <w:t xml:space="preserve">ich we compete is characterized by rapidly changing technology, a large number of patents, and frequent claims and related litigation regarding patent and other intellectual property rights. There can be no assurance that our patents and other proprietary </w:t>
      </w:r>
      <w:r>
        <w:rPr>
          <w:rFonts w:ascii="Times New Roman" w:eastAsia="宋体" w:hAnsi="Times New Roman"/>
          <w:color w:val="000000"/>
          <w:sz w:val="20"/>
          <w:szCs w:val="20"/>
        </w:rPr>
        <w:t>rights will not be challenged, invalidated, or circumvented; that others will not assert intellectual property rights to technologies that are relevant to us; or that our rights will give us a competitive advantage. In addition, the laws of some foreign co</w:t>
      </w:r>
      <w:r>
        <w:rPr>
          <w:rFonts w:ascii="Times New Roman" w:eastAsia="宋体" w:hAnsi="Times New Roman"/>
          <w:color w:val="000000"/>
          <w:sz w:val="20"/>
          <w:szCs w:val="20"/>
        </w:rPr>
        <w:t>untries may not protect our proprietary rights to the same extent as the laws of the United States. The risks associated with patents and intellectual property are more fully discussed in “Item 1A. Risk Factors,” including the risk factors entitled “Our pr</w:t>
      </w:r>
      <w:r>
        <w:rPr>
          <w:rFonts w:ascii="Times New Roman" w:eastAsia="宋体" w:hAnsi="Times New Roman"/>
          <w:color w:val="000000"/>
          <w:sz w:val="20"/>
          <w:szCs w:val="20"/>
        </w:rPr>
        <w:t>oprietary rights may prove difficult to enforce,” “We may be found to infringe on intellectual property rights of others,” and “We rely on the availability of third-party licenses.”</w:t>
      </w:r>
    </w:p>
    <w:p w14:paraId="518B43AC" w14:textId="77777777" w:rsidR="005C332D" w:rsidRDefault="00B93EAE">
      <w:pPr>
        <w:spacing w:before="120"/>
        <w:jc w:val="both"/>
      </w:pPr>
      <w:r>
        <w:rPr>
          <w:rFonts w:ascii="Times New Roman" w:eastAsia="宋体" w:hAnsi="Times New Roman"/>
          <w:b/>
          <w:bCs/>
          <w:color w:val="000000"/>
          <w:sz w:val="20"/>
          <w:szCs w:val="20"/>
        </w:rPr>
        <w:t>Government Regulation</w:t>
      </w:r>
    </w:p>
    <w:p w14:paraId="518B43AD" w14:textId="77777777" w:rsidR="005C332D" w:rsidRDefault="00B93EAE">
      <w:pPr>
        <w:spacing w:before="120"/>
        <w:jc w:val="both"/>
      </w:pPr>
      <w:r>
        <w:rPr>
          <w:rFonts w:ascii="Times New Roman" w:eastAsia="宋体" w:hAnsi="Times New Roman"/>
          <w:color w:val="000000"/>
          <w:sz w:val="20"/>
          <w:szCs w:val="20"/>
        </w:rPr>
        <w:t>We are subject to numerous regulations and laws in t</w:t>
      </w:r>
      <w:r>
        <w:rPr>
          <w:rFonts w:ascii="Times New Roman" w:eastAsia="宋体" w:hAnsi="Times New Roman"/>
          <w:color w:val="000000"/>
          <w:sz w:val="20"/>
          <w:szCs w:val="20"/>
        </w:rPr>
        <w:t>he United States and abroad that involve matters central to our business. Many of these regulations and laws are evolving and their applicability and scope, as interpreted by courts and regulators, remain uncertain. These regulations and laws involve a var</w:t>
      </w:r>
      <w:r>
        <w:rPr>
          <w:rFonts w:ascii="Times New Roman" w:eastAsia="宋体" w:hAnsi="Times New Roman"/>
          <w:color w:val="000000"/>
          <w:sz w:val="20"/>
          <w:szCs w:val="20"/>
        </w:rPr>
        <w:t>iety of matters including privacy, data protection and personal information, tax, trade, encryption technology, environmental sustainability (including climate change), human rights, product certification, and national security.</w:t>
      </w:r>
    </w:p>
    <w:p w14:paraId="518B43AE" w14:textId="77777777" w:rsidR="005C332D" w:rsidRDefault="00B93EAE">
      <w:pPr>
        <w:spacing w:before="120"/>
        <w:jc w:val="both"/>
      </w:pPr>
      <w:r>
        <w:rPr>
          <w:rFonts w:ascii="Times New Roman" w:eastAsia="宋体" w:hAnsi="Times New Roman"/>
          <w:color w:val="000000"/>
          <w:sz w:val="20"/>
          <w:szCs w:val="20"/>
        </w:rPr>
        <w:t>A failure, or alleged failu</w:t>
      </w:r>
      <w:r>
        <w:rPr>
          <w:rFonts w:ascii="Times New Roman" w:eastAsia="宋体" w:hAnsi="Times New Roman"/>
          <w:color w:val="000000"/>
          <w:sz w:val="20"/>
          <w:szCs w:val="20"/>
        </w:rPr>
        <w:t>re, by us to comply with regulations or laws could have a material adverse effect on our business, operating results, or financial condition. For additional information about government regulation and laws applicable to our business, see “Item 1A. Risk Fac</w:t>
      </w:r>
      <w:r>
        <w:rPr>
          <w:rFonts w:ascii="Times New Roman" w:eastAsia="宋体" w:hAnsi="Times New Roman"/>
          <w:color w:val="000000"/>
          <w:sz w:val="20"/>
          <w:szCs w:val="20"/>
        </w:rPr>
        <w:t>tors,” including the risk factor entitled “Our business, operating results and financial condition could be materially harmed by evolving regulatory uncertainty or obligations applicable to our products and services” and Note 14 to the Consolidated Financi</w:t>
      </w:r>
      <w:r>
        <w:rPr>
          <w:rFonts w:ascii="Times New Roman" w:eastAsia="宋体" w:hAnsi="Times New Roman"/>
          <w:color w:val="000000"/>
          <w:sz w:val="20"/>
          <w:szCs w:val="20"/>
        </w:rPr>
        <w:t>al Statements, subsection (f) “Legal Proceedings.”</w:t>
      </w:r>
    </w:p>
    <w:p w14:paraId="518B43AF" w14:textId="77777777" w:rsidR="005C332D" w:rsidRDefault="00B93EAE">
      <w:pPr>
        <w:spacing w:before="120"/>
        <w:jc w:val="both"/>
      </w:pPr>
      <w:r>
        <w:rPr>
          <w:rFonts w:ascii="Times New Roman" w:eastAsia="宋体" w:hAnsi="Times New Roman"/>
          <w:b/>
          <w:bCs/>
          <w:color w:val="000000"/>
          <w:sz w:val="20"/>
          <w:szCs w:val="20"/>
        </w:rPr>
        <w:t>Environmental Sustainability</w:t>
      </w:r>
    </w:p>
    <w:p w14:paraId="518B43B0" w14:textId="77777777" w:rsidR="005C332D" w:rsidRDefault="00B93EAE">
      <w:pPr>
        <w:spacing w:before="120"/>
        <w:jc w:val="both"/>
      </w:pPr>
      <w:r>
        <w:rPr>
          <w:rFonts w:ascii="Times New Roman" w:eastAsia="宋体" w:hAnsi="Times New Roman"/>
          <w:color w:val="000000"/>
          <w:sz w:val="20"/>
          <w:szCs w:val="20"/>
        </w:rPr>
        <w:t>Sustainability and protecting the environment are both top priorities for Cisco. We have set long-term goals to address the environmental impacts from our products and business</w:t>
      </w:r>
      <w:r>
        <w:rPr>
          <w:rFonts w:ascii="Times New Roman" w:eastAsia="宋体" w:hAnsi="Times New Roman"/>
          <w:color w:val="000000"/>
          <w:sz w:val="20"/>
          <w:szCs w:val="20"/>
        </w:rPr>
        <w:t xml:space="preserve"> operations.</w:t>
      </w:r>
    </w:p>
    <w:p w14:paraId="518B43B1" w14:textId="77777777" w:rsidR="005C332D" w:rsidRDefault="00B93EAE">
      <w:pPr>
        <w:spacing w:before="120"/>
        <w:jc w:val="both"/>
      </w:pPr>
      <w:r>
        <w:rPr>
          <w:rFonts w:ascii="Times New Roman" w:eastAsia="宋体" w:hAnsi="Times New Roman"/>
          <w:color w:val="000000"/>
          <w:sz w:val="20"/>
          <w:szCs w:val="20"/>
        </w:rPr>
        <w:t>We strive to reduce the impacts of our operations and supply chain, help our customers decrease greenhouse gas (GHG) emissions, and support our communities experiencing direct effects of a changing climate by, among others:</w:t>
      </w:r>
    </w:p>
    <w:p w14:paraId="518B43B2" w14:textId="77777777" w:rsidR="005C332D" w:rsidRDefault="00B93EAE">
      <w:pPr>
        <w:spacing w:before="120"/>
        <w:ind w:hanging="360"/>
        <w:jc w:val="both"/>
      </w:pPr>
      <w:r>
        <w:rPr>
          <w:rFonts w:ascii="Times New Roman" w:eastAsia="宋体" w:hAnsi="Times New Roman"/>
          <w:color w:val="000000"/>
          <w:sz w:val="20"/>
          <w:szCs w:val="20"/>
        </w:rPr>
        <w:t xml:space="preserve">•Continuing to </w:t>
      </w:r>
      <w:r>
        <w:rPr>
          <w:rFonts w:ascii="Times New Roman" w:eastAsia="宋体" w:hAnsi="Times New Roman"/>
          <w:color w:val="000000"/>
          <w:sz w:val="20"/>
          <w:szCs w:val="20"/>
        </w:rPr>
        <w:t>invest in renewable energy, including investments in solar and wind energy;</w:t>
      </w:r>
    </w:p>
    <w:p w14:paraId="518B43B3" w14:textId="77777777" w:rsidR="005C332D" w:rsidRDefault="00B93EAE">
      <w:pPr>
        <w:spacing w:before="60"/>
        <w:ind w:hanging="360"/>
        <w:jc w:val="both"/>
      </w:pPr>
      <w:r>
        <w:rPr>
          <w:rFonts w:ascii="Times New Roman" w:eastAsia="宋体" w:hAnsi="Times New Roman"/>
          <w:color w:val="000000"/>
          <w:sz w:val="20"/>
          <w:szCs w:val="20"/>
        </w:rPr>
        <w:t>•Designing our products and packaging for reuse, repair, recycling, and resource efficiency and managing our equipment for multiple lifecycles;</w:t>
      </w:r>
    </w:p>
    <w:p w14:paraId="518B43B4" w14:textId="77777777" w:rsidR="005C332D" w:rsidRDefault="00B93EAE">
      <w:pPr>
        <w:spacing w:before="60"/>
        <w:ind w:hanging="360"/>
        <w:jc w:val="both"/>
      </w:pPr>
      <w:r>
        <w:rPr>
          <w:rFonts w:ascii="Times New Roman" w:eastAsia="宋体" w:hAnsi="Times New Roman"/>
          <w:color w:val="000000"/>
          <w:sz w:val="20"/>
          <w:szCs w:val="20"/>
        </w:rPr>
        <w:t>•Enhancing our Webex and other remot</w:t>
      </w:r>
      <w:r>
        <w:rPr>
          <w:rFonts w:ascii="Times New Roman" w:eastAsia="宋体" w:hAnsi="Times New Roman"/>
          <w:color w:val="000000"/>
          <w:sz w:val="20"/>
          <w:szCs w:val="20"/>
        </w:rPr>
        <w:t>e collaboration tools;</w:t>
      </w:r>
    </w:p>
    <w:p w14:paraId="518B43B5" w14:textId="77777777" w:rsidR="005C332D" w:rsidRDefault="00B93EAE">
      <w:pPr>
        <w:spacing w:before="60"/>
        <w:ind w:hanging="360"/>
        <w:jc w:val="both"/>
      </w:pPr>
      <w:r>
        <w:rPr>
          <w:rFonts w:ascii="Times New Roman" w:eastAsia="宋体" w:hAnsi="Times New Roman"/>
          <w:color w:val="000000"/>
          <w:sz w:val="20"/>
          <w:szCs w:val="20"/>
        </w:rPr>
        <w:t>•Investing in projects to improve the efficiency of our offices, labs, and data centers worldwide;</w:t>
      </w:r>
    </w:p>
    <w:p w14:paraId="518B43B6" w14:textId="77777777" w:rsidR="005C332D" w:rsidRDefault="00B93EAE">
      <w:pPr>
        <w:spacing w:before="60"/>
        <w:ind w:hanging="360"/>
        <w:jc w:val="both"/>
      </w:pPr>
      <w:r>
        <w:rPr>
          <w:rFonts w:ascii="Times New Roman" w:eastAsia="宋体" w:hAnsi="Times New Roman"/>
          <w:color w:val="000000"/>
          <w:sz w:val="20"/>
          <w:szCs w:val="20"/>
        </w:rPr>
        <w:t>•Working with our component suppliers, manufacturing partners, and logistic providers to reduce emissions and set targets for absolute</w:t>
      </w:r>
      <w:r>
        <w:rPr>
          <w:rFonts w:ascii="Times New Roman" w:eastAsia="宋体" w:hAnsi="Times New Roman"/>
          <w:color w:val="000000"/>
          <w:sz w:val="20"/>
          <w:szCs w:val="20"/>
        </w:rPr>
        <w:t xml:space="preserve"> GHG emissions reductions;</w:t>
      </w:r>
    </w:p>
    <w:p w14:paraId="518B43B7" w14:textId="77777777" w:rsidR="005C332D" w:rsidRDefault="00B93EAE">
      <w:pPr>
        <w:spacing w:before="60"/>
        <w:ind w:hanging="360"/>
        <w:jc w:val="both"/>
      </w:pPr>
      <w:r>
        <w:rPr>
          <w:rFonts w:ascii="Times New Roman" w:eastAsia="宋体" w:hAnsi="Times New Roman"/>
          <w:color w:val="000000"/>
          <w:sz w:val="20"/>
          <w:szCs w:val="20"/>
        </w:rPr>
        <w:t>•Helping our employees to engage with events and opportunities to raise awareness and create a sense of community around sustainability; and</w:t>
      </w:r>
    </w:p>
    <w:p w14:paraId="518B43B8" w14:textId="77777777" w:rsidR="005C332D" w:rsidRDefault="00B93EAE">
      <w:pPr>
        <w:spacing w:before="60"/>
        <w:ind w:hanging="360"/>
        <w:jc w:val="both"/>
      </w:pPr>
      <w:r>
        <w:rPr>
          <w:rFonts w:ascii="Times New Roman" w:eastAsia="宋体" w:hAnsi="Times New Roman"/>
          <w:color w:val="000000"/>
          <w:sz w:val="20"/>
          <w:szCs w:val="20"/>
        </w:rPr>
        <w:t>•Providing critical connectivity in the aftermath of natural disasters.</w:t>
      </w:r>
    </w:p>
    <w:p w14:paraId="518B43B9" w14:textId="77777777" w:rsidR="005C332D" w:rsidRDefault="00B93EAE">
      <w:pPr>
        <w:spacing w:before="120"/>
        <w:jc w:val="both"/>
      </w:pPr>
      <w:r>
        <w:rPr>
          <w:rFonts w:ascii="Times New Roman" w:eastAsia="宋体" w:hAnsi="Times New Roman"/>
          <w:b/>
          <w:bCs/>
          <w:color w:val="000000"/>
          <w:sz w:val="20"/>
          <w:szCs w:val="20"/>
        </w:rPr>
        <w:t>Talent and Cultu</w:t>
      </w:r>
      <w:r>
        <w:rPr>
          <w:rFonts w:ascii="Times New Roman" w:eastAsia="宋体" w:hAnsi="Times New Roman"/>
          <w:b/>
          <w:bCs/>
          <w:color w:val="000000"/>
          <w:sz w:val="20"/>
          <w:szCs w:val="20"/>
        </w:rPr>
        <w:t>re</w:t>
      </w:r>
    </w:p>
    <w:p w14:paraId="518B43BA" w14:textId="77777777" w:rsidR="005C332D" w:rsidRDefault="00B93EAE">
      <w:pPr>
        <w:spacing w:before="120"/>
        <w:jc w:val="both"/>
      </w:pPr>
      <w:r>
        <w:rPr>
          <w:rFonts w:ascii="Times New Roman" w:eastAsia="宋体" w:hAnsi="Times New Roman"/>
          <w:color w:val="000000"/>
          <w:sz w:val="20"/>
          <w:szCs w:val="20"/>
        </w:rPr>
        <w:t>At Cisco, we value our people, our technology, with a focus on helping to change the world for the better and our purpose to Power an Inclusive Future for All. Our goal is to attract, retain, and develop talent in order to help our customers connect, se</w:t>
      </w:r>
      <w:r>
        <w:rPr>
          <w:rFonts w:ascii="Times New Roman" w:eastAsia="宋体" w:hAnsi="Times New Roman"/>
          <w:color w:val="000000"/>
          <w:sz w:val="20"/>
          <w:szCs w:val="20"/>
        </w:rPr>
        <w:t>cure and automate to accelerate their digital agility. Our relationship with our employees is one of mutual benefit, our employees bring talent and ingenuity to everything we do. In turn, we provide employees meaningful careers and development opportunitie</w:t>
      </w:r>
      <w:r>
        <w:rPr>
          <w:rFonts w:ascii="Times New Roman" w:eastAsia="宋体" w:hAnsi="Times New Roman"/>
          <w:color w:val="000000"/>
          <w:sz w:val="20"/>
          <w:szCs w:val="20"/>
        </w:rPr>
        <w:t>s. As a testament to this, Cisco has been named as the number one place to work on the “World’s Best Workplaces List” by</w:t>
      </w:r>
      <w:r>
        <w:rPr>
          <w:rFonts w:ascii="Times New Roman" w:eastAsia="宋体" w:hAnsi="Times New Roman"/>
          <w:i/>
          <w:iCs/>
          <w:color w:val="000000"/>
          <w:sz w:val="20"/>
          <w:szCs w:val="20"/>
        </w:rPr>
        <w:t xml:space="preserve"> Fortune Magazine</w:t>
      </w:r>
      <w:r>
        <w:rPr>
          <w:rFonts w:ascii="Times New Roman" w:eastAsia="宋体" w:hAnsi="Times New Roman"/>
          <w:color w:val="000000"/>
          <w:sz w:val="20"/>
          <w:szCs w:val="20"/>
        </w:rPr>
        <w:t xml:space="preserve"> for 2019, 2020 and 2021. Cisco was also named the number one place to work of the Fortune 500 in 2021 by </w:t>
      </w:r>
      <w:r>
        <w:rPr>
          <w:rFonts w:ascii="Times New Roman" w:eastAsia="宋体" w:hAnsi="Times New Roman"/>
          <w:i/>
          <w:iCs/>
          <w:color w:val="000000"/>
          <w:sz w:val="20"/>
          <w:szCs w:val="20"/>
        </w:rPr>
        <w:t xml:space="preserve">Great Places </w:t>
      </w:r>
      <w:r>
        <w:rPr>
          <w:rFonts w:ascii="Times New Roman" w:eastAsia="宋体" w:hAnsi="Times New Roman"/>
          <w:i/>
          <w:iCs/>
          <w:color w:val="000000"/>
          <w:sz w:val="20"/>
          <w:szCs w:val="20"/>
        </w:rPr>
        <w:t>to Work</w:t>
      </w:r>
      <w:r>
        <w:rPr>
          <w:rFonts w:ascii="Times New Roman" w:eastAsia="宋体" w:hAnsi="Times New Roman"/>
          <w:color w:val="000000"/>
          <w:sz w:val="20"/>
          <w:szCs w:val="20"/>
        </w:rPr>
        <w:t xml:space="preserve">. In addition, Cisco has been named the number one place to work in 14 countries around the world by </w:t>
      </w:r>
      <w:r>
        <w:rPr>
          <w:rFonts w:ascii="Times New Roman" w:eastAsia="宋体" w:hAnsi="Times New Roman"/>
          <w:i/>
          <w:iCs/>
          <w:color w:val="000000"/>
          <w:sz w:val="20"/>
          <w:szCs w:val="20"/>
        </w:rPr>
        <w:t>Great Places to Work</w:t>
      </w:r>
      <w:r>
        <w:rPr>
          <w:rFonts w:ascii="Times New Roman" w:eastAsia="宋体" w:hAnsi="Times New Roman"/>
          <w:color w:val="000000"/>
          <w:sz w:val="20"/>
          <w:szCs w:val="20"/>
        </w:rPr>
        <w:t>.</w:t>
      </w:r>
    </w:p>
    <w:p w14:paraId="518B43BB" w14:textId="77777777" w:rsidR="005C332D" w:rsidRDefault="00B93EAE">
      <w:pPr>
        <w:jc w:val="center"/>
      </w:pPr>
      <w:r>
        <w:rPr>
          <w:rFonts w:ascii="Times New Roman" w:eastAsia="宋体" w:hAnsi="Times New Roman"/>
          <w:color w:val="000000"/>
          <w:sz w:val="20"/>
          <w:szCs w:val="20"/>
        </w:rPr>
        <w:t>10</w:t>
      </w:r>
    </w:p>
    <w:p w14:paraId="518B43BC" w14:textId="77777777" w:rsidR="005C332D" w:rsidRDefault="00B93EAE">
      <w:r>
        <w:pict w14:anchorId="518B8719">
          <v:rect id="_x0000_i1036" style="width:415.3pt;height:1.5pt" o:hralign="center" o:hrstd="t" o:hr="t" fillcolor="#a0a0a0" stroked="f"/>
        </w:pict>
      </w:r>
    </w:p>
    <w:p w14:paraId="518B43BD" w14:textId="77777777" w:rsidR="005C332D" w:rsidRDefault="00B93EAE">
      <w:hyperlink r:id="rId64" w:anchor="i049852cab38845aabd2a79d07dacda86_7" w:history="1">
        <w:r>
          <w:rPr>
            <w:rStyle w:val="a5"/>
            <w:rFonts w:ascii="Times New Roman" w:eastAsia="宋体" w:hAnsi="Times New Roman"/>
            <w:sz w:val="20"/>
            <w:szCs w:val="20"/>
          </w:rPr>
          <w:t>Table of Contents</w:t>
        </w:r>
      </w:hyperlink>
    </w:p>
    <w:p w14:paraId="518B43BE" w14:textId="77777777" w:rsidR="005C332D" w:rsidRDefault="00B93EAE">
      <w:pPr>
        <w:spacing w:before="120"/>
        <w:jc w:val="both"/>
      </w:pPr>
      <w:r>
        <w:rPr>
          <w:rFonts w:ascii="Times New Roman" w:eastAsia="宋体" w:hAnsi="Times New Roman"/>
          <w:color w:val="000000"/>
          <w:sz w:val="20"/>
          <w:szCs w:val="20"/>
        </w:rPr>
        <w:t>As of July 30, 2022, we had approximately 83,300 full-time employees and they are categorized as follows:</w:t>
      </w:r>
    </w:p>
    <w:p w14:paraId="518B43BF" w14:textId="77777777" w:rsidR="005C332D" w:rsidRDefault="00B93EAE">
      <w:pPr>
        <w:spacing w:before="120"/>
        <w:jc w:val="both"/>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/Cisco/./Inline XBRL Viewer1_files/csco-20220730_g2.jpg"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18B871A" wp14:editId="518B871B">
            <wp:extent cx="304800" cy="304800"/>
            <wp:effectExtent l="0" t="0" r="0" b="0"/>
            <wp:docPr id="32" name="图片 4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7"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/Cisco/./Inline XBRL Viewer1_files/csco-20220730_g3.jpg"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18B871C" wp14:editId="518B871D">
            <wp:extent cx="304800" cy="304800"/>
            <wp:effectExtent l="0" t="0" r="0" b="0"/>
            <wp:docPr id="44" name="图片 4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8"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518B43C0" w14:textId="77777777" w:rsidR="005C332D" w:rsidRDefault="00B93EAE">
      <w:pPr>
        <w:spacing w:before="120"/>
        <w:jc w:val="both"/>
      </w:pPr>
      <w:r>
        <w:rPr>
          <w:rFonts w:ascii="Times New Roman" w:eastAsia="宋体" w:hAnsi="Times New Roman"/>
          <w:color w:val="000000"/>
          <w:sz w:val="20"/>
          <w:szCs w:val="20"/>
        </w:rPr>
        <w:t>We support our employees through times of change and enable them to be their best. We do this by fostering a C</w:t>
      </w:r>
      <w:r>
        <w:rPr>
          <w:rFonts w:ascii="Times New Roman" w:eastAsia="宋体" w:hAnsi="Times New Roman"/>
          <w:color w:val="000000"/>
          <w:sz w:val="20"/>
          <w:szCs w:val="20"/>
        </w:rPr>
        <w:t>onscious Culture. Conscious Culture means we act with dignity, respect, fairness, and equity in our interactions with one another, and we take steps to build a culture that allows us to become a catalyst for social change. By intentionally working to creat</w:t>
      </w:r>
      <w:r>
        <w:rPr>
          <w:rFonts w:ascii="Times New Roman" w:eastAsia="宋体" w:hAnsi="Times New Roman"/>
          <w:color w:val="000000"/>
          <w:sz w:val="20"/>
          <w:szCs w:val="20"/>
        </w:rPr>
        <w:t xml:space="preserve">e and cultivate an inclusive work environment where employees can thrive, we believe Cisco is helping to bring about a better world. </w:t>
      </w:r>
    </w:p>
    <w:p w14:paraId="518B43C1" w14:textId="77777777" w:rsidR="005C332D" w:rsidRDefault="00B93EAE">
      <w:pPr>
        <w:spacing w:before="120"/>
        <w:jc w:val="both"/>
      </w:pPr>
      <w:r>
        <w:rPr>
          <w:rFonts w:ascii="Times New Roman" w:eastAsia="宋体" w:hAnsi="Times New Roman"/>
          <w:color w:val="000000"/>
          <w:sz w:val="20"/>
          <w:szCs w:val="20"/>
        </w:rPr>
        <w:t>In the same way that every employee at Cisco is responsible for our Conscious Culture, we also want every employee to feel</w:t>
      </w:r>
      <w:r>
        <w:rPr>
          <w:rFonts w:ascii="Times New Roman" w:eastAsia="宋体" w:hAnsi="Times New Roman"/>
          <w:color w:val="000000"/>
          <w:sz w:val="20"/>
          <w:szCs w:val="20"/>
        </w:rPr>
        <w:t xml:space="preserve"> responsible for and contribute to our purpose to Power an Inclusive Future for All. This is as much a commitment from Cisco as it is from our employees. Our people often ask the toughest questions around how we are impacting society for the better, from a</w:t>
      </w:r>
      <w:r>
        <w:rPr>
          <w:rFonts w:ascii="Times New Roman" w:eastAsia="宋体" w:hAnsi="Times New Roman"/>
          <w:color w:val="000000"/>
          <w:sz w:val="20"/>
          <w:szCs w:val="20"/>
        </w:rPr>
        <w:t>ddressing homelessness to combating climate change. And often the best ideas for how we can do even more come directly from them. Future employees expect it too. More and more talent want to work for a company where their work has meaning and where they fe</w:t>
      </w:r>
      <w:r>
        <w:rPr>
          <w:rFonts w:ascii="Times New Roman" w:eastAsia="宋体" w:hAnsi="Times New Roman"/>
          <w:color w:val="000000"/>
          <w:sz w:val="20"/>
          <w:szCs w:val="20"/>
        </w:rPr>
        <w:t>el they have purpose.</w:t>
      </w:r>
    </w:p>
    <w:p w14:paraId="518B43C2" w14:textId="77777777" w:rsidR="005C332D" w:rsidRDefault="00B93EAE">
      <w:pPr>
        <w:spacing w:before="120"/>
        <w:jc w:val="both"/>
      </w:pPr>
      <w:r>
        <w:rPr>
          <w:rFonts w:ascii="Times New Roman" w:eastAsia="宋体" w:hAnsi="Times New Roman"/>
          <w:i/>
          <w:iCs/>
          <w:color w:val="000000"/>
          <w:sz w:val="20"/>
          <w:szCs w:val="20"/>
        </w:rPr>
        <w:t>Inclusion &amp; Diversity</w:t>
      </w:r>
    </w:p>
    <w:p w14:paraId="518B43C3" w14:textId="77777777" w:rsidR="005C332D" w:rsidRDefault="00B93EAE">
      <w:pPr>
        <w:spacing w:before="120"/>
        <w:jc w:val="both"/>
      </w:pPr>
      <w:r>
        <w:rPr>
          <w:rFonts w:ascii="Times New Roman" w:eastAsia="宋体" w:hAnsi="Times New Roman"/>
          <w:color w:val="000000"/>
          <w:sz w:val="20"/>
          <w:szCs w:val="20"/>
        </w:rPr>
        <w:t>Inclusion and diversity are core components in our Conscious Culture. Inclusivity is our strength and our priority. We want every employee to feel valued, respected, and heard. We are prioritizing inclusion and d</w:t>
      </w:r>
      <w:r>
        <w:rPr>
          <w:rFonts w:ascii="Times New Roman" w:eastAsia="宋体" w:hAnsi="Times New Roman"/>
          <w:color w:val="000000"/>
          <w:sz w:val="20"/>
          <w:szCs w:val="20"/>
        </w:rPr>
        <w:t>iversity across the company, recognizing that connecting people of all experiences and backgrounds allows us to innovate and collaborate. In order to continue accelerating diversity and finding extraordinary talent, we have designed a framework that includ</w:t>
      </w:r>
      <w:r>
        <w:rPr>
          <w:rFonts w:ascii="Times New Roman" w:eastAsia="宋体" w:hAnsi="Times New Roman"/>
          <w:color w:val="000000"/>
          <w:sz w:val="20"/>
          <w:szCs w:val="20"/>
        </w:rPr>
        <w:t xml:space="preserve">es introducing new tools and technologies to help accurately map the talent market, creating job roles that attract highly qualified diverse candidates, and expanding the diversity within our interview panels. </w:t>
      </w:r>
    </w:p>
    <w:p w14:paraId="518B43C4" w14:textId="77777777" w:rsidR="005C332D" w:rsidRDefault="00B93EAE">
      <w:pPr>
        <w:spacing w:before="120"/>
        <w:jc w:val="both"/>
      </w:pPr>
      <w:r>
        <w:rPr>
          <w:rFonts w:ascii="Times New Roman" w:eastAsia="宋体" w:hAnsi="Times New Roman"/>
          <w:color w:val="000000"/>
          <w:sz w:val="20"/>
          <w:szCs w:val="20"/>
        </w:rPr>
        <w:t>We currently have a total of 27 Inclusive Com</w:t>
      </w:r>
      <w:r>
        <w:rPr>
          <w:rFonts w:ascii="Times New Roman" w:eastAsia="宋体" w:hAnsi="Times New Roman"/>
          <w:color w:val="000000"/>
          <w:sz w:val="20"/>
          <w:szCs w:val="20"/>
        </w:rPr>
        <w:t>munities comprised of 11 Employee Resource Organizations and 16 Employee Networks supporting full-spectrum diversity globally, including gender, ethnicity, race, orientation, age, ability, veteran status, religion, culture, background, as well as varied ex</w:t>
      </w:r>
      <w:r>
        <w:rPr>
          <w:rFonts w:ascii="Times New Roman" w:eastAsia="宋体" w:hAnsi="Times New Roman"/>
          <w:color w:val="000000"/>
          <w:sz w:val="20"/>
          <w:szCs w:val="20"/>
        </w:rPr>
        <w:t>periences, strengths, and perspectives. These thriving communities continue to be a source of strength and support for employees, and they help to foster a more conscious culture by providing opportunities for proximity and learning.</w:t>
      </w:r>
    </w:p>
    <w:p w14:paraId="518B43C5" w14:textId="77777777" w:rsidR="005C332D" w:rsidRDefault="00B93EAE">
      <w:pPr>
        <w:spacing w:before="120"/>
        <w:jc w:val="both"/>
      </w:pPr>
      <w:r>
        <w:rPr>
          <w:rFonts w:ascii="Times New Roman" w:eastAsia="宋体" w:hAnsi="Times New Roman"/>
          <w:color w:val="000000"/>
          <w:sz w:val="20"/>
          <w:szCs w:val="20"/>
        </w:rPr>
        <w:t>Cisco has signed the C</w:t>
      </w:r>
      <w:r>
        <w:rPr>
          <w:rFonts w:ascii="Times New Roman" w:eastAsia="宋体" w:hAnsi="Times New Roman"/>
          <w:color w:val="000000"/>
          <w:sz w:val="20"/>
          <w:szCs w:val="20"/>
        </w:rPr>
        <w:t>EO Action for Diversity and Inclusion Pledge. The CEO Action for Diversity &amp; Inclusion Pledge is a CEO-driven business commitment to drive measurable action and meaningful change in advancing diversity, equity and inclusion in the workplace. We are deliver</w:t>
      </w:r>
      <w:r>
        <w:rPr>
          <w:rFonts w:ascii="Times New Roman" w:eastAsia="宋体" w:hAnsi="Times New Roman"/>
          <w:color w:val="000000"/>
          <w:sz w:val="20"/>
          <w:szCs w:val="20"/>
        </w:rPr>
        <w:t>ing on this pledge by accelerating diversity across the full-spectrum of diversity — including gender, age, race, ethnicity, orientation, ability, nationality, religion, veteran status, background, culture, experience, strengths and perspectives. At Cisco,</w:t>
      </w:r>
      <w:r>
        <w:rPr>
          <w:rFonts w:ascii="Times New Roman" w:eastAsia="宋体" w:hAnsi="Times New Roman"/>
          <w:color w:val="000000"/>
          <w:sz w:val="20"/>
          <w:szCs w:val="20"/>
        </w:rPr>
        <w:t xml:space="preserve"> it starts at the top: 38% of our Executive Leadership Team (ELT) are women and 46% are diverse in terms of gender or ethnicity. </w:t>
      </w:r>
    </w:p>
    <w:p w14:paraId="518B43C6" w14:textId="77777777" w:rsidR="005C332D" w:rsidRDefault="00B93EAE">
      <w:pPr>
        <w:spacing w:before="120"/>
        <w:jc w:val="both"/>
      </w:pPr>
      <w:r>
        <w:rPr>
          <w:rFonts w:ascii="Times New Roman" w:eastAsia="宋体" w:hAnsi="Times New Roman"/>
          <w:color w:val="000000"/>
          <w:sz w:val="20"/>
          <w:szCs w:val="20"/>
        </w:rPr>
        <w:t>We publish certain gender diversity and ethnic diversity workforce data annually. Across our global company, we have driven br</w:t>
      </w:r>
      <w:r>
        <w:rPr>
          <w:rFonts w:ascii="Times New Roman" w:eastAsia="宋体" w:hAnsi="Times New Roman"/>
          <w:color w:val="000000"/>
          <w:sz w:val="20"/>
          <w:szCs w:val="20"/>
        </w:rPr>
        <w:t>oad improvements in overall workforce diversity. Based on our fiscal 2021 data which excludes certain acquisitions, our global employee base was 28% female and 72% male, and our U.S. employee base was comprised of the following ethnicities: 51.5% White/Cau</w:t>
      </w:r>
      <w:r>
        <w:rPr>
          <w:rFonts w:ascii="Times New Roman" w:eastAsia="宋体" w:hAnsi="Times New Roman"/>
          <w:color w:val="000000"/>
          <w:sz w:val="20"/>
          <w:szCs w:val="20"/>
        </w:rPr>
        <w:t>casian, 35.2% Asian, 6.2% Hispanic/Latino, 4.8% African American/Black, 1.8% two or more races (Not Hispanic or Latino), and 0.5% additional groups (including American Indian, Alaska Native, Native Hawaiian or Other Pacific Islander).</w:t>
      </w:r>
    </w:p>
    <w:p w14:paraId="518B43C7" w14:textId="77777777" w:rsidR="005C332D" w:rsidRDefault="00B93EAE">
      <w:pPr>
        <w:spacing w:before="120"/>
        <w:jc w:val="both"/>
      </w:pPr>
      <w:r>
        <w:rPr>
          <w:rFonts w:ascii="Times New Roman" w:eastAsia="宋体" w:hAnsi="Times New Roman"/>
          <w:color w:val="000000"/>
          <w:sz w:val="20"/>
          <w:szCs w:val="20"/>
        </w:rPr>
        <w:t>With respect to socia</w:t>
      </w:r>
      <w:r>
        <w:rPr>
          <w:rFonts w:ascii="Times New Roman" w:eastAsia="宋体" w:hAnsi="Times New Roman"/>
          <w:color w:val="000000"/>
          <w:sz w:val="20"/>
          <w:szCs w:val="20"/>
        </w:rPr>
        <w:t>l justice, Cisco has been partnering across the globe to multiply our positive impact throughout our communities. We have published our Social Justice Beliefs &amp; Actions, which is our blueprint for how we respond to injustice and address inequity for any co</w:t>
      </w:r>
      <w:r>
        <w:rPr>
          <w:rFonts w:ascii="Times New Roman" w:eastAsia="宋体" w:hAnsi="Times New Roman"/>
          <w:color w:val="000000"/>
          <w:sz w:val="20"/>
          <w:szCs w:val="20"/>
        </w:rPr>
        <w:t>mmunity. This work is part of a plan for Cisco to drive transformational, generational impact for vulnerable communities. Our Inclusive Future Action Office helps drive progress and excellence in our strategic actions in this area, which are designed to ad</w:t>
      </w:r>
      <w:r>
        <w:rPr>
          <w:rFonts w:ascii="Times New Roman" w:eastAsia="宋体" w:hAnsi="Times New Roman"/>
          <w:color w:val="000000"/>
          <w:sz w:val="20"/>
          <w:szCs w:val="20"/>
        </w:rPr>
        <w:t>dress the broader ecosystem including our employees, partners, customers and suppliers.</w:t>
      </w:r>
    </w:p>
    <w:p w14:paraId="518B43C8" w14:textId="77777777" w:rsidR="005C332D" w:rsidRDefault="00B93EAE">
      <w:pPr>
        <w:jc w:val="center"/>
      </w:pPr>
      <w:r>
        <w:rPr>
          <w:rFonts w:ascii="Times New Roman" w:eastAsia="宋体" w:hAnsi="Times New Roman"/>
          <w:color w:val="000000"/>
          <w:sz w:val="20"/>
          <w:szCs w:val="20"/>
        </w:rPr>
        <w:t>11</w:t>
      </w:r>
    </w:p>
    <w:p w14:paraId="518B43C9" w14:textId="77777777" w:rsidR="005C332D" w:rsidRDefault="00B93EAE">
      <w:r>
        <w:pict w14:anchorId="518B871E">
          <v:rect id="_x0000_i1037" style="width:415.3pt;height:1.5pt" o:hralign="center" o:hrstd="t" o:hr="t" fillcolor="#a0a0a0" stroked="f"/>
        </w:pict>
      </w:r>
    </w:p>
    <w:p w14:paraId="518B43CA" w14:textId="77777777" w:rsidR="005C332D" w:rsidRDefault="00B93EAE">
      <w:hyperlink r:id="rId65" w:anchor="i049852cab38845aabd2a79d07dacda86_7" w:history="1">
        <w:r>
          <w:rPr>
            <w:rStyle w:val="a5"/>
            <w:rFonts w:ascii="Times New Roman" w:eastAsia="宋体" w:hAnsi="Times New Roman"/>
            <w:sz w:val="20"/>
            <w:szCs w:val="20"/>
          </w:rPr>
          <w:t>Table of Contents</w:t>
        </w:r>
      </w:hyperlink>
    </w:p>
    <w:p w14:paraId="518B43CB" w14:textId="77777777" w:rsidR="005C332D" w:rsidRDefault="00B93EAE">
      <w:pPr>
        <w:spacing w:before="120"/>
        <w:jc w:val="both"/>
      </w:pPr>
      <w:r>
        <w:rPr>
          <w:rFonts w:ascii="Times New Roman" w:eastAsia="宋体" w:hAnsi="Times New Roman"/>
          <w:color w:val="000000"/>
          <w:sz w:val="20"/>
          <w:szCs w:val="20"/>
        </w:rPr>
        <w:t>Our Inclusive Future Action Office is focused on driving impacts through our strategic actions in the African American/Black community, and these actions will be the blueprint for how we help address inequity in communities around the world in the futu</w:t>
      </w:r>
      <w:r>
        <w:rPr>
          <w:rFonts w:ascii="Times New Roman" w:eastAsia="宋体" w:hAnsi="Times New Roman"/>
          <w:color w:val="000000"/>
          <w:sz w:val="20"/>
          <w:szCs w:val="20"/>
        </w:rPr>
        <w:t>re. We are creating actions that can be replicated and scaled and are designed to cover the full spectrum of diversity, inclusive of gender, generation, race, ethnicity, orientation, ability, nationality and background — the foundation of our Conscious Cul</w:t>
      </w:r>
      <w:r>
        <w:rPr>
          <w:rFonts w:ascii="Times New Roman" w:eastAsia="宋体" w:hAnsi="Times New Roman"/>
          <w:color w:val="000000"/>
          <w:sz w:val="20"/>
          <w:szCs w:val="20"/>
        </w:rPr>
        <w:t>ture.</w:t>
      </w:r>
    </w:p>
    <w:p w14:paraId="518B43CC" w14:textId="77777777" w:rsidR="005C332D" w:rsidRDefault="00B93EAE">
      <w:pPr>
        <w:spacing w:before="120"/>
        <w:jc w:val="both"/>
      </w:pPr>
      <w:r>
        <w:rPr>
          <w:rFonts w:ascii="Times New Roman" w:eastAsia="宋体" w:hAnsi="Times New Roman"/>
          <w:i/>
          <w:iCs/>
          <w:color w:val="000000"/>
          <w:sz w:val="20"/>
          <w:szCs w:val="20"/>
        </w:rPr>
        <w:t>Compensation and Benefits</w:t>
      </w:r>
    </w:p>
    <w:p w14:paraId="518B43CD" w14:textId="77777777" w:rsidR="005C332D" w:rsidRDefault="00B93EAE">
      <w:pPr>
        <w:spacing w:before="120"/>
        <w:jc w:val="both"/>
      </w:pPr>
      <w:r>
        <w:rPr>
          <w:rFonts w:ascii="Times New Roman" w:eastAsia="宋体" w:hAnsi="Times New Roman"/>
          <w:color w:val="000000"/>
          <w:sz w:val="20"/>
          <w:szCs w:val="20"/>
        </w:rPr>
        <w:t>Our total compensation philosophy is designed to attract, reward and retain talent. It provides market competitive, performance-based compensation aligned with each employee’s contribution and impact to the value we drive to</w:t>
      </w:r>
      <w:r>
        <w:rPr>
          <w:rFonts w:ascii="Times New Roman" w:eastAsia="宋体" w:hAnsi="Times New Roman"/>
          <w:color w:val="000000"/>
          <w:sz w:val="20"/>
          <w:szCs w:val="20"/>
        </w:rPr>
        <w:t xml:space="preserve"> our customers, partners and stockholders. We reward and recognize our employees for effecting innovation, collaboration, profitability, and growth within our geographies, product lines, and functions. </w:t>
      </w:r>
    </w:p>
    <w:p w14:paraId="518B43CE" w14:textId="77777777" w:rsidR="005C332D" w:rsidRDefault="00B93EAE">
      <w:pPr>
        <w:spacing w:before="120"/>
        <w:jc w:val="both"/>
      </w:pPr>
      <w:r>
        <w:rPr>
          <w:rFonts w:ascii="Times New Roman" w:eastAsia="宋体" w:hAnsi="Times New Roman"/>
          <w:color w:val="000000"/>
          <w:sz w:val="20"/>
          <w:szCs w:val="20"/>
        </w:rPr>
        <w:t>Cisco has always been committed to compensating our e</w:t>
      </w:r>
      <w:r>
        <w:rPr>
          <w:rFonts w:ascii="Times New Roman" w:eastAsia="宋体" w:hAnsi="Times New Roman"/>
          <w:color w:val="000000"/>
          <w:sz w:val="20"/>
          <w:szCs w:val="20"/>
        </w:rPr>
        <w:t xml:space="preserve">mployees fairly and equitably. We are a founding signer of the White House Equal Pay Pledge and the Parity.org pledge, and we are leading the charge to make fair pay a reality for all employees through the Employers for Pay Equity Consortium. We have also </w:t>
      </w:r>
      <w:r>
        <w:rPr>
          <w:rFonts w:ascii="Times New Roman" w:eastAsia="宋体" w:hAnsi="Times New Roman"/>
          <w:color w:val="000000"/>
          <w:sz w:val="20"/>
          <w:szCs w:val="20"/>
        </w:rPr>
        <w:t>introduced an innovative and inclusive framework that provides us powerful analytics to evaluate our complex compensation system. For example, by using these powerful analytics, we are able to test for pay parity on a regular basis, and when gaps are found</w:t>
      </w:r>
      <w:r>
        <w:rPr>
          <w:rFonts w:ascii="Times New Roman" w:eastAsia="宋体" w:hAnsi="Times New Roman"/>
          <w:color w:val="000000"/>
          <w:sz w:val="20"/>
          <w:szCs w:val="20"/>
        </w:rPr>
        <w:t>, we strive to correct them.</w:t>
      </w:r>
    </w:p>
    <w:p w14:paraId="518B43CF" w14:textId="77777777" w:rsidR="005C332D" w:rsidRDefault="00B93EAE">
      <w:pPr>
        <w:spacing w:before="120"/>
        <w:jc w:val="both"/>
      </w:pPr>
      <w:r>
        <w:rPr>
          <w:rFonts w:ascii="Times New Roman" w:eastAsia="宋体" w:hAnsi="Times New Roman"/>
          <w:i/>
          <w:iCs/>
          <w:color w:val="000000"/>
          <w:sz w:val="20"/>
          <w:szCs w:val="20"/>
        </w:rPr>
        <w:t>Health &amp; Well-being</w:t>
      </w:r>
    </w:p>
    <w:p w14:paraId="518B43D0" w14:textId="77777777" w:rsidR="005C332D" w:rsidRDefault="00B93EAE">
      <w:pPr>
        <w:spacing w:before="120"/>
        <w:jc w:val="both"/>
      </w:pPr>
      <w:r>
        <w:rPr>
          <w:rFonts w:ascii="Times New Roman" w:eastAsia="宋体" w:hAnsi="Times New Roman"/>
          <w:color w:val="000000"/>
          <w:sz w:val="20"/>
          <w:szCs w:val="20"/>
        </w:rPr>
        <w:t xml:space="preserve">We have an ongoing commitment to focus on the health, safety, and well-being of our employees. We provide our employees and their families high-quality, flexible and convenient benefits and </w:t>
      </w:r>
      <w:r>
        <w:rPr>
          <w:rFonts w:ascii="Times New Roman" w:eastAsia="宋体" w:hAnsi="Times New Roman"/>
          <w:color w:val="000000"/>
          <w:sz w:val="20"/>
          <w:szCs w:val="20"/>
        </w:rPr>
        <w:t xml:space="preserve">resources for their physical, mental, and financial well-being. Since the start of the COVID-19 pandemic, employees have continually had to focus on how to balance careers and personal lives, all while managing their own physical, emotional, and financial </w:t>
      </w:r>
      <w:r>
        <w:rPr>
          <w:rFonts w:ascii="Times New Roman" w:eastAsia="宋体" w:hAnsi="Times New Roman"/>
          <w:color w:val="000000"/>
          <w:sz w:val="20"/>
          <w:szCs w:val="20"/>
        </w:rPr>
        <w:t>health. We developed a COVID-19 response and recovery strategy with a focus on both physical and mental health, recognizing the need to create an environment where employees can speak openly about mental health. In fiscal 2022, we continued to offer employ</w:t>
      </w:r>
      <w:r>
        <w:rPr>
          <w:rFonts w:ascii="Times New Roman" w:eastAsia="宋体" w:hAnsi="Times New Roman"/>
          <w:color w:val="000000"/>
          <w:sz w:val="20"/>
          <w:szCs w:val="20"/>
        </w:rPr>
        <w:t>ees “A Day for Me,” which were paid days off that allowed for each individual to recharge and rest. We have moved towards a hybrid work model in certain countries, giving our employees the flexibility to work offsite or at onsite Cisco locations.</w:t>
      </w:r>
    </w:p>
    <w:p w14:paraId="518B43D1" w14:textId="77777777" w:rsidR="005C332D" w:rsidRDefault="00B93EAE">
      <w:pPr>
        <w:spacing w:before="120"/>
        <w:jc w:val="both"/>
      </w:pPr>
      <w:r>
        <w:rPr>
          <w:rFonts w:ascii="Times New Roman" w:eastAsia="宋体" w:hAnsi="Times New Roman"/>
          <w:i/>
          <w:iCs/>
          <w:color w:val="000000"/>
          <w:sz w:val="20"/>
          <w:szCs w:val="20"/>
        </w:rPr>
        <w:t xml:space="preserve">Employee </w:t>
      </w:r>
      <w:r>
        <w:rPr>
          <w:rFonts w:ascii="Times New Roman" w:eastAsia="宋体" w:hAnsi="Times New Roman"/>
          <w:i/>
          <w:iCs/>
          <w:color w:val="000000"/>
          <w:sz w:val="20"/>
          <w:szCs w:val="20"/>
        </w:rPr>
        <w:t>Development</w:t>
      </w:r>
    </w:p>
    <w:p w14:paraId="518B43D2" w14:textId="77777777" w:rsidR="005C332D" w:rsidRDefault="00B93EAE">
      <w:pPr>
        <w:spacing w:before="120"/>
        <w:jc w:val="both"/>
      </w:pPr>
      <w:r>
        <w:rPr>
          <w:rFonts w:ascii="Times New Roman" w:eastAsia="宋体" w:hAnsi="Times New Roman"/>
          <w:color w:val="000000"/>
          <w:sz w:val="20"/>
          <w:szCs w:val="20"/>
        </w:rPr>
        <w:t>We believe in open-ended, self-directed learning, understanding that each individual knows what skills and resources they need to succeed. We encourage employees to explore assignments outside of their daily work and encourage everyone to harne</w:t>
      </w:r>
      <w:r>
        <w:rPr>
          <w:rFonts w:ascii="Times New Roman" w:eastAsia="宋体" w:hAnsi="Times New Roman"/>
          <w:color w:val="000000"/>
          <w:sz w:val="20"/>
          <w:szCs w:val="20"/>
        </w:rPr>
        <w:t xml:space="preserve">ss their strengths and improve the way we all work. Employees choose their own career paths and we support that choice by providing them with tools and resources to help them achieve their career goals. </w:t>
      </w:r>
    </w:p>
    <w:p w14:paraId="518B43D3" w14:textId="77777777" w:rsidR="005C332D" w:rsidRDefault="00B93EAE">
      <w:pPr>
        <w:spacing w:before="120"/>
        <w:jc w:val="both"/>
      </w:pPr>
      <w:r>
        <w:rPr>
          <w:rFonts w:ascii="Times New Roman" w:eastAsia="宋体" w:hAnsi="Times New Roman"/>
          <w:i/>
          <w:iCs/>
          <w:color w:val="000000"/>
          <w:sz w:val="20"/>
          <w:szCs w:val="20"/>
        </w:rPr>
        <w:t>Employee Engagement</w:t>
      </w:r>
    </w:p>
    <w:p w14:paraId="518B43D4" w14:textId="77777777" w:rsidR="005C332D" w:rsidRDefault="00B93EAE">
      <w:pPr>
        <w:spacing w:before="120"/>
        <w:jc w:val="both"/>
      </w:pPr>
      <w:r>
        <w:rPr>
          <w:rFonts w:ascii="Times New Roman" w:eastAsia="宋体" w:hAnsi="Times New Roman"/>
          <w:color w:val="000000"/>
          <w:sz w:val="20"/>
          <w:szCs w:val="20"/>
        </w:rPr>
        <w:t>We believe that strong communica</w:t>
      </w:r>
      <w:r>
        <w:rPr>
          <w:rFonts w:ascii="Times New Roman" w:eastAsia="宋体" w:hAnsi="Times New Roman"/>
          <w:color w:val="000000"/>
          <w:sz w:val="20"/>
          <w:szCs w:val="20"/>
        </w:rPr>
        <w:t xml:space="preserve">tion is key in our Conscious Culture. This communication includes regular, virtual all hands, which we refer to as a “Cisco Check-In,” and weekly team leader check-ins, which we refer to as a “Team Space Check-In.” Our regular virtual Cisco Check-Ins were </w:t>
      </w:r>
      <w:r>
        <w:rPr>
          <w:rFonts w:ascii="Times New Roman" w:eastAsia="宋体" w:hAnsi="Times New Roman"/>
          <w:color w:val="000000"/>
          <w:sz w:val="20"/>
          <w:szCs w:val="20"/>
        </w:rPr>
        <w:t>initially launched with a focus on sharing medical information at the start of the COVID-19 pandemic. The Cisco Check-Ins have since evolved into a forum where we can discuss much more with our employees, from business updates to social justice to physical</w:t>
      </w:r>
      <w:r>
        <w:rPr>
          <w:rFonts w:ascii="Times New Roman" w:eastAsia="宋体" w:hAnsi="Times New Roman"/>
          <w:color w:val="000000"/>
          <w:sz w:val="20"/>
          <w:szCs w:val="20"/>
        </w:rPr>
        <w:t xml:space="preserve"> and mental health. </w:t>
      </w:r>
    </w:p>
    <w:p w14:paraId="518B43D5" w14:textId="77777777" w:rsidR="005C332D" w:rsidRDefault="00B93EAE">
      <w:pPr>
        <w:spacing w:before="120"/>
        <w:jc w:val="both"/>
      </w:pPr>
      <w:r>
        <w:rPr>
          <w:rFonts w:ascii="Times New Roman" w:eastAsia="宋体" w:hAnsi="Times New Roman"/>
          <w:color w:val="000000"/>
          <w:sz w:val="20"/>
          <w:szCs w:val="20"/>
        </w:rPr>
        <w:t>In fiscal 2022, we have seen high level of employee engagement. For example, there were approximately 2.1 million Team Space Check-Ins by our employees in fiscal 2022, reflecting 87% of employees submitting Team Space Check-Ins. Employ</w:t>
      </w:r>
      <w:r>
        <w:rPr>
          <w:rFonts w:ascii="Times New Roman" w:eastAsia="宋体" w:hAnsi="Times New Roman"/>
          <w:color w:val="000000"/>
          <w:sz w:val="20"/>
          <w:szCs w:val="20"/>
        </w:rPr>
        <w:t>ees also participate in our global Engagement Pulse Survey and the Real Deal Survey. These surveys allow our employees to provide confidential feedback on our culture, company strategy and trust in their direct leaders.</w:t>
      </w:r>
    </w:p>
    <w:p w14:paraId="518B43D6" w14:textId="77777777" w:rsidR="005C332D" w:rsidRDefault="00B93EAE">
      <w:pPr>
        <w:spacing w:before="120"/>
        <w:jc w:val="both"/>
      </w:pPr>
      <w:r>
        <w:rPr>
          <w:rFonts w:ascii="Times New Roman" w:eastAsia="宋体" w:hAnsi="Times New Roman"/>
          <w:b/>
          <w:bCs/>
          <w:color w:val="000000"/>
          <w:sz w:val="20"/>
          <w:szCs w:val="20"/>
        </w:rPr>
        <w:t>Purpose Report</w:t>
      </w:r>
    </w:p>
    <w:p w14:paraId="518B43D7" w14:textId="77777777" w:rsidR="005C332D" w:rsidRDefault="00B93EAE">
      <w:pPr>
        <w:spacing w:before="120"/>
        <w:jc w:val="both"/>
      </w:pPr>
      <w:r>
        <w:rPr>
          <w:rFonts w:ascii="Times New Roman" w:eastAsia="宋体" w:hAnsi="Times New Roman"/>
          <w:color w:val="000000"/>
          <w:sz w:val="20"/>
          <w:szCs w:val="20"/>
        </w:rPr>
        <w:t>Additional informatio</w:t>
      </w:r>
      <w:r>
        <w:rPr>
          <w:rFonts w:ascii="Times New Roman" w:eastAsia="宋体" w:hAnsi="Times New Roman"/>
          <w:color w:val="000000"/>
          <w:sz w:val="20"/>
          <w:szCs w:val="20"/>
        </w:rPr>
        <w:t>n regarding Cisco’s ESG initiatives and our people, as well as our workforce diversity data, can be found in our Purpose Report and related supplemental information, which are located on our ESG Reporting Hub at https://www.cisco.com/c/m/en_us/about/csr/es</w:t>
      </w:r>
      <w:r>
        <w:rPr>
          <w:rFonts w:ascii="Times New Roman" w:eastAsia="宋体" w:hAnsi="Times New Roman"/>
          <w:color w:val="000000"/>
          <w:sz w:val="20"/>
          <w:szCs w:val="20"/>
        </w:rPr>
        <w:t>g-hub.html.</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The contents of our Purpose Report and related supplemental information are not incorporated by reference into this Annual Report on Form 10-K or in any other report or document we file with the SEC.</w:t>
      </w:r>
    </w:p>
    <w:p w14:paraId="518B43D8" w14:textId="77777777" w:rsidR="005C332D" w:rsidRDefault="00B93EAE">
      <w:pPr>
        <w:jc w:val="center"/>
      </w:pPr>
      <w:r>
        <w:rPr>
          <w:rFonts w:ascii="Times New Roman" w:eastAsia="宋体" w:hAnsi="Times New Roman"/>
          <w:color w:val="000000"/>
          <w:sz w:val="20"/>
          <w:szCs w:val="20"/>
        </w:rPr>
        <w:t>12</w:t>
      </w:r>
    </w:p>
    <w:p w14:paraId="518B43D9" w14:textId="77777777" w:rsidR="005C332D" w:rsidRDefault="00B93EAE">
      <w:r>
        <w:pict w14:anchorId="518B871F">
          <v:rect id="_x0000_i1038" style="width:415.3pt;height:1.5pt" o:hralign="center" o:hrstd="t" o:hr="t" fillcolor="#a0a0a0" stroked="f"/>
        </w:pict>
      </w:r>
    </w:p>
    <w:p w14:paraId="518B43DA" w14:textId="77777777" w:rsidR="005C332D" w:rsidRDefault="00B93EAE">
      <w:hyperlink r:id="rId66" w:anchor="i049852cab38845aabd2a79d07dacda86_7" w:history="1">
        <w:r>
          <w:rPr>
            <w:rStyle w:val="a5"/>
            <w:rFonts w:ascii="Times New Roman" w:eastAsia="宋体" w:hAnsi="Times New Roman"/>
            <w:sz w:val="20"/>
            <w:szCs w:val="20"/>
          </w:rPr>
          <w:t>Table of Contents</w:t>
        </w:r>
      </w:hyperlink>
    </w:p>
    <w:p w14:paraId="518B43DB" w14:textId="77777777" w:rsidR="005C332D" w:rsidRDefault="00B93EAE">
      <w:pPr>
        <w:spacing w:before="120"/>
        <w:jc w:val="both"/>
      </w:pPr>
      <w:r>
        <w:rPr>
          <w:rFonts w:ascii="Times New Roman" w:eastAsia="宋体" w:hAnsi="Times New Roman"/>
          <w:b/>
          <w:bCs/>
          <w:color w:val="000000"/>
          <w:sz w:val="20"/>
          <w:szCs w:val="20"/>
        </w:rPr>
        <w:t>Information about our Executive Officers</w:t>
      </w:r>
    </w:p>
    <w:p w14:paraId="518B43DC" w14:textId="77777777" w:rsidR="005C332D" w:rsidRDefault="00B93EAE">
      <w:pPr>
        <w:spacing w:before="120"/>
        <w:jc w:val="both"/>
      </w:pPr>
      <w:r>
        <w:rPr>
          <w:rFonts w:ascii="Times New Roman" w:eastAsia="宋体" w:hAnsi="Times New Roman"/>
          <w:color w:val="000000"/>
          <w:sz w:val="20"/>
          <w:szCs w:val="20"/>
        </w:rPr>
        <w:t xml:space="preserve">The following table shows the name, age, and position as of August 31, 2022 of each </w:t>
      </w:r>
      <w:r>
        <w:rPr>
          <w:rFonts w:ascii="Times New Roman" w:eastAsia="宋体" w:hAnsi="Times New Roman"/>
          <w:color w:val="000000"/>
          <w:sz w:val="20"/>
          <w:szCs w:val="20"/>
        </w:rPr>
        <w:t>of our executive officers:</w:t>
      </w:r>
    </w:p>
    <w:tbl>
      <w:tblPr>
        <w:tblW w:w="4985" w:type="pct"/>
        <w:jc w:val="center"/>
        <w:tblCellMar>
          <w:top w:w="15" w:type="dxa"/>
          <w:left w:w="15" w:type="dxa"/>
          <w:bottom w:w="15" w:type="dxa"/>
          <w:right w:w="15" w:type="dxa"/>
        </w:tblCellMar>
        <w:tblLook w:val="04A0" w:firstRow="1" w:lastRow="0" w:firstColumn="1" w:lastColumn="0" w:noHBand="0" w:noVBand="1"/>
      </w:tblPr>
      <w:tblGrid>
        <w:gridCol w:w="58"/>
        <w:gridCol w:w="1737"/>
        <w:gridCol w:w="38"/>
        <w:gridCol w:w="36"/>
        <w:gridCol w:w="36"/>
        <w:gridCol w:w="36"/>
        <w:gridCol w:w="49"/>
        <w:gridCol w:w="460"/>
        <w:gridCol w:w="36"/>
        <w:gridCol w:w="36"/>
        <w:gridCol w:w="36"/>
        <w:gridCol w:w="36"/>
        <w:gridCol w:w="42"/>
        <w:gridCol w:w="5639"/>
        <w:gridCol w:w="36"/>
      </w:tblGrid>
      <w:tr w:rsidR="005C332D" w14:paraId="518B43EC" w14:textId="77777777">
        <w:trPr>
          <w:jc w:val="center"/>
        </w:trPr>
        <w:tc>
          <w:tcPr>
            <w:tcW w:w="50" w:type="pct"/>
            <w:shd w:val="clear" w:color="auto" w:fill="auto"/>
            <w:vAlign w:val="bottom"/>
          </w:tcPr>
          <w:p w14:paraId="518B43DD" w14:textId="77777777" w:rsidR="005C332D" w:rsidRDefault="005C332D">
            <w:pPr>
              <w:rPr>
                <w:rFonts w:ascii="宋体"/>
              </w:rPr>
            </w:pPr>
          </w:p>
        </w:tc>
        <w:tc>
          <w:tcPr>
            <w:tcW w:w="1059" w:type="pct"/>
            <w:shd w:val="clear" w:color="auto" w:fill="auto"/>
            <w:vAlign w:val="bottom"/>
          </w:tcPr>
          <w:p w14:paraId="518B43DE" w14:textId="77777777" w:rsidR="005C332D" w:rsidRDefault="005C332D">
            <w:pPr>
              <w:rPr>
                <w:rFonts w:ascii="宋体"/>
              </w:rPr>
            </w:pPr>
          </w:p>
        </w:tc>
        <w:tc>
          <w:tcPr>
            <w:tcW w:w="5" w:type="pct"/>
            <w:shd w:val="clear" w:color="auto" w:fill="auto"/>
            <w:vAlign w:val="bottom"/>
          </w:tcPr>
          <w:p w14:paraId="518B43DF" w14:textId="77777777" w:rsidR="005C332D" w:rsidRDefault="005C332D">
            <w:pPr>
              <w:rPr>
                <w:rFonts w:ascii="宋体"/>
              </w:rPr>
            </w:pPr>
          </w:p>
        </w:tc>
        <w:tc>
          <w:tcPr>
            <w:tcW w:w="5" w:type="pct"/>
            <w:shd w:val="clear" w:color="auto" w:fill="auto"/>
            <w:vAlign w:val="bottom"/>
          </w:tcPr>
          <w:p w14:paraId="518B43E0" w14:textId="77777777" w:rsidR="005C332D" w:rsidRDefault="005C332D">
            <w:pPr>
              <w:rPr>
                <w:rFonts w:ascii="宋体"/>
              </w:rPr>
            </w:pPr>
          </w:p>
        </w:tc>
        <w:tc>
          <w:tcPr>
            <w:tcW w:w="26" w:type="pct"/>
            <w:shd w:val="clear" w:color="auto" w:fill="auto"/>
            <w:vAlign w:val="bottom"/>
          </w:tcPr>
          <w:p w14:paraId="518B43E1" w14:textId="77777777" w:rsidR="005C332D" w:rsidRDefault="005C332D">
            <w:pPr>
              <w:rPr>
                <w:rFonts w:ascii="宋体"/>
              </w:rPr>
            </w:pPr>
          </w:p>
        </w:tc>
        <w:tc>
          <w:tcPr>
            <w:tcW w:w="5" w:type="pct"/>
            <w:shd w:val="clear" w:color="auto" w:fill="auto"/>
            <w:vAlign w:val="bottom"/>
          </w:tcPr>
          <w:p w14:paraId="518B43E2" w14:textId="77777777" w:rsidR="005C332D" w:rsidRDefault="005C332D">
            <w:pPr>
              <w:rPr>
                <w:rFonts w:ascii="宋体"/>
              </w:rPr>
            </w:pPr>
          </w:p>
        </w:tc>
        <w:tc>
          <w:tcPr>
            <w:tcW w:w="50" w:type="pct"/>
            <w:shd w:val="clear" w:color="auto" w:fill="auto"/>
            <w:vAlign w:val="bottom"/>
          </w:tcPr>
          <w:p w14:paraId="518B43E3" w14:textId="77777777" w:rsidR="005C332D" w:rsidRDefault="005C332D">
            <w:pPr>
              <w:rPr>
                <w:rFonts w:ascii="宋体"/>
              </w:rPr>
            </w:pPr>
          </w:p>
        </w:tc>
        <w:tc>
          <w:tcPr>
            <w:tcW w:w="296" w:type="pct"/>
            <w:shd w:val="clear" w:color="auto" w:fill="auto"/>
            <w:vAlign w:val="bottom"/>
          </w:tcPr>
          <w:p w14:paraId="518B43E4" w14:textId="77777777" w:rsidR="005C332D" w:rsidRDefault="005C332D">
            <w:pPr>
              <w:rPr>
                <w:rFonts w:ascii="宋体"/>
              </w:rPr>
            </w:pPr>
          </w:p>
        </w:tc>
        <w:tc>
          <w:tcPr>
            <w:tcW w:w="5" w:type="pct"/>
            <w:shd w:val="clear" w:color="auto" w:fill="auto"/>
            <w:vAlign w:val="bottom"/>
          </w:tcPr>
          <w:p w14:paraId="518B43E5" w14:textId="77777777" w:rsidR="005C332D" w:rsidRDefault="005C332D">
            <w:pPr>
              <w:rPr>
                <w:rFonts w:ascii="宋体"/>
              </w:rPr>
            </w:pPr>
          </w:p>
        </w:tc>
        <w:tc>
          <w:tcPr>
            <w:tcW w:w="5" w:type="pct"/>
            <w:shd w:val="clear" w:color="auto" w:fill="auto"/>
            <w:vAlign w:val="bottom"/>
          </w:tcPr>
          <w:p w14:paraId="518B43E6" w14:textId="77777777" w:rsidR="005C332D" w:rsidRDefault="005C332D">
            <w:pPr>
              <w:rPr>
                <w:rFonts w:ascii="宋体"/>
              </w:rPr>
            </w:pPr>
          </w:p>
        </w:tc>
        <w:tc>
          <w:tcPr>
            <w:tcW w:w="26" w:type="pct"/>
            <w:shd w:val="clear" w:color="auto" w:fill="auto"/>
            <w:vAlign w:val="bottom"/>
          </w:tcPr>
          <w:p w14:paraId="518B43E7" w14:textId="77777777" w:rsidR="005C332D" w:rsidRDefault="005C332D">
            <w:pPr>
              <w:rPr>
                <w:rFonts w:ascii="宋体"/>
              </w:rPr>
            </w:pPr>
          </w:p>
        </w:tc>
        <w:tc>
          <w:tcPr>
            <w:tcW w:w="5" w:type="pct"/>
            <w:shd w:val="clear" w:color="auto" w:fill="auto"/>
            <w:vAlign w:val="bottom"/>
          </w:tcPr>
          <w:p w14:paraId="518B43E8" w14:textId="77777777" w:rsidR="005C332D" w:rsidRDefault="005C332D">
            <w:pPr>
              <w:rPr>
                <w:rFonts w:ascii="宋体"/>
              </w:rPr>
            </w:pPr>
          </w:p>
        </w:tc>
        <w:tc>
          <w:tcPr>
            <w:tcW w:w="50" w:type="pct"/>
            <w:shd w:val="clear" w:color="auto" w:fill="auto"/>
            <w:vAlign w:val="bottom"/>
          </w:tcPr>
          <w:p w14:paraId="518B43E9" w14:textId="77777777" w:rsidR="005C332D" w:rsidRDefault="005C332D">
            <w:pPr>
              <w:rPr>
                <w:rFonts w:ascii="宋体"/>
              </w:rPr>
            </w:pPr>
          </w:p>
        </w:tc>
        <w:tc>
          <w:tcPr>
            <w:tcW w:w="3405" w:type="pct"/>
            <w:shd w:val="clear" w:color="auto" w:fill="auto"/>
            <w:vAlign w:val="bottom"/>
          </w:tcPr>
          <w:p w14:paraId="518B43EA" w14:textId="77777777" w:rsidR="005C332D" w:rsidRDefault="005C332D">
            <w:pPr>
              <w:rPr>
                <w:rFonts w:ascii="宋体"/>
              </w:rPr>
            </w:pPr>
          </w:p>
        </w:tc>
        <w:tc>
          <w:tcPr>
            <w:tcW w:w="5" w:type="pct"/>
            <w:shd w:val="clear" w:color="auto" w:fill="auto"/>
            <w:vAlign w:val="bottom"/>
          </w:tcPr>
          <w:p w14:paraId="518B43EB" w14:textId="77777777" w:rsidR="005C332D" w:rsidRDefault="005C332D">
            <w:pPr>
              <w:rPr>
                <w:rFonts w:ascii="宋体"/>
              </w:rPr>
            </w:pPr>
          </w:p>
        </w:tc>
      </w:tr>
      <w:tr w:rsidR="005C332D" w14:paraId="518B43F2" w14:textId="77777777">
        <w:trPr>
          <w:jc w:val="center"/>
        </w:trPr>
        <w:tc>
          <w:tcPr>
            <w:tcW w:w="0" w:type="auto"/>
            <w:gridSpan w:val="3"/>
            <w:shd w:val="clear" w:color="auto" w:fill="auto"/>
            <w:tcMar>
              <w:top w:w="40" w:type="dxa"/>
              <w:left w:w="20" w:type="dxa"/>
              <w:bottom w:w="40" w:type="dxa"/>
              <w:right w:w="20" w:type="dxa"/>
            </w:tcMar>
            <w:vAlign w:val="bottom"/>
          </w:tcPr>
          <w:p w14:paraId="518B43ED" w14:textId="77777777" w:rsidR="005C332D" w:rsidRDefault="00B93EAE">
            <w:pPr>
              <w:jc w:val="center"/>
              <w:textAlignment w:val="bottom"/>
            </w:pPr>
            <w:r>
              <w:rPr>
                <w:rFonts w:ascii="Times New Roman" w:eastAsia="宋体" w:hAnsi="Times New Roman"/>
                <w:b/>
                <w:bCs/>
                <w:color w:val="000000"/>
                <w:sz w:val="18"/>
                <w:szCs w:val="18"/>
                <w:u w:val="single"/>
              </w:rPr>
              <w:t>Name</w:t>
            </w:r>
          </w:p>
        </w:tc>
        <w:tc>
          <w:tcPr>
            <w:tcW w:w="0" w:type="auto"/>
            <w:gridSpan w:val="3"/>
            <w:shd w:val="clear" w:color="auto" w:fill="auto"/>
            <w:tcMar>
              <w:top w:w="0" w:type="dxa"/>
              <w:left w:w="20" w:type="dxa"/>
              <w:bottom w:w="0" w:type="dxa"/>
              <w:right w:w="20" w:type="dxa"/>
            </w:tcMar>
            <w:vAlign w:val="bottom"/>
          </w:tcPr>
          <w:p w14:paraId="518B43E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3EF" w14:textId="77777777" w:rsidR="005C332D" w:rsidRDefault="00B93EAE">
            <w:pPr>
              <w:jc w:val="center"/>
              <w:textAlignment w:val="bottom"/>
            </w:pPr>
            <w:r>
              <w:rPr>
                <w:rFonts w:ascii="Times New Roman" w:eastAsia="宋体" w:hAnsi="Times New Roman"/>
                <w:b/>
                <w:bCs/>
                <w:color w:val="000000"/>
                <w:sz w:val="18"/>
                <w:szCs w:val="18"/>
                <w:u w:val="single"/>
              </w:rPr>
              <w:t>Age</w:t>
            </w:r>
          </w:p>
        </w:tc>
        <w:tc>
          <w:tcPr>
            <w:tcW w:w="0" w:type="auto"/>
            <w:gridSpan w:val="3"/>
            <w:shd w:val="clear" w:color="auto" w:fill="auto"/>
            <w:tcMar>
              <w:top w:w="0" w:type="dxa"/>
              <w:left w:w="20" w:type="dxa"/>
              <w:bottom w:w="0" w:type="dxa"/>
              <w:right w:w="20" w:type="dxa"/>
            </w:tcMar>
            <w:vAlign w:val="bottom"/>
          </w:tcPr>
          <w:p w14:paraId="518B43F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3F1" w14:textId="77777777" w:rsidR="005C332D" w:rsidRDefault="00B93EAE">
            <w:pPr>
              <w:jc w:val="center"/>
              <w:textAlignment w:val="bottom"/>
            </w:pPr>
            <w:r>
              <w:rPr>
                <w:rFonts w:ascii="Times New Roman" w:eastAsia="宋体" w:hAnsi="Times New Roman"/>
                <w:b/>
                <w:bCs/>
                <w:color w:val="000000"/>
                <w:sz w:val="18"/>
                <w:szCs w:val="18"/>
                <w:u w:val="single"/>
              </w:rPr>
              <w:t> Position with the Company</w:t>
            </w:r>
          </w:p>
        </w:tc>
      </w:tr>
      <w:tr w:rsidR="005C332D" w14:paraId="518B43F8" w14:textId="77777777">
        <w:trPr>
          <w:jc w:val="center"/>
        </w:trPr>
        <w:tc>
          <w:tcPr>
            <w:tcW w:w="0" w:type="auto"/>
            <w:gridSpan w:val="3"/>
            <w:shd w:val="clear" w:color="auto" w:fill="CCEEFF"/>
            <w:tcMar>
              <w:top w:w="40" w:type="dxa"/>
              <w:left w:w="20" w:type="dxa"/>
              <w:bottom w:w="40" w:type="dxa"/>
              <w:right w:w="20" w:type="dxa"/>
            </w:tcMar>
            <w:vAlign w:val="bottom"/>
          </w:tcPr>
          <w:p w14:paraId="518B43F3" w14:textId="77777777" w:rsidR="005C332D" w:rsidRDefault="00B93EAE">
            <w:pPr>
              <w:textAlignment w:val="bottom"/>
            </w:pPr>
            <w:r>
              <w:rPr>
                <w:rFonts w:ascii="Times New Roman" w:eastAsia="宋体" w:hAnsi="Times New Roman"/>
                <w:color w:val="000000"/>
                <w:sz w:val="20"/>
                <w:szCs w:val="20"/>
              </w:rPr>
              <w:t>Charles H. Robbins</w:t>
            </w:r>
          </w:p>
        </w:tc>
        <w:tc>
          <w:tcPr>
            <w:tcW w:w="0" w:type="auto"/>
            <w:gridSpan w:val="3"/>
            <w:shd w:val="clear" w:color="auto" w:fill="CCEEFF"/>
            <w:tcMar>
              <w:top w:w="0" w:type="dxa"/>
              <w:left w:w="20" w:type="dxa"/>
              <w:bottom w:w="0" w:type="dxa"/>
              <w:right w:w="20" w:type="dxa"/>
            </w:tcMar>
            <w:vAlign w:val="bottom"/>
          </w:tcPr>
          <w:p w14:paraId="518B43F4"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3F5" w14:textId="77777777" w:rsidR="005C332D" w:rsidRDefault="00B93EAE">
            <w:pPr>
              <w:jc w:val="center"/>
              <w:textAlignment w:val="bottom"/>
            </w:pPr>
            <w:r>
              <w:rPr>
                <w:rFonts w:ascii="Times New Roman" w:eastAsia="宋体" w:hAnsi="Times New Roman"/>
                <w:color w:val="000000"/>
                <w:sz w:val="20"/>
                <w:szCs w:val="20"/>
              </w:rPr>
              <w:t>56</w:t>
            </w:r>
          </w:p>
        </w:tc>
        <w:tc>
          <w:tcPr>
            <w:tcW w:w="0" w:type="auto"/>
            <w:gridSpan w:val="3"/>
            <w:shd w:val="clear" w:color="auto" w:fill="CCEEFF"/>
            <w:tcMar>
              <w:top w:w="0" w:type="dxa"/>
              <w:left w:w="20" w:type="dxa"/>
              <w:bottom w:w="0" w:type="dxa"/>
              <w:right w:w="20" w:type="dxa"/>
            </w:tcMar>
            <w:vAlign w:val="bottom"/>
          </w:tcPr>
          <w:p w14:paraId="518B43F6"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3F7" w14:textId="77777777" w:rsidR="005C332D" w:rsidRDefault="00B93EAE">
            <w:pPr>
              <w:textAlignment w:val="bottom"/>
            </w:pPr>
            <w:r>
              <w:rPr>
                <w:rFonts w:ascii="Times New Roman" w:eastAsia="宋体" w:hAnsi="Times New Roman"/>
                <w:color w:val="000000"/>
                <w:sz w:val="20"/>
                <w:szCs w:val="20"/>
              </w:rPr>
              <w:t>Chair and Chief Executive Officer</w:t>
            </w:r>
          </w:p>
        </w:tc>
      </w:tr>
      <w:tr w:rsidR="005C332D" w14:paraId="518B43FE" w14:textId="77777777">
        <w:trPr>
          <w:jc w:val="center"/>
        </w:trPr>
        <w:tc>
          <w:tcPr>
            <w:tcW w:w="0" w:type="auto"/>
            <w:gridSpan w:val="3"/>
            <w:shd w:val="clear" w:color="auto" w:fill="FFFFFF"/>
            <w:tcMar>
              <w:top w:w="40" w:type="dxa"/>
              <w:left w:w="20" w:type="dxa"/>
              <w:bottom w:w="40" w:type="dxa"/>
              <w:right w:w="20" w:type="dxa"/>
            </w:tcMar>
            <w:vAlign w:val="bottom"/>
          </w:tcPr>
          <w:p w14:paraId="518B43F9" w14:textId="77777777" w:rsidR="005C332D" w:rsidRDefault="00B93EAE">
            <w:pPr>
              <w:textAlignment w:val="bottom"/>
            </w:pPr>
            <w:r>
              <w:rPr>
                <w:rFonts w:ascii="Times New Roman" w:eastAsia="宋体" w:hAnsi="Times New Roman"/>
                <w:color w:val="000000"/>
                <w:sz w:val="20"/>
                <w:szCs w:val="20"/>
              </w:rPr>
              <w:t>R. Scott Herren</w:t>
            </w:r>
          </w:p>
        </w:tc>
        <w:tc>
          <w:tcPr>
            <w:tcW w:w="0" w:type="auto"/>
            <w:gridSpan w:val="3"/>
            <w:shd w:val="clear" w:color="auto" w:fill="FFFFFF"/>
            <w:tcMar>
              <w:top w:w="0" w:type="dxa"/>
              <w:left w:w="20" w:type="dxa"/>
              <w:bottom w:w="0" w:type="dxa"/>
              <w:right w:w="20" w:type="dxa"/>
            </w:tcMar>
            <w:vAlign w:val="bottom"/>
          </w:tcPr>
          <w:p w14:paraId="518B43FA"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3FB" w14:textId="77777777" w:rsidR="005C332D" w:rsidRDefault="00B93EAE">
            <w:pPr>
              <w:jc w:val="center"/>
              <w:textAlignment w:val="bottom"/>
            </w:pPr>
            <w:r>
              <w:rPr>
                <w:rFonts w:ascii="Times New Roman" w:eastAsia="宋体" w:hAnsi="Times New Roman"/>
                <w:color w:val="000000"/>
                <w:sz w:val="20"/>
                <w:szCs w:val="20"/>
              </w:rPr>
              <w:t>60</w:t>
            </w:r>
          </w:p>
        </w:tc>
        <w:tc>
          <w:tcPr>
            <w:tcW w:w="0" w:type="auto"/>
            <w:gridSpan w:val="3"/>
            <w:shd w:val="clear" w:color="auto" w:fill="FFFFFF"/>
            <w:tcMar>
              <w:top w:w="0" w:type="dxa"/>
              <w:left w:w="20" w:type="dxa"/>
              <w:bottom w:w="0" w:type="dxa"/>
              <w:right w:w="20" w:type="dxa"/>
            </w:tcMar>
            <w:vAlign w:val="bottom"/>
          </w:tcPr>
          <w:p w14:paraId="518B43FC"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3FD" w14:textId="77777777" w:rsidR="005C332D" w:rsidRDefault="00B93EAE">
            <w:pPr>
              <w:textAlignment w:val="bottom"/>
            </w:pPr>
            <w:r>
              <w:rPr>
                <w:rFonts w:ascii="Times New Roman" w:eastAsia="宋体" w:hAnsi="Times New Roman"/>
                <w:color w:val="000000"/>
                <w:sz w:val="20"/>
                <w:szCs w:val="20"/>
              </w:rPr>
              <w:t>Executive Vice President and Chief Financial Officer</w:t>
            </w:r>
          </w:p>
        </w:tc>
      </w:tr>
      <w:tr w:rsidR="005C332D" w14:paraId="518B4404" w14:textId="77777777">
        <w:trPr>
          <w:jc w:val="center"/>
        </w:trPr>
        <w:tc>
          <w:tcPr>
            <w:tcW w:w="0" w:type="auto"/>
            <w:gridSpan w:val="3"/>
            <w:shd w:val="clear" w:color="auto" w:fill="CCEEFF"/>
            <w:tcMar>
              <w:top w:w="40" w:type="dxa"/>
              <w:left w:w="20" w:type="dxa"/>
              <w:bottom w:w="40" w:type="dxa"/>
              <w:right w:w="20" w:type="dxa"/>
            </w:tcMar>
            <w:vAlign w:val="bottom"/>
          </w:tcPr>
          <w:p w14:paraId="518B43FF" w14:textId="77777777" w:rsidR="005C332D" w:rsidRDefault="00B93EAE">
            <w:pPr>
              <w:textAlignment w:val="bottom"/>
            </w:pPr>
            <w:r>
              <w:rPr>
                <w:rFonts w:ascii="Times New Roman" w:eastAsia="宋体" w:hAnsi="Times New Roman"/>
                <w:color w:val="000000"/>
                <w:sz w:val="20"/>
                <w:szCs w:val="20"/>
              </w:rPr>
              <w:t>Maria Martinez</w:t>
            </w:r>
          </w:p>
        </w:tc>
        <w:tc>
          <w:tcPr>
            <w:tcW w:w="0" w:type="auto"/>
            <w:gridSpan w:val="3"/>
            <w:shd w:val="clear" w:color="auto" w:fill="CCEEFF"/>
            <w:tcMar>
              <w:top w:w="0" w:type="dxa"/>
              <w:left w:w="20" w:type="dxa"/>
              <w:bottom w:w="0" w:type="dxa"/>
              <w:right w:w="20" w:type="dxa"/>
            </w:tcMar>
            <w:vAlign w:val="bottom"/>
          </w:tcPr>
          <w:p w14:paraId="518B4400"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401" w14:textId="77777777" w:rsidR="005C332D" w:rsidRDefault="00B93EAE">
            <w:pPr>
              <w:jc w:val="center"/>
              <w:textAlignment w:val="bottom"/>
            </w:pPr>
            <w:r>
              <w:rPr>
                <w:rFonts w:ascii="Times New Roman" w:eastAsia="宋体" w:hAnsi="Times New Roman"/>
                <w:color w:val="000000"/>
                <w:sz w:val="20"/>
                <w:szCs w:val="20"/>
              </w:rPr>
              <w:t>64</w:t>
            </w:r>
          </w:p>
        </w:tc>
        <w:tc>
          <w:tcPr>
            <w:tcW w:w="0" w:type="auto"/>
            <w:gridSpan w:val="3"/>
            <w:shd w:val="clear" w:color="auto" w:fill="CCEEFF"/>
            <w:tcMar>
              <w:top w:w="0" w:type="dxa"/>
              <w:left w:w="20" w:type="dxa"/>
              <w:bottom w:w="0" w:type="dxa"/>
              <w:right w:w="20" w:type="dxa"/>
            </w:tcMar>
            <w:vAlign w:val="bottom"/>
          </w:tcPr>
          <w:p w14:paraId="518B4402"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403" w14:textId="77777777" w:rsidR="005C332D" w:rsidRDefault="00B93EAE">
            <w:pPr>
              <w:textAlignment w:val="bottom"/>
            </w:pPr>
            <w:r>
              <w:rPr>
                <w:rFonts w:ascii="Times New Roman" w:eastAsia="宋体" w:hAnsi="Times New Roman"/>
                <w:color w:val="000000"/>
                <w:sz w:val="20"/>
                <w:szCs w:val="20"/>
              </w:rPr>
              <w:t xml:space="preserve">Executive Vice </w:t>
            </w:r>
            <w:r>
              <w:rPr>
                <w:rFonts w:ascii="Times New Roman" w:eastAsia="宋体" w:hAnsi="Times New Roman"/>
                <w:color w:val="000000"/>
                <w:sz w:val="20"/>
                <w:szCs w:val="20"/>
              </w:rPr>
              <w:t>President and Chief Operating Officer</w:t>
            </w:r>
          </w:p>
        </w:tc>
      </w:tr>
      <w:tr w:rsidR="005C332D" w14:paraId="518B440A" w14:textId="77777777">
        <w:trPr>
          <w:jc w:val="center"/>
        </w:trPr>
        <w:tc>
          <w:tcPr>
            <w:tcW w:w="0" w:type="auto"/>
            <w:gridSpan w:val="3"/>
            <w:shd w:val="clear" w:color="auto" w:fill="FFFFFF"/>
            <w:tcMar>
              <w:top w:w="40" w:type="dxa"/>
              <w:left w:w="20" w:type="dxa"/>
              <w:bottom w:w="40" w:type="dxa"/>
              <w:right w:w="20" w:type="dxa"/>
            </w:tcMar>
            <w:vAlign w:val="bottom"/>
          </w:tcPr>
          <w:p w14:paraId="518B4405" w14:textId="77777777" w:rsidR="005C332D" w:rsidRDefault="00B93EAE">
            <w:pPr>
              <w:textAlignment w:val="bottom"/>
            </w:pPr>
            <w:r>
              <w:rPr>
                <w:rFonts w:ascii="Times New Roman" w:eastAsia="宋体" w:hAnsi="Times New Roman"/>
                <w:color w:val="000000"/>
                <w:sz w:val="20"/>
                <w:szCs w:val="20"/>
              </w:rPr>
              <w:t>Jeff Sharritts</w:t>
            </w:r>
          </w:p>
        </w:tc>
        <w:tc>
          <w:tcPr>
            <w:tcW w:w="0" w:type="auto"/>
            <w:gridSpan w:val="3"/>
            <w:shd w:val="clear" w:color="auto" w:fill="FFFFFF"/>
            <w:tcMar>
              <w:top w:w="0" w:type="dxa"/>
              <w:left w:w="20" w:type="dxa"/>
              <w:bottom w:w="0" w:type="dxa"/>
              <w:right w:w="20" w:type="dxa"/>
            </w:tcMar>
            <w:vAlign w:val="bottom"/>
          </w:tcPr>
          <w:p w14:paraId="518B4406"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407" w14:textId="77777777" w:rsidR="005C332D" w:rsidRDefault="00B93EAE">
            <w:pPr>
              <w:jc w:val="center"/>
              <w:textAlignment w:val="bottom"/>
            </w:pPr>
            <w:r>
              <w:rPr>
                <w:rFonts w:ascii="Times New Roman" w:eastAsia="宋体" w:hAnsi="Times New Roman"/>
                <w:color w:val="000000"/>
                <w:sz w:val="20"/>
                <w:szCs w:val="20"/>
              </w:rPr>
              <w:t>54</w:t>
            </w:r>
          </w:p>
        </w:tc>
        <w:tc>
          <w:tcPr>
            <w:tcW w:w="0" w:type="auto"/>
            <w:gridSpan w:val="3"/>
            <w:shd w:val="clear" w:color="auto" w:fill="FFFFFF"/>
            <w:tcMar>
              <w:top w:w="0" w:type="dxa"/>
              <w:left w:w="20" w:type="dxa"/>
              <w:bottom w:w="0" w:type="dxa"/>
              <w:right w:w="20" w:type="dxa"/>
            </w:tcMar>
            <w:vAlign w:val="bottom"/>
          </w:tcPr>
          <w:p w14:paraId="518B4408"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409" w14:textId="77777777" w:rsidR="005C332D" w:rsidRDefault="00B93EAE">
            <w:pPr>
              <w:textAlignment w:val="bottom"/>
            </w:pPr>
            <w:r>
              <w:rPr>
                <w:rFonts w:ascii="Times New Roman" w:eastAsia="宋体" w:hAnsi="Times New Roman"/>
                <w:color w:val="000000"/>
                <w:sz w:val="20"/>
                <w:szCs w:val="20"/>
              </w:rPr>
              <w:t>Executive Vice President and Chief Customer and Partner Officer</w:t>
            </w:r>
          </w:p>
        </w:tc>
      </w:tr>
      <w:tr w:rsidR="005C332D" w14:paraId="518B4410" w14:textId="77777777">
        <w:trPr>
          <w:jc w:val="center"/>
        </w:trPr>
        <w:tc>
          <w:tcPr>
            <w:tcW w:w="0" w:type="auto"/>
            <w:gridSpan w:val="3"/>
            <w:shd w:val="clear" w:color="auto" w:fill="CCEEFF"/>
            <w:tcMar>
              <w:top w:w="40" w:type="dxa"/>
              <w:left w:w="20" w:type="dxa"/>
              <w:bottom w:w="40" w:type="dxa"/>
              <w:right w:w="20" w:type="dxa"/>
            </w:tcMar>
            <w:vAlign w:val="bottom"/>
          </w:tcPr>
          <w:p w14:paraId="518B440B" w14:textId="77777777" w:rsidR="005C332D" w:rsidRDefault="00B93EAE">
            <w:pPr>
              <w:textAlignment w:val="bottom"/>
            </w:pPr>
            <w:r>
              <w:rPr>
                <w:rFonts w:ascii="Times New Roman" w:eastAsia="宋体" w:hAnsi="Times New Roman"/>
                <w:color w:val="000000"/>
                <w:sz w:val="20"/>
                <w:szCs w:val="20"/>
              </w:rPr>
              <w:t>Deborah L. Stahlkopf</w:t>
            </w:r>
          </w:p>
        </w:tc>
        <w:tc>
          <w:tcPr>
            <w:tcW w:w="0" w:type="auto"/>
            <w:gridSpan w:val="3"/>
            <w:shd w:val="clear" w:color="auto" w:fill="CCEEFF"/>
            <w:tcMar>
              <w:top w:w="0" w:type="dxa"/>
              <w:left w:w="20" w:type="dxa"/>
              <w:bottom w:w="0" w:type="dxa"/>
              <w:right w:w="20" w:type="dxa"/>
            </w:tcMar>
            <w:vAlign w:val="bottom"/>
          </w:tcPr>
          <w:p w14:paraId="518B440C"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40D" w14:textId="77777777" w:rsidR="005C332D" w:rsidRDefault="00B93EAE">
            <w:pPr>
              <w:jc w:val="center"/>
              <w:textAlignment w:val="bottom"/>
            </w:pPr>
            <w:r>
              <w:rPr>
                <w:rFonts w:ascii="Times New Roman" w:eastAsia="宋体" w:hAnsi="Times New Roman"/>
                <w:color w:val="000000"/>
                <w:sz w:val="20"/>
                <w:szCs w:val="20"/>
              </w:rPr>
              <w:t>52</w:t>
            </w:r>
          </w:p>
        </w:tc>
        <w:tc>
          <w:tcPr>
            <w:tcW w:w="0" w:type="auto"/>
            <w:gridSpan w:val="3"/>
            <w:shd w:val="clear" w:color="auto" w:fill="CCEEFF"/>
            <w:tcMar>
              <w:top w:w="0" w:type="dxa"/>
              <w:left w:w="20" w:type="dxa"/>
              <w:bottom w:w="0" w:type="dxa"/>
              <w:right w:w="20" w:type="dxa"/>
            </w:tcMar>
            <w:vAlign w:val="bottom"/>
          </w:tcPr>
          <w:p w14:paraId="518B440E"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40F" w14:textId="77777777" w:rsidR="005C332D" w:rsidRDefault="00B93EAE">
            <w:pPr>
              <w:textAlignment w:val="bottom"/>
            </w:pPr>
            <w:r>
              <w:rPr>
                <w:rFonts w:ascii="Times New Roman" w:eastAsia="宋体" w:hAnsi="Times New Roman"/>
                <w:color w:val="000000"/>
                <w:sz w:val="20"/>
                <w:szCs w:val="20"/>
              </w:rPr>
              <w:t>Executive Vice President and Chief Legal Officer</w:t>
            </w:r>
          </w:p>
        </w:tc>
      </w:tr>
    </w:tbl>
    <w:p w14:paraId="518B4411" w14:textId="77777777" w:rsidR="005C332D" w:rsidRDefault="00B93EAE">
      <w:pPr>
        <w:spacing w:before="120"/>
        <w:jc w:val="both"/>
      </w:pPr>
      <w:r>
        <w:rPr>
          <w:rFonts w:ascii="Times New Roman" w:eastAsia="宋体" w:hAnsi="Times New Roman"/>
          <w:b/>
          <w:bCs/>
          <w:i/>
          <w:iCs/>
          <w:color w:val="000000"/>
          <w:sz w:val="20"/>
          <w:szCs w:val="20"/>
        </w:rPr>
        <w:t>Mr. Robbins</w:t>
      </w:r>
      <w:r>
        <w:rPr>
          <w:rFonts w:ascii="Times New Roman" w:eastAsia="宋体" w:hAnsi="Times New Roman"/>
          <w:color w:val="000000"/>
          <w:sz w:val="20"/>
          <w:szCs w:val="20"/>
        </w:rPr>
        <w:t xml:space="preserve"> serves as our Chief Executive Officer since July 2015, as a member of the Board of Directors since May 2015, and as Chair of the Board since December 2017. Mr. Robbins joined Cisco in December 1997, from which time until March 2002 he held a number of man</w:t>
      </w:r>
      <w:r>
        <w:rPr>
          <w:rFonts w:ascii="Times New Roman" w:eastAsia="宋体" w:hAnsi="Times New Roman"/>
          <w:color w:val="000000"/>
          <w:sz w:val="20"/>
          <w:szCs w:val="20"/>
        </w:rPr>
        <w:t>agerial positions within Cisco’s sales organization. Mr. Robbins was promoted to Vice President in March 2002, assuming leadership of Cisco’s U.S. channel sales organization. Additionally, in July 2005, Mr. Robbins assumed leadership of Cisco’s Canada chan</w:t>
      </w:r>
      <w:r>
        <w:rPr>
          <w:rFonts w:ascii="Times New Roman" w:eastAsia="宋体" w:hAnsi="Times New Roman"/>
          <w:color w:val="000000"/>
          <w:sz w:val="20"/>
          <w:szCs w:val="20"/>
        </w:rPr>
        <w:t>nel sales organization. In December 2007, Mr. Robbins was promoted to Senior Vice President, U.S. Commercial, and, in August 2009 he was appointed Senior Vice President, U.S. Enterprise, Commercial and Canada. In July 2011, Mr. Robbins was named Senior Vic</w:t>
      </w:r>
      <w:r>
        <w:rPr>
          <w:rFonts w:ascii="Times New Roman" w:eastAsia="宋体" w:hAnsi="Times New Roman"/>
          <w:color w:val="000000"/>
          <w:sz w:val="20"/>
          <w:szCs w:val="20"/>
        </w:rPr>
        <w:t>e President, Americas. In October 2012, Mr. Robbins was promoted to Senior Vice President, Worldwide Field Operations, in which position he served until assuming the role of Chief Executive Officer. Mr. Robbins is also a member of the board of directors of</w:t>
      </w:r>
      <w:r>
        <w:rPr>
          <w:rFonts w:ascii="Times New Roman" w:eastAsia="宋体" w:hAnsi="Times New Roman"/>
          <w:color w:val="000000"/>
          <w:sz w:val="20"/>
          <w:szCs w:val="20"/>
        </w:rPr>
        <w:t xml:space="preserve"> BlackRock, Inc. (since 2017).</w:t>
      </w:r>
    </w:p>
    <w:p w14:paraId="518B4412" w14:textId="77777777" w:rsidR="005C332D" w:rsidRDefault="00B93EAE">
      <w:pPr>
        <w:spacing w:before="120"/>
        <w:jc w:val="both"/>
      </w:pPr>
      <w:r>
        <w:rPr>
          <w:rFonts w:ascii="Times New Roman" w:eastAsia="宋体" w:hAnsi="Times New Roman"/>
          <w:b/>
          <w:bCs/>
          <w:i/>
          <w:iCs/>
          <w:color w:val="000000"/>
          <w:sz w:val="20"/>
          <w:szCs w:val="20"/>
        </w:rPr>
        <w:t>Mr. Herren</w:t>
      </w:r>
      <w:r>
        <w:rPr>
          <w:rFonts w:ascii="Times New Roman" w:eastAsia="宋体" w:hAnsi="Times New Roman"/>
          <w:color w:val="000000"/>
          <w:sz w:val="20"/>
          <w:szCs w:val="20"/>
        </w:rPr>
        <w:t xml:space="preserve"> joined Cisco in December 2020 and serves as our Executive Vice President and Chief Financial Officer. Prior to joining Cisco, Mr. Herren served as Senior Vice President and Chief Financial Officer of Autodesk, Inc.</w:t>
      </w:r>
      <w:r>
        <w:rPr>
          <w:rFonts w:ascii="Times New Roman" w:eastAsia="宋体" w:hAnsi="Times New Roman"/>
          <w:color w:val="000000"/>
          <w:sz w:val="20"/>
          <w:szCs w:val="20"/>
        </w:rPr>
        <w:t xml:space="preserve"> (“Autodesk”) since November 2014. Prior to joining Autodesk, Mr. Herren served as Senior Vice President of Finance at Citrix Systems, Inc. (“Citrix”) from September 2011 to October 2014, and in a variety of other leadership roles after joining Citrix in M</w:t>
      </w:r>
      <w:r>
        <w:rPr>
          <w:rFonts w:ascii="Times New Roman" w:eastAsia="宋体" w:hAnsi="Times New Roman"/>
          <w:color w:val="000000"/>
          <w:sz w:val="20"/>
          <w:szCs w:val="20"/>
        </w:rPr>
        <w:t>arch 2000, including as Vice President and Managing Director for EMEA and Vice President and General Manager of Citrix’s virtualization systems group. Before joining Citrix, Mr. Herren spent over 15 years in senior strategy and financial positions at FedEx</w:t>
      </w:r>
      <w:r>
        <w:rPr>
          <w:rFonts w:ascii="Times New Roman" w:eastAsia="宋体" w:hAnsi="Times New Roman"/>
          <w:color w:val="000000"/>
          <w:sz w:val="20"/>
          <w:szCs w:val="20"/>
        </w:rPr>
        <w:t xml:space="preserve"> Corporation and International Business Machines Corporation.</w:t>
      </w:r>
    </w:p>
    <w:p w14:paraId="518B4413" w14:textId="77777777" w:rsidR="005C332D" w:rsidRDefault="00B93EAE">
      <w:pPr>
        <w:spacing w:before="120"/>
        <w:jc w:val="both"/>
      </w:pPr>
      <w:r>
        <w:rPr>
          <w:rFonts w:ascii="Times New Roman" w:eastAsia="宋体" w:hAnsi="Times New Roman"/>
          <w:b/>
          <w:bCs/>
          <w:i/>
          <w:iCs/>
          <w:color w:val="000000"/>
          <w:sz w:val="20"/>
          <w:szCs w:val="20"/>
        </w:rPr>
        <w:t xml:space="preserve">Ms. Martinez </w:t>
      </w:r>
      <w:r>
        <w:rPr>
          <w:rFonts w:ascii="Times New Roman" w:eastAsia="宋体" w:hAnsi="Times New Roman"/>
          <w:color w:val="000000"/>
          <w:sz w:val="20"/>
          <w:szCs w:val="20"/>
        </w:rPr>
        <w:t>joined Cisco in April 2018 and served as our Executive Vice President and Chief Customer Experience Officer until her appointment as our Executive Vice President and Chief Operating</w:t>
      </w:r>
      <w:r>
        <w:rPr>
          <w:rFonts w:ascii="Times New Roman" w:eastAsia="宋体" w:hAnsi="Times New Roman"/>
          <w:color w:val="000000"/>
          <w:sz w:val="20"/>
          <w:szCs w:val="20"/>
        </w:rPr>
        <w:t xml:space="preserve"> Officer in March 2021. Prior to joining Cisco, Ms. Martinez served in a variety of senior executive roles at salesforce.com, inc. (“Salesforce”), including as President, Global Customer Success and Latin America from March 2016 to April 2018; President, S</w:t>
      </w:r>
      <w:r>
        <w:rPr>
          <w:rFonts w:ascii="Times New Roman" w:eastAsia="宋体" w:hAnsi="Times New Roman"/>
          <w:color w:val="000000"/>
          <w:sz w:val="20"/>
          <w:szCs w:val="20"/>
        </w:rPr>
        <w:t>ales and Customer Success from February 2013 to March 2016; Executive Vice President and Chief Growth Officer from February 2012 to February 2013; and as Executive Vice President, Customers for Life from February 2010 to February 2012. Ms. Martinez’s exper</w:t>
      </w:r>
      <w:r>
        <w:rPr>
          <w:rFonts w:ascii="Times New Roman" w:eastAsia="宋体" w:hAnsi="Times New Roman"/>
          <w:color w:val="000000"/>
          <w:sz w:val="20"/>
          <w:szCs w:val="20"/>
        </w:rPr>
        <w:t xml:space="preserve">ience prior to Salesforce includes serving as Corporate Vice President of Worldwide Services at Microsoft Corporation (“Microsoft”), President and Chief Executive Officer of Embrace Networks, Inc., and various senior leadership roles at Motorola, Inc. and </w:t>
      </w:r>
      <w:r>
        <w:rPr>
          <w:rFonts w:ascii="Times New Roman" w:eastAsia="宋体" w:hAnsi="Times New Roman"/>
          <w:color w:val="000000"/>
          <w:sz w:val="20"/>
          <w:szCs w:val="20"/>
        </w:rPr>
        <w:t>AT&amp;T Inc./Bell Laboratories. Ms. Martinez is a member of the board of directors of McKesson Corporation (since 2019) and Cue Health Inc. (since 2021).</w:t>
      </w:r>
    </w:p>
    <w:p w14:paraId="518B4414" w14:textId="77777777" w:rsidR="005C332D" w:rsidRDefault="00B93EAE">
      <w:pPr>
        <w:spacing w:before="120"/>
        <w:jc w:val="both"/>
      </w:pPr>
      <w:r>
        <w:rPr>
          <w:rFonts w:ascii="Times New Roman" w:eastAsia="宋体" w:hAnsi="Times New Roman"/>
          <w:b/>
          <w:bCs/>
          <w:i/>
          <w:iCs/>
          <w:color w:val="000000"/>
          <w:sz w:val="20"/>
          <w:szCs w:val="20"/>
        </w:rPr>
        <w:t>Mr. Sharritts</w:t>
      </w:r>
      <w:r>
        <w:rPr>
          <w:rFonts w:ascii="Times New Roman" w:eastAsia="宋体" w:hAnsi="Times New Roman"/>
          <w:color w:val="000000"/>
          <w:sz w:val="20"/>
          <w:szCs w:val="20"/>
        </w:rPr>
        <w:t xml:space="preserve"> joined Cisco in July 2000 and serves as our Executive Vice President and Chief Customer and</w:t>
      </w:r>
      <w:r>
        <w:rPr>
          <w:rFonts w:ascii="Times New Roman" w:eastAsia="宋体" w:hAnsi="Times New Roman"/>
          <w:color w:val="000000"/>
          <w:sz w:val="20"/>
          <w:szCs w:val="20"/>
        </w:rPr>
        <w:t xml:space="preserve"> Partner Officer. Previously, Mr. Sharritts served as Cisco’s Senior Vice President, Americas Sales from July 2018 to May 2022, in which position he served until his current role. Mr. Sharritts also served as Cisco’s Senior Vice President, U.S. Commercial </w:t>
      </w:r>
      <w:r>
        <w:rPr>
          <w:rFonts w:ascii="Times New Roman" w:eastAsia="宋体" w:hAnsi="Times New Roman"/>
          <w:color w:val="000000"/>
          <w:sz w:val="20"/>
          <w:szCs w:val="20"/>
        </w:rPr>
        <w:t>Sales from December 2014 to July 2018. Additionally, Mr. Sharritts has held several other leadership positions in Cisco’s Commercial, Public Sector, Service Provider, and Channels sales organizations from July 2000 to December 2014. Mr. Sharritts is a memb</w:t>
      </w:r>
      <w:r>
        <w:rPr>
          <w:rFonts w:ascii="Times New Roman" w:eastAsia="宋体" w:hAnsi="Times New Roman"/>
          <w:color w:val="000000"/>
          <w:sz w:val="20"/>
          <w:szCs w:val="20"/>
        </w:rPr>
        <w:t>er of the board of directors of Mueller Water Products, Inc. (since 2021).</w:t>
      </w:r>
    </w:p>
    <w:p w14:paraId="518B4415" w14:textId="77777777" w:rsidR="005C332D" w:rsidRDefault="00B93EAE">
      <w:pPr>
        <w:spacing w:before="120"/>
        <w:jc w:val="both"/>
      </w:pPr>
      <w:r>
        <w:rPr>
          <w:rFonts w:ascii="Times New Roman" w:eastAsia="宋体" w:hAnsi="Times New Roman"/>
          <w:b/>
          <w:bCs/>
          <w:i/>
          <w:iCs/>
          <w:color w:val="000000"/>
          <w:sz w:val="20"/>
          <w:szCs w:val="20"/>
        </w:rPr>
        <w:t>Ms. Stahlkopf</w:t>
      </w:r>
      <w:r>
        <w:rPr>
          <w:rFonts w:ascii="Times New Roman" w:eastAsia="宋体" w:hAnsi="Times New Roman"/>
          <w:color w:val="000000"/>
          <w:sz w:val="20"/>
          <w:szCs w:val="20"/>
        </w:rPr>
        <w:t xml:space="preserve"> joined Cisco in August 2021 and serves as our Executive Vice President and Chief Legal Officer. Prior to joining Cisco, Ms. Stahlkopf spent 14 years at Microsoft, wher</w:t>
      </w:r>
      <w:r>
        <w:rPr>
          <w:rFonts w:ascii="Times New Roman" w:eastAsia="宋体" w:hAnsi="Times New Roman"/>
          <w:color w:val="000000"/>
          <w:sz w:val="20"/>
          <w:szCs w:val="20"/>
        </w:rPr>
        <w:t>e she served most recently as Corporate Vice President, General Counsel and Corporate Secretary, Corporate, External and Legal Affairs from April 2018 to July 2021. Ms. Stahlkopf also served in other leadership roles at Microsoft, including as Vice Preside</w:t>
      </w:r>
      <w:r>
        <w:rPr>
          <w:rFonts w:ascii="Times New Roman" w:eastAsia="宋体" w:hAnsi="Times New Roman"/>
          <w:color w:val="000000"/>
          <w:sz w:val="20"/>
          <w:szCs w:val="20"/>
        </w:rPr>
        <w:t>nt and Deputy General Counsel from December 2015 to April 2018 and as Associate General Counsel from December 2010 to December 2015. Prior to joining Microsoft, Ms. Stahlkopf practiced law at Perkins Coie LLP and Cooley Godward LLP.</w:t>
      </w:r>
    </w:p>
    <w:p w14:paraId="518B4416" w14:textId="77777777" w:rsidR="005C332D" w:rsidRDefault="005C332D"/>
    <w:p w14:paraId="518B4417" w14:textId="77777777" w:rsidR="005C332D" w:rsidRDefault="00B93EAE">
      <w:pPr>
        <w:jc w:val="center"/>
      </w:pPr>
      <w:r>
        <w:rPr>
          <w:rFonts w:ascii="Times New Roman" w:eastAsia="宋体" w:hAnsi="Times New Roman"/>
          <w:color w:val="000000"/>
          <w:sz w:val="20"/>
          <w:szCs w:val="20"/>
        </w:rPr>
        <w:t>13</w:t>
      </w:r>
    </w:p>
    <w:p w14:paraId="518B4418" w14:textId="77777777" w:rsidR="005C332D" w:rsidRDefault="00B93EAE">
      <w:r>
        <w:pict w14:anchorId="518B8720">
          <v:rect id="_x0000_i1039" style="width:415.3pt;height:1.5pt" o:hralign="center" o:hrstd="t" o:hr="t" fillcolor="#a0a0a0" stroked="f"/>
        </w:pict>
      </w:r>
    </w:p>
    <w:p w14:paraId="518B4419" w14:textId="77777777" w:rsidR="005C332D" w:rsidRDefault="00B93EAE">
      <w:hyperlink r:id="rId67" w:anchor="i049852cab38845aabd2a79d07dacda86_7" w:history="1">
        <w:r>
          <w:rPr>
            <w:rStyle w:val="a5"/>
            <w:rFonts w:ascii="Times New Roman" w:eastAsia="宋体" w:hAnsi="Times New Roman"/>
            <w:sz w:val="20"/>
            <w:szCs w:val="20"/>
          </w:rPr>
          <w:t>Table of Contents</w:t>
        </w:r>
      </w:hyperlink>
    </w:p>
    <w:tbl>
      <w:tblPr>
        <w:tblW w:w="1557"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5C332D" w14:paraId="518B4420" w14:textId="77777777">
        <w:tc>
          <w:tcPr>
            <w:tcW w:w="50" w:type="pct"/>
            <w:shd w:val="clear" w:color="auto" w:fill="auto"/>
            <w:vAlign w:val="bottom"/>
          </w:tcPr>
          <w:p w14:paraId="518B441A" w14:textId="77777777" w:rsidR="005C332D" w:rsidRDefault="005C332D">
            <w:pPr>
              <w:rPr>
                <w:rFonts w:ascii="宋体"/>
              </w:rPr>
            </w:pPr>
          </w:p>
        </w:tc>
        <w:tc>
          <w:tcPr>
            <w:tcW w:w="1822" w:type="pct"/>
            <w:shd w:val="clear" w:color="auto" w:fill="auto"/>
            <w:vAlign w:val="bottom"/>
          </w:tcPr>
          <w:p w14:paraId="518B441B" w14:textId="77777777" w:rsidR="005C332D" w:rsidRDefault="005C332D">
            <w:pPr>
              <w:rPr>
                <w:rFonts w:ascii="宋体"/>
              </w:rPr>
            </w:pPr>
          </w:p>
        </w:tc>
        <w:tc>
          <w:tcPr>
            <w:tcW w:w="5" w:type="pct"/>
            <w:shd w:val="clear" w:color="auto" w:fill="auto"/>
            <w:vAlign w:val="bottom"/>
          </w:tcPr>
          <w:p w14:paraId="518B441C" w14:textId="77777777" w:rsidR="005C332D" w:rsidRDefault="005C332D">
            <w:pPr>
              <w:rPr>
                <w:rFonts w:ascii="宋体"/>
              </w:rPr>
            </w:pPr>
          </w:p>
        </w:tc>
        <w:tc>
          <w:tcPr>
            <w:tcW w:w="50" w:type="pct"/>
            <w:shd w:val="clear" w:color="auto" w:fill="auto"/>
            <w:vAlign w:val="bottom"/>
          </w:tcPr>
          <w:p w14:paraId="518B441D" w14:textId="77777777" w:rsidR="005C332D" w:rsidRDefault="005C332D">
            <w:pPr>
              <w:rPr>
                <w:rFonts w:ascii="宋体"/>
              </w:rPr>
            </w:pPr>
          </w:p>
        </w:tc>
        <w:tc>
          <w:tcPr>
            <w:tcW w:w="3067" w:type="pct"/>
            <w:shd w:val="clear" w:color="auto" w:fill="auto"/>
            <w:vAlign w:val="bottom"/>
          </w:tcPr>
          <w:p w14:paraId="518B441E" w14:textId="77777777" w:rsidR="005C332D" w:rsidRDefault="005C332D">
            <w:pPr>
              <w:rPr>
                <w:rFonts w:ascii="宋体"/>
              </w:rPr>
            </w:pPr>
          </w:p>
        </w:tc>
        <w:tc>
          <w:tcPr>
            <w:tcW w:w="5" w:type="pct"/>
            <w:shd w:val="clear" w:color="auto" w:fill="auto"/>
            <w:vAlign w:val="bottom"/>
          </w:tcPr>
          <w:p w14:paraId="518B441F" w14:textId="77777777" w:rsidR="005C332D" w:rsidRDefault="005C332D">
            <w:pPr>
              <w:rPr>
                <w:rFonts w:ascii="宋体"/>
              </w:rPr>
            </w:pPr>
          </w:p>
        </w:tc>
      </w:tr>
      <w:tr w:rsidR="005C332D" w14:paraId="518B4423" w14:textId="77777777">
        <w:tc>
          <w:tcPr>
            <w:tcW w:w="0" w:type="auto"/>
            <w:gridSpan w:val="3"/>
            <w:shd w:val="clear" w:color="auto" w:fill="auto"/>
            <w:tcMar>
              <w:top w:w="40" w:type="dxa"/>
              <w:left w:w="20" w:type="dxa"/>
              <w:bottom w:w="40" w:type="dxa"/>
              <w:right w:w="20" w:type="dxa"/>
            </w:tcMar>
          </w:tcPr>
          <w:p w14:paraId="518B4421" w14:textId="77777777" w:rsidR="005C332D" w:rsidRDefault="00B93EAE">
            <w:pPr>
              <w:textAlignment w:val="top"/>
            </w:pPr>
            <w:r>
              <w:rPr>
                <w:rFonts w:ascii="Times New Roman" w:eastAsia="宋体" w:hAnsi="Times New Roman"/>
                <w:b/>
                <w:bCs/>
                <w:color w:val="000000"/>
                <w:sz w:val="20"/>
                <w:szCs w:val="20"/>
              </w:rPr>
              <w:t>Item 1A.</w:t>
            </w:r>
          </w:p>
        </w:tc>
        <w:tc>
          <w:tcPr>
            <w:tcW w:w="0" w:type="auto"/>
            <w:gridSpan w:val="3"/>
            <w:shd w:val="clear" w:color="auto" w:fill="auto"/>
            <w:tcMar>
              <w:top w:w="40" w:type="dxa"/>
              <w:left w:w="20" w:type="dxa"/>
              <w:bottom w:w="40" w:type="dxa"/>
              <w:right w:w="20" w:type="dxa"/>
            </w:tcMar>
          </w:tcPr>
          <w:p w14:paraId="518B4422" w14:textId="77777777" w:rsidR="005C332D" w:rsidRDefault="00B93EAE">
            <w:pPr>
              <w:textAlignment w:val="top"/>
            </w:pPr>
            <w:r>
              <w:rPr>
                <w:rFonts w:ascii="Times New Roman" w:eastAsia="宋体" w:hAnsi="Times New Roman"/>
                <w:b/>
                <w:bCs/>
                <w:color w:val="000000"/>
                <w:sz w:val="20"/>
                <w:szCs w:val="20"/>
              </w:rPr>
              <w:t>Risk Factors</w:t>
            </w:r>
          </w:p>
        </w:tc>
      </w:tr>
    </w:tbl>
    <w:p w14:paraId="518B4424" w14:textId="77777777" w:rsidR="005C332D" w:rsidRDefault="00B93EAE">
      <w:pPr>
        <w:spacing w:before="120"/>
        <w:jc w:val="both"/>
      </w:pPr>
      <w:r>
        <w:rPr>
          <w:rFonts w:ascii="Times New Roman" w:eastAsia="宋体" w:hAnsi="Times New Roman"/>
          <w:color w:val="000000"/>
          <w:sz w:val="20"/>
          <w:szCs w:val="20"/>
        </w:rPr>
        <w:t xml:space="preserve">Set forth below and elsewhere in this report and in </w:t>
      </w:r>
      <w:r>
        <w:rPr>
          <w:rFonts w:ascii="Times New Roman" w:eastAsia="宋体" w:hAnsi="Times New Roman"/>
          <w:color w:val="000000"/>
          <w:sz w:val="20"/>
          <w:szCs w:val="20"/>
        </w:rPr>
        <w:t>other documents we file with the SEC are descriptions of the risks and uncertainties that could cause our actual results to differ materially from the results contemplated by the forward-looking statements contained in this report.</w:t>
      </w:r>
    </w:p>
    <w:p w14:paraId="518B4425" w14:textId="77777777" w:rsidR="005C332D" w:rsidRDefault="00B93EAE">
      <w:pPr>
        <w:spacing w:before="120"/>
        <w:jc w:val="both"/>
      </w:pPr>
      <w:r>
        <w:rPr>
          <w:rFonts w:ascii="Times New Roman" w:eastAsia="宋体" w:hAnsi="Times New Roman"/>
          <w:b/>
          <w:bCs/>
          <w:color w:val="000000"/>
          <w:sz w:val="20"/>
          <w:szCs w:val="20"/>
          <w:u w:val="single"/>
        </w:rPr>
        <w:t>Risks Related to our Bus</w:t>
      </w:r>
      <w:r>
        <w:rPr>
          <w:rFonts w:ascii="Times New Roman" w:eastAsia="宋体" w:hAnsi="Times New Roman"/>
          <w:b/>
          <w:bCs/>
          <w:color w:val="000000"/>
          <w:sz w:val="20"/>
          <w:szCs w:val="20"/>
          <w:u w:val="single"/>
        </w:rPr>
        <w:t>iness and Industry</w:t>
      </w:r>
    </w:p>
    <w:p w14:paraId="518B4426" w14:textId="77777777" w:rsidR="005C332D" w:rsidRDefault="00B93EAE">
      <w:pPr>
        <w:spacing w:before="120"/>
        <w:jc w:val="both"/>
      </w:pPr>
      <w:r>
        <w:rPr>
          <w:rFonts w:ascii="Times New Roman" w:eastAsia="宋体" w:hAnsi="Times New Roman"/>
          <w:b/>
          <w:bCs/>
          <w:i/>
          <w:iCs/>
          <w:color w:val="000000"/>
          <w:sz w:val="20"/>
          <w:szCs w:val="20"/>
        </w:rPr>
        <w:t>Our business, results of operations and financial condition have been adversely affected and could in the future be materially adversely affected by the COVID-19 pandemic.</w:t>
      </w:r>
    </w:p>
    <w:p w14:paraId="518B4427" w14:textId="77777777" w:rsidR="005C332D" w:rsidRDefault="00B93EAE">
      <w:pPr>
        <w:spacing w:before="120"/>
        <w:jc w:val="both"/>
      </w:pPr>
      <w:r>
        <w:rPr>
          <w:rFonts w:ascii="Times New Roman" w:eastAsia="宋体" w:hAnsi="Times New Roman"/>
          <w:color w:val="000000"/>
          <w:sz w:val="20"/>
          <w:szCs w:val="20"/>
        </w:rPr>
        <w:t>The COVID-19 pandemic and the resulting containment measures have</w:t>
      </w:r>
      <w:r>
        <w:rPr>
          <w:rFonts w:ascii="Times New Roman" w:eastAsia="宋体" w:hAnsi="Times New Roman"/>
          <w:color w:val="000000"/>
          <w:sz w:val="20"/>
          <w:szCs w:val="20"/>
        </w:rPr>
        <w:t xml:space="preserve"> caused economic and financial disruptions globally, including in most of the regions in which we sell our products and services and conduct our business operations. Beginning in the second half of fiscal 2020, the COVID-19 pandemic impacted our financial </w:t>
      </w:r>
      <w:r>
        <w:rPr>
          <w:rFonts w:ascii="Times New Roman" w:eastAsia="宋体" w:hAnsi="Times New Roman"/>
          <w:color w:val="000000"/>
          <w:sz w:val="20"/>
          <w:szCs w:val="20"/>
        </w:rPr>
        <w:t>results and business operations. We continue to manage through significant supply constraints seen industry-wide due to component shortages which have resulted in extended lead times and higher supply chain costs. The magnitude and duration of the disrupti</w:t>
      </w:r>
      <w:r>
        <w:rPr>
          <w:rFonts w:ascii="Times New Roman" w:eastAsia="宋体" w:hAnsi="Times New Roman"/>
          <w:color w:val="000000"/>
          <w:sz w:val="20"/>
          <w:szCs w:val="20"/>
        </w:rPr>
        <w:t>on, its continuing impact on us, and resulting decline in global business activity is uncertain.</w:t>
      </w:r>
    </w:p>
    <w:p w14:paraId="518B4428" w14:textId="77777777" w:rsidR="005C332D" w:rsidRDefault="00B93EAE">
      <w:pPr>
        <w:spacing w:before="120"/>
        <w:jc w:val="both"/>
      </w:pPr>
      <w:r>
        <w:rPr>
          <w:rFonts w:ascii="Times New Roman" w:eastAsia="宋体" w:hAnsi="Times New Roman"/>
          <w:color w:val="000000"/>
          <w:sz w:val="20"/>
          <w:szCs w:val="20"/>
        </w:rPr>
        <w:t>The COVID-19 pandemic and the responsive measures taken in many countries have adversely affected and could in the future materially adversely affect our busin</w:t>
      </w:r>
      <w:r>
        <w:rPr>
          <w:rFonts w:ascii="Times New Roman" w:eastAsia="宋体" w:hAnsi="Times New Roman"/>
          <w:color w:val="000000"/>
          <w:sz w:val="20"/>
          <w:szCs w:val="20"/>
        </w:rPr>
        <w:t>ess, results of operations and financial condition. Shelter-in-place and/or lockdown orders globally and other measures have and could in the future impact our supply chain. In addition, current and future restrictions or disruptions of transportation, suc</w:t>
      </w:r>
      <w:r>
        <w:rPr>
          <w:rFonts w:ascii="Times New Roman" w:eastAsia="宋体" w:hAnsi="Times New Roman"/>
          <w:color w:val="000000"/>
          <w:sz w:val="20"/>
          <w:szCs w:val="20"/>
        </w:rPr>
        <w:t>h as reduced availability of air transport, port closures, and increased border controls or closures, can also impact our ability to meet customer demand and could materially adversely affect us. Our customers have also experienced, and may continue to exp</w:t>
      </w:r>
      <w:r>
        <w:rPr>
          <w:rFonts w:ascii="Times New Roman" w:eastAsia="宋体" w:hAnsi="Times New Roman"/>
          <w:color w:val="000000"/>
          <w:sz w:val="20"/>
          <w:szCs w:val="20"/>
        </w:rPr>
        <w:t>erience, disruptions in their operations, which can result in delayed, reduced, or canceled orders, and increased collection risks, and which may adversely affect our results of operations.</w:t>
      </w:r>
    </w:p>
    <w:p w14:paraId="518B4429" w14:textId="77777777" w:rsidR="005C332D" w:rsidRDefault="00B93EAE">
      <w:pPr>
        <w:spacing w:before="120"/>
        <w:jc w:val="both"/>
      </w:pPr>
      <w:r>
        <w:rPr>
          <w:rFonts w:ascii="Times New Roman" w:eastAsia="宋体" w:hAnsi="Times New Roman"/>
          <w:color w:val="000000"/>
          <w:sz w:val="20"/>
          <w:szCs w:val="20"/>
        </w:rPr>
        <w:t>The COVID-19 pandemic has also led to increased disruption and vol</w:t>
      </w:r>
      <w:r>
        <w:rPr>
          <w:rFonts w:ascii="Times New Roman" w:eastAsia="宋体" w:hAnsi="Times New Roman"/>
          <w:color w:val="000000"/>
          <w:sz w:val="20"/>
          <w:szCs w:val="20"/>
        </w:rPr>
        <w:t>atility in capital markets and credit markets. The pandemic and resulting economic uncertainty could adversely affect our liquidity and capital resources in the future. The inputs into certain of our judgments, assumptions, and estimates considered the eco</w:t>
      </w:r>
      <w:r>
        <w:rPr>
          <w:rFonts w:ascii="Times New Roman" w:eastAsia="宋体" w:hAnsi="Times New Roman"/>
          <w:color w:val="000000"/>
          <w:sz w:val="20"/>
          <w:szCs w:val="20"/>
        </w:rPr>
        <w:t>nomic implications of the COVID-19 pandemic on our critical and significant accounting estimates. The actual results that we experience may differ materially from our estimates. As the COVID-19 pandemic continues to develop, many of our estimates could req</w:t>
      </w:r>
      <w:r>
        <w:rPr>
          <w:rFonts w:ascii="Times New Roman" w:eastAsia="宋体" w:hAnsi="Times New Roman"/>
          <w:color w:val="000000"/>
          <w:sz w:val="20"/>
          <w:szCs w:val="20"/>
        </w:rPr>
        <w:t>uire increased judgment and carry a higher degree of variability and volatility. As events continue to evolve our estimates may change materially in future periods.</w:t>
      </w:r>
    </w:p>
    <w:p w14:paraId="518B442A" w14:textId="77777777" w:rsidR="005C332D" w:rsidRDefault="00B93EAE">
      <w:pPr>
        <w:spacing w:before="120"/>
        <w:jc w:val="both"/>
      </w:pPr>
      <w:r>
        <w:rPr>
          <w:rFonts w:ascii="Times New Roman" w:eastAsia="宋体" w:hAnsi="Times New Roman"/>
          <w:color w:val="000000"/>
          <w:sz w:val="20"/>
          <w:szCs w:val="20"/>
        </w:rPr>
        <w:t>The extent of the impact of the COVID-19 pandemic on our operational and financial performa</w:t>
      </w:r>
      <w:r>
        <w:rPr>
          <w:rFonts w:ascii="Times New Roman" w:eastAsia="宋体" w:hAnsi="Times New Roman"/>
          <w:color w:val="000000"/>
          <w:sz w:val="20"/>
          <w:szCs w:val="20"/>
        </w:rPr>
        <w:t>nce is currently uncertain and will depend on many factors outside our control, including, without limitation, the timing, extent, trajectory and duration of the pandemic, the efficacy of available vaccines, the imposition of protective public safety measu</w:t>
      </w:r>
      <w:r>
        <w:rPr>
          <w:rFonts w:ascii="Times New Roman" w:eastAsia="宋体" w:hAnsi="Times New Roman"/>
          <w:color w:val="000000"/>
          <w:sz w:val="20"/>
          <w:szCs w:val="20"/>
        </w:rPr>
        <w:t>res, and the impact of the pandemic on the global economy. Potential negative impacts of these external factors include, but are not limited to, material adverse effects on demand for our products and services; our supply chain and sales and distribution c</w:t>
      </w:r>
      <w:r>
        <w:rPr>
          <w:rFonts w:ascii="Times New Roman" w:eastAsia="宋体" w:hAnsi="Times New Roman"/>
          <w:color w:val="000000"/>
          <w:sz w:val="20"/>
          <w:szCs w:val="20"/>
        </w:rPr>
        <w:t xml:space="preserve">hannels; collectability of customer accounts; our ability to execute strategic plans; impairments; and our profitability and cost structure. To the extent the COVID-19 pandemic adversely affects our business, results of operations and financial condition, </w:t>
      </w:r>
      <w:r>
        <w:rPr>
          <w:rFonts w:ascii="Times New Roman" w:eastAsia="宋体" w:hAnsi="Times New Roman"/>
          <w:color w:val="000000"/>
          <w:sz w:val="20"/>
          <w:szCs w:val="20"/>
        </w:rPr>
        <w:t>it may also have the effect of exacerbating the other risks discussed in this “Risk Factors” section.</w:t>
      </w:r>
    </w:p>
    <w:p w14:paraId="518B442B" w14:textId="77777777" w:rsidR="005C332D" w:rsidRDefault="00B93EAE">
      <w:pPr>
        <w:spacing w:before="120"/>
        <w:jc w:val="both"/>
      </w:pPr>
      <w:r>
        <w:rPr>
          <w:rFonts w:ascii="Times New Roman" w:eastAsia="宋体" w:hAnsi="Times New Roman"/>
          <w:b/>
          <w:bCs/>
          <w:i/>
          <w:iCs/>
          <w:color w:val="000000"/>
          <w:sz w:val="20"/>
          <w:szCs w:val="20"/>
        </w:rPr>
        <w:t>Our operating results may fluctuate in future periods, which may adversely affect our stock price.</w:t>
      </w:r>
      <w:r>
        <w:rPr>
          <w:rFonts w:ascii="Times New Roman" w:eastAsia="宋体" w:hAnsi="Times New Roman"/>
          <w:b/>
          <w:bCs/>
          <w:color w:val="000000"/>
          <w:sz w:val="20"/>
          <w:szCs w:val="20"/>
        </w:rPr>
        <w:t xml:space="preserve"> </w:t>
      </w:r>
    </w:p>
    <w:p w14:paraId="518B442C" w14:textId="77777777" w:rsidR="005C332D" w:rsidRDefault="00B93EAE">
      <w:pPr>
        <w:spacing w:before="120"/>
        <w:jc w:val="both"/>
      </w:pPr>
      <w:r>
        <w:rPr>
          <w:rFonts w:ascii="Times New Roman" w:eastAsia="宋体" w:hAnsi="Times New Roman"/>
          <w:color w:val="000000"/>
          <w:sz w:val="20"/>
          <w:szCs w:val="20"/>
        </w:rPr>
        <w:t xml:space="preserve">Our operating results have been in the past, and will </w:t>
      </w:r>
      <w:r>
        <w:rPr>
          <w:rFonts w:ascii="Times New Roman" w:eastAsia="宋体" w:hAnsi="Times New Roman"/>
          <w:color w:val="000000"/>
          <w:sz w:val="20"/>
          <w:szCs w:val="20"/>
        </w:rPr>
        <w:t>continue to be, subject to quarterly and annual fluctuations as a result of numerous factors, some of which may contribute to more pronounced fluctuations in an uncertain global economic environment. These factors include:</w:t>
      </w:r>
    </w:p>
    <w:p w14:paraId="518B442D" w14:textId="77777777" w:rsidR="005C332D" w:rsidRDefault="00B93EAE">
      <w:pPr>
        <w:spacing w:before="120"/>
        <w:ind w:hanging="360"/>
        <w:jc w:val="both"/>
      </w:pPr>
      <w:r>
        <w:rPr>
          <w:rFonts w:ascii="Times New Roman" w:eastAsia="宋体" w:hAnsi="Times New Roman"/>
          <w:color w:val="000000"/>
          <w:sz w:val="20"/>
          <w:szCs w:val="20"/>
        </w:rPr>
        <w:t>•Fluctuations in demand for our p</w:t>
      </w:r>
      <w:r>
        <w:rPr>
          <w:rFonts w:ascii="Times New Roman" w:eastAsia="宋体" w:hAnsi="Times New Roman"/>
          <w:color w:val="000000"/>
          <w:sz w:val="20"/>
          <w:szCs w:val="20"/>
        </w:rPr>
        <w:t>roducts and services, especially with respect to service providers and Internet businesses, in part due to changes in the global economic environment</w:t>
      </w:r>
    </w:p>
    <w:p w14:paraId="518B442E" w14:textId="77777777" w:rsidR="005C332D" w:rsidRDefault="00B93EAE">
      <w:pPr>
        <w:spacing w:before="60"/>
        <w:ind w:hanging="360"/>
        <w:jc w:val="both"/>
      </w:pPr>
      <w:r>
        <w:rPr>
          <w:rFonts w:ascii="Times New Roman" w:eastAsia="宋体" w:hAnsi="Times New Roman"/>
          <w:color w:val="000000"/>
          <w:sz w:val="20"/>
          <w:szCs w:val="20"/>
        </w:rPr>
        <w:t>•Changes in sales and implementation cycles for our products and reduced visibility into our customers’ sp</w:t>
      </w:r>
      <w:r>
        <w:rPr>
          <w:rFonts w:ascii="Times New Roman" w:eastAsia="宋体" w:hAnsi="Times New Roman"/>
          <w:color w:val="000000"/>
          <w:sz w:val="20"/>
          <w:szCs w:val="20"/>
        </w:rPr>
        <w:t>ending plans and associated revenue</w:t>
      </w:r>
    </w:p>
    <w:p w14:paraId="518B442F" w14:textId="77777777" w:rsidR="005C332D" w:rsidRDefault="00B93EAE">
      <w:pPr>
        <w:spacing w:before="60"/>
        <w:ind w:hanging="360"/>
        <w:jc w:val="both"/>
      </w:pPr>
      <w:r>
        <w:rPr>
          <w:rFonts w:ascii="Times New Roman" w:eastAsia="宋体" w:hAnsi="Times New Roman"/>
          <w:color w:val="000000"/>
          <w:sz w:val="20"/>
          <w:szCs w:val="20"/>
        </w:rPr>
        <w:t>•Our ability to maintain appropriate inventory levels and purchase commitments</w:t>
      </w:r>
    </w:p>
    <w:p w14:paraId="518B4430" w14:textId="77777777" w:rsidR="005C332D" w:rsidRDefault="00B93EAE">
      <w:pPr>
        <w:spacing w:before="60"/>
        <w:ind w:hanging="360"/>
        <w:jc w:val="both"/>
      </w:pPr>
      <w:r>
        <w:rPr>
          <w:rFonts w:ascii="Times New Roman" w:eastAsia="宋体" w:hAnsi="Times New Roman"/>
          <w:color w:val="000000"/>
          <w:sz w:val="20"/>
          <w:szCs w:val="20"/>
        </w:rPr>
        <w:t xml:space="preserve">•Price and product competition in the communications and networking industries, which can change rapidly due to technological innovation and </w:t>
      </w:r>
      <w:r>
        <w:rPr>
          <w:rFonts w:ascii="Times New Roman" w:eastAsia="宋体" w:hAnsi="Times New Roman"/>
          <w:color w:val="000000"/>
          <w:sz w:val="20"/>
          <w:szCs w:val="20"/>
        </w:rPr>
        <w:t>different business models from various geographic regions</w:t>
      </w:r>
    </w:p>
    <w:p w14:paraId="518B4431" w14:textId="77777777" w:rsidR="005C332D" w:rsidRDefault="00B93EAE">
      <w:pPr>
        <w:spacing w:before="60"/>
        <w:ind w:hanging="360"/>
        <w:jc w:val="both"/>
      </w:pPr>
      <w:r>
        <w:rPr>
          <w:rFonts w:ascii="Times New Roman" w:eastAsia="宋体" w:hAnsi="Times New Roman"/>
          <w:color w:val="000000"/>
          <w:sz w:val="20"/>
          <w:szCs w:val="20"/>
        </w:rPr>
        <w:t>•The overall movement toward industry consolidation among both our competitors and our customers</w:t>
      </w:r>
    </w:p>
    <w:p w14:paraId="518B4432" w14:textId="77777777" w:rsidR="005C332D" w:rsidRDefault="00B93EAE">
      <w:pPr>
        <w:spacing w:before="60"/>
        <w:ind w:hanging="360"/>
        <w:jc w:val="both"/>
      </w:pPr>
      <w:r>
        <w:rPr>
          <w:rFonts w:ascii="Times New Roman" w:eastAsia="宋体" w:hAnsi="Times New Roman"/>
          <w:color w:val="000000"/>
          <w:sz w:val="20"/>
          <w:szCs w:val="20"/>
        </w:rPr>
        <w:t xml:space="preserve">•The introduction and market acceptance of new technologies and products, and our success in new </w:t>
      </w:r>
      <w:r>
        <w:rPr>
          <w:rFonts w:ascii="Times New Roman" w:eastAsia="宋体" w:hAnsi="Times New Roman"/>
          <w:color w:val="000000"/>
          <w:sz w:val="20"/>
          <w:szCs w:val="20"/>
        </w:rPr>
        <w:t>and evolving markets, and in emerging technologies, as well as the adoption of new standards</w:t>
      </w:r>
    </w:p>
    <w:p w14:paraId="518B4433" w14:textId="77777777" w:rsidR="005C332D" w:rsidRDefault="00B93EAE">
      <w:pPr>
        <w:spacing w:before="60"/>
        <w:ind w:hanging="360"/>
        <w:jc w:val="both"/>
      </w:pPr>
      <w:r>
        <w:rPr>
          <w:rFonts w:ascii="Times New Roman" w:eastAsia="宋体" w:hAnsi="Times New Roman"/>
          <w:color w:val="000000"/>
          <w:sz w:val="20"/>
          <w:szCs w:val="20"/>
        </w:rPr>
        <w:t>•The transformation of our business to deliver more software and subscription offerings where revenue is recognized over time</w:t>
      </w:r>
    </w:p>
    <w:p w14:paraId="518B4434" w14:textId="77777777" w:rsidR="005C332D" w:rsidRDefault="00B93EAE">
      <w:pPr>
        <w:spacing w:before="60"/>
        <w:ind w:hanging="360"/>
        <w:jc w:val="both"/>
      </w:pPr>
      <w:r>
        <w:rPr>
          <w:rFonts w:ascii="Times New Roman" w:eastAsia="宋体" w:hAnsi="Times New Roman"/>
          <w:color w:val="000000"/>
          <w:sz w:val="20"/>
          <w:szCs w:val="20"/>
        </w:rPr>
        <w:t>•Variations in sales channels, produc</w:t>
      </w:r>
      <w:r>
        <w:rPr>
          <w:rFonts w:ascii="Times New Roman" w:eastAsia="宋体" w:hAnsi="Times New Roman"/>
          <w:color w:val="000000"/>
          <w:sz w:val="20"/>
          <w:szCs w:val="20"/>
        </w:rPr>
        <w:t>t costs, mix of products sold, or mix of direct sales and indirect sales</w:t>
      </w:r>
    </w:p>
    <w:p w14:paraId="518B4435" w14:textId="77777777" w:rsidR="005C332D" w:rsidRDefault="00B93EAE">
      <w:pPr>
        <w:jc w:val="center"/>
      </w:pPr>
      <w:r>
        <w:rPr>
          <w:rFonts w:ascii="Times New Roman" w:eastAsia="宋体" w:hAnsi="Times New Roman"/>
          <w:color w:val="000000"/>
          <w:sz w:val="20"/>
          <w:szCs w:val="20"/>
        </w:rPr>
        <w:t>14</w:t>
      </w:r>
    </w:p>
    <w:p w14:paraId="518B4436" w14:textId="77777777" w:rsidR="005C332D" w:rsidRDefault="00B93EAE">
      <w:r>
        <w:pict w14:anchorId="518B8721">
          <v:rect id="_x0000_i1040" style="width:415.3pt;height:1.5pt" o:hralign="center" o:hrstd="t" o:hr="t" fillcolor="#a0a0a0" stroked="f"/>
        </w:pict>
      </w:r>
    </w:p>
    <w:p w14:paraId="518B4437" w14:textId="77777777" w:rsidR="005C332D" w:rsidRDefault="00B93EAE">
      <w:hyperlink r:id="rId68" w:anchor="i049852cab38845aabd2a79d07dacda86_7" w:history="1">
        <w:r>
          <w:rPr>
            <w:rStyle w:val="a5"/>
            <w:rFonts w:ascii="Times New Roman" w:eastAsia="宋体" w:hAnsi="Times New Roman"/>
            <w:sz w:val="20"/>
            <w:szCs w:val="20"/>
          </w:rPr>
          <w:t>Table of Contents</w:t>
        </w:r>
      </w:hyperlink>
    </w:p>
    <w:p w14:paraId="518B4438" w14:textId="77777777" w:rsidR="005C332D" w:rsidRDefault="00B93EAE">
      <w:pPr>
        <w:spacing w:before="60"/>
        <w:ind w:hanging="360"/>
        <w:jc w:val="both"/>
      </w:pPr>
      <w:r>
        <w:rPr>
          <w:rFonts w:ascii="Times New Roman" w:eastAsia="宋体" w:hAnsi="Times New Roman"/>
          <w:color w:val="000000"/>
          <w:sz w:val="20"/>
          <w:szCs w:val="20"/>
        </w:rPr>
        <w:t>•The timing</w:t>
      </w:r>
      <w:r>
        <w:rPr>
          <w:rFonts w:ascii="Times New Roman" w:eastAsia="宋体" w:hAnsi="Times New Roman"/>
          <w:color w:val="000000"/>
          <w:sz w:val="20"/>
          <w:szCs w:val="20"/>
        </w:rPr>
        <w:t>, size, and mix of orders from customers</w:t>
      </w:r>
    </w:p>
    <w:p w14:paraId="518B4439" w14:textId="77777777" w:rsidR="005C332D" w:rsidRDefault="00B93EAE">
      <w:pPr>
        <w:spacing w:before="60"/>
        <w:ind w:hanging="360"/>
        <w:jc w:val="both"/>
      </w:pPr>
      <w:r>
        <w:rPr>
          <w:rFonts w:ascii="Times New Roman" w:eastAsia="宋体" w:hAnsi="Times New Roman"/>
          <w:color w:val="000000"/>
          <w:sz w:val="20"/>
          <w:szCs w:val="20"/>
        </w:rPr>
        <w:t>•Manufacturing and customer lead times</w:t>
      </w:r>
    </w:p>
    <w:p w14:paraId="518B443A" w14:textId="77777777" w:rsidR="005C332D" w:rsidRDefault="00B93EAE">
      <w:pPr>
        <w:spacing w:before="60"/>
        <w:ind w:hanging="360"/>
        <w:jc w:val="both"/>
      </w:pPr>
      <w:r>
        <w:rPr>
          <w:rFonts w:ascii="Times New Roman" w:eastAsia="宋体" w:hAnsi="Times New Roman"/>
          <w:color w:val="000000"/>
          <w:sz w:val="20"/>
          <w:szCs w:val="20"/>
        </w:rPr>
        <w:t>•Fluctuations in our gross margins, and the factors that contribute to such fluctuations</w:t>
      </w:r>
    </w:p>
    <w:p w14:paraId="518B443B" w14:textId="77777777" w:rsidR="005C332D" w:rsidRDefault="00B93EAE">
      <w:pPr>
        <w:spacing w:before="60"/>
        <w:ind w:hanging="360"/>
        <w:jc w:val="both"/>
      </w:pPr>
      <w:r>
        <w:rPr>
          <w:rFonts w:ascii="Times New Roman" w:eastAsia="宋体" w:hAnsi="Times New Roman"/>
          <w:color w:val="000000"/>
          <w:sz w:val="20"/>
          <w:szCs w:val="20"/>
        </w:rPr>
        <w:t>•The ability of our customers, channel partners, contract manufacturers and suppliers t</w:t>
      </w:r>
      <w:r>
        <w:rPr>
          <w:rFonts w:ascii="Times New Roman" w:eastAsia="宋体" w:hAnsi="Times New Roman"/>
          <w:color w:val="000000"/>
          <w:sz w:val="20"/>
          <w:szCs w:val="20"/>
        </w:rPr>
        <w:t>o obtain financing or to fund capital expenditures, especially during a period of global credit market disruption or in the event of customer, channel partner, contract manufacturer or supplier financial problems</w:t>
      </w:r>
    </w:p>
    <w:p w14:paraId="518B443C" w14:textId="77777777" w:rsidR="005C332D" w:rsidRDefault="00B93EAE">
      <w:pPr>
        <w:spacing w:before="60"/>
        <w:ind w:hanging="360"/>
        <w:jc w:val="both"/>
      </w:pPr>
      <w:r>
        <w:rPr>
          <w:rFonts w:ascii="Times New Roman" w:eastAsia="宋体" w:hAnsi="Times New Roman"/>
          <w:color w:val="000000"/>
          <w:sz w:val="20"/>
          <w:szCs w:val="20"/>
        </w:rPr>
        <w:t>•Actual events, circumstances, outcomes, an</w:t>
      </w:r>
      <w:r>
        <w:rPr>
          <w:rFonts w:ascii="Times New Roman" w:eastAsia="宋体" w:hAnsi="Times New Roman"/>
          <w:color w:val="000000"/>
          <w:sz w:val="20"/>
          <w:szCs w:val="20"/>
        </w:rPr>
        <w:t>d amounts differing from judgments, assumptions, and estimates used in determining the values of certain assets (including the amounts of related valuation allowances), liabilities, and other items reflected in our Consolidated Financial Statements</w:t>
      </w:r>
    </w:p>
    <w:p w14:paraId="518B443D" w14:textId="77777777" w:rsidR="005C332D" w:rsidRDefault="00B93EAE">
      <w:pPr>
        <w:spacing w:before="60"/>
        <w:ind w:hanging="360"/>
        <w:jc w:val="both"/>
      </w:pPr>
      <w:r>
        <w:rPr>
          <w:rFonts w:ascii="Times New Roman" w:eastAsia="宋体" w:hAnsi="Times New Roman"/>
          <w:color w:val="000000"/>
          <w:sz w:val="20"/>
          <w:szCs w:val="20"/>
        </w:rPr>
        <w:t>•How well we execute on our strategy and operating plans and the impact of changes in our business model that could result in significant restructuring charges</w:t>
      </w:r>
    </w:p>
    <w:p w14:paraId="518B443E" w14:textId="77777777" w:rsidR="005C332D" w:rsidRDefault="00B93EAE">
      <w:pPr>
        <w:spacing w:before="60"/>
        <w:ind w:hanging="360"/>
        <w:jc w:val="both"/>
      </w:pPr>
      <w:r>
        <w:rPr>
          <w:rFonts w:ascii="Times New Roman" w:eastAsia="宋体" w:hAnsi="Times New Roman"/>
          <w:color w:val="000000"/>
          <w:sz w:val="20"/>
          <w:szCs w:val="20"/>
        </w:rPr>
        <w:t>•Our ability to achieve targeted cost reductions</w:t>
      </w:r>
    </w:p>
    <w:p w14:paraId="518B443F" w14:textId="77777777" w:rsidR="005C332D" w:rsidRDefault="00B93EAE">
      <w:pPr>
        <w:spacing w:before="60"/>
        <w:ind w:hanging="360"/>
        <w:jc w:val="both"/>
      </w:pPr>
      <w:r>
        <w:rPr>
          <w:rFonts w:ascii="Times New Roman" w:eastAsia="宋体" w:hAnsi="Times New Roman"/>
          <w:color w:val="000000"/>
          <w:sz w:val="20"/>
          <w:szCs w:val="20"/>
        </w:rPr>
        <w:t>•Benefits anticipated from our investments</w:t>
      </w:r>
    </w:p>
    <w:p w14:paraId="518B4440" w14:textId="77777777" w:rsidR="005C332D" w:rsidRDefault="00B93EAE">
      <w:pPr>
        <w:spacing w:before="60"/>
        <w:ind w:hanging="360"/>
        <w:jc w:val="both"/>
      </w:pPr>
      <w:r>
        <w:rPr>
          <w:rFonts w:ascii="Times New Roman" w:eastAsia="宋体" w:hAnsi="Times New Roman"/>
          <w:color w:val="000000"/>
          <w:sz w:val="20"/>
          <w:szCs w:val="20"/>
        </w:rPr>
        <w:t>•Cha</w:t>
      </w:r>
      <w:r>
        <w:rPr>
          <w:rFonts w:ascii="Times New Roman" w:eastAsia="宋体" w:hAnsi="Times New Roman"/>
          <w:color w:val="000000"/>
          <w:sz w:val="20"/>
          <w:szCs w:val="20"/>
        </w:rPr>
        <w:t>nges in tax laws or accounting rules, or interpretations thereof</w:t>
      </w:r>
    </w:p>
    <w:p w14:paraId="518B4441" w14:textId="77777777" w:rsidR="005C332D" w:rsidRDefault="00B93EAE">
      <w:pPr>
        <w:spacing w:before="120"/>
        <w:jc w:val="both"/>
      </w:pPr>
      <w:r>
        <w:rPr>
          <w:rFonts w:ascii="Times New Roman" w:eastAsia="宋体" w:hAnsi="Times New Roman"/>
          <w:color w:val="000000"/>
          <w:sz w:val="20"/>
          <w:szCs w:val="20"/>
        </w:rPr>
        <w:t>As a consequence, operating results for a particular future period are difficult to predict, and, therefore, prior results are not necessarily indicative of results to be expected in future p</w:t>
      </w:r>
      <w:r>
        <w:rPr>
          <w:rFonts w:ascii="Times New Roman" w:eastAsia="宋体" w:hAnsi="Times New Roman"/>
          <w:color w:val="000000"/>
          <w:sz w:val="20"/>
          <w:szCs w:val="20"/>
        </w:rPr>
        <w:t xml:space="preserve">eriods. Any of the foregoing factors, or any other factors discussed elsewhere herein, could have a material adverse effect on our business, results of operations, and financial condition that could adversely affect our stock price. </w:t>
      </w:r>
    </w:p>
    <w:p w14:paraId="518B4442" w14:textId="77777777" w:rsidR="005C332D" w:rsidRDefault="00B93EAE">
      <w:pPr>
        <w:spacing w:before="120"/>
        <w:jc w:val="both"/>
      </w:pPr>
      <w:r>
        <w:rPr>
          <w:rFonts w:ascii="Times New Roman" w:eastAsia="宋体" w:hAnsi="Times New Roman"/>
          <w:b/>
          <w:bCs/>
          <w:i/>
          <w:iCs/>
          <w:color w:val="000000"/>
          <w:sz w:val="20"/>
          <w:szCs w:val="20"/>
        </w:rPr>
        <w:t xml:space="preserve">Our operating results </w:t>
      </w:r>
      <w:r>
        <w:rPr>
          <w:rFonts w:ascii="Times New Roman" w:eastAsia="宋体" w:hAnsi="Times New Roman"/>
          <w:b/>
          <w:bCs/>
          <w:i/>
          <w:iCs/>
          <w:color w:val="000000"/>
          <w:sz w:val="20"/>
          <w:szCs w:val="20"/>
        </w:rPr>
        <w:t>may be adversely affected by unfavorable economic and market conditions and the uncertain geopolitical environment.</w:t>
      </w:r>
      <w:r>
        <w:rPr>
          <w:rFonts w:ascii="Times New Roman" w:eastAsia="宋体" w:hAnsi="Times New Roman"/>
          <w:b/>
          <w:bCs/>
          <w:color w:val="000000"/>
          <w:sz w:val="20"/>
          <w:szCs w:val="20"/>
        </w:rPr>
        <w:t xml:space="preserve"> </w:t>
      </w:r>
    </w:p>
    <w:p w14:paraId="518B4443" w14:textId="77777777" w:rsidR="005C332D" w:rsidRDefault="00B93EAE">
      <w:pPr>
        <w:spacing w:before="120"/>
        <w:jc w:val="both"/>
      </w:pPr>
      <w:r>
        <w:rPr>
          <w:rFonts w:ascii="Times New Roman" w:eastAsia="宋体" w:hAnsi="Times New Roman"/>
          <w:color w:val="000000"/>
          <w:sz w:val="20"/>
          <w:szCs w:val="20"/>
        </w:rPr>
        <w:t>Challenging economic conditions, including rising inflation, or other changes, worldwide have from time to time contributed, and may contin</w:t>
      </w:r>
      <w:r>
        <w:rPr>
          <w:rFonts w:ascii="Times New Roman" w:eastAsia="宋体" w:hAnsi="Times New Roman"/>
          <w:color w:val="000000"/>
          <w:sz w:val="20"/>
          <w:szCs w:val="20"/>
        </w:rPr>
        <w:t>ue to contribute, to slowdowns in the communications and networking industries at large, as well as in specific segments and markets in which we operate, resulting in: reduced demand for our products as a result of continued constraints on IT-related capit</w:t>
      </w:r>
      <w:r>
        <w:rPr>
          <w:rFonts w:ascii="Times New Roman" w:eastAsia="宋体" w:hAnsi="Times New Roman"/>
          <w:color w:val="000000"/>
          <w:sz w:val="20"/>
          <w:szCs w:val="20"/>
        </w:rPr>
        <w:t>al spending by our customers, particularly service providers, and other customer markets as well; increased price competition for our products, not only from our competitors but also as a consequence of customers disposing of unutilized products; risk of e</w:t>
      </w:r>
      <w:r>
        <w:rPr>
          <w:rFonts w:ascii="Times New Roman" w:eastAsia="宋体" w:hAnsi="Times New Roman"/>
          <w:color w:val="000000"/>
          <w:sz w:val="20"/>
          <w:szCs w:val="20"/>
        </w:rPr>
        <w:t>xcess and obsolete inventories; risk of supply constraints; risk of excess facilities and manufacturing capacity; and higher overhead costs as a percentage of revenue and higher interest expense.</w:t>
      </w:r>
    </w:p>
    <w:p w14:paraId="518B4444" w14:textId="77777777" w:rsidR="005C332D" w:rsidRDefault="00B93EAE">
      <w:pPr>
        <w:spacing w:before="120"/>
        <w:jc w:val="both"/>
      </w:pPr>
      <w:r>
        <w:rPr>
          <w:rFonts w:ascii="Times New Roman" w:eastAsia="宋体" w:hAnsi="Times New Roman"/>
          <w:color w:val="000000"/>
          <w:sz w:val="20"/>
          <w:szCs w:val="20"/>
        </w:rPr>
        <w:t>The global macroeconomic environment continues to be challen</w:t>
      </w:r>
      <w:r>
        <w:rPr>
          <w:rFonts w:ascii="Times New Roman" w:eastAsia="宋体" w:hAnsi="Times New Roman"/>
          <w:color w:val="000000"/>
          <w:sz w:val="20"/>
          <w:szCs w:val="20"/>
        </w:rPr>
        <w:t>ging and inconsistent, and is being significantly impacted by the COVID-19 pandemic. In certain prior periods, we have seen a broad-based weakening in the global macroeconomic environment which has impacted and could impact in the future certain of our mar</w:t>
      </w:r>
      <w:r>
        <w:rPr>
          <w:rFonts w:ascii="Times New Roman" w:eastAsia="宋体" w:hAnsi="Times New Roman"/>
          <w:color w:val="000000"/>
          <w:sz w:val="20"/>
          <w:szCs w:val="20"/>
        </w:rPr>
        <w:t xml:space="preserve">kets. Additionally, instability in the global credit markets, the impact of uncertainty regarding global central bank monetary policy, the instability in the geopolitical environment in many parts of the world (including as a result of the on-going Russia </w:t>
      </w:r>
      <w:r>
        <w:rPr>
          <w:rFonts w:ascii="Times New Roman" w:eastAsia="宋体" w:hAnsi="Times New Roman"/>
          <w:color w:val="000000"/>
          <w:sz w:val="20"/>
          <w:szCs w:val="20"/>
        </w:rPr>
        <w:t>and Ukraine war, and China-Taiwan relations), the current economic challenges in China, including global economic ramifications of Chinese economic difficulties, and other disruptions may continue to put pressure on global economic conditions. If global ec</w:t>
      </w:r>
      <w:r>
        <w:rPr>
          <w:rFonts w:ascii="Times New Roman" w:eastAsia="宋体" w:hAnsi="Times New Roman"/>
          <w:color w:val="000000"/>
          <w:sz w:val="20"/>
          <w:szCs w:val="20"/>
        </w:rPr>
        <w:t>onomic and market conditions, or economic conditions in key markets, remain uncertain or deteriorate further, we may experience material impacts on our business, operating results, and financial condition.</w:t>
      </w:r>
      <w:r>
        <w:rPr>
          <w:rFonts w:ascii="Times New Roman" w:eastAsia="宋体" w:hAnsi="Times New Roman"/>
          <w:color w:val="EE2724"/>
          <w:sz w:val="20"/>
          <w:szCs w:val="20"/>
        </w:rPr>
        <w:t xml:space="preserve"> </w:t>
      </w:r>
    </w:p>
    <w:p w14:paraId="518B4445" w14:textId="77777777" w:rsidR="005C332D" w:rsidRDefault="00B93EAE">
      <w:pPr>
        <w:spacing w:before="120"/>
        <w:jc w:val="both"/>
      </w:pPr>
      <w:r>
        <w:rPr>
          <w:rFonts w:ascii="Times New Roman" w:eastAsia="宋体" w:hAnsi="Times New Roman"/>
          <w:color w:val="000000"/>
          <w:sz w:val="20"/>
          <w:szCs w:val="20"/>
        </w:rPr>
        <w:t xml:space="preserve">Our operating results in one or more </w:t>
      </w:r>
      <w:r>
        <w:rPr>
          <w:rFonts w:ascii="Times New Roman" w:eastAsia="宋体" w:hAnsi="Times New Roman"/>
          <w:color w:val="000000"/>
          <w:sz w:val="20"/>
          <w:szCs w:val="20"/>
        </w:rPr>
        <w:t>segments may also be affected by uncertain or changing economic conditions particularly germane to that segment or to particular customer markets within that segment. In addition, reports of certain intelligence gathering methods of the U.S. government cou</w:t>
      </w:r>
      <w:r>
        <w:rPr>
          <w:rFonts w:ascii="Times New Roman" w:eastAsia="宋体" w:hAnsi="Times New Roman"/>
          <w:color w:val="000000"/>
          <w:sz w:val="20"/>
          <w:szCs w:val="20"/>
        </w:rPr>
        <w:t>ld affect customers’ perception of the products of IT companies which design and manufacture products in the United States. Trust and confidence in us as an IT supplier are critical to the development and growth of our markets. Impairment of that trust, or</w:t>
      </w:r>
      <w:r>
        <w:rPr>
          <w:rFonts w:ascii="Times New Roman" w:eastAsia="宋体" w:hAnsi="Times New Roman"/>
          <w:color w:val="000000"/>
          <w:sz w:val="20"/>
          <w:szCs w:val="20"/>
        </w:rPr>
        <w:t xml:space="preserve"> foreign regulatory actions taken in response to reports of certain intelligence gathering methods of the U.S. government, could affect the demand for our products from customers outside of the United States and could have an adverse effect on our operatin</w:t>
      </w:r>
      <w:r>
        <w:rPr>
          <w:rFonts w:ascii="Times New Roman" w:eastAsia="宋体" w:hAnsi="Times New Roman"/>
          <w:color w:val="000000"/>
          <w:sz w:val="20"/>
          <w:szCs w:val="20"/>
        </w:rPr>
        <w:t>g results.</w:t>
      </w:r>
    </w:p>
    <w:p w14:paraId="518B4446" w14:textId="77777777" w:rsidR="005C332D" w:rsidRDefault="00B93EAE">
      <w:pPr>
        <w:spacing w:before="120"/>
        <w:jc w:val="both"/>
      </w:pPr>
      <w:r>
        <w:rPr>
          <w:rFonts w:ascii="Times New Roman" w:eastAsia="宋体" w:hAnsi="Times New Roman"/>
          <w:b/>
          <w:bCs/>
          <w:i/>
          <w:iCs/>
          <w:color w:val="000000"/>
          <w:sz w:val="20"/>
          <w:szCs w:val="20"/>
        </w:rPr>
        <w:t>Our revenue for a particular period is difficult to predict, and a shortfall in revenue may harm our operating results.</w:t>
      </w:r>
      <w:r>
        <w:rPr>
          <w:rFonts w:ascii="Times New Roman" w:eastAsia="宋体" w:hAnsi="Times New Roman"/>
          <w:b/>
          <w:bCs/>
          <w:color w:val="000000"/>
          <w:sz w:val="20"/>
          <w:szCs w:val="20"/>
        </w:rPr>
        <w:t xml:space="preserve"> </w:t>
      </w:r>
    </w:p>
    <w:p w14:paraId="518B4447" w14:textId="77777777" w:rsidR="005C332D" w:rsidRDefault="00B93EAE">
      <w:pPr>
        <w:spacing w:before="120"/>
        <w:jc w:val="both"/>
      </w:pPr>
      <w:r>
        <w:rPr>
          <w:rFonts w:ascii="Times New Roman" w:eastAsia="宋体" w:hAnsi="Times New Roman"/>
          <w:color w:val="000000"/>
          <w:sz w:val="20"/>
          <w:szCs w:val="20"/>
        </w:rPr>
        <w:t xml:space="preserve">As a result of a variety of factors discussed in this report, our revenue for a particular quarter is difficult to predict, </w:t>
      </w:r>
      <w:r>
        <w:rPr>
          <w:rFonts w:ascii="Times New Roman" w:eastAsia="宋体" w:hAnsi="Times New Roman"/>
          <w:color w:val="000000"/>
          <w:sz w:val="20"/>
          <w:szCs w:val="20"/>
        </w:rPr>
        <w:t>especially in light of a challenging and inconsistent global macroeconomic environment (including as a result of the Russia and Ukraine war), the significant impacts of the COVID-19 pandemic, and related market uncertainty. Our revenue may grow at a slower</w:t>
      </w:r>
      <w:r>
        <w:rPr>
          <w:rFonts w:ascii="Times New Roman" w:eastAsia="宋体" w:hAnsi="Times New Roman"/>
          <w:color w:val="000000"/>
          <w:sz w:val="20"/>
          <w:szCs w:val="20"/>
        </w:rPr>
        <w:t xml:space="preserve"> rate than in past periods, as it did in the third quarter of fiscal 2022 on a year-over-year basis, or decline as it did in the fourth quarter of fiscal 2022 and certain prior periods. Our ability to meet financial expectations could also be adversely aff</w:t>
      </w:r>
      <w:r>
        <w:rPr>
          <w:rFonts w:ascii="Times New Roman" w:eastAsia="宋体" w:hAnsi="Times New Roman"/>
          <w:color w:val="000000"/>
          <w:sz w:val="20"/>
          <w:szCs w:val="20"/>
        </w:rPr>
        <w:t>ected if the nonlinear sales pattern seen in some of our past quarters recurs in future periods. We have experienced periods of time during which shipments have exceeded net bookings or manufacturing issues have delayed shipments, leading to nonlinearity i</w:t>
      </w:r>
      <w:r>
        <w:rPr>
          <w:rFonts w:ascii="Times New Roman" w:eastAsia="宋体" w:hAnsi="Times New Roman"/>
          <w:color w:val="000000"/>
          <w:sz w:val="20"/>
          <w:szCs w:val="20"/>
        </w:rPr>
        <w:t xml:space="preserve">n shipping patterns. In addition to making it difficult to predict revenue for a particular period, nonlinearity in shipping can </w:t>
      </w:r>
    </w:p>
    <w:p w14:paraId="518B4448" w14:textId="77777777" w:rsidR="005C332D" w:rsidRDefault="00B93EAE">
      <w:pPr>
        <w:jc w:val="center"/>
      </w:pPr>
      <w:r>
        <w:rPr>
          <w:rFonts w:ascii="Times New Roman" w:eastAsia="宋体" w:hAnsi="Times New Roman"/>
          <w:color w:val="000000"/>
          <w:sz w:val="20"/>
          <w:szCs w:val="20"/>
        </w:rPr>
        <w:t>15</w:t>
      </w:r>
    </w:p>
    <w:p w14:paraId="518B4449" w14:textId="77777777" w:rsidR="005C332D" w:rsidRDefault="00B93EAE">
      <w:r>
        <w:pict w14:anchorId="518B8722">
          <v:rect id="_x0000_i1041" style="width:415.3pt;height:1.5pt" o:hralign="center" o:hrstd="t" o:hr="t" fillcolor="#a0a0a0" stroked="f"/>
        </w:pict>
      </w:r>
    </w:p>
    <w:p w14:paraId="518B444A" w14:textId="77777777" w:rsidR="005C332D" w:rsidRDefault="00B93EAE">
      <w:hyperlink r:id="rId69" w:anchor="i049852cab38845aabd2a79d07dacda86_7" w:history="1">
        <w:r>
          <w:rPr>
            <w:rStyle w:val="a5"/>
            <w:rFonts w:ascii="Times New Roman" w:eastAsia="宋体" w:hAnsi="Times New Roman"/>
            <w:sz w:val="20"/>
            <w:szCs w:val="20"/>
          </w:rPr>
          <w:t>Table of Contents</w:t>
        </w:r>
      </w:hyperlink>
    </w:p>
    <w:p w14:paraId="518B444B" w14:textId="77777777" w:rsidR="005C332D" w:rsidRDefault="00B93EAE">
      <w:pPr>
        <w:spacing w:before="120"/>
        <w:jc w:val="both"/>
      </w:pPr>
      <w:r>
        <w:rPr>
          <w:rFonts w:ascii="Times New Roman" w:eastAsia="宋体" w:hAnsi="Times New Roman"/>
          <w:color w:val="000000"/>
          <w:sz w:val="20"/>
          <w:szCs w:val="20"/>
        </w:rPr>
        <w:t>increase costs, because irregular shipment patterns result in periods of underutilized capacity and periods in which overtime expenses may be incurred, as well as in potential additional inventory management-re</w:t>
      </w:r>
      <w:r>
        <w:rPr>
          <w:rFonts w:ascii="Times New Roman" w:eastAsia="宋体" w:hAnsi="Times New Roman"/>
          <w:color w:val="000000"/>
          <w:sz w:val="20"/>
          <w:szCs w:val="20"/>
        </w:rPr>
        <w:t xml:space="preserve">lated costs. In addition, to the extent that manufacturing issues and any related component shortages result in delayed shipments in the future, and particularly in periods in which our contract manufacturers are operating at higher levels of capacity, it </w:t>
      </w:r>
      <w:r>
        <w:rPr>
          <w:rFonts w:ascii="Times New Roman" w:eastAsia="宋体" w:hAnsi="Times New Roman"/>
          <w:color w:val="000000"/>
          <w:sz w:val="20"/>
          <w:szCs w:val="20"/>
        </w:rPr>
        <w:t xml:space="preserve">is possible that revenue for a quarter could be adversely affected if such matters occur and are not remediated within the same quarter. </w:t>
      </w:r>
    </w:p>
    <w:p w14:paraId="518B444C" w14:textId="77777777" w:rsidR="005C332D" w:rsidRDefault="00B93EAE">
      <w:pPr>
        <w:spacing w:before="120"/>
        <w:jc w:val="both"/>
      </w:pPr>
      <w:r>
        <w:rPr>
          <w:rFonts w:ascii="Times New Roman" w:eastAsia="宋体" w:hAnsi="Times New Roman"/>
          <w:color w:val="000000"/>
          <w:sz w:val="20"/>
          <w:szCs w:val="20"/>
        </w:rPr>
        <w:t>The timing of large orders can also have a significant effect on our business and operating results from quarter to qu</w:t>
      </w:r>
      <w:r>
        <w:rPr>
          <w:rFonts w:ascii="Times New Roman" w:eastAsia="宋体" w:hAnsi="Times New Roman"/>
          <w:color w:val="000000"/>
          <w:sz w:val="20"/>
          <w:szCs w:val="20"/>
        </w:rPr>
        <w:t>arter. From time to time, we receive large orders that have a significant effect on our operating results in the period in which the order is recognized as revenue. The timing of such orders is difficult to predict, and the timing of revenue recognition fr</w:t>
      </w:r>
      <w:r>
        <w:rPr>
          <w:rFonts w:ascii="Times New Roman" w:eastAsia="宋体" w:hAnsi="Times New Roman"/>
          <w:color w:val="000000"/>
          <w:sz w:val="20"/>
          <w:szCs w:val="20"/>
        </w:rPr>
        <w:t xml:space="preserve">om such orders may affect period to period changes in revenue. As a result, our operating results could vary materially from quarter to quarter based on the receipt of such orders and their ultimate recognition as revenue. Longer than normal manufacturing </w:t>
      </w:r>
      <w:r>
        <w:rPr>
          <w:rFonts w:ascii="Times New Roman" w:eastAsia="宋体" w:hAnsi="Times New Roman"/>
          <w:color w:val="000000"/>
          <w:sz w:val="20"/>
          <w:szCs w:val="20"/>
        </w:rPr>
        <w:t>lead times in the past have caused, and in the future could cause, some customers to place the same or a similar order multiple times within our various sales channels and to cancel the duplicative orders upon shipment or receipt of the product, or to also</w:t>
      </w:r>
      <w:r>
        <w:rPr>
          <w:rFonts w:ascii="Times New Roman" w:eastAsia="宋体" w:hAnsi="Times New Roman"/>
          <w:color w:val="000000"/>
          <w:sz w:val="20"/>
          <w:szCs w:val="20"/>
        </w:rPr>
        <w:t xml:space="preserve"> place orders with other vendors with shorter manufacturing lead times. Such multiple ordering (along with other factors) or risk of order cancellation may cause difficulty in predicting our revenue. Further, our efforts to improve manufacturing lead-time </w:t>
      </w:r>
      <w:r>
        <w:rPr>
          <w:rFonts w:ascii="Times New Roman" w:eastAsia="宋体" w:hAnsi="Times New Roman"/>
          <w:color w:val="000000"/>
          <w:sz w:val="20"/>
          <w:szCs w:val="20"/>
        </w:rPr>
        <w:t>performance may result in more variability and less predictability in our revenue and operating results. In addition, when facing component supply-related challenges we have increased our efforts in procuring components in order to meet customer expectatio</w:t>
      </w:r>
      <w:r>
        <w:rPr>
          <w:rFonts w:ascii="Times New Roman" w:eastAsia="宋体" w:hAnsi="Times New Roman"/>
          <w:color w:val="000000"/>
          <w:sz w:val="20"/>
          <w:szCs w:val="20"/>
        </w:rPr>
        <w:t>ns, which in turn contribute to an increase in inventory and purchase commitments. In recent periods, we increased our inventory and purchase commitments in light of the significant supply constraints seen industry-wide due to component shortages, caused i</w:t>
      </w:r>
      <w:r>
        <w:rPr>
          <w:rFonts w:ascii="Times New Roman" w:eastAsia="宋体" w:hAnsi="Times New Roman"/>
          <w:color w:val="000000"/>
          <w:sz w:val="20"/>
          <w:szCs w:val="20"/>
        </w:rPr>
        <w:t>n part by the COVID-19 pandemic. These increases in our inventory and purchase commitments to shorten lead times could also lead to material excess and obsolete inventory charges in future periods if the demand for our products is less than our expectation</w:t>
      </w:r>
      <w:r>
        <w:rPr>
          <w:rFonts w:ascii="Times New Roman" w:eastAsia="宋体" w:hAnsi="Times New Roman"/>
          <w:color w:val="000000"/>
          <w:sz w:val="20"/>
          <w:szCs w:val="20"/>
        </w:rPr>
        <w:t>s. We plan our operating expense levels based primarily on forecasted revenue levels. These expenses and the impact of long-term commitments are relatively fixed in the short term. A shortfall in revenue could lead to operating results being below expectat</w:t>
      </w:r>
      <w:r>
        <w:rPr>
          <w:rFonts w:ascii="Times New Roman" w:eastAsia="宋体" w:hAnsi="Times New Roman"/>
          <w:color w:val="000000"/>
          <w:sz w:val="20"/>
          <w:szCs w:val="20"/>
        </w:rPr>
        <w:t>ions because we may not be able to quickly reduce these fixed expenses in response to short-term business changes. Any of the above factors could have a material adverse impact on our operations and financial results. For additional information and a furth</w:t>
      </w:r>
      <w:r>
        <w:rPr>
          <w:rFonts w:ascii="Times New Roman" w:eastAsia="宋体" w:hAnsi="Times New Roman"/>
          <w:color w:val="000000"/>
          <w:sz w:val="20"/>
          <w:szCs w:val="20"/>
        </w:rPr>
        <w:t>er discussion of current impacts and risks related to our significant supply constraints, inventory commitments and our purchase commitments with contract manufacturers and suppliers, see Results of Operations—Product Gross Margin—Supply Constraints Impact</w:t>
      </w:r>
      <w:r>
        <w:rPr>
          <w:rFonts w:ascii="Times New Roman" w:eastAsia="宋体" w:hAnsi="Times New Roman"/>
          <w:color w:val="000000"/>
          <w:sz w:val="20"/>
          <w:szCs w:val="20"/>
        </w:rPr>
        <w:t>s and Risks, Liquidity and Capital Resources—Inventory Supply Chain and Note 14 to the Consolidated Financial Statements.</w:t>
      </w:r>
    </w:p>
    <w:p w14:paraId="518B444D" w14:textId="77777777" w:rsidR="005C332D" w:rsidRDefault="00B93EAE">
      <w:pPr>
        <w:spacing w:before="120"/>
        <w:jc w:val="both"/>
      </w:pPr>
      <w:r>
        <w:rPr>
          <w:rFonts w:ascii="Times New Roman" w:eastAsia="宋体" w:hAnsi="Times New Roman"/>
          <w:b/>
          <w:bCs/>
          <w:i/>
          <w:iCs/>
          <w:color w:val="000000"/>
          <w:sz w:val="20"/>
          <w:szCs w:val="20"/>
        </w:rPr>
        <w:t>Supply chain issues, including financial problems of contract manufacturers or component suppliers, or a shortage of adequate componen</w:t>
      </w:r>
      <w:r>
        <w:rPr>
          <w:rFonts w:ascii="Times New Roman" w:eastAsia="宋体" w:hAnsi="Times New Roman"/>
          <w:b/>
          <w:bCs/>
          <w:i/>
          <w:iCs/>
          <w:color w:val="000000"/>
          <w:sz w:val="20"/>
          <w:szCs w:val="20"/>
        </w:rPr>
        <w:t>t supply or manufacturing capacity that increase our costs or cause a delay in our ability to fulfill orders, could have an adverse impact on our business and operating results, and our failure to estimate customer demand properly may result in excess or o</w:t>
      </w:r>
      <w:r>
        <w:rPr>
          <w:rFonts w:ascii="Times New Roman" w:eastAsia="宋体" w:hAnsi="Times New Roman"/>
          <w:b/>
          <w:bCs/>
          <w:i/>
          <w:iCs/>
          <w:color w:val="000000"/>
          <w:sz w:val="20"/>
          <w:szCs w:val="20"/>
        </w:rPr>
        <w:t>bsolete component supply, which could adversely affect our gross margins.</w:t>
      </w:r>
    </w:p>
    <w:p w14:paraId="518B444E" w14:textId="77777777" w:rsidR="005C332D" w:rsidRDefault="00B93EAE">
      <w:pPr>
        <w:spacing w:before="120"/>
        <w:jc w:val="both"/>
      </w:pPr>
      <w:r>
        <w:rPr>
          <w:rFonts w:ascii="Times New Roman" w:eastAsia="宋体" w:hAnsi="Times New Roman"/>
          <w:color w:val="000000"/>
          <w:sz w:val="20"/>
          <w:szCs w:val="20"/>
        </w:rPr>
        <w:t>The fact that we do not own or operate the bulk of our manufacturing facilities and that we are reliant on our extended supply chain could have an adverse impact on the supply of our</w:t>
      </w:r>
      <w:r>
        <w:rPr>
          <w:rFonts w:ascii="Times New Roman" w:eastAsia="宋体" w:hAnsi="Times New Roman"/>
          <w:color w:val="000000"/>
          <w:sz w:val="20"/>
          <w:szCs w:val="20"/>
        </w:rPr>
        <w:t xml:space="preserve"> products and on our business and operating results. Financial problems of either contract manufacturers or component suppliers, reservation of manufacturing capacity at our contract manufacturers by other companies, and industry consolidation occurring wi</w:t>
      </w:r>
      <w:r>
        <w:rPr>
          <w:rFonts w:ascii="Times New Roman" w:eastAsia="宋体" w:hAnsi="Times New Roman"/>
          <w:color w:val="000000"/>
          <w:sz w:val="20"/>
          <w:szCs w:val="20"/>
        </w:rPr>
        <w:t>thin one or more component supplier markets, such as the semiconductor market, in each case, could either limit supply or increase costs.</w:t>
      </w:r>
    </w:p>
    <w:p w14:paraId="518B444F" w14:textId="77777777" w:rsidR="005C332D" w:rsidRDefault="00B93EAE">
      <w:pPr>
        <w:spacing w:before="120"/>
        <w:jc w:val="both"/>
      </w:pPr>
      <w:r>
        <w:rPr>
          <w:rFonts w:ascii="Times New Roman" w:eastAsia="宋体" w:hAnsi="Times New Roman"/>
          <w:color w:val="000000"/>
          <w:sz w:val="20"/>
          <w:szCs w:val="20"/>
        </w:rPr>
        <w:t>A reduction or interruption in supply, including disruptions on our global supply chain, caused in part by public heal</w:t>
      </w:r>
      <w:r>
        <w:rPr>
          <w:rFonts w:ascii="Times New Roman" w:eastAsia="宋体" w:hAnsi="Times New Roman"/>
          <w:color w:val="000000"/>
          <w:sz w:val="20"/>
          <w:szCs w:val="20"/>
        </w:rPr>
        <w:t>th emergencies (including the COVID-19 pandemic), geopolitical tensions (including as a result of China-Taiwan relations) or a significant natural disaster (including as a result of climate change); a significant increase in the price of one or more compon</w:t>
      </w:r>
      <w:r>
        <w:rPr>
          <w:rFonts w:ascii="Times New Roman" w:eastAsia="宋体" w:hAnsi="Times New Roman"/>
          <w:color w:val="000000"/>
          <w:sz w:val="20"/>
          <w:szCs w:val="20"/>
        </w:rPr>
        <w:t>ents (including as a result of inflation); a failure to adequately authorize procurement of inventory by our contract manufacturers; a failure to appropriately cancel, reschedule, or adjust our requirements based on our business needs; or a decrease in dem</w:t>
      </w:r>
      <w:r>
        <w:rPr>
          <w:rFonts w:ascii="Times New Roman" w:eastAsia="宋体" w:hAnsi="Times New Roman"/>
          <w:color w:val="000000"/>
          <w:sz w:val="20"/>
          <w:szCs w:val="20"/>
        </w:rPr>
        <w:t xml:space="preserve">and for our products could materially adversely affect our business, operating results, and financial condition and could materially damage customer relationships. Furthermore, as a result of binding price or purchase commitments with suppliers, we may be </w:t>
      </w:r>
      <w:r>
        <w:rPr>
          <w:rFonts w:ascii="Times New Roman" w:eastAsia="宋体" w:hAnsi="Times New Roman"/>
          <w:color w:val="000000"/>
          <w:sz w:val="20"/>
          <w:szCs w:val="20"/>
        </w:rPr>
        <w:t>obligated to purchase components at prices that are higher than those available in the current market. In the event that we become committed to purchase components at prices in excess of the current market price when the components are actually used, our g</w:t>
      </w:r>
      <w:r>
        <w:rPr>
          <w:rFonts w:ascii="Times New Roman" w:eastAsia="宋体" w:hAnsi="Times New Roman"/>
          <w:color w:val="000000"/>
          <w:sz w:val="20"/>
          <w:szCs w:val="20"/>
        </w:rPr>
        <w:t>ross margins could decrease. In addition, vendors may be under pressure to allocate product to certain customers for business, regulatory or political reasons, and/or demand changes in agreed pricing as a condition of supply. Although we have generally sec</w:t>
      </w:r>
      <w:r>
        <w:rPr>
          <w:rFonts w:ascii="Times New Roman" w:eastAsia="宋体" w:hAnsi="Times New Roman"/>
          <w:color w:val="000000"/>
          <w:sz w:val="20"/>
          <w:szCs w:val="20"/>
        </w:rPr>
        <w:t>ured additional supply or taken other mitigation actions when significant disruptions have occurred, if similar situations occur in the future, they could have a material adverse effect on our business, results of operations, and financial condition.</w:t>
      </w:r>
    </w:p>
    <w:p w14:paraId="518B4450" w14:textId="77777777" w:rsidR="005C332D" w:rsidRDefault="00B93EAE">
      <w:pPr>
        <w:spacing w:before="120"/>
        <w:jc w:val="both"/>
      </w:pPr>
      <w:r>
        <w:rPr>
          <w:rFonts w:ascii="Times New Roman" w:eastAsia="宋体" w:hAnsi="Times New Roman"/>
          <w:color w:val="000000"/>
          <w:sz w:val="20"/>
          <w:szCs w:val="20"/>
        </w:rPr>
        <w:t>Our g</w:t>
      </w:r>
      <w:r>
        <w:rPr>
          <w:rFonts w:ascii="Times New Roman" w:eastAsia="宋体" w:hAnsi="Times New Roman"/>
          <w:color w:val="000000"/>
          <w:sz w:val="20"/>
          <w:szCs w:val="20"/>
        </w:rPr>
        <w:t>rowth and ability to meet customer demands depend in part on our ability to obtain timely deliveries of parts from our suppliers and contract manufacturers. We have experienced component shortages in the past, including shortages caused by manufacturing pr</w:t>
      </w:r>
      <w:r>
        <w:rPr>
          <w:rFonts w:ascii="Times New Roman" w:eastAsia="宋体" w:hAnsi="Times New Roman"/>
          <w:color w:val="000000"/>
          <w:sz w:val="20"/>
          <w:szCs w:val="20"/>
        </w:rPr>
        <w:t xml:space="preserve">ocess issues, that have affected our operations, including longer than normal lead times. There is currently a market shortage of semiconductor and other component supply which has affected, and could further affect, lead times, the cost </w:t>
      </w:r>
    </w:p>
    <w:p w14:paraId="518B4451" w14:textId="77777777" w:rsidR="005C332D" w:rsidRDefault="00B93EAE">
      <w:pPr>
        <w:jc w:val="center"/>
      </w:pPr>
      <w:r>
        <w:rPr>
          <w:rFonts w:ascii="Times New Roman" w:eastAsia="宋体" w:hAnsi="Times New Roman"/>
          <w:color w:val="000000"/>
          <w:sz w:val="20"/>
          <w:szCs w:val="20"/>
        </w:rPr>
        <w:t>16</w:t>
      </w:r>
    </w:p>
    <w:p w14:paraId="518B4452" w14:textId="77777777" w:rsidR="005C332D" w:rsidRDefault="00B93EAE">
      <w:r>
        <w:pict w14:anchorId="518B8723">
          <v:rect id="_x0000_i1042" style="width:415.3pt;height:1.5pt" o:hralign="center" o:hrstd="t" o:hr="t" fillcolor="#a0a0a0" stroked="f"/>
        </w:pict>
      </w:r>
    </w:p>
    <w:p w14:paraId="518B4453" w14:textId="77777777" w:rsidR="005C332D" w:rsidRDefault="00B93EAE">
      <w:hyperlink r:id="rId70" w:anchor="i049852cab38845aabd2a79d07dacda86_7" w:history="1">
        <w:r>
          <w:rPr>
            <w:rStyle w:val="a5"/>
            <w:rFonts w:ascii="Times New Roman" w:eastAsia="宋体" w:hAnsi="Times New Roman"/>
            <w:sz w:val="20"/>
            <w:szCs w:val="20"/>
          </w:rPr>
          <w:t>Table of Contents</w:t>
        </w:r>
      </w:hyperlink>
    </w:p>
    <w:p w14:paraId="518B4454" w14:textId="77777777" w:rsidR="005C332D" w:rsidRDefault="00B93EAE">
      <w:pPr>
        <w:spacing w:before="120"/>
        <w:jc w:val="both"/>
      </w:pPr>
      <w:r>
        <w:rPr>
          <w:rFonts w:ascii="Times New Roman" w:eastAsia="宋体" w:hAnsi="Times New Roman"/>
          <w:color w:val="000000"/>
          <w:sz w:val="20"/>
          <w:szCs w:val="20"/>
        </w:rPr>
        <w:t>of that supply, and our ability to meet customer demand for our products if we cannot secure sufficient supply in a timely manner. We continue to manage through significant supply constraints seen industry-wide due to component shortages, including signifi</w:t>
      </w:r>
      <w:r>
        <w:rPr>
          <w:rFonts w:ascii="Times New Roman" w:eastAsia="宋体" w:hAnsi="Times New Roman"/>
          <w:color w:val="000000"/>
          <w:sz w:val="20"/>
          <w:szCs w:val="20"/>
        </w:rPr>
        <w:t xml:space="preserve">cant constraints with certain critical components which prevents us from completing manufacturing of certain of our products. For example, we saw an additional unanticipated supply challenge with COVID-19 related lockdowns in certain parts of China in the </w:t>
      </w:r>
      <w:r>
        <w:rPr>
          <w:rFonts w:ascii="Times New Roman" w:eastAsia="宋体" w:hAnsi="Times New Roman"/>
          <w:color w:val="000000"/>
          <w:sz w:val="20"/>
          <w:szCs w:val="20"/>
        </w:rPr>
        <w:t xml:space="preserve">second half of fiscal 2022 that resulted in a severe shortage of certain critical components. While we did see some easing of the industry-wide supply constraints towards the end of the fourth quarter of fiscal 2022, we expect such constraints to continue </w:t>
      </w:r>
      <w:r>
        <w:rPr>
          <w:rFonts w:ascii="Times New Roman" w:eastAsia="宋体" w:hAnsi="Times New Roman"/>
          <w:color w:val="000000"/>
          <w:sz w:val="20"/>
          <w:szCs w:val="20"/>
        </w:rPr>
        <w:t>and the duration of which is uncertain. Additionally, we may in the future experience a shortage of certain component parts as a result of our own manufacturing issues, manufacturing issues at our suppliers or contract manufacturers, capacity problems expe</w:t>
      </w:r>
      <w:r>
        <w:rPr>
          <w:rFonts w:ascii="Times New Roman" w:eastAsia="宋体" w:hAnsi="Times New Roman"/>
          <w:color w:val="000000"/>
          <w:sz w:val="20"/>
          <w:szCs w:val="20"/>
        </w:rPr>
        <w:t>rienced by our suppliers or contract manufacturers including capacity or cost problems resulting from industry consolidation, or strong demand for those parts. Growth in the economy is likely to create greater pressures on us and our suppliers to accuratel</w:t>
      </w:r>
      <w:r>
        <w:rPr>
          <w:rFonts w:ascii="Times New Roman" w:eastAsia="宋体" w:hAnsi="Times New Roman"/>
          <w:color w:val="000000"/>
          <w:sz w:val="20"/>
          <w:szCs w:val="20"/>
        </w:rPr>
        <w:t>y project overall component demand and component demands within specific product categories and to establish optimal component levels and manufacturing capacity, especially for labor-intensive components, components for which we purchase a substantial port</w:t>
      </w:r>
      <w:r>
        <w:rPr>
          <w:rFonts w:ascii="Times New Roman" w:eastAsia="宋体" w:hAnsi="Times New Roman"/>
          <w:color w:val="000000"/>
          <w:sz w:val="20"/>
          <w:szCs w:val="20"/>
        </w:rPr>
        <w:t>ion of the supply, or the re-ramping of manufacturing capacity for highly complex products. During periods of shortages or delays the price of components may increase, or the components may not be available at all, and we may also encounter shortages if we</w:t>
      </w:r>
      <w:r>
        <w:rPr>
          <w:rFonts w:ascii="Times New Roman" w:eastAsia="宋体" w:hAnsi="Times New Roman"/>
          <w:color w:val="000000"/>
          <w:sz w:val="20"/>
          <w:szCs w:val="20"/>
        </w:rPr>
        <w:t xml:space="preserve"> do not accurately anticipate our needs. We may not be able to secure enough components at reasonable prices or of acceptable quality to build new products in a timely manner in the quantities or configurations needed. Accordingly, our revenue and gross ma</w:t>
      </w:r>
      <w:r>
        <w:rPr>
          <w:rFonts w:ascii="Times New Roman" w:eastAsia="宋体" w:hAnsi="Times New Roman"/>
          <w:color w:val="000000"/>
          <w:sz w:val="20"/>
          <w:szCs w:val="20"/>
        </w:rPr>
        <w:t xml:space="preserve">rgins could suffer until other sources can be developed. </w:t>
      </w:r>
    </w:p>
    <w:p w14:paraId="518B4455" w14:textId="77777777" w:rsidR="005C332D" w:rsidRDefault="00B93EAE">
      <w:pPr>
        <w:spacing w:before="120"/>
        <w:jc w:val="both"/>
      </w:pPr>
      <w:r>
        <w:rPr>
          <w:rFonts w:ascii="Times New Roman" w:eastAsia="宋体" w:hAnsi="Times New Roman"/>
          <w:color w:val="000000"/>
          <w:sz w:val="20"/>
          <w:szCs w:val="20"/>
        </w:rPr>
        <w:t>Our operating results would also be adversely affected if, anticipating greater demand than actually develops, we commit to the purchase of more components than we need, which is more likely to occu</w:t>
      </w:r>
      <w:r>
        <w:rPr>
          <w:rFonts w:ascii="Times New Roman" w:eastAsia="宋体" w:hAnsi="Times New Roman"/>
          <w:color w:val="000000"/>
          <w:sz w:val="20"/>
          <w:szCs w:val="20"/>
        </w:rPr>
        <w:t>r in a period of demand uncertainties such as we are currently experiencing. There can be no assurance that we will not encounter these problems in the future. Although in many cases we use standard parts and components for our products, certain components</w:t>
      </w:r>
      <w:r>
        <w:rPr>
          <w:rFonts w:ascii="Times New Roman" w:eastAsia="宋体" w:hAnsi="Times New Roman"/>
          <w:color w:val="000000"/>
          <w:sz w:val="20"/>
          <w:szCs w:val="20"/>
        </w:rPr>
        <w:t xml:space="preserve"> are presently available only from a single source or limited sources, and a global economic downturn and related market uncertainty could negatively impact the availability of components from one or more of these sources, especially during times such as w</w:t>
      </w:r>
      <w:r>
        <w:rPr>
          <w:rFonts w:ascii="Times New Roman" w:eastAsia="宋体" w:hAnsi="Times New Roman"/>
          <w:color w:val="000000"/>
          <w:sz w:val="20"/>
          <w:szCs w:val="20"/>
        </w:rPr>
        <w:t>e have recently seen when there are supplier constraints based on labor and other actions taken during economic downturns. We may not be able to diversify sources in a timely manner, which could harm our ability to deliver products to customers and serious</w:t>
      </w:r>
      <w:r>
        <w:rPr>
          <w:rFonts w:ascii="Times New Roman" w:eastAsia="宋体" w:hAnsi="Times New Roman"/>
          <w:color w:val="000000"/>
          <w:sz w:val="20"/>
          <w:szCs w:val="20"/>
        </w:rPr>
        <w:t>ly impact present and future sales.</w:t>
      </w:r>
    </w:p>
    <w:p w14:paraId="518B4456" w14:textId="77777777" w:rsidR="005C332D" w:rsidRDefault="00B93EAE">
      <w:pPr>
        <w:spacing w:before="120"/>
        <w:jc w:val="both"/>
      </w:pPr>
      <w:r>
        <w:rPr>
          <w:rFonts w:ascii="Times New Roman" w:eastAsia="宋体" w:hAnsi="Times New Roman"/>
          <w:color w:val="000000"/>
          <w:sz w:val="20"/>
          <w:szCs w:val="20"/>
        </w:rPr>
        <w:t>We believe that we may be faced with the following challenges in the future: new markets in which we participate may grow quickly, which may make it difficult to quickly obtain significant component capacity; as we acqui</w:t>
      </w:r>
      <w:r>
        <w:rPr>
          <w:rFonts w:ascii="Times New Roman" w:eastAsia="宋体" w:hAnsi="Times New Roman"/>
          <w:color w:val="000000"/>
          <w:sz w:val="20"/>
          <w:szCs w:val="20"/>
        </w:rPr>
        <w:t>re companies and new technologies, we may be dependent on unfamiliar supply chains or relatively small supply partners; and we face competition for certain components that are supply-constrained, from existing competitors, and companies in other markets.</w:t>
      </w:r>
    </w:p>
    <w:p w14:paraId="518B4457" w14:textId="77777777" w:rsidR="005C332D" w:rsidRDefault="00B93EAE">
      <w:pPr>
        <w:spacing w:before="120"/>
        <w:jc w:val="both"/>
      </w:pPr>
      <w:r>
        <w:rPr>
          <w:rFonts w:ascii="Times New Roman" w:eastAsia="宋体" w:hAnsi="Times New Roman"/>
          <w:color w:val="000000"/>
          <w:sz w:val="20"/>
          <w:szCs w:val="20"/>
        </w:rPr>
        <w:t>Manufacturing capacity and component supply constraints could continue to be significant issues for us. We purchase components from a variety of suppliers and use several contract manufacturers to provide manufacturing services for our products. During the</w:t>
      </w:r>
      <w:r>
        <w:rPr>
          <w:rFonts w:ascii="Times New Roman" w:eastAsia="宋体" w:hAnsi="Times New Roman"/>
          <w:color w:val="000000"/>
          <w:sz w:val="20"/>
          <w:szCs w:val="20"/>
        </w:rPr>
        <w:t xml:space="preserve"> normal course of business, in order to improve manufacturing lead-time performance and to help ensure adequate component supply, we enter into agreements with contract manufacturers and suppliers that either allow them to procure inventory based upon crit</w:t>
      </w:r>
      <w:r>
        <w:rPr>
          <w:rFonts w:ascii="Times New Roman" w:eastAsia="宋体" w:hAnsi="Times New Roman"/>
          <w:color w:val="000000"/>
          <w:sz w:val="20"/>
          <w:szCs w:val="20"/>
        </w:rPr>
        <w:t>eria as defined by us or that establish the parameters defining our requirements. In certain instances, these agreements allow us the option to cancel, reschedule, and adjust our requirements based on our business needs prior to firm orders being placed. W</w:t>
      </w:r>
      <w:r>
        <w:rPr>
          <w:rFonts w:ascii="Times New Roman" w:eastAsia="宋体" w:hAnsi="Times New Roman"/>
          <w:color w:val="000000"/>
          <w:sz w:val="20"/>
          <w:szCs w:val="20"/>
        </w:rPr>
        <w:t>hen facing component supply-related challenges we have increased our efforts in procuring components in order to meet customer expectations, which in turn contributes to an increase in inventory and purchase commitments. In recent periods, we increased our</w:t>
      </w:r>
      <w:r>
        <w:rPr>
          <w:rFonts w:ascii="Times New Roman" w:eastAsia="宋体" w:hAnsi="Times New Roman"/>
          <w:color w:val="000000"/>
          <w:sz w:val="20"/>
          <w:szCs w:val="20"/>
        </w:rPr>
        <w:t xml:space="preserve"> inventory and purchase commitments in light of the significant supply constraints seen industry-wide due to component shortages, caused in part by the COVID-19 pandemic. These increases in our inventory and purchase commitments to shorten lead times could</w:t>
      </w:r>
      <w:r>
        <w:rPr>
          <w:rFonts w:ascii="Times New Roman" w:eastAsia="宋体" w:hAnsi="Times New Roman"/>
          <w:color w:val="000000"/>
          <w:sz w:val="20"/>
          <w:szCs w:val="20"/>
        </w:rPr>
        <w:t xml:space="preserve"> also lead to material excess and obsolete inventory charges in future periods if the demand for our products is less than our expectations. If we fail to anticipate customer demand properly, an oversupply of parts could result in excess or obsolete compon</w:t>
      </w:r>
      <w:r>
        <w:rPr>
          <w:rFonts w:ascii="Times New Roman" w:eastAsia="宋体" w:hAnsi="Times New Roman"/>
          <w:color w:val="000000"/>
          <w:sz w:val="20"/>
          <w:szCs w:val="20"/>
        </w:rPr>
        <w:t>ents that could adversely affect our gross margins. For additional information and a further discussion of current impacts and risks related to our significant supply constraints, inventory commitments and our purchase commitments with contract manufacture</w:t>
      </w:r>
      <w:r>
        <w:rPr>
          <w:rFonts w:ascii="Times New Roman" w:eastAsia="宋体" w:hAnsi="Times New Roman"/>
          <w:color w:val="000000"/>
          <w:sz w:val="20"/>
          <w:szCs w:val="20"/>
        </w:rPr>
        <w:t>rs and suppliers, see Results of Operations—Product Gross Margin—Supply Constraints Impacts and Risks, Liquidity and Capital Resources—Inventory Supply Chain and Note 14 to the Consolidated Financial Statements.</w:t>
      </w:r>
    </w:p>
    <w:p w14:paraId="518B4458" w14:textId="77777777" w:rsidR="005C332D" w:rsidRDefault="00B93EAE">
      <w:pPr>
        <w:spacing w:before="120"/>
        <w:jc w:val="both"/>
      </w:pPr>
      <w:r>
        <w:rPr>
          <w:rFonts w:ascii="Times New Roman" w:eastAsia="宋体" w:hAnsi="Times New Roman"/>
          <w:b/>
          <w:bCs/>
          <w:i/>
          <w:iCs/>
          <w:color w:val="000000"/>
          <w:sz w:val="20"/>
          <w:szCs w:val="20"/>
        </w:rPr>
        <w:t>We expect gross margin to vary over time, an</w:t>
      </w:r>
      <w:r>
        <w:rPr>
          <w:rFonts w:ascii="Times New Roman" w:eastAsia="宋体" w:hAnsi="Times New Roman"/>
          <w:b/>
          <w:bCs/>
          <w:i/>
          <w:iCs/>
          <w:color w:val="000000"/>
          <w:sz w:val="20"/>
          <w:szCs w:val="20"/>
        </w:rPr>
        <w:t>d our level of product gross margin may not be sustainable.</w:t>
      </w:r>
      <w:r>
        <w:rPr>
          <w:rFonts w:ascii="Times New Roman" w:eastAsia="宋体" w:hAnsi="Times New Roman"/>
          <w:b/>
          <w:bCs/>
          <w:color w:val="000000"/>
          <w:sz w:val="20"/>
          <w:szCs w:val="20"/>
        </w:rPr>
        <w:t xml:space="preserve"> </w:t>
      </w:r>
    </w:p>
    <w:p w14:paraId="518B4459" w14:textId="77777777" w:rsidR="005C332D" w:rsidRDefault="00B93EAE">
      <w:pPr>
        <w:spacing w:before="120"/>
        <w:jc w:val="both"/>
      </w:pPr>
      <w:r>
        <w:rPr>
          <w:rFonts w:ascii="Times New Roman" w:eastAsia="宋体" w:hAnsi="Times New Roman"/>
          <w:color w:val="000000"/>
          <w:sz w:val="20"/>
          <w:szCs w:val="20"/>
        </w:rPr>
        <w:t>Our level of product gross margins declined in fiscal 2022 and have declined in certain prior periods on a year-over-year basis, and could decline in future periods due to adverse impacts from va</w:t>
      </w:r>
      <w:r>
        <w:rPr>
          <w:rFonts w:ascii="Times New Roman" w:eastAsia="宋体" w:hAnsi="Times New Roman"/>
          <w:color w:val="000000"/>
          <w:sz w:val="20"/>
          <w:szCs w:val="20"/>
        </w:rPr>
        <w:t>rious factors, including:</w:t>
      </w:r>
    </w:p>
    <w:p w14:paraId="518B445A" w14:textId="77777777" w:rsidR="005C332D" w:rsidRDefault="00B93EAE">
      <w:pPr>
        <w:spacing w:before="120"/>
        <w:ind w:hanging="360"/>
        <w:jc w:val="both"/>
      </w:pPr>
      <w:r>
        <w:rPr>
          <w:rFonts w:ascii="Times New Roman" w:eastAsia="宋体" w:hAnsi="Times New Roman"/>
          <w:color w:val="000000"/>
          <w:sz w:val="20"/>
          <w:szCs w:val="20"/>
        </w:rPr>
        <w:t>•Changes in customer, geographic, or product mix, including mix of configurations within each product group</w:t>
      </w:r>
    </w:p>
    <w:p w14:paraId="518B445B" w14:textId="77777777" w:rsidR="005C332D" w:rsidRDefault="00B93EAE">
      <w:pPr>
        <w:spacing w:before="60"/>
        <w:ind w:hanging="360"/>
        <w:jc w:val="both"/>
      </w:pPr>
      <w:r>
        <w:rPr>
          <w:rFonts w:ascii="Times New Roman" w:eastAsia="宋体" w:hAnsi="Times New Roman"/>
          <w:color w:val="000000"/>
          <w:sz w:val="20"/>
          <w:szCs w:val="20"/>
        </w:rPr>
        <w:t>•Introduction of new products, including products with price-performance advantages, and new business models including the</w:t>
      </w:r>
      <w:r>
        <w:rPr>
          <w:rFonts w:ascii="Times New Roman" w:eastAsia="宋体" w:hAnsi="Times New Roman"/>
          <w:color w:val="000000"/>
          <w:sz w:val="20"/>
          <w:szCs w:val="20"/>
        </w:rPr>
        <w:t xml:space="preserve"> transformation of our business to deliver more software and subscription offerings</w:t>
      </w:r>
    </w:p>
    <w:p w14:paraId="518B445C" w14:textId="77777777" w:rsidR="005C332D" w:rsidRDefault="00B93EAE">
      <w:pPr>
        <w:jc w:val="center"/>
      </w:pPr>
      <w:r>
        <w:rPr>
          <w:rFonts w:ascii="Times New Roman" w:eastAsia="宋体" w:hAnsi="Times New Roman"/>
          <w:color w:val="000000"/>
          <w:sz w:val="20"/>
          <w:szCs w:val="20"/>
        </w:rPr>
        <w:t>17</w:t>
      </w:r>
    </w:p>
    <w:p w14:paraId="518B445D" w14:textId="77777777" w:rsidR="005C332D" w:rsidRDefault="00B93EAE">
      <w:r>
        <w:pict w14:anchorId="518B8724">
          <v:rect id="_x0000_i1043" style="width:415.3pt;height:1.5pt" o:hralign="center" o:hrstd="t" o:hr="t" fillcolor="#a0a0a0" stroked="f"/>
        </w:pict>
      </w:r>
    </w:p>
    <w:p w14:paraId="518B445E" w14:textId="77777777" w:rsidR="005C332D" w:rsidRDefault="00B93EAE">
      <w:hyperlink r:id="rId71" w:anchor="i049852cab38845aabd2a79d07dacda86_7" w:history="1">
        <w:r>
          <w:rPr>
            <w:rStyle w:val="a5"/>
            <w:rFonts w:ascii="Times New Roman" w:eastAsia="宋体" w:hAnsi="Times New Roman"/>
            <w:sz w:val="20"/>
            <w:szCs w:val="20"/>
          </w:rPr>
          <w:t>Table of Contents</w:t>
        </w:r>
      </w:hyperlink>
    </w:p>
    <w:p w14:paraId="518B445F" w14:textId="77777777" w:rsidR="005C332D" w:rsidRDefault="00B93EAE">
      <w:pPr>
        <w:spacing w:before="60"/>
        <w:ind w:hanging="360"/>
        <w:jc w:val="both"/>
      </w:pPr>
      <w:r>
        <w:rPr>
          <w:rFonts w:ascii="Times New Roman" w:eastAsia="宋体" w:hAnsi="Times New Roman"/>
          <w:color w:val="000000"/>
          <w:sz w:val="20"/>
          <w:szCs w:val="20"/>
        </w:rPr>
        <w:t>•Our ability to reduce production costs</w:t>
      </w:r>
    </w:p>
    <w:p w14:paraId="518B4460" w14:textId="77777777" w:rsidR="005C332D" w:rsidRDefault="00B93EAE">
      <w:pPr>
        <w:spacing w:before="60"/>
        <w:ind w:hanging="360"/>
        <w:jc w:val="both"/>
      </w:pPr>
      <w:r>
        <w:rPr>
          <w:rFonts w:ascii="Times New Roman" w:eastAsia="宋体" w:hAnsi="Times New Roman"/>
          <w:color w:val="000000"/>
          <w:sz w:val="20"/>
          <w:szCs w:val="20"/>
        </w:rPr>
        <w:t>•Entry into new markets or growth in lower margin markets, including markets with different pricing and cost structures, through acquisitions or internal development</w:t>
      </w:r>
    </w:p>
    <w:p w14:paraId="518B4461" w14:textId="77777777" w:rsidR="005C332D" w:rsidRDefault="00B93EAE">
      <w:pPr>
        <w:spacing w:before="60"/>
        <w:ind w:hanging="360"/>
        <w:jc w:val="both"/>
      </w:pPr>
      <w:r>
        <w:rPr>
          <w:rFonts w:ascii="Times New Roman" w:eastAsia="宋体" w:hAnsi="Times New Roman"/>
          <w:color w:val="000000"/>
          <w:sz w:val="20"/>
          <w:szCs w:val="20"/>
        </w:rPr>
        <w:t>•Sales discounts</w:t>
      </w:r>
    </w:p>
    <w:p w14:paraId="518B4462" w14:textId="77777777" w:rsidR="005C332D" w:rsidRDefault="00B93EAE">
      <w:pPr>
        <w:spacing w:before="60"/>
        <w:ind w:hanging="360"/>
        <w:jc w:val="both"/>
      </w:pPr>
      <w:r>
        <w:rPr>
          <w:rFonts w:ascii="Times New Roman" w:eastAsia="宋体" w:hAnsi="Times New Roman"/>
          <w:color w:val="000000"/>
          <w:sz w:val="20"/>
          <w:szCs w:val="20"/>
        </w:rPr>
        <w:t xml:space="preserve">•Increases in material, labor or </w:t>
      </w:r>
      <w:r>
        <w:rPr>
          <w:rFonts w:ascii="Times New Roman" w:eastAsia="宋体" w:hAnsi="Times New Roman"/>
          <w:color w:val="000000"/>
          <w:sz w:val="20"/>
          <w:szCs w:val="20"/>
        </w:rPr>
        <w:t>other manufacturing-related costs (i.e. component costs, broker fees, expedited freight and overtime) or higher supply chain logistics costs, any of which could be significant, especially during periods of supply constraints for certain costs, such as thos</w:t>
      </w:r>
      <w:r>
        <w:rPr>
          <w:rFonts w:ascii="Times New Roman" w:eastAsia="宋体" w:hAnsi="Times New Roman"/>
          <w:color w:val="000000"/>
          <w:sz w:val="20"/>
          <w:szCs w:val="20"/>
        </w:rPr>
        <w:t>e currently impacting the market for components, including semiconductors and memory, and which costs have in the past and may continue to be exacerbated by inflation</w:t>
      </w:r>
    </w:p>
    <w:p w14:paraId="518B4463" w14:textId="77777777" w:rsidR="005C332D" w:rsidRDefault="00B93EAE">
      <w:pPr>
        <w:spacing w:before="60"/>
        <w:ind w:hanging="360"/>
        <w:jc w:val="both"/>
      </w:pPr>
      <w:r>
        <w:rPr>
          <w:rFonts w:ascii="Times New Roman" w:eastAsia="宋体" w:hAnsi="Times New Roman"/>
          <w:color w:val="000000"/>
          <w:sz w:val="20"/>
          <w:szCs w:val="20"/>
        </w:rPr>
        <w:t>•Excess inventory, inventory holding charges, and obsolescence charges</w:t>
      </w:r>
    </w:p>
    <w:p w14:paraId="518B4464" w14:textId="77777777" w:rsidR="005C332D" w:rsidRDefault="00B93EAE">
      <w:pPr>
        <w:spacing w:before="60"/>
        <w:ind w:hanging="360"/>
        <w:jc w:val="both"/>
      </w:pPr>
      <w:r>
        <w:rPr>
          <w:rFonts w:ascii="Times New Roman" w:eastAsia="宋体" w:hAnsi="Times New Roman"/>
          <w:color w:val="000000"/>
          <w:sz w:val="20"/>
          <w:szCs w:val="20"/>
        </w:rPr>
        <w:t>•Changes in shipme</w:t>
      </w:r>
      <w:r>
        <w:rPr>
          <w:rFonts w:ascii="Times New Roman" w:eastAsia="宋体" w:hAnsi="Times New Roman"/>
          <w:color w:val="000000"/>
          <w:sz w:val="20"/>
          <w:szCs w:val="20"/>
        </w:rPr>
        <w:t>nt volume</w:t>
      </w:r>
    </w:p>
    <w:p w14:paraId="518B4465" w14:textId="77777777" w:rsidR="005C332D" w:rsidRDefault="00B93EAE">
      <w:pPr>
        <w:spacing w:before="60"/>
        <w:ind w:hanging="360"/>
        <w:jc w:val="both"/>
      </w:pPr>
      <w:r>
        <w:rPr>
          <w:rFonts w:ascii="Times New Roman" w:eastAsia="宋体" w:hAnsi="Times New Roman"/>
          <w:color w:val="000000"/>
          <w:sz w:val="20"/>
          <w:szCs w:val="20"/>
        </w:rPr>
        <w:t>•The timing of revenue recognition and revenue deferrals</w:t>
      </w:r>
    </w:p>
    <w:p w14:paraId="518B4466" w14:textId="77777777" w:rsidR="005C332D" w:rsidRDefault="00B93EAE">
      <w:pPr>
        <w:spacing w:before="60"/>
        <w:ind w:hanging="360"/>
        <w:jc w:val="both"/>
      </w:pPr>
      <w:r>
        <w:rPr>
          <w:rFonts w:ascii="Times New Roman" w:eastAsia="宋体" w:hAnsi="Times New Roman"/>
          <w:color w:val="000000"/>
          <w:sz w:val="20"/>
          <w:szCs w:val="20"/>
        </w:rPr>
        <w:t xml:space="preserve">•Increased costs (including those caused by tariffs or economic conditions, including inflation), loss of cost savings or dilution of savings due to changes in component pricing or charges </w:t>
      </w:r>
      <w:r>
        <w:rPr>
          <w:rFonts w:ascii="Times New Roman" w:eastAsia="宋体" w:hAnsi="Times New Roman"/>
          <w:color w:val="000000"/>
          <w:sz w:val="20"/>
          <w:szCs w:val="20"/>
        </w:rPr>
        <w:t>incurred due to inventory holding periods if parts ordering does not correctly anticipate product demand or if the financial health of either contract manufacturers or suppliers deteriorates</w:t>
      </w:r>
    </w:p>
    <w:p w14:paraId="518B4467" w14:textId="77777777" w:rsidR="005C332D" w:rsidRDefault="00B93EAE">
      <w:pPr>
        <w:spacing w:before="60"/>
        <w:ind w:hanging="360"/>
        <w:jc w:val="both"/>
      </w:pPr>
      <w:r>
        <w:rPr>
          <w:rFonts w:ascii="Times New Roman" w:eastAsia="宋体" w:hAnsi="Times New Roman"/>
          <w:color w:val="000000"/>
          <w:sz w:val="20"/>
          <w:szCs w:val="20"/>
        </w:rPr>
        <w:t>•Lower than expected benefits from value engineering</w:t>
      </w:r>
    </w:p>
    <w:p w14:paraId="518B4468" w14:textId="77777777" w:rsidR="005C332D" w:rsidRDefault="00B93EAE">
      <w:pPr>
        <w:spacing w:before="60"/>
        <w:ind w:hanging="360"/>
        <w:jc w:val="both"/>
      </w:pPr>
      <w:r>
        <w:rPr>
          <w:rFonts w:ascii="Times New Roman" w:eastAsia="宋体" w:hAnsi="Times New Roman"/>
          <w:color w:val="000000"/>
          <w:sz w:val="20"/>
          <w:szCs w:val="20"/>
        </w:rPr>
        <w:t>•Increased p</w:t>
      </w:r>
      <w:r>
        <w:rPr>
          <w:rFonts w:ascii="Times New Roman" w:eastAsia="宋体" w:hAnsi="Times New Roman"/>
          <w:color w:val="000000"/>
          <w:sz w:val="20"/>
          <w:szCs w:val="20"/>
        </w:rPr>
        <w:t>rice competition, including competitors from Asia, especially from China</w:t>
      </w:r>
    </w:p>
    <w:p w14:paraId="518B4469" w14:textId="77777777" w:rsidR="005C332D" w:rsidRDefault="00B93EAE">
      <w:pPr>
        <w:spacing w:before="60"/>
        <w:ind w:hanging="360"/>
        <w:jc w:val="both"/>
      </w:pPr>
      <w:r>
        <w:rPr>
          <w:rFonts w:ascii="Times New Roman" w:eastAsia="宋体" w:hAnsi="Times New Roman"/>
          <w:color w:val="000000"/>
          <w:sz w:val="20"/>
          <w:szCs w:val="20"/>
        </w:rPr>
        <w:t>•Changes in distribution channels</w:t>
      </w:r>
    </w:p>
    <w:p w14:paraId="518B446A" w14:textId="77777777" w:rsidR="005C332D" w:rsidRDefault="00B93EAE">
      <w:pPr>
        <w:spacing w:before="60"/>
        <w:ind w:hanging="360"/>
        <w:jc w:val="both"/>
      </w:pPr>
      <w:r>
        <w:rPr>
          <w:rFonts w:ascii="Times New Roman" w:eastAsia="宋体" w:hAnsi="Times New Roman"/>
          <w:color w:val="000000"/>
          <w:sz w:val="20"/>
          <w:szCs w:val="20"/>
        </w:rPr>
        <w:t>•Increased warranty or royalty costs</w:t>
      </w:r>
    </w:p>
    <w:p w14:paraId="518B446B" w14:textId="77777777" w:rsidR="005C332D" w:rsidRDefault="00B93EAE">
      <w:pPr>
        <w:spacing w:before="60"/>
        <w:ind w:hanging="360"/>
        <w:jc w:val="both"/>
      </w:pPr>
      <w:r>
        <w:rPr>
          <w:rFonts w:ascii="Times New Roman" w:eastAsia="宋体" w:hAnsi="Times New Roman"/>
          <w:color w:val="000000"/>
          <w:sz w:val="20"/>
          <w:szCs w:val="20"/>
        </w:rPr>
        <w:t>•Increased amortization of purchased intangible assets, especially from acquisitions</w:t>
      </w:r>
    </w:p>
    <w:p w14:paraId="518B446C" w14:textId="77777777" w:rsidR="005C332D" w:rsidRDefault="00B93EAE">
      <w:pPr>
        <w:spacing w:before="60"/>
        <w:ind w:hanging="360"/>
        <w:jc w:val="both"/>
      </w:pPr>
      <w:r>
        <w:rPr>
          <w:rFonts w:ascii="Times New Roman" w:eastAsia="宋体" w:hAnsi="Times New Roman"/>
          <w:color w:val="000000"/>
          <w:sz w:val="20"/>
          <w:szCs w:val="20"/>
        </w:rPr>
        <w:t xml:space="preserve">•How well we execute on </w:t>
      </w:r>
      <w:r>
        <w:rPr>
          <w:rFonts w:ascii="Times New Roman" w:eastAsia="宋体" w:hAnsi="Times New Roman"/>
          <w:color w:val="000000"/>
          <w:sz w:val="20"/>
          <w:szCs w:val="20"/>
        </w:rPr>
        <w:t>our strategy and operating plans</w:t>
      </w:r>
    </w:p>
    <w:p w14:paraId="518B446D" w14:textId="77777777" w:rsidR="005C332D" w:rsidRDefault="00B93EAE">
      <w:pPr>
        <w:spacing w:before="120"/>
        <w:jc w:val="both"/>
      </w:pPr>
      <w:r>
        <w:rPr>
          <w:rFonts w:ascii="Times New Roman" w:eastAsia="宋体" w:hAnsi="Times New Roman"/>
          <w:color w:val="000000"/>
          <w:sz w:val="20"/>
          <w:szCs w:val="20"/>
        </w:rPr>
        <w:t>Changes in service gross margin may result from various factors such as changes in the mix between technical support services and advanced services, as well as the timing of technical support service contract initiations an</w:t>
      </w:r>
      <w:r>
        <w:rPr>
          <w:rFonts w:ascii="Times New Roman" w:eastAsia="宋体" w:hAnsi="Times New Roman"/>
          <w:color w:val="000000"/>
          <w:sz w:val="20"/>
          <w:szCs w:val="20"/>
        </w:rPr>
        <w:t xml:space="preserve">d renewals and the addition of personnel and other resources to support higher levels of service business in future periods. </w:t>
      </w:r>
    </w:p>
    <w:p w14:paraId="518B446E" w14:textId="77777777" w:rsidR="005C332D" w:rsidRDefault="00B93EAE">
      <w:pPr>
        <w:spacing w:before="120"/>
        <w:jc w:val="both"/>
      </w:pPr>
      <w:r>
        <w:rPr>
          <w:rFonts w:ascii="Times New Roman" w:eastAsia="宋体" w:hAnsi="Times New Roman"/>
          <w:b/>
          <w:bCs/>
          <w:i/>
          <w:iCs/>
          <w:color w:val="000000"/>
          <w:sz w:val="20"/>
          <w:szCs w:val="20"/>
        </w:rPr>
        <w:t>Sales to the service provider market are especially volatile, and weakness in orders from this industry may harm our operating res</w:t>
      </w:r>
      <w:r>
        <w:rPr>
          <w:rFonts w:ascii="Times New Roman" w:eastAsia="宋体" w:hAnsi="Times New Roman"/>
          <w:b/>
          <w:bCs/>
          <w:i/>
          <w:iCs/>
          <w:color w:val="000000"/>
          <w:sz w:val="20"/>
          <w:szCs w:val="20"/>
        </w:rPr>
        <w:t>ults and financial condition.</w:t>
      </w:r>
      <w:r>
        <w:rPr>
          <w:rFonts w:ascii="Times New Roman" w:eastAsia="宋体" w:hAnsi="Times New Roman"/>
          <w:b/>
          <w:bCs/>
          <w:color w:val="000000"/>
          <w:sz w:val="20"/>
          <w:szCs w:val="20"/>
        </w:rPr>
        <w:t xml:space="preserve"> </w:t>
      </w:r>
    </w:p>
    <w:p w14:paraId="518B446F" w14:textId="77777777" w:rsidR="005C332D" w:rsidRDefault="00B93EAE">
      <w:pPr>
        <w:spacing w:before="120"/>
        <w:jc w:val="both"/>
      </w:pPr>
      <w:r>
        <w:rPr>
          <w:rFonts w:ascii="Times New Roman" w:eastAsia="宋体" w:hAnsi="Times New Roman"/>
          <w:color w:val="000000"/>
          <w:sz w:val="20"/>
          <w:szCs w:val="20"/>
        </w:rPr>
        <w:t>Sales to the service provider market have been characterized by large and sporadic purchases, especially relating to our router sales and sales of certain other Secure, Agile Networks and Collaboration products, in addition t</w:t>
      </w:r>
      <w:r>
        <w:rPr>
          <w:rFonts w:ascii="Times New Roman" w:eastAsia="宋体" w:hAnsi="Times New Roman"/>
          <w:color w:val="000000"/>
          <w:sz w:val="20"/>
          <w:szCs w:val="20"/>
        </w:rPr>
        <w:t>o longer sales cycles. Service provider product orders decreased during the fourth quarter of fiscal 2022 and in certain prior periods, and at various times in the past, including in recent quarters, we have experienced significant weakness in product orde</w:t>
      </w:r>
      <w:r>
        <w:rPr>
          <w:rFonts w:ascii="Times New Roman" w:eastAsia="宋体" w:hAnsi="Times New Roman"/>
          <w:color w:val="000000"/>
          <w:sz w:val="20"/>
          <w:szCs w:val="20"/>
        </w:rPr>
        <w:t>rs from service providers. Product orders from the service provider market could continue to decline and, as has been the case in the past, such weakness could persist over extended periods of time given fluctuating market conditions. Sales activity in thi</w:t>
      </w:r>
      <w:r>
        <w:rPr>
          <w:rFonts w:ascii="Times New Roman" w:eastAsia="宋体" w:hAnsi="Times New Roman"/>
          <w:color w:val="000000"/>
          <w:sz w:val="20"/>
          <w:szCs w:val="20"/>
        </w:rPr>
        <w:t>s industry depends upon the stage of completion of expanding network infrastructures; the availability of funding; and the extent to which service providers are affected by regulatory, economic, and business conditions in the country of operations. Weaknes</w:t>
      </w:r>
      <w:r>
        <w:rPr>
          <w:rFonts w:ascii="Times New Roman" w:eastAsia="宋体" w:hAnsi="Times New Roman"/>
          <w:color w:val="000000"/>
          <w:sz w:val="20"/>
          <w:szCs w:val="20"/>
        </w:rPr>
        <w:t>s in orders from this industry, including as a result of any slowdown in capital expenditures by service providers (which may be more prevalent during a global economic downturn, or periods of economic, political or regulatory uncertainty), could have a ma</w:t>
      </w:r>
      <w:r>
        <w:rPr>
          <w:rFonts w:ascii="Times New Roman" w:eastAsia="宋体" w:hAnsi="Times New Roman"/>
          <w:color w:val="000000"/>
          <w:sz w:val="20"/>
          <w:szCs w:val="20"/>
        </w:rPr>
        <w:t xml:space="preserve">terial adverse effect on our business, operating results, and financial condition. Such slowdowns may continue or recur in future periods. Orders from this industry could decline for many reasons other than the competitiveness of our products and services </w:t>
      </w:r>
      <w:r>
        <w:rPr>
          <w:rFonts w:ascii="Times New Roman" w:eastAsia="宋体" w:hAnsi="Times New Roman"/>
          <w:color w:val="000000"/>
          <w:sz w:val="20"/>
          <w:szCs w:val="20"/>
        </w:rPr>
        <w:t>within their respective markets. For example, in the past, many of our service provider customers have been materially and adversely affected by slowdowns in the general economy, by overcapacity, by changes in the service provider market, by regulatory dev</w:t>
      </w:r>
      <w:r>
        <w:rPr>
          <w:rFonts w:ascii="Times New Roman" w:eastAsia="宋体" w:hAnsi="Times New Roman"/>
          <w:color w:val="000000"/>
          <w:sz w:val="20"/>
          <w:szCs w:val="20"/>
        </w:rPr>
        <w:t>elopments, and by constraints on capital availability, resulting in business failures and substantial reductions in spending and expansion plans. These conditions have materially harmed our business and operating results in the past, and could affect our b</w:t>
      </w:r>
      <w:r>
        <w:rPr>
          <w:rFonts w:ascii="Times New Roman" w:eastAsia="宋体" w:hAnsi="Times New Roman"/>
          <w:color w:val="000000"/>
          <w:sz w:val="20"/>
          <w:szCs w:val="20"/>
        </w:rPr>
        <w:t xml:space="preserve">usiness and operating results in any future period. Finally, service provider customers typically have longer implementation cycles; require a broader range of services, including design services; demand that vendors take on a larger share of risks; often </w:t>
      </w:r>
      <w:r>
        <w:rPr>
          <w:rFonts w:ascii="Times New Roman" w:eastAsia="宋体" w:hAnsi="Times New Roman"/>
          <w:color w:val="000000"/>
          <w:sz w:val="20"/>
          <w:szCs w:val="20"/>
        </w:rPr>
        <w:t>require acceptance provisions, which can lead to a delay in revenue recognition; and expect financing from vendors. All these factors can add further risk to business conducted with service providers.</w:t>
      </w:r>
    </w:p>
    <w:p w14:paraId="518B4470" w14:textId="77777777" w:rsidR="005C332D" w:rsidRDefault="00B93EAE">
      <w:pPr>
        <w:spacing w:before="120"/>
        <w:jc w:val="both"/>
      </w:pPr>
      <w:r>
        <w:rPr>
          <w:rFonts w:ascii="Times New Roman" w:eastAsia="宋体" w:hAnsi="Times New Roman"/>
          <w:b/>
          <w:bCs/>
          <w:i/>
          <w:iCs/>
          <w:color w:val="000000"/>
          <w:sz w:val="20"/>
          <w:szCs w:val="20"/>
        </w:rPr>
        <w:t xml:space="preserve">Disruption of or changes in our </w:t>
      </w:r>
      <w:r>
        <w:rPr>
          <w:rFonts w:ascii="Times New Roman" w:eastAsia="宋体" w:hAnsi="Times New Roman"/>
          <w:b/>
          <w:bCs/>
          <w:i/>
          <w:iCs/>
          <w:color w:val="000000"/>
          <w:sz w:val="20"/>
          <w:szCs w:val="20"/>
        </w:rPr>
        <w:t>distribution model could harm our sales and margins.</w:t>
      </w:r>
    </w:p>
    <w:p w14:paraId="518B4471" w14:textId="77777777" w:rsidR="005C332D" w:rsidRDefault="00B93EAE">
      <w:pPr>
        <w:spacing w:before="120"/>
        <w:jc w:val="both"/>
      </w:pPr>
      <w:r>
        <w:rPr>
          <w:rFonts w:ascii="Times New Roman" w:eastAsia="宋体" w:hAnsi="Times New Roman"/>
          <w:color w:val="000000"/>
          <w:sz w:val="20"/>
          <w:szCs w:val="20"/>
        </w:rPr>
        <w:t>If we fail to manage distribution of our products and services properly, or if our distributors’ financial condition or operations weaken, our revenue and gross margins could be adversely affected. A sub</w:t>
      </w:r>
      <w:r>
        <w:rPr>
          <w:rFonts w:ascii="Times New Roman" w:eastAsia="宋体" w:hAnsi="Times New Roman"/>
          <w:color w:val="000000"/>
          <w:sz w:val="20"/>
          <w:szCs w:val="20"/>
        </w:rPr>
        <w:t xml:space="preserve">stantial portion of our products and services is sold through our channel partners, and the remainder is sold through direct sales. Our channel partners include systems integrators, service providers, other resellers, and distributors. Systems integrators </w:t>
      </w:r>
      <w:r>
        <w:rPr>
          <w:rFonts w:ascii="Times New Roman" w:eastAsia="宋体" w:hAnsi="Times New Roman"/>
          <w:color w:val="000000"/>
          <w:sz w:val="20"/>
          <w:szCs w:val="20"/>
        </w:rPr>
        <w:t xml:space="preserve">and service providers typically sell directly to end users and often provide system installation, technical support, professional services, and other support services in addition to network </w:t>
      </w:r>
    </w:p>
    <w:p w14:paraId="518B4472" w14:textId="77777777" w:rsidR="005C332D" w:rsidRDefault="00B93EAE">
      <w:pPr>
        <w:jc w:val="center"/>
      </w:pPr>
      <w:r>
        <w:rPr>
          <w:rFonts w:ascii="Times New Roman" w:eastAsia="宋体" w:hAnsi="Times New Roman"/>
          <w:color w:val="000000"/>
          <w:sz w:val="20"/>
          <w:szCs w:val="20"/>
        </w:rPr>
        <w:t>18</w:t>
      </w:r>
    </w:p>
    <w:p w14:paraId="518B4473" w14:textId="77777777" w:rsidR="005C332D" w:rsidRDefault="00B93EAE">
      <w:r>
        <w:pict w14:anchorId="518B8725">
          <v:rect id="_x0000_i1044" style="width:415.3pt;height:1.5pt" o:hralign="center" o:hrstd="t" o:hr="t" fillcolor="#a0a0a0" stroked="f"/>
        </w:pict>
      </w:r>
    </w:p>
    <w:p w14:paraId="518B4474" w14:textId="77777777" w:rsidR="005C332D" w:rsidRDefault="00B93EAE">
      <w:hyperlink r:id="rId72" w:anchor="i049852cab38845aabd2a79d07dacda86_7" w:history="1">
        <w:r>
          <w:rPr>
            <w:rStyle w:val="a5"/>
            <w:rFonts w:ascii="Times New Roman" w:eastAsia="宋体" w:hAnsi="Times New Roman"/>
            <w:sz w:val="20"/>
            <w:szCs w:val="20"/>
          </w:rPr>
          <w:t>Table of Contents</w:t>
        </w:r>
      </w:hyperlink>
    </w:p>
    <w:p w14:paraId="518B4475" w14:textId="77777777" w:rsidR="005C332D" w:rsidRDefault="00B93EAE">
      <w:pPr>
        <w:spacing w:before="120"/>
        <w:jc w:val="both"/>
      </w:pPr>
      <w:r>
        <w:rPr>
          <w:rFonts w:ascii="Times New Roman" w:eastAsia="宋体" w:hAnsi="Times New Roman"/>
          <w:color w:val="000000"/>
          <w:sz w:val="20"/>
          <w:szCs w:val="20"/>
        </w:rPr>
        <w:t>equipment sales. Systems integrators also typically integrate our products into an overall solution, and a number of service providers are also syste</w:t>
      </w:r>
      <w:r>
        <w:rPr>
          <w:rFonts w:ascii="Times New Roman" w:eastAsia="宋体" w:hAnsi="Times New Roman"/>
          <w:color w:val="000000"/>
          <w:sz w:val="20"/>
          <w:szCs w:val="20"/>
        </w:rPr>
        <w:t>ms integrators. Distributors stock inventory and typically sell to systems integrators, service providers, and other resellers. We refer to sales through distributors as our two-tier system of sales to the end customer. If sales through indirect channels i</w:t>
      </w:r>
      <w:r>
        <w:rPr>
          <w:rFonts w:ascii="Times New Roman" w:eastAsia="宋体" w:hAnsi="Times New Roman"/>
          <w:color w:val="000000"/>
          <w:sz w:val="20"/>
          <w:szCs w:val="20"/>
        </w:rPr>
        <w:t xml:space="preserve">ncrease, this may lead to greater difficulty in forecasting the mix of our products and, to a degree, the timing of orders from our customers. </w:t>
      </w:r>
    </w:p>
    <w:p w14:paraId="518B4476" w14:textId="77777777" w:rsidR="005C332D" w:rsidRDefault="00B93EAE">
      <w:pPr>
        <w:spacing w:before="120"/>
        <w:jc w:val="both"/>
      </w:pPr>
      <w:r>
        <w:rPr>
          <w:rFonts w:ascii="Times New Roman" w:eastAsia="宋体" w:hAnsi="Times New Roman"/>
          <w:color w:val="000000"/>
          <w:sz w:val="20"/>
          <w:szCs w:val="20"/>
        </w:rPr>
        <w:t>Historically, we have seen fluctuations in our gross margins based on changes in the balance of our distribution</w:t>
      </w:r>
      <w:r>
        <w:rPr>
          <w:rFonts w:ascii="Times New Roman" w:eastAsia="宋体" w:hAnsi="Times New Roman"/>
          <w:color w:val="000000"/>
          <w:sz w:val="20"/>
          <w:szCs w:val="20"/>
        </w:rPr>
        <w:t xml:space="preserve"> channels. There can be no assurance that changes in the balance of our distribution model in future periods would not have an adverse effect on our gross margins and profitability. Some factors could result in disruption of or changes in our distribution </w:t>
      </w:r>
      <w:r>
        <w:rPr>
          <w:rFonts w:ascii="Times New Roman" w:eastAsia="宋体" w:hAnsi="Times New Roman"/>
          <w:color w:val="000000"/>
          <w:sz w:val="20"/>
          <w:szCs w:val="20"/>
        </w:rPr>
        <w:t>model, which could harm our sales and margins, including the following: competition with some of our channel partners, including through our direct sales, which may lead these channel partners to use other suppliers that do not directly sell their own prod</w:t>
      </w:r>
      <w:r>
        <w:rPr>
          <w:rFonts w:ascii="Times New Roman" w:eastAsia="宋体" w:hAnsi="Times New Roman"/>
          <w:color w:val="000000"/>
          <w:sz w:val="20"/>
          <w:szCs w:val="20"/>
        </w:rPr>
        <w:t>ucts or otherwise compete with them; some of our channel partners may demand that we absorb a greater share of the risks that their customers may ask them to bear; some of our channel partners may have insufficient financial resources and may not be able t</w:t>
      </w:r>
      <w:r>
        <w:rPr>
          <w:rFonts w:ascii="Times New Roman" w:eastAsia="宋体" w:hAnsi="Times New Roman"/>
          <w:color w:val="000000"/>
          <w:sz w:val="20"/>
          <w:szCs w:val="20"/>
        </w:rPr>
        <w:t>o withstand changes and challenges in business conditions; and revenue from indirect sales could suffer if our distributors’ financial condition or operations weaken. In addition, we depend on our channel partners globally to comply with applicable regulat</w:t>
      </w:r>
      <w:r>
        <w:rPr>
          <w:rFonts w:ascii="Times New Roman" w:eastAsia="宋体" w:hAnsi="Times New Roman"/>
          <w:color w:val="000000"/>
          <w:sz w:val="20"/>
          <w:szCs w:val="20"/>
        </w:rPr>
        <w:t>ory requirements. To the extent that they fail to do so, that could have a material adverse effect on our business, operating results, and financial condition. Further, sales of our products outside of agreed territories can result in disruption to our dis</w:t>
      </w:r>
      <w:r>
        <w:rPr>
          <w:rFonts w:ascii="Times New Roman" w:eastAsia="宋体" w:hAnsi="Times New Roman"/>
          <w:color w:val="000000"/>
          <w:sz w:val="20"/>
          <w:szCs w:val="20"/>
        </w:rPr>
        <w:t>tribution channels.</w:t>
      </w:r>
    </w:p>
    <w:p w14:paraId="518B4477" w14:textId="77777777" w:rsidR="005C332D" w:rsidRDefault="00B93EAE">
      <w:pPr>
        <w:spacing w:before="120"/>
        <w:jc w:val="both"/>
      </w:pPr>
      <w:r>
        <w:rPr>
          <w:rFonts w:ascii="Times New Roman" w:eastAsia="宋体" w:hAnsi="Times New Roman"/>
          <w:b/>
          <w:bCs/>
          <w:i/>
          <w:iCs/>
          <w:color w:val="000000"/>
          <w:sz w:val="20"/>
          <w:szCs w:val="20"/>
        </w:rPr>
        <w:t>The markets in which we compete are intensely competitive, which could adversely affect our achievement of revenue growth.</w:t>
      </w:r>
    </w:p>
    <w:p w14:paraId="518B4478" w14:textId="77777777" w:rsidR="005C332D" w:rsidRDefault="00B93EAE">
      <w:pPr>
        <w:spacing w:before="120"/>
        <w:jc w:val="both"/>
      </w:pPr>
      <w:r>
        <w:rPr>
          <w:rFonts w:ascii="Times New Roman" w:eastAsia="宋体" w:hAnsi="Times New Roman"/>
          <w:color w:val="000000"/>
          <w:sz w:val="20"/>
          <w:szCs w:val="20"/>
        </w:rPr>
        <w:t>The markets in which we compete are characterized by rapid change, converging technologies, and a migration to ne</w:t>
      </w:r>
      <w:r>
        <w:rPr>
          <w:rFonts w:ascii="Times New Roman" w:eastAsia="宋体" w:hAnsi="Times New Roman"/>
          <w:color w:val="000000"/>
          <w:sz w:val="20"/>
          <w:szCs w:val="20"/>
        </w:rPr>
        <w:t>tworking and communications solutions that offer relative advantages. These market factors represent a competitive threat to us. We compete with numerous vendors in each product category. The overall number of our competitors providing niche product soluti</w:t>
      </w:r>
      <w:r>
        <w:rPr>
          <w:rFonts w:ascii="Times New Roman" w:eastAsia="宋体" w:hAnsi="Times New Roman"/>
          <w:color w:val="000000"/>
          <w:sz w:val="20"/>
          <w:szCs w:val="20"/>
        </w:rPr>
        <w:t>ons may increase. Also, the identity and composition of competitors may change as we increase our activity in newer product areas, and in key priority and growth areas. For example, as products related to network programmability, such as software defined n</w:t>
      </w:r>
      <w:r>
        <w:rPr>
          <w:rFonts w:ascii="Times New Roman" w:eastAsia="宋体" w:hAnsi="Times New Roman"/>
          <w:color w:val="000000"/>
          <w:sz w:val="20"/>
          <w:szCs w:val="20"/>
        </w:rPr>
        <w:t>etworking (SDN) products, become more prevalent, we expect to face increased competition from companies that develop networking products based on commoditized hardware, referred to as “white box” hardware, to the extent customers decide to purchase those p</w:t>
      </w:r>
      <w:r>
        <w:rPr>
          <w:rFonts w:ascii="Times New Roman" w:eastAsia="宋体" w:hAnsi="Times New Roman"/>
          <w:color w:val="000000"/>
          <w:sz w:val="20"/>
          <w:szCs w:val="20"/>
        </w:rPr>
        <w:t>roduct offerings instead of ours. In addition, the growth in demand for technology delivered as a service enables new competitors to enter the market. As we continue to expand globally, we may see new competition in different geographic regions. In particu</w:t>
      </w:r>
      <w:r>
        <w:rPr>
          <w:rFonts w:ascii="Times New Roman" w:eastAsia="宋体" w:hAnsi="Times New Roman"/>
          <w:color w:val="000000"/>
          <w:sz w:val="20"/>
          <w:szCs w:val="20"/>
        </w:rPr>
        <w:t xml:space="preserve">lar, we have experienced price-focused competition from competitors in Asia, especially from China, and we anticipate this will continue. For information regarding our competitors, see the section entitled “Competition” contained in </w:t>
      </w:r>
      <w:r>
        <w:rPr>
          <w:rFonts w:ascii="Times New Roman" w:eastAsia="宋体" w:hAnsi="Times New Roman"/>
          <w:i/>
          <w:iCs/>
          <w:color w:val="000000"/>
          <w:sz w:val="20"/>
          <w:szCs w:val="20"/>
        </w:rPr>
        <w:t>Item 1. Business</w:t>
      </w:r>
      <w:r>
        <w:rPr>
          <w:rFonts w:ascii="Times New Roman" w:eastAsia="宋体" w:hAnsi="Times New Roman"/>
          <w:color w:val="000000"/>
          <w:sz w:val="20"/>
          <w:szCs w:val="20"/>
        </w:rPr>
        <w:t xml:space="preserve"> of this report.</w:t>
      </w:r>
    </w:p>
    <w:p w14:paraId="518B4479" w14:textId="77777777" w:rsidR="005C332D" w:rsidRDefault="00B93EAE">
      <w:pPr>
        <w:spacing w:before="120"/>
        <w:jc w:val="both"/>
      </w:pPr>
      <w:r>
        <w:rPr>
          <w:rFonts w:ascii="Times New Roman" w:eastAsia="宋体" w:hAnsi="Times New Roman"/>
          <w:color w:val="000000"/>
          <w:sz w:val="20"/>
          <w:szCs w:val="20"/>
        </w:rPr>
        <w:t>Some of our competitors compete across many of our product lines, while others are primarily focused in a specific product area. Barriers to entry are relatively low, and new ventures to create products that do or could compete with our pr</w:t>
      </w:r>
      <w:r>
        <w:rPr>
          <w:rFonts w:ascii="Times New Roman" w:eastAsia="宋体" w:hAnsi="Times New Roman"/>
          <w:color w:val="000000"/>
          <w:sz w:val="20"/>
          <w:szCs w:val="20"/>
        </w:rPr>
        <w:t>oducts are regularly formed. In addition, some of our competitors may have greater resources, including technical and engineering resources, than we do. As we expand into new markets, we will face competition not only from our existing competitors but also</w:t>
      </w:r>
      <w:r>
        <w:rPr>
          <w:rFonts w:ascii="Times New Roman" w:eastAsia="宋体" w:hAnsi="Times New Roman"/>
          <w:color w:val="000000"/>
          <w:sz w:val="20"/>
          <w:szCs w:val="20"/>
        </w:rPr>
        <w:t xml:space="preserve"> from other competitors, including existing companies with strong technological, marketing, and sales positions in those markets. We also sometimes face competition from resellers and distributors of our products. Companies with which we have strategic all</w:t>
      </w:r>
      <w:r>
        <w:rPr>
          <w:rFonts w:ascii="Times New Roman" w:eastAsia="宋体" w:hAnsi="Times New Roman"/>
          <w:color w:val="000000"/>
          <w:sz w:val="20"/>
          <w:szCs w:val="20"/>
        </w:rPr>
        <w:t xml:space="preserve">iances in some areas may be competitors in other areas, and this trend may increase. For example, the enterprise data center is undergoing a fundamental transformation arising from the convergence of technologies, including computing, networking, storage, </w:t>
      </w:r>
      <w:r>
        <w:rPr>
          <w:rFonts w:ascii="Times New Roman" w:eastAsia="宋体" w:hAnsi="Times New Roman"/>
          <w:color w:val="000000"/>
          <w:sz w:val="20"/>
          <w:szCs w:val="20"/>
        </w:rPr>
        <w:t>and software, that previously were segregated. Due to several factors, including the availability of highly scalable and general purpose microprocessors, ASICs offering advanced services, standards based protocols, cloud computing and virtualization, the c</w:t>
      </w:r>
      <w:r>
        <w:rPr>
          <w:rFonts w:ascii="Times New Roman" w:eastAsia="宋体" w:hAnsi="Times New Roman"/>
          <w:color w:val="000000"/>
          <w:sz w:val="20"/>
          <w:szCs w:val="20"/>
        </w:rPr>
        <w:t>onvergence of technologies within the enterprise data center is spanning multiple, previously independent, technology segments. Also, some of our current and potential competitors for enterprise data center business have made acquisitions, or announced new</w:t>
      </w:r>
      <w:r>
        <w:rPr>
          <w:rFonts w:ascii="Times New Roman" w:eastAsia="宋体" w:hAnsi="Times New Roman"/>
          <w:color w:val="000000"/>
          <w:sz w:val="20"/>
          <w:szCs w:val="20"/>
        </w:rPr>
        <w:t xml:space="preserve"> strategic alliances, designed to position them to provide end-to-end technology solutions for the enterprise data center. As a result of all of these developments, we face greater competition in the development and sale of enterprise data center technolog</w:t>
      </w:r>
      <w:r>
        <w:rPr>
          <w:rFonts w:ascii="Times New Roman" w:eastAsia="宋体" w:hAnsi="Times New Roman"/>
          <w:color w:val="000000"/>
          <w:sz w:val="20"/>
          <w:szCs w:val="20"/>
        </w:rPr>
        <w:t>ies, including competition from entities that are among our long-term strategic alliance partners. Companies that are strategic alliance partners in some areas of our business may acquire or form alliances with our competitors, thereby reducing their busin</w:t>
      </w:r>
      <w:r>
        <w:rPr>
          <w:rFonts w:ascii="Times New Roman" w:eastAsia="宋体" w:hAnsi="Times New Roman"/>
          <w:color w:val="000000"/>
          <w:sz w:val="20"/>
          <w:szCs w:val="20"/>
        </w:rPr>
        <w:t>ess with us.</w:t>
      </w:r>
    </w:p>
    <w:p w14:paraId="518B447A" w14:textId="77777777" w:rsidR="005C332D" w:rsidRDefault="00B93EAE">
      <w:pPr>
        <w:spacing w:before="120"/>
        <w:jc w:val="both"/>
      </w:pPr>
      <w:r>
        <w:rPr>
          <w:rFonts w:ascii="Times New Roman" w:eastAsia="宋体" w:hAnsi="Times New Roman"/>
          <w:color w:val="000000"/>
          <w:sz w:val="20"/>
          <w:szCs w:val="20"/>
        </w:rPr>
        <w:t>The principal competitive factors in the markets in which we presently compete and may compete in the future include the ability to sell successful business outcomes; the ability to provide a broad range of networking and communications produc</w:t>
      </w:r>
      <w:r>
        <w:rPr>
          <w:rFonts w:ascii="Times New Roman" w:eastAsia="宋体" w:hAnsi="Times New Roman"/>
          <w:color w:val="000000"/>
          <w:sz w:val="20"/>
          <w:szCs w:val="20"/>
        </w:rPr>
        <w:t>ts and services; product performance; price; the ability to introduce new products, including providing continuous new customer value and products with price-performance advantages; the ability to reduce production costs; the ability to provide value-added</w:t>
      </w:r>
      <w:r>
        <w:rPr>
          <w:rFonts w:ascii="Times New Roman" w:eastAsia="宋体" w:hAnsi="Times New Roman"/>
          <w:color w:val="000000"/>
          <w:sz w:val="20"/>
          <w:szCs w:val="20"/>
        </w:rPr>
        <w:t xml:space="preserve"> features such as security, reliability, and investment protection; conformance to standards; market presence; the ability to provide financing; and disruptive technology shifts and new business models.</w:t>
      </w:r>
    </w:p>
    <w:p w14:paraId="518B447B" w14:textId="77777777" w:rsidR="005C332D" w:rsidRDefault="00B93EAE">
      <w:pPr>
        <w:jc w:val="center"/>
      </w:pPr>
      <w:r>
        <w:rPr>
          <w:rFonts w:ascii="Times New Roman" w:eastAsia="宋体" w:hAnsi="Times New Roman"/>
          <w:color w:val="000000"/>
          <w:sz w:val="20"/>
          <w:szCs w:val="20"/>
        </w:rPr>
        <w:t>19</w:t>
      </w:r>
    </w:p>
    <w:p w14:paraId="518B447C" w14:textId="77777777" w:rsidR="005C332D" w:rsidRDefault="00B93EAE">
      <w:r>
        <w:pict w14:anchorId="518B8726">
          <v:rect id="_x0000_i1045" style="width:415.3pt;height:1.5pt" o:hralign="center" o:hrstd="t" o:hr="t" fillcolor="#a0a0a0" stroked="f"/>
        </w:pict>
      </w:r>
    </w:p>
    <w:p w14:paraId="518B447D" w14:textId="77777777" w:rsidR="005C332D" w:rsidRDefault="00B93EAE">
      <w:hyperlink r:id="rId73" w:anchor="i049852cab38845aabd2a79d07dacda86_7" w:history="1">
        <w:r>
          <w:rPr>
            <w:rStyle w:val="a5"/>
            <w:rFonts w:ascii="Times New Roman" w:eastAsia="宋体" w:hAnsi="Times New Roman"/>
            <w:sz w:val="20"/>
            <w:szCs w:val="20"/>
          </w:rPr>
          <w:t>Table of Contents</w:t>
        </w:r>
      </w:hyperlink>
    </w:p>
    <w:p w14:paraId="518B447E" w14:textId="77777777" w:rsidR="005C332D" w:rsidRDefault="00B93EAE">
      <w:pPr>
        <w:spacing w:before="120"/>
        <w:jc w:val="both"/>
      </w:pPr>
      <w:r>
        <w:rPr>
          <w:rFonts w:ascii="Times New Roman" w:eastAsia="宋体" w:hAnsi="Times New Roman"/>
          <w:color w:val="000000"/>
          <w:sz w:val="20"/>
          <w:szCs w:val="20"/>
        </w:rPr>
        <w:t>We also face competition from customers to which we license or supply technology and suppliers from which we transfer technology. The inh</w:t>
      </w:r>
      <w:r>
        <w:rPr>
          <w:rFonts w:ascii="Times New Roman" w:eastAsia="宋体" w:hAnsi="Times New Roman"/>
          <w:color w:val="000000"/>
          <w:sz w:val="20"/>
          <w:szCs w:val="20"/>
        </w:rPr>
        <w:t>erent nature of networking requires interoperability. As such, we must cooperate and at the same time compete with many companies. Any inability to effectively manage these complicated relationships with customers, suppliers, and strategic alliance partner</w:t>
      </w:r>
      <w:r>
        <w:rPr>
          <w:rFonts w:ascii="Times New Roman" w:eastAsia="宋体" w:hAnsi="Times New Roman"/>
          <w:color w:val="000000"/>
          <w:sz w:val="20"/>
          <w:szCs w:val="20"/>
        </w:rPr>
        <w:t xml:space="preserve">s could have a material adverse effect on our business, operating results, and financial condition and accordingly affect our chances of success. </w:t>
      </w:r>
    </w:p>
    <w:p w14:paraId="518B447F" w14:textId="77777777" w:rsidR="005C332D" w:rsidRDefault="00B93EAE">
      <w:pPr>
        <w:spacing w:before="120"/>
        <w:jc w:val="both"/>
      </w:pPr>
      <w:r>
        <w:rPr>
          <w:rFonts w:ascii="Times New Roman" w:eastAsia="宋体" w:hAnsi="Times New Roman"/>
          <w:b/>
          <w:bCs/>
          <w:i/>
          <w:iCs/>
          <w:color w:val="000000"/>
          <w:sz w:val="20"/>
          <w:szCs w:val="20"/>
        </w:rPr>
        <w:t xml:space="preserve">If we do not successfully manage our strategic alliances, we may not realize the expected benefits from such </w:t>
      </w:r>
      <w:r>
        <w:rPr>
          <w:rFonts w:ascii="Times New Roman" w:eastAsia="宋体" w:hAnsi="Times New Roman"/>
          <w:b/>
          <w:bCs/>
          <w:i/>
          <w:iCs/>
          <w:color w:val="000000"/>
          <w:sz w:val="20"/>
          <w:szCs w:val="20"/>
        </w:rPr>
        <w:t>alliances, and we may experience increased competition or delays in product development.</w:t>
      </w:r>
    </w:p>
    <w:p w14:paraId="518B4480" w14:textId="77777777" w:rsidR="005C332D" w:rsidRDefault="00B93EAE">
      <w:pPr>
        <w:spacing w:before="120"/>
        <w:jc w:val="both"/>
      </w:pPr>
      <w:r>
        <w:rPr>
          <w:rFonts w:ascii="Times New Roman" w:eastAsia="宋体" w:hAnsi="Times New Roman"/>
          <w:color w:val="000000"/>
          <w:sz w:val="20"/>
          <w:szCs w:val="20"/>
        </w:rPr>
        <w:t>We have several strategic alliances with large and complex organizations and other companies with which we work to offer complementary products and services. These arr</w:t>
      </w:r>
      <w:r>
        <w:rPr>
          <w:rFonts w:ascii="Times New Roman" w:eastAsia="宋体" w:hAnsi="Times New Roman"/>
          <w:color w:val="000000"/>
          <w:sz w:val="20"/>
          <w:szCs w:val="20"/>
        </w:rPr>
        <w:t>angements are generally limited to specific projects, the goal of which is generally to facilitate product compatibility and adoption of industry standards. There can be no assurance we will realize the expected benefits from these strategic alliances or f</w:t>
      </w:r>
      <w:r>
        <w:rPr>
          <w:rFonts w:ascii="Times New Roman" w:eastAsia="宋体" w:hAnsi="Times New Roman"/>
          <w:color w:val="000000"/>
          <w:sz w:val="20"/>
          <w:szCs w:val="20"/>
        </w:rPr>
        <w:t xml:space="preserve">rom joint ventures. If successful, these relationships may be mutually beneficial and result in industry growth. However, alliances carry an element of risk because, in most cases, we must compete in some business areas with a company with which we have a </w:t>
      </w:r>
      <w:r>
        <w:rPr>
          <w:rFonts w:ascii="Times New Roman" w:eastAsia="宋体" w:hAnsi="Times New Roman"/>
          <w:color w:val="000000"/>
          <w:sz w:val="20"/>
          <w:szCs w:val="20"/>
        </w:rPr>
        <w:t>strategic alliance and, at the same time, cooperate with that company in other business areas. Also, if these companies fail to perform or if these relationships fail to materialize as expected, we could suffer delays in product development or other operat</w:t>
      </w:r>
      <w:r>
        <w:rPr>
          <w:rFonts w:ascii="Times New Roman" w:eastAsia="宋体" w:hAnsi="Times New Roman"/>
          <w:color w:val="000000"/>
          <w:sz w:val="20"/>
          <w:szCs w:val="20"/>
        </w:rPr>
        <w:t>ional difficulties. Joint ventures can be difficult to manage, given the potentially different interests of joint venture partners.</w:t>
      </w:r>
    </w:p>
    <w:p w14:paraId="518B4481" w14:textId="77777777" w:rsidR="005C332D" w:rsidRDefault="00B93EAE">
      <w:pPr>
        <w:spacing w:before="120"/>
      </w:pPr>
      <w:r>
        <w:rPr>
          <w:rFonts w:ascii="Times New Roman" w:eastAsia="宋体" w:hAnsi="Times New Roman"/>
          <w:b/>
          <w:bCs/>
          <w:i/>
          <w:iCs/>
          <w:color w:val="000000"/>
          <w:sz w:val="20"/>
          <w:szCs w:val="20"/>
        </w:rPr>
        <w:t>Inventory management relating to our sales to our two-tier distribution channel is complex, and excess inventory may harm ou</w:t>
      </w:r>
      <w:r>
        <w:rPr>
          <w:rFonts w:ascii="Times New Roman" w:eastAsia="宋体" w:hAnsi="Times New Roman"/>
          <w:b/>
          <w:bCs/>
          <w:i/>
          <w:iCs/>
          <w:color w:val="000000"/>
          <w:sz w:val="20"/>
          <w:szCs w:val="20"/>
        </w:rPr>
        <w:t>r gross margins.</w:t>
      </w:r>
    </w:p>
    <w:p w14:paraId="518B4482" w14:textId="77777777" w:rsidR="005C332D" w:rsidRDefault="00B93EAE">
      <w:pPr>
        <w:spacing w:before="120"/>
        <w:jc w:val="both"/>
      </w:pPr>
      <w:r>
        <w:rPr>
          <w:rFonts w:ascii="Times New Roman" w:eastAsia="宋体" w:hAnsi="Times New Roman"/>
          <w:color w:val="000000"/>
          <w:sz w:val="20"/>
          <w:szCs w:val="20"/>
        </w:rPr>
        <w:t>We must manage inventory relating to sales to our distributors effectively, because inventory held by them could affect our results of operations. Our distributors may increase orders during periods of product shortages, cancel orders if t</w:t>
      </w:r>
      <w:r>
        <w:rPr>
          <w:rFonts w:ascii="Times New Roman" w:eastAsia="宋体" w:hAnsi="Times New Roman"/>
          <w:color w:val="000000"/>
          <w:sz w:val="20"/>
          <w:szCs w:val="20"/>
        </w:rPr>
        <w:t>heir inventory is too high, or delay orders in anticipation of new products. They also may adjust their orders in response to the supply of our products and the products of our competitors that are available to them, and in response to seasonal fluctuation</w:t>
      </w:r>
      <w:r>
        <w:rPr>
          <w:rFonts w:ascii="Times New Roman" w:eastAsia="宋体" w:hAnsi="Times New Roman"/>
          <w:color w:val="000000"/>
          <w:sz w:val="20"/>
          <w:szCs w:val="20"/>
        </w:rPr>
        <w:t>s in end-user demand. Our distributors are generally given business terms that allow them to return a portion of inventory, receive credits for changes in selling price, and participate in various cooperative marketing programs. Inventory management remain</w:t>
      </w:r>
      <w:r>
        <w:rPr>
          <w:rFonts w:ascii="Times New Roman" w:eastAsia="宋体" w:hAnsi="Times New Roman"/>
          <w:color w:val="000000"/>
          <w:sz w:val="20"/>
          <w:szCs w:val="20"/>
        </w:rPr>
        <w:t>s an area of focus as we balance the need to maintain strategic inventory levels to ensure competitive lead times against the risk of inventory obsolescence because of rapidly changing technology and customer requirements. When facing component supply-rela</w:t>
      </w:r>
      <w:r>
        <w:rPr>
          <w:rFonts w:ascii="Times New Roman" w:eastAsia="宋体" w:hAnsi="Times New Roman"/>
          <w:color w:val="000000"/>
          <w:sz w:val="20"/>
          <w:szCs w:val="20"/>
        </w:rPr>
        <w:t>ted challenges, we have increased our efforts in procuring components in order to meet customer expectations. If we ultimately determine that we have excess inventory, we may have to reduce our prices and write down inventory, which in turn could result in</w:t>
      </w:r>
      <w:r>
        <w:rPr>
          <w:rFonts w:ascii="Times New Roman" w:eastAsia="宋体" w:hAnsi="Times New Roman"/>
          <w:color w:val="000000"/>
          <w:sz w:val="20"/>
          <w:szCs w:val="20"/>
        </w:rPr>
        <w:t xml:space="preserve"> lower gross margins.</w:t>
      </w:r>
    </w:p>
    <w:p w14:paraId="518B4483" w14:textId="77777777" w:rsidR="005C332D" w:rsidRDefault="00B93EAE">
      <w:pPr>
        <w:spacing w:before="120"/>
        <w:jc w:val="both"/>
      </w:pPr>
      <w:r>
        <w:rPr>
          <w:rFonts w:ascii="Times New Roman" w:eastAsia="宋体" w:hAnsi="Times New Roman"/>
          <w:b/>
          <w:bCs/>
          <w:i/>
          <w:iCs/>
          <w:color w:val="000000"/>
          <w:sz w:val="20"/>
          <w:szCs w:val="20"/>
        </w:rPr>
        <w:t>We depend upon the development of new products and services, and enhancements to existing products and services, and if we fail to predict and respond to emerging technological trends and customers’ changing needs, our operating resul</w:t>
      </w:r>
      <w:r>
        <w:rPr>
          <w:rFonts w:ascii="Times New Roman" w:eastAsia="宋体" w:hAnsi="Times New Roman"/>
          <w:b/>
          <w:bCs/>
          <w:i/>
          <w:iCs/>
          <w:color w:val="000000"/>
          <w:sz w:val="20"/>
          <w:szCs w:val="20"/>
        </w:rPr>
        <w:t>ts and market share may suffer.</w:t>
      </w:r>
    </w:p>
    <w:p w14:paraId="518B4484" w14:textId="77777777" w:rsidR="005C332D" w:rsidRDefault="00B93EAE">
      <w:pPr>
        <w:spacing w:before="120"/>
        <w:jc w:val="both"/>
      </w:pPr>
      <w:r>
        <w:rPr>
          <w:rFonts w:ascii="Times New Roman" w:eastAsia="宋体" w:hAnsi="Times New Roman"/>
          <w:color w:val="000000"/>
          <w:sz w:val="20"/>
          <w:szCs w:val="20"/>
        </w:rPr>
        <w:t>The markets for our products and services are characterized by rapidly changing technology, evolving industry standards, new product and service introductions, and evolving methods of building and operating networks. Our ope</w:t>
      </w:r>
      <w:r>
        <w:rPr>
          <w:rFonts w:ascii="Times New Roman" w:eastAsia="宋体" w:hAnsi="Times New Roman"/>
          <w:color w:val="000000"/>
          <w:sz w:val="20"/>
          <w:szCs w:val="20"/>
        </w:rPr>
        <w:t>rating results depend on our ability to develop and introduce new products and services into existing and emerging markets and to reduce the production costs of existing products. If customers do not purchase and/or renew our offerings our business could b</w:t>
      </w:r>
      <w:r>
        <w:rPr>
          <w:rFonts w:ascii="Times New Roman" w:eastAsia="宋体" w:hAnsi="Times New Roman"/>
          <w:color w:val="000000"/>
          <w:sz w:val="20"/>
          <w:szCs w:val="20"/>
        </w:rPr>
        <w:t xml:space="preserve">e harmed. The COVID-19 pandemic may also result in long-term changes in customer needs for our products and services in various sectors, along with IT-related capital spending reductions, or shifts in spending focus, that could materially adversely affect </w:t>
      </w:r>
      <w:r>
        <w:rPr>
          <w:rFonts w:ascii="Times New Roman" w:eastAsia="宋体" w:hAnsi="Times New Roman"/>
          <w:color w:val="000000"/>
          <w:sz w:val="20"/>
          <w:szCs w:val="20"/>
        </w:rPr>
        <w:t>us if we are unable to adjust our product and service offerings to match customer needs.</w:t>
      </w:r>
    </w:p>
    <w:p w14:paraId="518B4485" w14:textId="77777777" w:rsidR="005C332D" w:rsidRDefault="00B93EAE">
      <w:pPr>
        <w:spacing w:before="120"/>
        <w:jc w:val="both"/>
      </w:pPr>
      <w:r>
        <w:rPr>
          <w:rFonts w:ascii="Times New Roman" w:eastAsia="宋体" w:hAnsi="Times New Roman"/>
          <w:color w:val="000000"/>
          <w:sz w:val="20"/>
          <w:szCs w:val="20"/>
        </w:rPr>
        <w:t>The process of developing new technology, including more programmable, flexible and virtual networks, and technology related to other market transitions— such as secur</w:t>
      </w:r>
      <w:r>
        <w:rPr>
          <w:rFonts w:ascii="Times New Roman" w:eastAsia="宋体" w:hAnsi="Times New Roman"/>
          <w:color w:val="000000"/>
          <w:sz w:val="20"/>
          <w:szCs w:val="20"/>
        </w:rPr>
        <w:t>ity, digital transformation and IoT, and cloud— is complex and uncertain, and if we fail to accurately predict customers’ changing needs and emerging technological trends our business could be harmed. We must commit significant resources, including the inv</w:t>
      </w:r>
      <w:r>
        <w:rPr>
          <w:rFonts w:ascii="Times New Roman" w:eastAsia="宋体" w:hAnsi="Times New Roman"/>
          <w:color w:val="000000"/>
          <w:sz w:val="20"/>
          <w:szCs w:val="20"/>
        </w:rPr>
        <w:t xml:space="preserve">estments we have been making in our strategic priorities to developing new products and services before knowing whether our investments will result in products and services the market will accept. In particular, if our model of the evolution of networking </w:t>
      </w:r>
      <w:r>
        <w:rPr>
          <w:rFonts w:ascii="Times New Roman" w:eastAsia="宋体" w:hAnsi="Times New Roman"/>
          <w:color w:val="000000"/>
          <w:sz w:val="20"/>
          <w:szCs w:val="20"/>
        </w:rPr>
        <w:t>does not emerge as we believe it will, or if the industry does not evolve as we believe it will, or if our strategy for addressing this evolution is not successful, many of our strategic initiatives and investments may be of no or limited value. For exampl</w:t>
      </w:r>
      <w:r>
        <w:rPr>
          <w:rFonts w:ascii="Times New Roman" w:eastAsia="宋体" w:hAnsi="Times New Roman"/>
          <w:color w:val="000000"/>
          <w:sz w:val="20"/>
          <w:szCs w:val="20"/>
        </w:rPr>
        <w:t xml:space="preserve">e, if we do not introduce products related to network programmability, such as software-defined-networking products, in a timely fashion, or if product offerings in this market that ultimately succeed are based on technology, or an approach to technology, </w:t>
      </w:r>
      <w:r>
        <w:rPr>
          <w:rFonts w:ascii="Times New Roman" w:eastAsia="宋体" w:hAnsi="Times New Roman"/>
          <w:color w:val="000000"/>
          <w:sz w:val="20"/>
          <w:szCs w:val="20"/>
        </w:rPr>
        <w:t>that differs from ours, such as, for example, networking products based on “white box” hardware, our business could be harmed. Similarly, our business could be harmed if we fail to develop, or fail to develop in a timely fashion, offerings to address other</w:t>
      </w:r>
      <w:r>
        <w:rPr>
          <w:rFonts w:ascii="Times New Roman" w:eastAsia="宋体" w:hAnsi="Times New Roman"/>
          <w:color w:val="000000"/>
          <w:sz w:val="20"/>
          <w:szCs w:val="20"/>
        </w:rPr>
        <w:t xml:space="preserve"> transitions, or if the offerings addressing these other transitions that ultimately succeed are based on technology, or an approach to technology, different from ours. In addition, our business could be adversely affected in periods surrounding our new pr</w:t>
      </w:r>
      <w:r>
        <w:rPr>
          <w:rFonts w:ascii="Times New Roman" w:eastAsia="宋体" w:hAnsi="Times New Roman"/>
          <w:color w:val="000000"/>
          <w:sz w:val="20"/>
          <w:szCs w:val="20"/>
        </w:rPr>
        <w:t xml:space="preserve">oduct introductions if customers delay purchasing decisions to qualify or otherwise evaluate the new product offerings. We have also been transforming our business to move from selling individual </w:t>
      </w:r>
    </w:p>
    <w:p w14:paraId="518B4486" w14:textId="77777777" w:rsidR="005C332D" w:rsidRDefault="00B93EAE">
      <w:pPr>
        <w:jc w:val="center"/>
      </w:pPr>
      <w:r>
        <w:rPr>
          <w:rFonts w:ascii="Times New Roman" w:eastAsia="宋体" w:hAnsi="Times New Roman"/>
          <w:color w:val="000000"/>
          <w:sz w:val="20"/>
          <w:szCs w:val="20"/>
        </w:rPr>
        <w:t>20</w:t>
      </w:r>
    </w:p>
    <w:p w14:paraId="518B4487" w14:textId="77777777" w:rsidR="005C332D" w:rsidRDefault="00B93EAE">
      <w:r>
        <w:pict w14:anchorId="518B8727">
          <v:rect id="_x0000_i1046" style="width:415.3pt;height:1.5pt" o:hralign="center" o:hrstd="t" o:hr="t" fillcolor="#a0a0a0" stroked="f"/>
        </w:pict>
      </w:r>
    </w:p>
    <w:p w14:paraId="518B4488" w14:textId="77777777" w:rsidR="005C332D" w:rsidRDefault="00B93EAE">
      <w:hyperlink r:id="rId74" w:anchor="i049852cab38845aabd2a79d07dacda86_7" w:history="1">
        <w:r>
          <w:rPr>
            <w:rStyle w:val="a5"/>
            <w:rFonts w:ascii="Times New Roman" w:eastAsia="宋体" w:hAnsi="Times New Roman"/>
            <w:sz w:val="20"/>
            <w:szCs w:val="20"/>
          </w:rPr>
          <w:t>Table of Contents</w:t>
        </w:r>
      </w:hyperlink>
    </w:p>
    <w:p w14:paraId="518B4489" w14:textId="77777777" w:rsidR="005C332D" w:rsidRDefault="00B93EAE">
      <w:pPr>
        <w:spacing w:before="120"/>
        <w:jc w:val="both"/>
      </w:pPr>
      <w:r>
        <w:rPr>
          <w:rFonts w:ascii="Times New Roman" w:eastAsia="宋体" w:hAnsi="Times New Roman"/>
          <w:color w:val="000000"/>
          <w:sz w:val="20"/>
          <w:szCs w:val="20"/>
        </w:rPr>
        <w:t>products and services to selling products and services integrated into architectures and solutions, and we are seeking to meet the evolving nee</w:t>
      </w:r>
      <w:r>
        <w:rPr>
          <w:rFonts w:ascii="Times New Roman" w:eastAsia="宋体" w:hAnsi="Times New Roman"/>
          <w:color w:val="000000"/>
          <w:sz w:val="20"/>
          <w:szCs w:val="20"/>
        </w:rPr>
        <w:t>ds of customers which include offering our products and solutions in the manner in which customers wish to consume them. As a part of this transformation, we continue to make changes to how we are organized and how we build and deliver our technology, incl</w:t>
      </w:r>
      <w:r>
        <w:rPr>
          <w:rFonts w:ascii="Times New Roman" w:eastAsia="宋体" w:hAnsi="Times New Roman"/>
          <w:color w:val="000000"/>
          <w:sz w:val="20"/>
          <w:szCs w:val="20"/>
        </w:rPr>
        <w:t>uding changes in our business models with customers. If our strategy for addressing our customer needs, or the architectures and solutions we develop do not meet those needs, or the changes we are making in how we are organized and how we build and deliver</w:t>
      </w:r>
      <w:r>
        <w:rPr>
          <w:rFonts w:ascii="Times New Roman" w:eastAsia="宋体" w:hAnsi="Times New Roman"/>
          <w:color w:val="000000"/>
          <w:sz w:val="20"/>
          <w:szCs w:val="20"/>
        </w:rPr>
        <w:t xml:space="preserve"> or technology is incorrect or ineffective, our business could be harmed.</w:t>
      </w:r>
    </w:p>
    <w:p w14:paraId="518B448A" w14:textId="77777777" w:rsidR="005C332D" w:rsidRDefault="00B93EAE">
      <w:pPr>
        <w:spacing w:before="120"/>
        <w:jc w:val="both"/>
      </w:pPr>
      <w:r>
        <w:rPr>
          <w:rFonts w:ascii="Times New Roman" w:eastAsia="宋体" w:hAnsi="Times New Roman"/>
          <w:color w:val="000000"/>
          <w:sz w:val="20"/>
          <w:szCs w:val="20"/>
        </w:rPr>
        <w:t>Furthermore, we may not execute successfully on our vision or strategy because of challenges with regard to product planning and timing, technical hurdles that we fail to overcome in</w:t>
      </w:r>
      <w:r>
        <w:rPr>
          <w:rFonts w:ascii="Times New Roman" w:eastAsia="宋体" w:hAnsi="Times New Roman"/>
          <w:color w:val="000000"/>
          <w:sz w:val="20"/>
          <w:szCs w:val="20"/>
        </w:rPr>
        <w:t xml:space="preserve"> a timely fashion, or a lack of appropriate resources. This could result in competitors, some of which may also be our strategic alliance partners, providing those solutions before we do and loss of market share, revenue, and earnings. In addition, the gro</w:t>
      </w:r>
      <w:r>
        <w:rPr>
          <w:rFonts w:ascii="Times New Roman" w:eastAsia="宋体" w:hAnsi="Times New Roman"/>
          <w:color w:val="000000"/>
          <w:sz w:val="20"/>
          <w:szCs w:val="20"/>
        </w:rPr>
        <w:t>wth in demand for technology delivered as a service enables new competitors to enter the market. The success of new products and services depends on several factors, including proper new product and service definition, component costs, timely completion an</w:t>
      </w:r>
      <w:r>
        <w:rPr>
          <w:rFonts w:ascii="Times New Roman" w:eastAsia="宋体" w:hAnsi="Times New Roman"/>
          <w:color w:val="000000"/>
          <w:sz w:val="20"/>
          <w:szCs w:val="20"/>
        </w:rPr>
        <w:t>d introduction of these products and services, differentiation of new products and services from those of our competitors, and market acceptance of these products and services. There can be no assurance that we will successfully identify new product and se</w:t>
      </w:r>
      <w:r>
        <w:rPr>
          <w:rFonts w:ascii="Times New Roman" w:eastAsia="宋体" w:hAnsi="Times New Roman"/>
          <w:color w:val="000000"/>
          <w:sz w:val="20"/>
          <w:szCs w:val="20"/>
        </w:rPr>
        <w:t>rvices opportunities, develop and bring new products and services to market in a timely manner, or achieve market acceptance of our products and services or that products, services and technologies developed by others will not render our products, services</w:t>
      </w:r>
      <w:r>
        <w:rPr>
          <w:rFonts w:ascii="Times New Roman" w:eastAsia="宋体" w:hAnsi="Times New Roman"/>
          <w:color w:val="000000"/>
          <w:sz w:val="20"/>
          <w:szCs w:val="20"/>
        </w:rPr>
        <w:t xml:space="preserve"> or technologies obsolete or noncompetitive. The products and technologies in our other product categories and key priority and growth areas may not prove to have the market success we anticipate, and we may not successfully identify and invest in other em</w:t>
      </w:r>
      <w:r>
        <w:rPr>
          <w:rFonts w:ascii="Times New Roman" w:eastAsia="宋体" w:hAnsi="Times New Roman"/>
          <w:color w:val="000000"/>
          <w:sz w:val="20"/>
          <w:szCs w:val="20"/>
        </w:rPr>
        <w:t>erging or new products and services.</w:t>
      </w:r>
    </w:p>
    <w:p w14:paraId="518B448B" w14:textId="77777777" w:rsidR="005C332D" w:rsidRDefault="00B93EAE">
      <w:pPr>
        <w:spacing w:before="120"/>
        <w:jc w:val="both"/>
      </w:pPr>
      <w:r>
        <w:rPr>
          <w:rFonts w:ascii="Times New Roman" w:eastAsia="宋体" w:hAnsi="Times New Roman"/>
          <w:b/>
          <w:bCs/>
          <w:i/>
          <w:iCs/>
          <w:color w:val="000000"/>
          <w:sz w:val="20"/>
          <w:szCs w:val="20"/>
        </w:rPr>
        <w:t>Changes in industry structure and market conditions could lead to charges related to discontinuances of certain of our products or businesses, asset impairments and workforce reductions or restructurings.</w:t>
      </w:r>
    </w:p>
    <w:p w14:paraId="518B448C" w14:textId="77777777" w:rsidR="005C332D" w:rsidRDefault="00B93EAE">
      <w:pPr>
        <w:spacing w:before="120"/>
        <w:jc w:val="both"/>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response to changes in industry and market conditions, we may be required to strategically realign our resources and to consider restructuring, disposing of, or otherwise exiting businesses. Any resource realignment, or decision to limit investment in or d</w:t>
      </w:r>
      <w:r>
        <w:rPr>
          <w:rFonts w:ascii="Times New Roman" w:eastAsia="宋体" w:hAnsi="Times New Roman"/>
          <w:color w:val="000000"/>
          <w:sz w:val="20"/>
          <w:szCs w:val="20"/>
        </w:rPr>
        <w:t xml:space="preserve">ispose of or otherwise exit businesses, may result in the recording of special charges, such as inventory and technology-related write-offs, workforce reduction or restructuring costs, charges relating to consolidation of excess facilities, or claims from </w:t>
      </w:r>
      <w:r>
        <w:rPr>
          <w:rFonts w:ascii="Times New Roman" w:eastAsia="宋体" w:hAnsi="Times New Roman"/>
          <w:color w:val="000000"/>
          <w:sz w:val="20"/>
          <w:szCs w:val="20"/>
        </w:rPr>
        <w:t>third parties who were resellers or users of discontinued products. Our estimates with respect to the useful life or ultimate recoverability of our carrying basis of assets, including purchased intangible assets, could change as a result of such assessment</w:t>
      </w:r>
      <w:r>
        <w:rPr>
          <w:rFonts w:ascii="Times New Roman" w:eastAsia="宋体" w:hAnsi="Times New Roman"/>
          <w:color w:val="000000"/>
          <w:sz w:val="20"/>
          <w:szCs w:val="20"/>
        </w:rPr>
        <w:t>s and decisions. Although in certain instances our supply agreements allow us the option to cancel, reschedule, and adjust our requirements based on our business needs prior to firm orders being placed, our loss contingencies may include liabilities for co</w:t>
      </w:r>
      <w:r>
        <w:rPr>
          <w:rFonts w:ascii="Times New Roman" w:eastAsia="宋体" w:hAnsi="Times New Roman"/>
          <w:color w:val="000000"/>
          <w:sz w:val="20"/>
          <w:szCs w:val="20"/>
        </w:rPr>
        <w:t>ntracts that we cannot cancel with contract manufacturers and suppliers. Further, our estimates relating to the liabilities for excess facilities are affected by changes in real estate market conditions. Additionally, we are required to perform goodwill im</w:t>
      </w:r>
      <w:r>
        <w:rPr>
          <w:rFonts w:ascii="Times New Roman" w:eastAsia="宋体" w:hAnsi="Times New Roman"/>
          <w:color w:val="000000"/>
          <w:sz w:val="20"/>
          <w:szCs w:val="20"/>
        </w:rPr>
        <w:t xml:space="preserve">pairment tests on an annual basis and between annual tests in certain circumstances, and future goodwill impairment tests may result in a charge to earnings. We initiated a restructuring plan in the first quarter of fiscal 2021, which included a voluntary </w:t>
      </w:r>
      <w:r>
        <w:rPr>
          <w:rFonts w:ascii="Times New Roman" w:eastAsia="宋体" w:hAnsi="Times New Roman"/>
          <w:color w:val="000000"/>
          <w:sz w:val="20"/>
          <w:szCs w:val="20"/>
        </w:rPr>
        <w:t xml:space="preserve">early retirement program, which was completed in fiscal 2022. Our business may not be more efficient or effective than prior to implementation of the plan. Our restructuring activities, including any related charges and the impact of the related headcount </w:t>
      </w:r>
      <w:r>
        <w:rPr>
          <w:rFonts w:ascii="Times New Roman" w:eastAsia="宋体" w:hAnsi="Times New Roman"/>
          <w:color w:val="000000"/>
          <w:sz w:val="20"/>
          <w:szCs w:val="20"/>
        </w:rPr>
        <w:t>restructurings, could have a material adverse effect on our business, operating results, and financial condition.</w:t>
      </w:r>
    </w:p>
    <w:p w14:paraId="518B448D" w14:textId="77777777" w:rsidR="005C332D" w:rsidRDefault="00B93EAE">
      <w:pPr>
        <w:spacing w:before="120"/>
        <w:jc w:val="both"/>
      </w:pPr>
      <w:r>
        <w:rPr>
          <w:rFonts w:ascii="Times New Roman" w:eastAsia="宋体" w:hAnsi="Times New Roman"/>
          <w:b/>
          <w:bCs/>
          <w:i/>
          <w:iCs/>
          <w:color w:val="000000"/>
          <w:sz w:val="20"/>
          <w:szCs w:val="20"/>
        </w:rPr>
        <w:t>Over the long term we intend to invest in engineering, sales, service and marketing activities, and in key priority and growth areas, and thes</w:t>
      </w:r>
      <w:r>
        <w:rPr>
          <w:rFonts w:ascii="Times New Roman" w:eastAsia="宋体" w:hAnsi="Times New Roman"/>
          <w:b/>
          <w:bCs/>
          <w:i/>
          <w:iCs/>
          <w:color w:val="000000"/>
          <w:sz w:val="20"/>
          <w:szCs w:val="20"/>
        </w:rPr>
        <w:t>e investments may achieve delayed, or lower than expected, benefits which could harm our operating results.</w:t>
      </w:r>
    </w:p>
    <w:p w14:paraId="518B448E" w14:textId="77777777" w:rsidR="005C332D" w:rsidRDefault="00B93EAE">
      <w:pPr>
        <w:spacing w:before="120"/>
        <w:jc w:val="both"/>
      </w:pPr>
      <w:r>
        <w:rPr>
          <w:rFonts w:ascii="Times New Roman" w:eastAsia="宋体" w:hAnsi="Times New Roman"/>
          <w:color w:val="000000"/>
          <w:sz w:val="20"/>
          <w:szCs w:val="20"/>
        </w:rPr>
        <w:t>While we intend to focus on managing our costs and expenses, over the long term, we also intend to invest in personnel and other resources related t</w:t>
      </w:r>
      <w:r>
        <w:rPr>
          <w:rFonts w:ascii="Times New Roman" w:eastAsia="宋体" w:hAnsi="Times New Roman"/>
          <w:color w:val="000000"/>
          <w:sz w:val="20"/>
          <w:szCs w:val="20"/>
        </w:rPr>
        <w:t>o our engineering, sales, service and marketing functions as we realign and dedicate resources on key priority and growth areas, such as End-to-End Security and Internet for the Future, and we also intend to focus on maintaining leadership in Secure, Agile</w:t>
      </w:r>
      <w:r>
        <w:rPr>
          <w:rFonts w:ascii="Times New Roman" w:eastAsia="宋体" w:hAnsi="Times New Roman"/>
          <w:color w:val="000000"/>
          <w:sz w:val="20"/>
          <w:szCs w:val="20"/>
        </w:rPr>
        <w:t xml:space="preserve"> Networks and in Services. We are likely to recognize the costs associated with these investments earlier than some of the anticipated benefits, and the return on these investments may be lower, or may develop more slowly, than we expect. If we do not achi</w:t>
      </w:r>
      <w:r>
        <w:rPr>
          <w:rFonts w:ascii="Times New Roman" w:eastAsia="宋体" w:hAnsi="Times New Roman"/>
          <w:color w:val="000000"/>
          <w:sz w:val="20"/>
          <w:szCs w:val="20"/>
        </w:rPr>
        <w:t>eve the benefits anticipated from these investments (including if our selection of areas for investment does not play out as we expect), or if the achievement of these benefits is delayed, our operating results may be adversely affected.</w:t>
      </w:r>
    </w:p>
    <w:p w14:paraId="518B448F" w14:textId="77777777" w:rsidR="005C332D" w:rsidRDefault="005C332D">
      <w:pPr>
        <w:spacing w:before="120"/>
        <w:jc w:val="both"/>
      </w:pPr>
    </w:p>
    <w:p w14:paraId="518B4490" w14:textId="77777777" w:rsidR="005C332D" w:rsidRDefault="00B93EAE">
      <w:pPr>
        <w:jc w:val="center"/>
      </w:pPr>
      <w:r>
        <w:rPr>
          <w:rFonts w:ascii="Times New Roman" w:eastAsia="宋体" w:hAnsi="Times New Roman"/>
          <w:color w:val="000000"/>
          <w:sz w:val="20"/>
          <w:szCs w:val="20"/>
        </w:rPr>
        <w:t>21</w:t>
      </w:r>
    </w:p>
    <w:p w14:paraId="518B4491" w14:textId="77777777" w:rsidR="005C332D" w:rsidRDefault="00B93EAE">
      <w:r>
        <w:pict w14:anchorId="518B8728">
          <v:rect id="_x0000_i1047" style="width:415.3pt;height:1.5pt" o:hralign="center" o:hrstd="t" o:hr="t" fillcolor="#a0a0a0" stroked="f"/>
        </w:pict>
      </w:r>
    </w:p>
    <w:p w14:paraId="518B4492" w14:textId="77777777" w:rsidR="005C332D" w:rsidRDefault="00B93EAE">
      <w:hyperlink r:id="rId75" w:anchor="i049852cab38845aabd2a79d07dacda86_7" w:history="1">
        <w:r>
          <w:rPr>
            <w:rStyle w:val="a5"/>
            <w:rFonts w:ascii="Times New Roman" w:eastAsia="宋体" w:hAnsi="Times New Roman"/>
            <w:sz w:val="20"/>
            <w:szCs w:val="20"/>
          </w:rPr>
          <w:t>Table of Contents</w:t>
        </w:r>
      </w:hyperlink>
    </w:p>
    <w:p w14:paraId="518B4493" w14:textId="77777777" w:rsidR="005C332D" w:rsidRDefault="00B93EAE">
      <w:pPr>
        <w:spacing w:before="120"/>
        <w:jc w:val="both"/>
      </w:pPr>
      <w:r>
        <w:rPr>
          <w:rFonts w:ascii="Times New Roman" w:eastAsia="宋体" w:hAnsi="Times New Roman"/>
          <w:b/>
          <w:bCs/>
          <w:i/>
          <w:iCs/>
          <w:color w:val="000000"/>
          <w:sz w:val="20"/>
          <w:szCs w:val="20"/>
        </w:rPr>
        <w:t>We have made and expect to continue to make acquisitions that could disrupt our operations and harm o</w:t>
      </w:r>
      <w:r>
        <w:rPr>
          <w:rFonts w:ascii="Times New Roman" w:eastAsia="宋体" w:hAnsi="Times New Roman"/>
          <w:b/>
          <w:bCs/>
          <w:i/>
          <w:iCs/>
          <w:color w:val="000000"/>
          <w:sz w:val="20"/>
          <w:szCs w:val="20"/>
        </w:rPr>
        <w:t>ur operating results.</w:t>
      </w:r>
    </w:p>
    <w:p w14:paraId="518B4494" w14:textId="77777777" w:rsidR="005C332D" w:rsidRDefault="00B93EAE">
      <w:pPr>
        <w:spacing w:before="120"/>
        <w:jc w:val="both"/>
      </w:pPr>
      <w:r>
        <w:rPr>
          <w:rFonts w:ascii="Times New Roman" w:eastAsia="宋体" w:hAnsi="Times New Roman"/>
          <w:color w:val="000000"/>
          <w:sz w:val="20"/>
          <w:szCs w:val="20"/>
        </w:rPr>
        <w:t>Our growth depends upon market growth, our ability to enhance our existing products, and our ability to introduce new products on a timely basis. We intend to continue to address the need to develop new products and enhance existing p</w:t>
      </w:r>
      <w:r>
        <w:rPr>
          <w:rFonts w:ascii="Times New Roman" w:eastAsia="宋体" w:hAnsi="Times New Roman"/>
          <w:color w:val="000000"/>
          <w:sz w:val="20"/>
          <w:szCs w:val="20"/>
        </w:rPr>
        <w:t>roducts through acquisitions of other companies, product lines, technologies, and personnel. Acquisitions involve numerous risks, including the following:</w:t>
      </w:r>
    </w:p>
    <w:p w14:paraId="518B4495" w14:textId="77777777" w:rsidR="005C332D" w:rsidRDefault="00B93EAE">
      <w:pPr>
        <w:spacing w:before="120"/>
        <w:ind w:hanging="360"/>
        <w:jc w:val="both"/>
      </w:pPr>
      <w:r>
        <w:rPr>
          <w:rFonts w:ascii="Times New Roman" w:eastAsia="宋体" w:hAnsi="Times New Roman"/>
          <w:color w:val="000000"/>
          <w:sz w:val="20"/>
          <w:szCs w:val="20"/>
        </w:rPr>
        <w:t>•Difficulties in integrating the operations, systems, technologies, products, and personnel of the ac</w:t>
      </w:r>
      <w:r>
        <w:rPr>
          <w:rFonts w:ascii="Times New Roman" w:eastAsia="宋体" w:hAnsi="Times New Roman"/>
          <w:color w:val="000000"/>
          <w:sz w:val="20"/>
          <w:szCs w:val="20"/>
        </w:rPr>
        <w:t>quired companies, particularly companies with large and widespread operations and/or complex products</w:t>
      </w:r>
    </w:p>
    <w:p w14:paraId="518B4496" w14:textId="77777777" w:rsidR="005C332D" w:rsidRDefault="00B93EAE">
      <w:pPr>
        <w:spacing w:before="60"/>
        <w:ind w:hanging="360"/>
        <w:jc w:val="both"/>
      </w:pPr>
      <w:r>
        <w:rPr>
          <w:rFonts w:ascii="Times New Roman" w:eastAsia="宋体" w:hAnsi="Times New Roman"/>
          <w:color w:val="000000"/>
          <w:sz w:val="20"/>
          <w:szCs w:val="20"/>
        </w:rPr>
        <w:t>•Diversion of management’s attention from normal daily operations of the business and the challenges of managing larger and more widespread operations res</w:t>
      </w:r>
      <w:r>
        <w:rPr>
          <w:rFonts w:ascii="Times New Roman" w:eastAsia="宋体" w:hAnsi="Times New Roman"/>
          <w:color w:val="000000"/>
          <w:sz w:val="20"/>
          <w:szCs w:val="20"/>
        </w:rPr>
        <w:t>ulting from acquisitions</w:t>
      </w:r>
    </w:p>
    <w:p w14:paraId="518B4497" w14:textId="77777777" w:rsidR="005C332D" w:rsidRDefault="00B93EAE">
      <w:pPr>
        <w:spacing w:before="60"/>
        <w:ind w:hanging="360"/>
        <w:jc w:val="both"/>
      </w:pPr>
      <w:r>
        <w:rPr>
          <w:rFonts w:ascii="Times New Roman" w:eastAsia="宋体" w:hAnsi="Times New Roman"/>
          <w:color w:val="000000"/>
          <w:sz w:val="20"/>
          <w:szCs w:val="20"/>
        </w:rPr>
        <w:t>•Potential difficulties in completing projects associated with in-process research and development intangibles</w:t>
      </w:r>
    </w:p>
    <w:p w14:paraId="518B4498" w14:textId="77777777" w:rsidR="005C332D" w:rsidRDefault="00B93EAE">
      <w:pPr>
        <w:spacing w:before="60"/>
        <w:ind w:hanging="360"/>
        <w:jc w:val="both"/>
      </w:pPr>
      <w:r>
        <w:rPr>
          <w:rFonts w:ascii="Times New Roman" w:eastAsia="宋体" w:hAnsi="Times New Roman"/>
          <w:color w:val="000000"/>
          <w:sz w:val="20"/>
          <w:szCs w:val="20"/>
        </w:rPr>
        <w:t>•Difficulties in entering markets in which we have no or limited direct prior experience and where competitors in such m</w:t>
      </w:r>
      <w:r>
        <w:rPr>
          <w:rFonts w:ascii="Times New Roman" w:eastAsia="宋体" w:hAnsi="Times New Roman"/>
          <w:color w:val="000000"/>
          <w:sz w:val="20"/>
          <w:szCs w:val="20"/>
        </w:rPr>
        <w:t>arkets have stronger market positions</w:t>
      </w:r>
    </w:p>
    <w:p w14:paraId="518B4499" w14:textId="77777777" w:rsidR="005C332D" w:rsidRDefault="00B93EAE">
      <w:pPr>
        <w:spacing w:before="60"/>
        <w:ind w:hanging="360"/>
        <w:jc w:val="both"/>
      </w:pPr>
      <w:r>
        <w:rPr>
          <w:rFonts w:ascii="Times New Roman" w:eastAsia="宋体" w:hAnsi="Times New Roman"/>
          <w:color w:val="000000"/>
          <w:sz w:val="20"/>
          <w:szCs w:val="20"/>
        </w:rPr>
        <w:t>•Initial dependence on unfamiliar supply chains or relatively small supply partners</w:t>
      </w:r>
    </w:p>
    <w:p w14:paraId="518B449A" w14:textId="77777777" w:rsidR="005C332D" w:rsidRDefault="00B93EAE">
      <w:pPr>
        <w:spacing w:before="60"/>
        <w:ind w:hanging="360"/>
        <w:jc w:val="both"/>
      </w:pPr>
      <w:r>
        <w:rPr>
          <w:rFonts w:ascii="Times New Roman" w:eastAsia="宋体" w:hAnsi="Times New Roman"/>
          <w:color w:val="000000"/>
          <w:sz w:val="20"/>
          <w:szCs w:val="20"/>
        </w:rPr>
        <w:t>•Insufficient revenue to offset increased expenses associated with acquisitions</w:t>
      </w:r>
    </w:p>
    <w:p w14:paraId="518B449B" w14:textId="77777777" w:rsidR="005C332D" w:rsidRDefault="00B93EAE">
      <w:pPr>
        <w:spacing w:before="60"/>
        <w:ind w:hanging="360"/>
        <w:jc w:val="both"/>
      </w:pPr>
      <w:r>
        <w:rPr>
          <w:rFonts w:ascii="Times New Roman" w:eastAsia="宋体" w:hAnsi="Times New Roman"/>
          <w:color w:val="000000"/>
          <w:sz w:val="20"/>
          <w:szCs w:val="20"/>
        </w:rPr>
        <w:t>•The potential loss of key employees, customers, distr</w:t>
      </w:r>
      <w:r>
        <w:rPr>
          <w:rFonts w:ascii="Times New Roman" w:eastAsia="宋体" w:hAnsi="Times New Roman"/>
          <w:color w:val="000000"/>
          <w:sz w:val="20"/>
          <w:szCs w:val="20"/>
        </w:rPr>
        <w:t>ibutors, vendors and other business partners of the companies we acquire following and continuing after announcement of acquisition plans</w:t>
      </w:r>
    </w:p>
    <w:p w14:paraId="518B449C" w14:textId="77777777" w:rsidR="005C332D" w:rsidRDefault="00B93EAE">
      <w:pPr>
        <w:spacing w:before="120"/>
        <w:jc w:val="both"/>
      </w:pPr>
      <w:r>
        <w:rPr>
          <w:rFonts w:ascii="Times New Roman" w:eastAsia="宋体" w:hAnsi="Times New Roman"/>
          <w:color w:val="000000"/>
          <w:sz w:val="20"/>
          <w:szCs w:val="20"/>
        </w:rPr>
        <w:t>Acquisitions may also cause us to:</w:t>
      </w:r>
    </w:p>
    <w:p w14:paraId="518B449D" w14:textId="77777777" w:rsidR="005C332D" w:rsidRDefault="00B93EAE">
      <w:pPr>
        <w:spacing w:before="120"/>
        <w:ind w:hanging="360"/>
        <w:jc w:val="both"/>
      </w:pPr>
      <w:r>
        <w:rPr>
          <w:rFonts w:ascii="Times New Roman" w:eastAsia="宋体" w:hAnsi="Times New Roman"/>
          <w:color w:val="000000"/>
          <w:sz w:val="20"/>
          <w:szCs w:val="20"/>
        </w:rPr>
        <w:t>•Issue common stock that would dilute our current stockholders’ percentage ownershi</w:t>
      </w:r>
      <w:r>
        <w:rPr>
          <w:rFonts w:ascii="Times New Roman" w:eastAsia="宋体" w:hAnsi="Times New Roman"/>
          <w:color w:val="000000"/>
          <w:sz w:val="20"/>
          <w:szCs w:val="20"/>
        </w:rPr>
        <w:t>p</w:t>
      </w:r>
    </w:p>
    <w:p w14:paraId="518B449E" w14:textId="77777777" w:rsidR="005C332D" w:rsidRDefault="00B93EAE">
      <w:pPr>
        <w:spacing w:before="60"/>
        <w:ind w:hanging="360"/>
        <w:jc w:val="both"/>
      </w:pPr>
      <w:r>
        <w:rPr>
          <w:rFonts w:ascii="Times New Roman" w:eastAsia="宋体" w:hAnsi="Times New Roman"/>
          <w:color w:val="000000"/>
          <w:sz w:val="20"/>
          <w:szCs w:val="20"/>
        </w:rPr>
        <w:t>•Use a substantial portion of our cash resources, or incur debt</w:t>
      </w:r>
    </w:p>
    <w:p w14:paraId="518B449F" w14:textId="77777777" w:rsidR="005C332D" w:rsidRDefault="00B93EAE">
      <w:pPr>
        <w:spacing w:before="60"/>
        <w:ind w:hanging="360"/>
        <w:jc w:val="both"/>
      </w:pPr>
      <w:r>
        <w:rPr>
          <w:rFonts w:ascii="Times New Roman" w:eastAsia="宋体" w:hAnsi="Times New Roman"/>
          <w:color w:val="000000"/>
          <w:sz w:val="20"/>
          <w:szCs w:val="20"/>
        </w:rPr>
        <w:t>•Significantly increase our interest expense, leverage and debt service requirements if we incur additional debt to pay for an acquisition</w:t>
      </w:r>
    </w:p>
    <w:p w14:paraId="518B44A0" w14:textId="77777777" w:rsidR="005C332D" w:rsidRDefault="00B93EAE">
      <w:pPr>
        <w:spacing w:before="60"/>
        <w:ind w:hanging="360"/>
        <w:jc w:val="both"/>
      </w:pPr>
      <w:r>
        <w:rPr>
          <w:rFonts w:ascii="Times New Roman" w:eastAsia="宋体" w:hAnsi="Times New Roman"/>
          <w:color w:val="000000"/>
          <w:sz w:val="20"/>
          <w:szCs w:val="20"/>
        </w:rPr>
        <w:t>•Assume liabilities</w:t>
      </w:r>
    </w:p>
    <w:p w14:paraId="518B44A1" w14:textId="77777777" w:rsidR="005C332D" w:rsidRDefault="00B93EAE">
      <w:pPr>
        <w:spacing w:before="60"/>
        <w:ind w:hanging="360"/>
        <w:jc w:val="both"/>
      </w:pPr>
      <w:r>
        <w:rPr>
          <w:rFonts w:ascii="Times New Roman" w:eastAsia="宋体" w:hAnsi="Times New Roman"/>
          <w:color w:val="000000"/>
          <w:sz w:val="20"/>
          <w:szCs w:val="20"/>
        </w:rPr>
        <w:t>•Record goodwill and intangible</w:t>
      </w:r>
      <w:r>
        <w:rPr>
          <w:rFonts w:ascii="Times New Roman" w:eastAsia="宋体" w:hAnsi="Times New Roman"/>
          <w:color w:val="000000"/>
          <w:sz w:val="20"/>
          <w:szCs w:val="20"/>
        </w:rPr>
        <w:t xml:space="preserve"> assets that are subject to impairment testing on a regular basis and potential periodic impairment charges</w:t>
      </w:r>
    </w:p>
    <w:p w14:paraId="518B44A2" w14:textId="77777777" w:rsidR="005C332D" w:rsidRDefault="00B93EAE">
      <w:pPr>
        <w:spacing w:before="60"/>
        <w:ind w:hanging="360"/>
        <w:jc w:val="both"/>
      </w:pPr>
      <w:r>
        <w:rPr>
          <w:rFonts w:ascii="Times New Roman" w:eastAsia="宋体" w:hAnsi="Times New Roman"/>
          <w:color w:val="000000"/>
          <w:sz w:val="20"/>
          <w:szCs w:val="20"/>
        </w:rPr>
        <w:t>•Incur amortization expenses related to certain intangible assets</w:t>
      </w:r>
    </w:p>
    <w:p w14:paraId="518B44A3" w14:textId="77777777" w:rsidR="005C332D" w:rsidRDefault="00B93EAE">
      <w:pPr>
        <w:spacing w:before="60"/>
        <w:ind w:hanging="360"/>
        <w:jc w:val="both"/>
      </w:pPr>
      <w:r>
        <w:rPr>
          <w:rFonts w:ascii="Times New Roman" w:eastAsia="宋体" w:hAnsi="Times New Roman"/>
          <w:color w:val="000000"/>
          <w:sz w:val="20"/>
          <w:szCs w:val="20"/>
        </w:rPr>
        <w:t>•Incur tax expenses related to the effect of acquisitions on our legal structure</w:t>
      </w:r>
    </w:p>
    <w:p w14:paraId="518B44A4" w14:textId="77777777" w:rsidR="005C332D" w:rsidRDefault="00B93EAE">
      <w:pPr>
        <w:spacing w:before="60"/>
        <w:ind w:hanging="360"/>
        <w:jc w:val="both"/>
      </w:pPr>
      <w:r>
        <w:rPr>
          <w:rFonts w:ascii="Times New Roman" w:eastAsia="宋体" w:hAnsi="Times New Roman"/>
          <w:color w:val="000000"/>
          <w:sz w:val="20"/>
          <w:szCs w:val="20"/>
        </w:rPr>
        <w:t>•Incur large write-offs and restructuring and other related expenses</w:t>
      </w:r>
    </w:p>
    <w:p w14:paraId="518B44A5" w14:textId="77777777" w:rsidR="005C332D" w:rsidRDefault="00B93EAE">
      <w:pPr>
        <w:spacing w:before="60"/>
        <w:ind w:hanging="360"/>
        <w:jc w:val="both"/>
      </w:pPr>
      <w:r>
        <w:rPr>
          <w:rFonts w:ascii="Times New Roman" w:eastAsia="宋体" w:hAnsi="Times New Roman"/>
          <w:color w:val="000000"/>
          <w:sz w:val="20"/>
          <w:szCs w:val="20"/>
        </w:rPr>
        <w:t>•Become subject to intellectual property or other litigation</w:t>
      </w:r>
    </w:p>
    <w:p w14:paraId="518B44A6" w14:textId="77777777" w:rsidR="005C332D" w:rsidRDefault="00B93EAE">
      <w:pPr>
        <w:spacing w:before="120"/>
        <w:jc w:val="both"/>
      </w:pPr>
      <w:r>
        <w:rPr>
          <w:rFonts w:ascii="Times New Roman" w:eastAsia="宋体" w:hAnsi="Times New Roman"/>
          <w:color w:val="000000"/>
          <w:sz w:val="20"/>
          <w:szCs w:val="20"/>
        </w:rPr>
        <w:t xml:space="preserve">Mergers and acquisitions of high-technology companies are inherently risky and subject to many factors outside of our </w:t>
      </w:r>
      <w:r>
        <w:rPr>
          <w:rFonts w:ascii="Times New Roman" w:eastAsia="宋体" w:hAnsi="Times New Roman"/>
          <w:color w:val="000000"/>
          <w:sz w:val="20"/>
          <w:szCs w:val="20"/>
        </w:rPr>
        <w:t>control, and no assurance can be given that our previous or future acquisitions will be successful and will not materially adversely affect our business, operating results, or financial condition. Failure to manage and successfully integrate acquisitions c</w:t>
      </w:r>
      <w:r>
        <w:rPr>
          <w:rFonts w:ascii="Times New Roman" w:eastAsia="宋体" w:hAnsi="Times New Roman"/>
          <w:color w:val="000000"/>
          <w:sz w:val="20"/>
          <w:szCs w:val="20"/>
        </w:rPr>
        <w:t xml:space="preserve">ould materially harm our business and operating results. Prior acquisitions have resulted in a wide range of outcomes, from successful introduction of new products and technologies to a failure to do so. Even when an acquired company has already developed </w:t>
      </w:r>
      <w:r>
        <w:rPr>
          <w:rFonts w:ascii="Times New Roman" w:eastAsia="宋体" w:hAnsi="Times New Roman"/>
          <w:color w:val="000000"/>
          <w:sz w:val="20"/>
          <w:szCs w:val="20"/>
        </w:rPr>
        <w:t>and marketed products, there can be no assurance that product enhancements will be made in a timely fashion or that pre-acquisition due diligence will have identified all possible issues that might arise with respect to such products. In addition, our effe</w:t>
      </w:r>
      <w:r>
        <w:rPr>
          <w:rFonts w:ascii="Times New Roman" w:eastAsia="宋体" w:hAnsi="Times New Roman"/>
          <w:color w:val="000000"/>
          <w:sz w:val="20"/>
          <w:szCs w:val="20"/>
        </w:rPr>
        <w:t>ctive tax rate for future periods is uncertain and could be impacted by mergers and acquisitions. Risks related to new product development also apply to acquisitions.</w:t>
      </w:r>
    </w:p>
    <w:p w14:paraId="518B44A7" w14:textId="77777777" w:rsidR="005C332D" w:rsidRDefault="00B93EAE">
      <w:pPr>
        <w:spacing w:before="120"/>
        <w:jc w:val="both"/>
      </w:pPr>
      <w:r>
        <w:rPr>
          <w:rFonts w:ascii="Times New Roman" w:eastAsia="宋体" w:hAnsi="Times New Roman"/>
          <w:b/>
          <w:bCs/>
          <w:i/>
          <w:iCs/>
          <w:color w:val="000000"/>
          <w:sz w:val="20"/>
          <w:szCs w:val="20"/>
        </w:rPr>
        <w:t>Entrance into new or developing markets exposes us to additional competition and will lik</w:t>
      </w:r>
      <w:r>
        <w:rPr>
          <w:rFonts w:ascii="Times New Roman" w:eastAsia="宋体" w:hAnsi="Times New Roman"/>
          <w:b/>
          <w:bCs/>
          <w:i/>
          <w:iCs/>
          <w:color w:val="000000"/>
          <w:sz w:val="20"/>
          <w:szCs w:val="20"/>
        </w:rPr>
        <w:t>ely increase demands on our service and support operations.</w:t>
      </w:r>
    </w:p>
    <w:p w14:paraId="518B44A8" w14:textId="77777777" w:rsidR="005C332D" w:rsidRDefault="00B93EAE">
      <w:pPr>
        <w:spacing w:before="120"/>
        <w:jc w:val="both"/>
      </w:pPr>
      <w:r>
        <w:rPr>
          <w:rFonts w:ascii="Times New Roman" w:eastAsia="宋体" w:hAnsi="Times New Roman"/>
          <w:color w:val="000000"/>
          <w:sz w:val="20"/>
          <w:szCs w:val="20"/>
        </w:rPr>
        <w:t>As we focus on new market opportunities and key priority and growth areas, we will increasingly compete with large telecommunications equipment suppliers as well as startup companies. Several of o</w:t>
      </w:r>
      <w:r>
        <w:rPr>
          <w:rFonts w:ascii="Times New Roman" w:eastAsia="宋体" w:hAnsi="Times New Roman"/>
          <w:color w:val="000000"/>
          <w:sz w:val="20"/>
          <w:szCs w:val="20"/>
        </w:rPr>
        <w:t>ur competitors may have greater resources, including technical and engineering resources, than we do. Additionally, as customers in these markets complete infrastructure deployments, they may require greater levels of service, support, and financing than w</w:t>
      </w:r>
      <w:r>
        <w:rPr>
          <w:rFonts w:ascii="Times New Roman" w:eastAsia="宋体" w:hAnsi="Times New Roman"/>
          <w:color w:val="000000"/>
          <w:sz w:val="20"/>
          <w:szCs w:val="20"/>
        </w:rPr>
        <w:t>e have provided in the past, especially in emerging countries. Demand for these types of service, support, or financing contracts may increase in the future. There can be no assurance that we can provide products, service, support, and financing to effecti</w:t>
      </w:r>
      <w:r>
        <w:rPr>
          <w:rFonts w:ascii="Times New Roman" w:eastAsia="宋体" w:hAnsi="Times New Roman"/>
          <w:color w:val="000000"/>
          <w:sz w:val="20"/>
          <w:szCs w:val="20"/>
        </w:rPr>
        <w:t>vely compete for these market opportunities. Further, entry into other markets has subjected and will subject us to additional risks, particularly to those markets, including the effects of general market conditions and reduced consumer confidence. For exa</w:t>
      </w:r>
      <w:r>
        <w:rPr>
          <w:rFonts w:ascii="Times New Roman" w:eastAsia="宋体" w:hAnsi="Times New Roman"/>
          <w:color w:val="000000"/>
          <w:sz w:val="20"/>
          <w:szCs w:val="20"/>
        </w:rPr>
        <w:t>mple, as we add direct selling capabilities globally to meet changing customer demands, we will face increased legal and regulatory requirements.</w:t>
      </w:r>
    </w:p>
    <w:p w14:paraId="518B44A9" w14:textId="77777777" w:rsidR="005C332D" w:rsidRDefault="00B93EAE">
      <w:pPr>
        <w:jc w:val="center"/>
      </w:pPr>
      <w:r>
        <w:rPr>
          <w:rFonts w:ascii="Times New Roman" w:eastAsia="宋体" w:hAnsi="Times New Roman"/>
          <w:color w:val="000000"/>
          <w:sz w:val="20"/>
          <w:szCs w:val="20"/>
        </w:rPr>
        <w:t>22</w:t>
      </w:r>
    </w:p>
    <w:p w14:paraId="518B44AA" w14:textId="77777777" w:rsidR="005C332D" w:rsidRDefault="00B93EAE">
      <w:r>
        <w:pict w14:anchorId="518B8729">
          <v:rect id="_x0000_i1048" style="width:415.3pt;height:1.5pt" o:hralign="center" o:hrstd="t" o:hr="t" fillcolor="#a0a0a0" stroked="f"/>
        </w:pict>
      </w:r>
    </w:p>
    <w:p w14:paraId="518B44AB" w14:textId="77777777" w:rsidR="005C332D" w:rsidRDefault="00B93EAE">
      <w:hyperlink r:id="rId76" w:anchor="i049852cab38845aabd2a79d07dacda86_7" w:history="1">
        <w:r>
          <w:rPr>
            <w:rStyle w:val="a5"/>
            <w:rFonts w:ascii="Times New Roman" w:eastAsia="宋体" w:hAnsi="Times New Roman"/>
            <w:sz w:val="20"/>
            <w:szCs w:val="20"/>
          </w:rPr>
          <w:t>Table of Contents</w:t>
        </w:r>
      </w:hyperlink>
    </w:p>
    <w:p w14:paraId="518B44AC" w14:textId="77777777" w:rsidR="005C332D" w:rsidRDefault="00B93EAE">
      <w:pPr>
        <w:spacing w:before="120"/>
        <w:jc w:val="both"/>
      </w:pPr>
      <w:r>
        <w:rPr>
          <w:rFonts w:ascii="Times New Roman" w:eastAsia="宋体" w:hAnsi="Times New Roman"/>
          <w:b/>
          <w:bCs/>
          <w:i/>
          <w:iCs/>
          <w:color w:val="000000"/>
          <w:sz w:val="20"/>
          <w:szCs w:val="20"/>
        </w:rPr>
        <w:t>Industry consolidation may lead to increased competition and may harm our operating results.</w:t>
      </w:r>
    </w:p>
    <w:p w14:paraId="518B44AD" w14:textId="77777777" w:rsidR="005C332D" w:rsidRDefault="00B93EAE">
      <w:pPr>
        <w:spacing w:before="120"/>
        <w:jc w:val="both"/>
      </w:pPr>
      <w:r>
        <w:rPr>
          <w:rFonts w:ascii="Times New Roman" w:eastAsia="宋体" w:hAnsi="Times New Roman"/>
          <w:color w:val="000000"/>
          <w:sz w:val="20"/>
          <w:szCs w:val="20"/>
        </w:rPr>
        <w:t>There is a continuing trend toward industry consolidation in our markets. We expect this trend to con</w:t>
      </w:r>
      <w:r>
        <w:rPr>
          <w:rFonts w:ascii="Times New Roman" w:eastAsia="宋体" w:hAnsi="Times New Roman"/>
          <w:color w:val="000000"/>
          <w:sz w:val="20"/>
          <w:szCs w:val="20"/>
        </w:rPr>
        <w:t>tinue as companies attempt to strengthen or hold their market positions in an evolving industry and as companies are acquired or are unable to continue operations. For example, some of our current and potential competitors for enterprise data center busine</w:t>
      </w:r>
      <w:r>
        <w:rPr>
          <w:rFonts w:ascii="Times New Roman" w:eastAsia="宋体" w:hAnsi="Times New Roman"/>
          <w:color w:val="000000"/>
          <w:sz w:val="20"/>
          <w:szCs w:val="20"/>
        </w:rPr>
        <w:t>ss have made acquisitions, or announced new strategic alliances, designed to position them with the ability to provide end-to-end technology solutions for the enterprise data center. Companies that are strategic alliance partners in some areas of our busin</w:t>
      </w:r>
      <w:r>
        <w:rPr>
          <w:rFonts w:ascii="Times New Roman" w:eastAsia="宋体" w:hAnsi="Times New Roman"/>
          <w:color w:val="000000"/>
          <w:sz w:val="20"/>
          <w:szCs w:val="20"/>
        </w:rPr>
        <w:t>ess may acquire or form alliances with our competitors, thereby reducing their business with us. We believe that industry consolidation may result in stronger competitors that are better able to compete as sole-source vendors for customers. This could lead</w:t>
      </w:r>
      <w:r>
        <w:rPr>
          <w:rFonts w:ascii="Times New Roman" w:eastAsia="宋体" w:hAnsi="Times New Roman"/>
          <w:color w:val="000000"/>
          <w:sz w:val="20"/>
          <w:szCs w:val="20"/>
        </w:rPr>
        <w:t xml:space="preserve"> to more variability in our operating results and could have a material adverse effect on our business, operating results, and financial condition. Furthermore, particularly in the service provider market, rapid consolidation will lead to fewer customers, </w:t>
      </w:r>
      <w:r>
        <w:rPr>
          <w:rFonts w:ascii="Times New Roman" w:eastAsia="宋体" w:hAnsi="Times New Roman"/>
          <w:color w:val="000000"/>
          <w:sz w:val="20"/>
          <w:szCs w:val="20"/>
        </w:rPr>
        <w:t>with the effect that loss of a major customer could have a material impact on results not anticipated in a customer marketplace composed of more numerous participants.</w:t>
      </w:r>
    </w:p>
    <w:p w14:paraId="518B44AE" w14:textId="77777777" w:rsidR="005C332D" w:rsidRDefault="00B93EAE">
      <w:pPr>
        <w:spacing w:before="120"/>
        <w:jc w:val="both"/>
      </w:pPr>
      <w:r>
        <w:rPr>
          <w:rFonts w:ascii="Times New Roman" w:eastAsia="宋体" w:hAnsi="Times New Roman"/>
          <w:b/>
          <w:bCs/>
          <w:i/>
          <w:iCs/>
          <w:color w:val="000000"/>
          <w:sz w:val="20"/>
          <w:szCs w:val="20"/>
        </w:rPr>
        <w:t>Product quality problems could lead to reduced revenue, gross margins, and net income.</w:t>
      </w:r>
    </w:p>
    <w:p w14:paraId="518B44AF" w14:textId="77777777" w:rsidR="005C332D" w:rsidRDefault="00B93EAE">
      <w:pPr>
        <w:spacing w:before="120"/>
        <w:jc w:val="both"/>
      </w:pPr>
      <w:r>
        <w:rPr>
          <w:rFonts w:ascii="Times New Roman" w:eastAsia="宋体" w:hAnsi="Times New Roman"/>
          <w:color w:val="000000"/>
          <w:sz w:val="20"/>
          <w:szCs w:val="20"/>
        </w:rPr>
        <w:t>W</w:t>
      </w:r>
      <w:r>
        <w:rPr>
          <w:rFonts w:ascii="Times New Roman" w:eastAsia="宋体" w:hAnsi="Times New Roman"/>
          <w:color w:val="000000"/>
          <w:sz w:val="20"/>
          <w:szCs w:val="20"/>
        </w:rPr>
        <w:t>e produce highly complex products that incorporate leading-edge technology, including both hardware and software. Software typically contains bugs that can unexpectedly interfere with expected operations. There can be no assurance that our pre-shipment tes</w:t>
      </w:r>
      <w:r>
        <w:rPr>
          <w:rFonts w:ascii="Times New Roman" w:eastAsia="宋体" w:hAnsi="Times New Roman"/>
          <w:color w:val="000000"/>
          <w:sz w:val="20"/>
          <w:szCs w:val="20"/>
        </w:rPr>
        <w:t>ting programs will be adequate to detect all defects, either ones in individual products or ones that could affect numerous shipments, which might interfere with customer satisfaction, reduce sales opportunities, or affect gross margins. From time to time,</w:t>
      </w:r>
      <w:r>
        <w:rPr>
          <w:rFonts w:ascii="Times New Roman" w:eastAsia="宋体" w:hAnsi="Times New Roman"/>
          <w:color w:val="000000"/>
          <w:sz w:val="20"/>
          <w:szCs w:val="20"/>
        </w:rPr>
        <w:t xml:space="preserve"> we have had to replace certain components and provide remediation in response to the discovery of defects or bugs in products that we had shipped. There can be no assurance that such remediation, depending on the product involved, would not have a materia</w:t>
      </w:r>
      <w:r>
        <w:rPr>
          <w:rFonts w:ascii="Times New Roman" w:eastAsia="宋体" w:hAnsi="Times New Roman"/>
          <w:color w:val="000000"/>
          <w:sz w:val="20"/>
          <w:szCs w:val="20"/>
        </w:rPr>
        <w:t>l impact. An inability to cure a product defect could result in the failure of a product line, temporary or permanent withdrawal from a product or market, damage to our reputation, inventory costs, or product reengineering expenses, any of which could have</w:t>
      </w:r>
      <w:r>
        <w:rPr>
          <w:rFonts w:ascii="Times New Roman" w:eastAsia="宋体" w:hAnsi="Times New Roman"/>
          <w:color w:val="000000"/>
          <w:sz w:val="20"/>
          <w:szCs w:val="20"/>
        </w:rPr>
        <w:t xml:space="preserve"> a material impact on our revenue, margins, and net income.</w:t>
      </w:r>
    </w:p>
    <w:p w14:paraId="518B44B0" w14:textId="77777777" w:rsidR="005C332D" w:rsidRDefault="00B93EAE">
      <w:pPr>
        <w:spacing w:before="120"/>
        <w:jc w:val="both"/>
      </w:pPr>
      <w:r>
        <w:rPr>
          <w:rFonts w:ascii="Times New Roman" w:eastAsia="宋体" w:hAnsi="Times New Roman"/>
          <w:b/>
          <w:bCs/>
          <w:i/>
          <w:iCs/>
          <w:color w:val="000000"/>
          <w:sz w:val="20"/>
          <w:szCs w:val="20"/>
        </w:rPr>
        <w:t>Due to the global nature of our operations, political or economic changes or other factors in a specific country or region could harm our operating results and financial condition.</w:t>
      </w:r>
    </w:p>
    <w:p w14:paraId="518B44B1" w14:textId="77777777" w:rsidR="005C332D" w:rsidRDefault="00B93EAE">
      <w:pPr>
        <w:spacing w:before="120"/>
        <w:jc w:val="both"/>
      </w:pPr>
      <w:r>
        <w:rPr>
          <w:rFonts w:ascii="Times New Roman" w:eastAsia="宋体" w:hAnsi="Times New Roman"/>
          <w:color w:val="000000"/>
          <w:sz w:val="20"/>
          <w:szCs w:val="20"/>
        </w:rPr>
        <w:t>We conduct sign</w:t>
      </w:r>
      <w:r>
        <w:rPr>
          <w:rFonts w:ascii="Times New Roman" w:eastAsia="宋体" w:hAnsi="Times New Roman"/>
          <w:color w:val="000000"/>
          <w:sz w:val="20"/>
          <w:szCs w:val="20"/>
        </w:rPr>
        <w:t>ificant sales and customer support operations in countries around the world. As such, our growth depends in part on our increasing sales into emerging countries. We also depend on non-U.S. operations of our contract manufacturers, component suppliers and d</w:t>
      </w:r>
      <w:r>
        <w:rPr>
          <w:rFonts w:ascii="Times New Roman" w:eastAsia="宋体" w:hAnsi="Times New Roman"/>
          <w:color w:val="000000"/>
          <w:sz w:val="20"/>
          <w:szCs w:val="20"/>
        </w:rPr>
        <w:t>istribution partners. Our business in emerging countries in the aggregate experienced a decline in orders in certain prior periods. We continue to assess the sustainability of any improvements in our business in these countries and there can be no assuranc</w:t>
      </w:r>
      <w:r>
        <w:rPr>
          <w:rFonts w:ascii="Times New Roman" w:eastAsia="宋体" w:hAnsi="Times New Roman"/>
          <w:color w:val="000000"/>
          <w:sz w:val="20"/>
          <w:szCs w:val="20"/>
        </w:rPr>
        <w:t>e that our investments in these countries will be successful. Our future results could be materially adversely affected by a variety of political, economic or other factors relating to our operations inside and outside the United States, any or all of whic</w:t>
      </w:r>
      <w:r>
        <w:rPr>
          <w:rFonts w:ascii="Times New Roman" w:eastAsia="宋体" w:hAnsi="Times New Roman"/>
          <w:color w:val="000000"/>
          <w:sz w:val="20"/>
          <w:szCs w:val="20"/>
        </w:rPr>
        <w:t>h could have a material adverse effect on our operating results and financial condition, including the following: impacts from global central bank monetary policy; issues related to the political relationship between the United States and other countries t</w:t>
      </w:r>
      <w:r>
        <w:rPr>
          <w:rFonts w:ascii="Times New Roman" w:eastAsia="宋体" w:hAnsi="Times New Roman"/>
          <w:color w:val="000000"/>
          <w:sz w:val="20"/>
          <w:szCs w:val="20"/>
        </w:rPr>
        <w:t>hat can affect regulatory matters, affect the willingness of customers in those countries to purchase products from companies headquartered in the United States or affect our ability to procure components if a government body were to deny us access to thos</w:t>
      </w:r>
      <w:r>
        <w:rPr>
          <w:rFonts w:ascii="Times New Roman" w:eastAsia="宋体" w:hAnsi="Times New Roman"/>
          <w:color w:val="000000"/>
          <w:sz w:val="20"/>
          <w:szCs w:val="20"/>
        </w:rPr>
        <w:t>e components; government-related disruptions or shutdowns; the challenging and inconsistent global macroeconomic environment; foreign currency exchange rates; geopolitical tensions (including China-Taiwan relations); political or social unrest; economic in</w:t>
      </w:r>
      <w:r>
        <w:rPr>
          <w:rFonts w:ascii="Times New Roman" w:eastAsia="宋体" w:hAnsi="Times New Roman"/>
          <w:color w:val="000000"/>
          <w:sz w:val="20"/>
          <w:szCs w:val="20"/>
        </w:rPr>
        <w:t xml:space="preserve">stability or weakness or natural disasters in a specific country or region, including economic challenges in China and global economic ramifications of Chinese economic difficulties; environmental protection regulations (including new laws and regulations </w:t>
      </w:r>
      <w:r>
        <w:rPr>
          <w:rFonts w:ascii="Times New Roman" w:eastAsia="宋体" w:hAnsi="Times New Roman"/>
          <w:color w:val="000000"/>
          <w:sz w:val="20"/>
          <w:szCs w:val="20"/>
        </w:rPr>
        <w:t>related to climate change); trade protection measures such as tariffs, and other legal and regulatory requirements, some of which may affect our ability to import our products to, export our products from, or sell our products in various countries or affec</w:t>
      </w:r>
      <w:r>
        <w:rPr>
          <w:rFonts w:ascii="Times New Roman" w:eastAsia="宋体" w:hAnsi="Times New Roman"/>
          <w:color w:val="000000"/>
          <w:sz w:val="20"/>
          <w:szCs w:val="20"/>
        </w:rPr>
        <w:t xml:space="preserve">t our ability to procure components; political considerations that affect service provider and government spending patterns; health or similar issues, including pandemics or epidemics, such as the COVID-19 pandemic, which could continue to affect customer </w:t>
      </w:r>
      <w:r>
        <w:rPr>
          <w:rFonts w:ascii="Times New Roman" w:eastAsia="宋体" w:hAnsi="Times New Roman"/>
          <w:color w:val="000000"/>
          <w:sz w:val="20"/>
          <w:szCs w:val="20"/>
        </w:rPr>
        <w:t>purchasing decisions; difficulties in staffing and managing international operations; and adverse tax consequences, including imposition of withholding or other taxes on our global operations.</w:t>
      </w:r>
    </w:p>
    <w:p w14:paraId="518B44B2" w14:textId="77777777" w:rsidR="005C332D" w:rsidRDefault="00B93EAE">
      <w:pPr>
        <w:spacing w:before="120"/>
        <w:jc w:val="both"/>
      </w:pPr>
      <w:r>
        <w:rPr>
          <w:rFonts w:ascii="Times New Roman" w:eastAsia="宋体" w:hAnsi="Times New Roman"/>
          <w:b/>
          <w:bCs/>
          <w:i/>
          <w:iCs/>
          <w:color w:val="000000"/>
          <w:sz w:val="20"/>
          <w:szCs w:val="20"/>
        </w:rPr>
        <w:t xml:space="preserve">We are exposed to the credit risk of some of our customers and </w:t>
      </w:r>
      <w:r>
        <w:rPr>
          <w:rFonts w:ascii="Times New Roman" w:eastAsia="宋体" w:hAnsi="Times New Roman"/>
          <w:b/>
          <w:bCs/>
          <w:i/>
          <w:iCs/>
          <w:color w:val="000000"/>
          <w:sz w:val="20"/>
          <w:szCs w:val="20"/>
        </w:rPr>
        <w:t>to credit exposures in weakened markets, which could result in material losses.</w:t>
      </w:r>
    </w:p>
    <w:p w14:paraId="518B44B3" w14:textId="77777777" w:rsidR="005C332D" w:rsidRDefault="00B93EAE">
      <w:pPr>
        <w:spacing w:before="120"/>
        <w:jc w:val="both"/>
      </w:pPr>
      <w:r>
        <w:rPr>
          <w:rFonts w:ascii="Times New Roman" w:eastAsia="宋体" w:hAnsi="Times New Roman"/>
          <w:color w:val="000000"/>
          <w:sz w:val="20"/>
          <w:szCs w:val="20"/>
        </w:rPr>
        <w:t>Most of our sales are on an open credit basis, with typical payment terms of 30 days in the United States, and, because of local customs or conditions, longer in some markets o</w:t>
      </w:r>
      <w:r>
        <w:rPr>
          <w:rFonts w:ascii="Times New Roman" w:eastAsia="宋体" w:hAnsi="Times New Roman"/>
          <w:color w:val="000000"/>
          <w:sz w:val="20"/>
          <w:szCs w:val="20"/>
        </w:rPr>
        <w:t xml:space="preserve">utside the United States. Beyond our open credit arrangements, we have also experienced demands for customer financing and facilitation of leasing arrangements. Our loan financing arrangements may include not only financing the acquisition of our products </w:t>
      </w:r>
      <w:r>
        <w:rPr>
          <w:rFonts w:ascii="Times New Roman" w:eastAsia="宋体" w:hAnsi="Times New Roman"/>
          <w:color w:val="000000"/>
          <w:sz w:val="20"/>
          <w:szCs w:val="20"/>
        </w:rPr>
        <w:t>and services but also providing additional funds for other costs associated with network installation and integration of our products and services. Our exposure to the credit risks relating to our financing activities may increase if our customers are adve</w:t>
      </w:r>
      <w:r>
        <w:rPr>
          <w:rFonts w:ascii="Times New Roman" w:eastAsia="宋体" w:hAnsi="Times New Roman"/>
          <w:color w:val="000000"/>
          <w:sz w:val="20"/>
          <w:szCs w:val="20"/>
        </w:rPr>
        <w:t>rsely affected by a global economic downturn or periods of economic uncertainty. There can be no assurance that programs we have in place to monitor and mitigate credit risks will be effective. In the past, there have been significant bankruptcies among cu</w:t>
      </w:r>
      <w:r>
        <w:rPr>
          <w:rFonts w:ascii="Times New Roman" w:eastAsia="宋体" w:hAnsi="Times New Roman"/>
          <w:color w:val="000000"/>
          <w:sz w:val="20"/>
          <w:szCs w:val="20"/>
        </w:rPr>
        <w:t xml:space="preserve">stomers both on open credit and with loan or lease financing </w:t>
      </w:r>
    </w:p>
    <w:p w14:paraId="518B44B4" w14:textId="77777777" w:rsidR="005C332D" w:rsidRDefault="00B93EAE">
      <w:pPr>
        <w:jc w:val="center"/>
      </w:pPr>
      <w:r>
        <w:rPr>
          <w:rFonts w:ascii="Times New Roman" w:eastAsia="宋体" w:hAnsi="Times New Roman"/>
          <w:color w:val="000000"/>
          <w:sz w:val="20"/>
          <w:szCs w:val="20"/>
        </w:rPr>
        <w:t>23</w:t>
      </w:r>
    </w:p>
    <w:p w14:paraId="518B44B5" w14:textId="77777777" w:rsidR="005C332D" w:rsidRDefault="00B93EAE">
      <w:r>
        <w:pict w14:anchorId="518B872A">
          <v:rect id="_x0000_i1049" style="width:415.3pt;height:1.5pt" o:hralign="center" o:hrstd="t" o:hr="t" fillcolor="#a0a0a0" stroked="f"/>
        </w:pict>
      </w:r>
    </w:p>
    <w:p w14:paraId="518B44B6" w14:textId="77777777" w:rsidR="005C332D" w:rsidRDefault="00B93EAE">
      <w:hyperlink r:id="rId77" w:anchor="i049852cab38845aabd2a79d07dacda86_7" w:history="1">
        <w:r>
          <w:rPr>
            <w:rStyle w:val="a5"/>
            <w:rFonts w:ascii="Times New Roman" w:eastAsia="宋体" w:hAnsi="Times New Roman"/>
            <w:sz w:val="20"/>
            <w:szCs w:val="20"/>
          </w:rPr>
          <w:t>Table of Contents</w:t>
        </w:r>
      </w:hyperlink>
    </w:p>
    <w:p w14:paraId="518B44B7" w14:textId="77777777" w:rsidR="005C332D" w:rsidRDefault="00B93EAE">
      <w:pPr>
        <w:spacing w:before="120"/>
        <w:jc w:val="both"/>
      </w:pPr>
      <w:r>
        <w:rPr>
          <w:rFonts w:ascii="Times New Roman" w:eastAsia="宋体" w:hAnsi="Times New Roman"/>
          <w:color w:val="000000"/>
          <w:sz w:val="20"/>
          <w:szCs w:val="20"/>
        </w:rPr>
        <w:t>arrangements, particul</w:t>
      </w:r>
      <w:r>
        <w:rPr>
          <w:rFonts w:ascii="Times New Roman" w:eastAsia="宋体" w:hAnsi="Times New Roman"/>
          <w:color w:val="000000"/>
          <w:sz w:val="20"/>
          <w:szCs w:val="20"/>
        </w:rPr>
        <w:t>arly among Internet businesses and service providers, causing us to incur economic or financial losses. There can be no assurance that additional losses will not be incurred. Although these losses have not been material to date, future losses, if incurred,</w:t>
      </w:r>
      <w:r>
        <w:rPr>
          <w:rFonts w:ascii="Times New Roman" w:eastAsia="宋体" w:hAnsi="Times New Roman"/>
          <w:color w:val="000000"/>
          <w:sz w:val="20"/>
          <w:szCs w:val="20"/>
        </w:rPr>
        <w:t xml:space="preserve"> could harm our business and have a material adverse effect on our operating results and financial condition. Additionally, to the degree that turmoil in the credit markets makes it more difficult for some customers to obtain financing, those customers’ ab</w:t>
      </w:r>
      <w:r>
        <w:rPr>
          <w:rFonts w:ascii="Times New Roman" w:eastAsia="宋体" w:hAnsi="Times New Roman"/>
          <w:color w:val="000000"/>
          <w:sz w:val="20"/>
          <w:szCs w:val="20"/>
        </w:rPr>
        <w:t>ility to pay could be adversely impacted, which in turn could have a material adverse impact on our business, operating results, and financial condition.</w:t>
      </w:r>
    </w:p>
    <w:p w14:paraId="518B44B8" w14:textId="77777777" w:rsidR="005C332D" w:rsidRDefault="00B93EAE">
      <w:pPr>
        <w:spacing w:before="120"/>
        <w:jc w:val="both"/>
      </w:pPr>
      <w:r>
        <w:rPr>
          <w:rFonts w:ascii="Times New Roman" w:eastAsia="宋体" w:hAnsi="Times New Roman"/>
          <w:b/>
          <w:bCs/>
          <w:i/>
          <w:iCs/>
          <w:color w:val="000000"/>
          <w:sz w:val="20"/>
          <w:szCs w:val="20"/>
        </w:rPr>
        <w:t>We are exposed to fluctuations in the market values of our portfolio investments and in interest rates</w:t>
      </w:r>
      <w:r>
        <w:rPr>
          <w:rFonts w:ascii="Times New Roman" w:eastAsia="宋体" w:hAnsi="Times New Roman"/>
          <w:b/>
          <w:bCs/>
          <w:i/>
          <w:iCs/>
          <w:color w:val="000000"/>
          <w:sz w:val="20"/>
          <w:szCs w:val="20"/>
        </w:rPr>
        <w:t>; impairment of our investments could harm our earnings.</w:t>
      </w:r>
    </w:p>
    <w:p w14:paraId="518B44B9" w14:textId="77777777" w:rsidR="005C332D" w:rsidRDefault="00B93EAE">
      <w:pPr>
        <w:spacing w:before="120"/>
        <w:jc w:val="both"/>
      </w:pPr>
      <w:r>
        <w:rPr>
          <w:rFonts w:ascii="Times New Roman" w:eastAsia="宋体" w:hAnsi="Times New Roman"/>
          <w:color w:val="000000"/>
          <w:sz w:val="20"/>
          <w:szCs w:val="20"/>
        </w:rPr>
        <w:t>We maintain an investment portfolio of various holdings, types, and maturities. Our portfolio includes available-for-sale debt investments and equity investments, the values of which are subject to m</w:t>
      </w:r>
      <w:r>
        <w:rPr>
          <w:rFonts w:ascii="Times New Roman" w:eastAsia="宋体" w:hAnsi="Times New Roman"/>
          <w:color w:val="000000"/>
          <w:sz w:val="20"/>
          <w:szCs w:val="20"/>
        </w:rPr>
        <w:t>arket price volatility. If such investments suffer market price declines, as we experienced with some of our investments in the past, we may recognize in earnings the decline in the fair value of our investments below their cost basis. Our privately held i</w:t>
      </w:r>
      <w:r>
        <w:rPr>
          <w:rFonts w:ascii="Times New Roman" w:eastAsia="宋体" w:hAnsi="Times New Roman"/>
          <w:color w:val="000000"/>
          <w:sz w:val="20"/>
          <w:szCs w:val="20"/>
        </w:rPr>
        <w:t>nvestments are subject to risk of loss of investment capital. These investments are inherently risky because the markets for the technologies or products they have under development are typically in the early stages and may never materialize. We could lose</w:t>
      </w:r>
      <w:r>
        <w:rPr>
          <w:rFonts w:ascii="Times New Roman" w:eastAsia="宋体" w:hAnsi="Times New Roman"/>
          <w:color w:val="000000"/>
          <w:sz w:val="20"/>
          <w:szCs w:val="20"/>
        </w:rPr>
        <w:t xml:space="preserve"> our entire investment in these companies. For information regarding the market risks associated with the fair value of portfolio investments and interest rates, refer to the section titled “Quantitative and Qualitative Disclosures About Market Risk.”</w:t>
      </w:r>
    </w:p>
    <w:p w14:paraId="518B44BA" w14:textId="77777777" w:rsidR="005C332D" w:rsidRDefault="00B93EAE">
      <w:pPr>
        <w:spacing w:before="120"/>
        <w:jc w:val="both"/>
      </w:pPr>
      <w:r>
        <w:rPr>
          <w:rFonts w:ascii="Times New Roman" w:eastAsia="宋体" w:hAnsi="Times New Roman"/>
          <w:b/>
          <w:bCs/>
          <w:i/>
          <w:iCs/>
          <w:color w:val="000000"/>
          <w:sz w:val="20"/>
          <w:szCs w:val="20"/>
        </w:rPr>
        <w:t>We a</w:t>
      </w:r>
      <w:r>
        <w:rPr>
          <w:rFonts w:ascii="Times New Roman" w:eastAsia="宋体" w:hAnsi="Times New Roman"/>
          <w:b/>
          <w:bCs/>
          <w:i/>
          <w:iCs/>
          <w:color w:val="000000"/>
          <w:sz w:val="20"/>
          <w:szCs w:val="20"/>
        </w:rPr>
        <w:t>re exposed to fluctuations in currency exchange rates that could negatively impact our financial results and cash flows.</w:t>
      </w:r>
    </w:p>
    <w:p w14:paraId="518B44BB" w14:textId="77777777" w:rsidR="005C332D" w:rsidRDefault="00B93EAE">
      <w:pPr>
        <w:spacing w:before="120"/>
        <w:jc w:val="both"/>
      </w:pPr>
      <w:r>
        <w:rPr>
          <w:rFonts w:ascii="Times New Roman" w:eastAsia="宋体" w:hAnsi="Times New Roman"/>
          <w:color w:val="000000"/>
          <w:sz w:val="20"/>
          <w:szCs w:val="20"/>
        </w:rPr>
        <w:t xml:space="preserve">Because a significant portion of our business is conducted outside the United States, we face exposure to adverse movements in foreign </w:t>
      </w:r>
      <w:r>
        <w:rPr>
          <w:rFonts w:ascii="Times New Roman" w:eastAsia="宋体" w:hAnsi="Times New Roman"/>
          <w:color w:val="000000"/>
          <w:sz w:val="20"/>
          <w:szCs w:val="20"/>
        </w:rPr>
        <w:t xml:space="preserve">currency exchange rates, including emerging market currencies which can have extreme currency volatility. An increase in the value of the dollar could increase the real cost to our customers of our products in those markets outside the United States where </w:t>
      </w:r>
      <w:r>
        <w:rPr>
          <w:rFonts w:ascii="Times New Roman" w:eastAsia="宋体" w:hAnsi="Times New Roman"/>
          <w:color w:val="000000"/>
          <w:sz w:val="20"/>
          <w:szCs w:val="20"/>
        </w:rPr>
        <w:t>we sell in dollars and a weakened dollar could increase the cost of local operating expenses and procurement of raw materials to the extent that we must purchase components in foreign currencies. These exposures may change over time as business practices e</w:t>
      </w:r>
      <w:r>
        <w:rPr>
          <w:rFonts w:ascii="Times New Roman" w:eastAsia="宋体" w:hAnsi="Times New Roman"/>
          <w:color w:val="000000"/>
          <w:sz w:val="20"/>
          <w:szCs w:val="20"/>
        </w:rPr>
        <w:t>volve, and they could have a material adverse impact on our financial results and cash flows.</w:t>
      </w:r>
    </w:p>
    <w:p w14:paraId="518B44BC" w14:textId="77777777" w:rsidR="005C332D" w:rsidRDefault="00B93EAE">
      <w:pPr>
        <w:spacing w:before="120"/>
        <w:jc w:val="both"/>
      </w:pPr>
      <w:r>
        <w:rPr>
          <w:rFonts w:ascii="Times New Roman" w:eastAsia="宋体" w:hAnsi="Times New Roman"/>
          <w:b/>
          <w:bCs/>
          <w:i/>
          <w:iCs/>
          <w:color w:val="000000"/>
          <w:sz w:val="20"/>
          <w:szCs w:val="20"/>
        </w:rPr>
        <w:t>Failure to retain and recruit key personnel would harm our ability to meet key objectives.</w:t>
      </w:r>
    </w:p>
    <w:p w14:paraId="518B44BD" w14:textId="77777777" w:rsidR="005C332D" w:rsidRDefault="00B93EAE">
      <w:pPr>
        <w:spacing w:before="120"/>
        <w:jc w:val="both"/>
      </w:pPr>
      <w:r>
        <w:rPr>
          <w:rFonts w:ascii="Times New Roman" w:eastAsia="宋体" w:hAnsi="Times New Roman"/>
          <w:color w:val="000000"/>
          <w:sz w:val="20"/>
          <w:szCs w:val="20"/>
        </w:rPr>
        <w:t>Our success has always depended in large part on our ability to attract</w:t>
      </w:r>
      <w:r>
        <w:rPr>
          <w:rFonts w:ascii="Times New Roman" w:eastAsia="宋体" w:hAnsi="Times New Roman"/>
          <w:color w:val="000000"/>
          <w:sz w:val="20"/>
          <w:szCs w:val="20"/>
        </w:rPr>
        <w:t xml:space="preserve"> and retain highly skilled technical, managerial, sales, and marketing personnel. Competition for such personnel is intense, especially in the Silicon Valley area of Northern California. Stock incentive plans are designed to reward employees for their long</w:t>
      </w:r>
      <w:r>
        <w:rPr>
          <w:rFonts w:ascii="Times New Roman" w:eastAsia="宋体" w:hAnsi="Times New Roman"/>
          <w:color w:val="000000"/>
          <w:sz w:val="20"/>
          <w:szCs w:val="20"/>
        </w:rPr>
        <w:t>-term contributions and provide incentives for them to remain with us. Volatility or lack of positive performance in our stock price or equity incentive awards, or changes to our overall compensation program, including our stock incentive program, resultin</w:t>
      </w:r>
      <w:r>
        <w:rPr>
          <w:rFonts w:ascii="Times New Roman" w:eastAsia="宋体" w:hAnsi="Times New Roman"/>
          <w:color w:val="000000"/>
          <w:sz w:val="20"/>
          <w:szCs w:val="20"/>
        </w:rPr>
        <w:t>g from the management of share dilution and share-based compensation expense or otherwise, may also adversely affect our ability to retain key employees. As a result of one or more of these factors, we may increase our hiring in geographic areas outside th</w:t>
      </w:r>
      <w:r>
        <w:rPr>
          <w:rFonts w:ascii="Times New Roman" w:eastAsia="宋体" w:hAnsi="Times New Roman"/>
          <w:color w:val="000000"/>
          <w:sz w:val="20"/>
          <w:szCs w:val="20"/>
        </w:rPr>
        <w:t>e United States, which could subject us to additional geopolitical and exchange rate risk. The loss of services of any of our key personnel; the inability to retain and attract qualified personnel in the future; or delays in hiring required personnel, part</w:t>
      </w:r>
      <w:r>
        <w:rPr>
          <w:rFonts w:ascii="Times New Roman" w:eastAsia="宋体" w:hAnsi="Times New Roman"/>
          <w:color w:val="000000"/>
          <w:sz w:val="20"/>
          <w:szCs w:val="20"/>
        </w:rPr>
        <w:t>icularly engineering and sales personnel, could make it difficult to meet key objectives, such as timely and effective product introductions. In addition, companies in our industry whose employees accept positions with competitors frequently claim that com</w:t>
      </w:r>
      <w:r>
        <w:rPr>
          <w:rFonts w:ascii="Times New Roman" w:eastAsia="宋体" w:hAnsi="Times New Roman"/>
          <w:color w:val="000000"/>
          <w:sz w:val="20"/>
          <w:szCs w:val="20"/>
        </w:rPr>
        <w:t>petitors have engaged in improper hiring practices. We have received these claims in the past and may receive additional claims to this effect in the future.</w:t>
      </w:r>
    </w:p>
    <w:p w14:paraId="518B44BE" w14:textId="77777777" w:rsidR="005C332D" w:rsidRDefault="00B93EAE">
      <w:pPr>
        <w:spacing w:before="120"/>
        <w:jc w:val="both"/>
      </w:pPr>
      <w:r>
        <w:rPr>
          <w:rFonts w:ascii="Times New Roman" w:eastAsia="宋体" w:hAnsi="Times New Roman"/>
          <w:b/>
          <w:bCs/>
          <w:i/>
          <w:iCs/>
          <w:color w:val="000000"/>
          <w:sz w:val="20"/>
          <w:szCs w:val="20"/>
        </w:rPr>
        <w:t xml:space="preserve">Adverse resolution of litigation or governmental investigations may harm our operating </w:t>
      </w:r>
      <w:r>
        <w:rPr>
          <w:rFonts w:ascii="Times New Roman" w:eastAsia="宋体" w:hAnsi="Times New Roman"/>
          <w:b/>
          <w:bCs/>
          <w:i/>
          <w:iCs/>
          <w:color w:val="000000"/>
          <w:sz w:val="20"/>
          <w:szCs w:val="20"/>
        </w:rPr>
        <w:t>results or financial condition.</w:t>
      </w:r>
    </w:p>
    <w:p w14:paraId="518B44BF" w14:textId="77777777" w:rsidR="005C332D" w:rsidRDefault="00B93EAE">
      <w:pPr>
        <w:spacing w:before="120"/>
        <w:jc w:val="both"/>
      </w:pPr>
      <w:r>
        <w:rPr>
          <w:rFonts w:ascii="Times New Roman" w:eastAsia="宋体" w:hAnsi="Times New Roman"/>
          <w:color w:val="000000"/>
          <w:sz w:val="20"/>
          <w:szCs w:val="20"/>
        </w:rPr>
        <w:t>We are a party to lawsuits in the normal course of our business. Additionally, there are existing claims and lawsuits in Russia, and the potential for future claims and lawsuits in Russia and/or Belarus, related to the Russi</w:t>
      </w:r>
      <w:r>
        <w:rPr>
          <w:rFonts w:ascii="Times New Roman" w:eastAsia="宋体" w:hAnsi="Times New Roman"/>
          <w:color w:val="000000"/>
          <w:sz w:val="20"/>
          <w:szCs w:val="20"/>
        </w:rPr>
        <w:t>a and Ukraine war and related trade restrictions and sanctions. In the event of an unfavorable resolution of any of these lawsuits, the potential outcome could include the seizure of our assets in Russia and/or Belarus, which, collectively, represents less</w:t>
      </w:r>
      <w:r>
        <w:rPr>
          <w:rFonts w:ascii="Times New Roman" w:eastAsia="宋体" w:hAnsi="Times New Roman"/>
          <w:color w:val="000000"/>
          <w:sz w:val="20"/>
          <w:szCs w:val="20"/>
        </w:rPr>
        <w:t xml:space="preserve"> than 0.1% of our total assets at the end of fiscal 2022. Litigation can be costly, lengthy, and disruptive to normal business operations. Moreover, the results of complex legal proceedings are difficult to predict. An unfavorable resolution of lawsuits or</w:t>
      </w:r>
      <w:r>
        <w:rPr>
          <w:rFonts w:ascii="Times New Roman" w:eastAsia="宋体" w:hAnsi="Times New Roman"/>
          <w:color w:val="000000"/>
          <w:sz w:val="20"/>
          <w:szCs w:val="20"/>
        </w:rPr>
        <w:t xml:space="preserve"> governmental investigations could have a material adverse effect on our business, operating results, or financial condition. For additional information regarding certain of the matters in which we are involved, see Note 14 to the Consolidated Financial St</w:t>
      </w:r>
      <w:r>
        <w:rPr>
          <w:rFonts w:ascii="Times New Roman" w:eastAsia="宋体" w:hAnsi="Times New Roman"/>
          <w:color w:val="000000"/>
          <w:sz w:val="20"/>
          <w:szCs w:val="20"/>
        </w:rPr>
        <w:t>atements, subsection (f) “Legal Proceedings.”</w:t>
      </w:r>
    </w:p>
    <w:p w14:paraId="518B44C0" w14:textId="77777777" w:rsidR="005C332D" w:rsidRDefault="00B93EAE">
      <w:pPr>
        <w:spacing w:before="120"/>
        <w:jc w:val="both"/>
      </w:pPr>
      <w:r>
        <w:rPr>
          <w:rFonts w:ascii="Times New Roman" w:eastAsia="宋体" w:hAnsi="Times New Roman"/>
          <w:b/>
          <w:bCs/>
          <w:i/>
          <w:iCs/>
          <w:color w:val="000000"/>
          <w:sz w:val="20"/>
          <w:szCs w:val="20"/>
        </w:rPr>
        <w:t>Our operating results may be adversely affected and damage to our reputation may occur due to production and sale of counterfeit versions of our products.</w:t>
      </w:r>
    </w:p>
    <w:p w14:paraId="518B44C1" w14:textId="77777777" w:rsidR="005C332D" w:rsidRDefault="00B93EAE">
      <w:pPr>
        <w:spacing w:before="120"/>
        <w:jc w:val="both"/>
      </w:pPr>
      <w:r>
        <w:rPr>
          <w:rFonts w:ascii="Times New Roman" w:eastAsia="宋体" w:hAnsi="Times New Roman"/>
          <w:color w:val="000000"/>
          <w:sz w:val="20"/>
          <w:szCs w:val="20"/>
        </w:rPr>
        <w:t xml:space="preserve">As is the case with leading products around the world, </w:t>
      </w:r>
      <w:r>
        <w:rPr>
          <w:rFonts w:ascii="Times New Roman" w:eastAsia="宋体" w:hAnsi="Times New Roman"/>
          <w:color w:val="000000"/>
          <w:sz w:val="20"/>
          <w:szCs w:val="20"/>
        </w:rPr>
        <w:t xml:space="preserve">our products are subject to efforts by third parties to produce counterfeit versions of our products. While we work diligently with law enforcement authorities in various countries to block the manufacture of counterfeit goods and to interdict their sale, </w:t>
      </w:r>
      <w:r>
        <w:rPr>
          <w:rFonts w:ascii="Times New Roman" w:eastAsia="宋体" w:hAnsi="Times New Roman"/>
          <w:color w:val="000000"/>
          <w:sz w:val="20"/>
          <w:szCs w:val="20"/>
        </w:rPr>
        <w:t>and to detect counterfeit products in customer networks, and have succeeded in prosecuting counterfeiters and their distributors, resulting in fines, imprisonment and restitution to us, there can be no guarantee that such efforts will succeed. While counte</w:t>
      </w:r>
      <w:r>
        <w:rPr>
          <w:rFonts w:ascii="Times New Roman" w:eastAsia="宋体" w:hAnsi="Times New Roman"/>
          <w:color w:val="000000"/>
          <w:sz w:val="20"/>
          <w:szCs w:val="20"/>
        </w:rPr>
        <w:t xml:space="preserve">rfeiters often aim their sales at customers who might not have </w:t>
      </w:r>
    </w:p>
    <w:p w14:paraId="518B44C2" w14:textId="77777777" w:rsidR="005C332D" w:rsidRDefault="00B93EAE">
      <w:pPr>
        <w:jc w:val="center"/>
      </w:pPr>
      <w:r>
        <w:rPr>
          <w:rFonts w:ascii="Times New Roman" w:eastAsia="宋体" w:hAnsi="Times New Roman"/>
          <w:color w:val="000000"/>
          <w:sz w:val="20"/>
          <w:szCs w:val="20"/>
        </w:rPr>
        <w:t>24</w:t>
      </w:r>
    </w:p>
    <w:p w14:paraId="518B44C3" w14:textId="77777777" w:rsidR="005C332D" w:rsidRDefault="00B93EAE">
      <w:r>
        <w:pict w14:anchorId="518B872B">
          <v:rect id="_x0000_i1050" style="width:415.3pt;height:1.5pt" o:hralign="center" o:hrstd="t" o:hr="t" fillcolor="#a0a0a0" stroked="f"/>
        </w:pict>
      </w:r>
    </w:p>
    <w:p w14:paraId="518B44C4" w14:textId="77777777" w:rsidR="005C332D" w:rsidRDefault="00B93EAE">
      <w:hyperlink r:id="rId78" w:anchor="i049852cab38845aabd2a79d07dacda86_7" w:history="1">
        <w:r>
          <w:rPr>
            <w:rStyle w:val="a5"/>
            <w:rFonts w:ascii="Times New Roman" w:eastAsia="宋体" w:hAnsi="Times New Roman"/>
            <w:sz w:val="20"/>
            <w:szCs w:val="20"/>
          </w:rPr>
          <w:t>Table of Contents</w:t>
        </w:r>
      </w:hyperlink>
    </w:p>
    <w:p w14:paraId="518B44C5" w14:textId="77777777" w:rsidR="005C332D" w:rsidRDefault="00B93EAE">
      <w:pPr>
        <w:spacing w:before="120"/>
        <w:jc w:val="both"/>
      </w:pPr>
      <w:r>
        <w:rPr>
          <w:rFonts w:ascii="Times New Roman" w:eastAsia="宋体" w:hAnsi="Times New Roman"/>
          <w:color w:val="000000"/>
          <w:sz w:val="20"/>
          <w:szCs w:val="20"/>
        </w:rPr>
        <w:t xml:space="preserve">otherwise purchased </w:t>
      </w:r>
      <w:r>
        <w:rPr>
          <w:rFonts w:ascii="Times New Roman" w:eastAsia="宋体" w:hAnsi="Times New Roman"/>
          <w:color w:val="000000"/>
          <w:sz w:val="20"/>
          <w:szCs w:val="20"/>
        </w:rPr>
        <w:t>our products due to lack of verifiability of origin and service, such counterfeit sales, to the extent they replace otherwise legitimate sales, could adversely affect our operating results.</w:t>
      </w:r>
    </w:p>
    <w:p w14:paraId="518B44C6" w14:textId="77777777" w:rsidR="005C332D" w:rsidRDefault="00B93EAE">
      <w:pPr>
        <w:spacing w:before="120"/>
        <w:jc w:val="both"/>
      </w:pPr>
      <w:r>
        <w:rPr>
          <w:rFonts w:ascii="Times New Roman" w:eastAsia="宋体" w:hAnsi="Times New Roman"/>
          <w:b/>
          <w:bCs/>
          <w:i/>
          <w:iCs/>
          <w:color w:val="000000"/>
          <w:sz w:val="20"/>
          <w:szCs w:val="20"/>
        </w:rPr>
        <w:t>Changes in our provision for income taxes or adverse outcomes resu</w:t>
      </w:r>
      <w:r>
        <w:rPr>
          <w:rFonts w:ascii="Times New Roman" w:eastAsia="宋体" w:hAnsi="Times New Roman"/>
          <w:b/>
          <w:bCs/>
          <w:i/>
          <w:iCs/>
          <w:color w:val="000000"/>
          <w:sz w:val="20"/>
          <w:szCs w:val="20"/>
        </w:rPr>
        <w:t>lting from examination of our income tax returns could adversely affect our results.</w:t>
      </w:r>
    </w:p>
    <w:p w14:paraId="518B44C7" w14:textId="77777777" w:rsidR="005C332D" w:rsidRDefault="00B93EAE">
      <w:pPr>
        <w:spacing w:before="120"/>
        <w:jc w:val="both"/>
      </w:pPr>
      <w:r>
        <w:rPr>
          <w:rFonts w:ascii="Times New Roman" w:eastAsia="宋体" w:hAnsi="Times New Roman"/>
          <w:color w:val="000000"/>
          <w:sz w:val="20"/>
          <w:szCs w:val="20"/>
        </w:rPr>
        <w:t>Our provision for income taxes is subject to volatility and could be adversely affected by earnings being lower than anticipated in countries that have lower tax rates and</w:t>
      </w:r>
      <w:r>
        <w:rPr>
          <w:rFonts w:ascii="Times New Roman" w:eastAsia="宋体" w:hAnsi="Times New Roman"/>
          <w:color w:val="000000"/>
          <w:sz w:val="20"/>
          <w:szCs w:val="20"/>
        </w:rPr>
        <w:t xml:space="preserve"> higher than anticipated in countries that have higher tax rates; by changes in the valuation of our deferred tax assets and liabilities; by changes to foreign-derived intangible income, global intangible low-tax income and base erosion and anti-abuse tax </w:t>
      </w:r>
      <w:r>
        <w:rPr>
          <w:rFonts w:ascii="Times New Roman" w:eastAsia="宋体" w:hAnsi="Times New Roman"/>
          <w:color w:val="000000"/>
          <w:sz w:val="20"/>
          <w:szCs w:val="20"/>
        </w:rPr>
        <w:t>laws, regulations, or interpretations thereof; by expiration of or lapses in tax incentives; by transfer pricing adjustments, including the effect of acquisitions on our legal structure; by tax effects of nondeductible compensation; by tax costs related to</w:t>
      </w:r>
      <w:r>
        <w:rPr>
          <w:rFonts w:ascii="Times New Roman" w:eastAsia="宋体" w:hAnsi="Times New Roman"/>
          <w:color w:val="000000"/>
          <w:sz w:val="20"/>
          <w:szCs w:val="20"/>
        </w:rPr>
        <w:t xml:space="preserve"> intercompany realignments; by changes in accounting principles; or by changes in tax laws and regulations, treaties, or interpretations thereof, including changes to the taxation of earnings of our foreign subsidiaries, the deductibility of expenses attri</w:t>
      </w:r>
      <w:r>
        <w:rPr>
          <w:rFonts w:ascii="Times New Roman" w:eastAsia="宋体" w:hAnsi="Times New Roman"/>
          <w:color w:val="000000"/>
          <w:sz w:val="20"/>
          <w:szCs w:val="20"/>
        </w:rPr>
        <w:t>butable to foreign income, and the foreign tax credit rules. Significant judgment is required to determine the recognition and measurement attribute prescribed in the accounting guidance for uncertainty in income taxes. The Organisation for Economic Co-ope</w:t>
      </w:r>
      <w:r>
        <w:rPr>
          <w:rFonts w:ascii="Times New Roman" w:eastAsia="宋体" w:hAnsi="Times New Roman"/>
          <w:color w:val="000000"/>
          <w:sz w:val="20"/>
          <w:szCs w:val="20"/>
        </w:rPr>
        <w:t>ration and Development (OECD), an international association comprised of 38 countries, including the United States, has made changes and is contemplating additional changes to numerous long-standing tax principles. There can be no assurance that these chan</w:t>
      </w:r>
      <w:r>
        <w:rPr>
          <w:rFonts w:ascii="Times New Roman" w:eastAsia="宋体" w:hAnsi="Times New Roman"/>
          <w:color w:val="000000"/>
          <w:sz w:val="20"/>
          <w:szCs w:val="20"/>
        </w:rPr>
        <w:t>ges and any contemplated changes if finalized, once adopted by countries, will not have an adverse impact on our provision for income taxes. Further, as a result of certain of our ongoing employment and capital investment actions and commitments, our incom</w:t>
      </w:r>
      <w:r>
        <w:rPr>
          <w:rFonts w:ascii="Times New Roman" w:eastAsia="宋体" w:hAnsi="Times New Roman"/>
          <w:color w:val="000000"/>
          <w:sz w:val="20"/>
          <w:szCs w:val="20"/>
        </w:rPr>
        <w:t>e in certain countries was subject to reduced tax rates. Our failure to meet these commitments could adversely impact our provision for income taxes. In addition, we are subject to the continuous examination of our income tax returns by the Internal Revenu</w:t>
      </w:r>
      <w:r>
        <w:rPr>
          <w:rFonts w:ascii="Times New Roman" w:eastAsia="宋体" w:hAnsi="Times New Roman"/>
          <w:color w:val="000000"/>
          <w:sz w:val="20"/>
          <w:szCs w:val="20"/>
        </w:rPr>
        <w:t>e Service (IRS) and other tax authorities. We regularly assess the likelihood of adverse outcomes resulting from these examinations to determine the adequacy of our provision for income taxes. There can be no assurance that the outcomes from these continuo</w:t>
      </w:r>
      <w:r>
        <w:rPr>
          <w:rFonts w:ascii="Times New Roman" w:eastAsia="宋体" w:hAnsi="Times New Roman"/>
          <w:color w:val="000000"/>
          <w:sz w:val="20"/>
          <w:szCs w:val="20"/>
        </w:rPr>
        <w:t>us examinations will not have an adverse effect on our operating results and financial condition.</w:t>
      </w:r>
    </w:p>
    <w:p w14:paraId="518B44C8" w14:textId="77777777" w:rsidR="005C332D" w:rsidRDefault="00B93EAE">
      <w:pPr>
        <w:spacing w:before="120"/>
        <w:jc w:val="both"/>
      </w:pPr>
      <w:r>
        <w:rPr>
          <w:rFonts w:ascii="Times New Roman" w:eastAsia="宋体" w:hAnsi="Times New Roman"/>
          <w:b/>
          <w:bCs/>
          <w:i/>
          <w:iCs/>
          <w:color w:val="000000"/>
          <w:sz w:val="20"/>
          <w:szCs w:val="20"/>
        </w:rPr>
        <w:t>Our business and operations are especially subject to the risks of earthquakes, floods, and other natural catastrophic events (including as a result of global</w:t>
      </w:r>
      <w:r>
        <w:rPr>
          <w:rFonts w:ascii="Times New Roman" w:eastAsia="宋体" w:hAnsi="Times New Roman"/>
          <w:b/>
          <w:bCs/>
          <w:i/>
          <w:iCs/>
          <w:color w:val="000000"/>
          <w:sz w:val="20"/>
          <w:szCs w:val="20"/>
        </w:rPr>
        <w:t xml:space="preserve"> climate change).</w:t>
      </w:r>
    </w:p>
    <w:p w14:paraId="518B44C9" w14:textId="77777777" w:rsidR="005C332D" w:rsidRDefault="00B93EAE">
      <w:pPr>
        <w:spacing w:before="120"/>
        <w:jc w:val="both"/>
      </w:pPr>
      <w:r>
        <w:rPr>
          <w:rFonts w:ascii="Times New Roman" w:eastAsia="宋体" w:hAnsi="Times New Roman"/>
          <w:color w:val="000000"/>
          <w:sz w:val="20"/>
          <w:szCs w:val="20"/>
        </w:rPr>
        <w:t xml:space="preserve">Our corporate headquarters, including certain of our research and development operations are located in the Silicon Valley area of Northern California, a region known for seismic activity. Additionally, a certain number of our facilities </w:t>
      </w:r>
      <w:r>
        <w:rPr>
          <w:rFonts w:ascii="Times New Roman" w:eastAsia="宋体" w:hAnsi="Times New Roman"/>
          <w:color w:val="000000"/>
          <w:sz w:val="20"/>
          <w:szCs w:val="20"/>
        </w:rPr>
        <w:t>are located near rivers that have experienced flooding in the past. Also certain of our customers, suppliers and logistics centers are located in regions that have been or may be affected by earthquake, tsunami and flooding or other weather-related activit</w:t>
      </w:r>
      <w:r>
        <w:rPr>
          <w:rFonts w:ascii="Times New Roman" w:eastAsia="宋体" w:hAnsi="Times New Roman"/>
          <w:color w:val="000000"/>
          <w:sz w:val="20"/>
          <w:szCs w:val="20"/>
        </w:rPr>
        <w:t>y which in the past has disrupted, and in the future could disrupt, the flow of components and delivery of products. In addition, global climate change may result in significant natural disasters occurring more frequently or with greater intensity, such as</w:t>
      </w:r>
      <w:r>
        <w:rPr>
          <w:rFonts w:ascii="Times New Roman" w:eastAsia="宋体" w:hAnsi="Times New Roman"/>
          <w:color w:val="000000"/>
          <w:sz w:val="20"/>
          <w:szCs w:val="20"/>
        </w:rPr>
        <w:t xml:space="preserve"> drought, wildfires, storms, sea-level rise, and flooding. We have not to date experienced a material event to these matters; however, the occurrence of any such event in the future could have a material adverse impact on our business, operating results, a</w:t>
      </w:r>
      <w:r>
        <w:rPr>
          <w:rFonts w:ascii="Times New Roman" w:eastAsia="宋体" w:hAnsi="Times New Roman"/>
          <w:color w:val="000000"/>
          <w:sz w:val="20"/>
          <w:szCs w:val="20"/>
        </w:rPr>
        <w:t>nd financial condition.</w:t>
      </w:r>
    </w:p>
    <w:p w14:paraId="518B44CA" w14:textId="77777777" w:rsidR="005C332D" w:rsidRDefault="00B93EAE">
      <w:pPr>
        <w:spacing w:before="120"/>
        <w:jc w:val="both"/>
      </w:pPr>
      <w:r>
        <w:rPr>
          <w:rFonts w:ascii="Times New Roman" w:eastAsia="宋体" w:hAnsi="Times New Roman"/>
          <w:b/>
          <w:bCs/>
          <w:i/>
          <w:iCs/>
          <w:color w:val="000000"/>
          <w:sz w:val="20"/>
          <w:szCs w:val="20"/>
        </w:rPr>
        <w:t>Terrorism, war, and other events may harm our business, operating results and financial condition.</w:t>
      </w:r>
    </w:p>
    <w:p w14:paraId="518B44CB" w14:textId="77777777" w:rsidR="005C332D" w:rsidRDefault="00B93EAE">
      <w:pPr>
        <w:spacing w:before="120"/>
        <w:jc w:val="both"/>
      </w:pPr>
      <w:r>
        <w:rPr>
          <w:rFonts w:ascii="Times New Roman" w:eastAsia="宋体" w:hAnsi="Times New Roman"/>
          <w:color w:val="000000"/>
          <w:sz w:val="20"/>
          <w:szCs w:val="20"/>
        </w:rPr>
        <w:t>The continued threat of terrorism and heightened security and military action in response thereto, or any other current or future act</w:t>
      </w:r>
      <w:r>
        <w:rPr>
          <w:rFonts w:ascii="Times New Roman" w:eastAsia="宋体" w:hAnsi="Times New Roman"/>
          <w:color w:val="000000"/>
          <w:sz w:val="20"/>
          <w:szCs w:val="20"/>
        </w:rPr>
        <w:t>s of terrorism, war (such as the on-going Russia and Ukraine war), and other events (such as economic sanctions and trade restrictions, including those related to the on-going Russia and Ukraine war) may cause further disruptions to the economies of the Un</w:t>
      </w:r>
      <w:r>
        <w:rPr>
          <w:rFonts w:ascii="Times New Roman" w:eastAsia="宋体" w:hAnsi="Times New Roman"/>
          <w:color w:val="000000"/>
          <w:sz w:val="20"/>
          <w:szCs w:val="20"/>
        </w:rPr>
        <w:t>ited States and other countries and create further uncertainties or could otherwise negatively impact our business, operating results, and financial condition. Likewise, events such as loss of infrastructure and utilities services such as energy, transport</w:t>
      </w:r>
      <w:r>
        <w:rPr>
          <w:rFonts w:ascii="Times New Roman" w:eastAsia="宋体" w:hAnsi="Times New Roman"/>
          <w:color w:val="000000"/>
          <w:sz w:val="20"/>
          <w:szCs w:val="20"/>
        </w:rPr>
        <w:t>ation, or telecommunications could have similar negative impacts. To the extent that such disruptions or uncertainties result in delays or cancellations of customer orders or the manufacture or shipment of our products, our business, operating results, and</w:t>
      </w:r>
      <w:r>
        <w:rPr>
          <w:rFonts w:ascii="Times New Roman" w:eastAsia="宋体" w:hAnsi="Times New Roman"/>
          <w:color w:val="000000"/>
          <w:sz w:val="20"/>
          <w:szCs w:val="20"/>
        </w:rPr>
        <w:t xml:space="preserve"> financial condition could be materially and adversely affected. See “Part II, Item 7. Management’s Discussion and Analysis of Financial Condition and Results of Operations—Overview—Russia and Ukraine War” for a discussion of the impact on Cisco’s business</w:t>
      </w:r>
      <w:r>
        <w:rPr>
          <w:rFonts w:ascii="Times New Roman" w:eastAsia="宋体" w:hAnsi="Times New Roman"/>
          <w:color w:val="000000"/>
          <w:sz w:val="20"/>
          <w:szCs w:val="20"/>
        </w:rPr>
        <w:t xml:space="preserve"> of the on-going Russia and Ukraine war.</w:t>
      </w:r>
    </w:p>
    <w:p w14:paraId="518B44CC" w14:textId="77777777" w:rsidR="005C332D" w:rsidRDefault="00B93EAE">
      <w:pPr>
        <w:spacing w:before="120"/>
        <w:jc w:val="both"/>
      </w:pPr>
      <w:r>
        <w:rPr>
          <w:rFonts w:ascii="Times New Roman" w:eastAsia="宋体" w:hAnsi="Times New Roman"/>
          <w:b/>
          <w:bCs/>
          <w:i/>
          <w:iCs/>
          <w:color w:val="000000"/>
          <w:sz w:val="20"/>
          <w:szCs w:val="20"/>
        </w:rPr>
        <w:t>There can be no assurance that our operating results and financial condition will not be adversely affected by our incurrence of debt.</w:t>
      </w:r>
      <w:r>
        <w:rPr>
          <w:rFonts w:ascii="Times New Roman" w:eastAsia="宋体" w:hAnsi="Times New Roman"/>
          <w:b/>
          <w:bCs/>
          <w:color w:val="000000"/>
          <w:sz w:val="20"/>
          <w:szCs w:val="20"/>
        </w:rPr>
        <w:t xml:space="preserve"> </w:t>
      </w:r>
    </w:p>
    <w:p w14:paraId="518B44CD" w14:textId="77777777" w:rsidR="005C332D" w:rsidRDefault="00B93EAE">
      <w:pPr>
        <w:spacing w:before="120"/>
        <w:jc w:val="both"/>
      </w:pPr>
      <w:r>
        <w:rPr>
          <w:rFonts w:ascii="Times New Roman" w:eastAsia="宋体" w:hAnsi="Times New Roman"/>
          <w:color w:val="000000"/>
          <w:sz w:val="20"/>
          <w:szCs w:val="20"/>
        </w:rPr>
        <w:t xml:space="preserve">As of the end of fiscal 2022, we have senior unsecured notes outstanding in an </w:t>
      </w:r>
      <w:r>
        <w:rPr>
          <w:rFonts w:ascii="Times New Roman" w:eastAsia="宋体" w:hAnsi="Times New Roman"/>
          <w:color w:val="000000"/>
          <w:sz w:val="20"/>
          <w:szCs w:val="20"/>
        </w:rPr>
        <w:t xml:space="preserve">aggregate principal amount of $9.0 billion that mature at specific dates from calendar year 2023 through 2040. We have also established a commercial paper program under which we may issue short-term, unsecured commercial paper notes on a private placement </w:t>
      </w:r>
      <w:r>
        <w:rPr>
          <w:rFonts w:ascii="Times New Roman" w:eastAsia="宋体" w:hAnsi="Times New Roman"/>
          <w:color w:val="000000"/>
          <w:sz w:val="20"/>
          <w:szCs w:val="20"/>
        </w:rPr>
        <w:t>basis up to a maximum aggregate amount outstanding at any time of $10.0 billion, and we had $0.6 billion in commercial paper notes outstanding under this program as of July 30, 2022</w:t>
      </w:r>
      <w:r>
        <w:rPr>
          <w:rFonts w:ascii="Times New Roman" w:eastAsia="宋体" w:hAnsi="Times New Roman"/>
          <w:color w:val="C00000"/>
          <w:sz w:val="20"/>
          <w:szCs w:val="20"/>
        </w:rPr>
        <w:t xml:space="preserve">. </w:t>
      </w:r>
      <w:r>
        <w:rPr>
          <w:rFonts w:ascii="Times New Roman" w:eastAsia="宋体" w:hAnsi="Times New Roman"/>
          <w:color w:val="000000"/>
          <w:sz w:val="20"/>
          <w:szCs w:val="20"/>
        </w:rPr>
        <w:t xml:space="preserve">There can be no assurance that our incurrence of this debt or any future </w:t>
      </w:r>
      <w:r>
        <w:rPr>
          <w:rFonts w:ascii="Times New Roman" w:eastAsia="宋体" w:hAnsi="Times New Roman"/>
          <w:color w:val="000000"/>
          <w:sz w:val="20"/>
          <w:szCs w:val="20"/>
        </w:rPr>
        <w:t>debt will be a better means of providing liquidity to us than would our use of our existing cash resources. Further, we cannot be assured that our maintenance of this indebtedness or incurrence of future indebtedness will not adversely affect our operating</w:t>
      </w:r>
      <w:r>
        <w:rPr>
          <w:rFonts w:ascii="Times New Roman" w:eastAsia="宋体" w:hAnsi="Times New Roman"/>
          <w:color w:val="000000"/>
          <w:sz w:val="20"/>
          <w:szCs w:val="20"/>
        </w:rPr>
        <w:t xml:space="preserve"> results or financial condition. In addition, changes by any rating agency to our credit rating can negatively impact the value and liquidity of both </w:t>
      </w:r>
    </w:p>
    <w:p w14:paraId="518B44CE" w14:textId="77777777" w:rsidR="005C332D" w:rsidRDefault="00B93EAE">
      <w:pPr>
        <w:jc w:val="center"/>
      </w:pPr>
      <w:r>
        <w:rPr>
          <w:rFonts w:ascii="Times New Roman" w:eastAsia="宋体" w:hAnsi="Times New Roman"/>
          <w:color w:val="000000"/>
          <w:sz w:val="20"/>
          <w:szCs w:val="20"/>
        </w:rPr>
        <w:t>25</w:t>
      </w:r>
    </w:p>
    <w:p w14:paraId="518B44CF" w14:textId="77777777" w:rsidR="005C332D" w:rsidRDefault="00B93EAE">
      <w:r>
        <w:pict w14:anchorId="518B872C">
          <v:rect id="_x0000_i1051" style="width:415.3pt;height:1.5pt" o:hralign="center" o:hrstd="t" o:hr="t" fillcolor="#a0a0a0" stroked="f"/>
        </w:pict>
      </w:r>
    </w:p>
    <w:p w14:paraId="518B44D0" w14:textId="77777777" w:rsidR="005C332D" w:rsidRDefault="00B93EAE">
      <w:hyperlink r:id="rId79" w:anchor="i049852cab38845aabd2a79d07dacda86_7" w:history="1">
        <w:r>
          <w:rPr>
            <w:rStyle w:val="a5"/>
            <w:rFonts w:ascii="Times New Roman" w:eastAsia="宋体" w:hAnsi="Times New Roman"/>
            <w:sz w:val="20"/>
            <w:szCs w:val="20"/>
          </w:rPr>
          <w:t>Table of Contents</w:t>
        </w:r>
      </w:hyperlink>
    </w:p>
    <w:p w14:paraId="518B44D1" w14:textId="77777777" w:rsidR="005C332D" w:rsidRDefault="00B93EAE">
      <w:pPr>
        <w:spacing w:before="120"/>
        <w:jc w:val="both"/>
      </w:pPr>
      <w:r>
        <w:rPr>
          <w:rFonts w:ascii="Times New Roman" w:eastAsia="宋体" w:hAnsi="Times New Roman"/>
          <w:color w:val="000000"/>
          <w:sz w:val="20"/>
          <w:szCs w:val="20"/>
        </w:rPr>
        <w:t>our debt and equity securities, as well as the terms upon which we may borrow under our c</w:t>
      </w:r>
      <w:r>
        <w:rPr>
          <w:rFonts w:ascii="Times New Roman" w:eastAsia="宋体" w:hAnsi="Times New Roman"/>
          <w:color w:val="000000"/>
          <w:sz w:val="20"/>
          <w:szCs w:val="20"/>
        </w:rPr>
        <w:t>ommercial paper program or future debt issuances.</w:t>
      </w:r>
    </w:p>
    <w:p w14:paraId="518B44D2" w14:textId="77777777" w:rsidR="005C332D" w:rsidRDefault="00B93EAE">
      <w:pPr>
        <w:spacing w:before="120"/>
        <w:jc w:val="both"/>
      </w:pPr>
      <w:r>
        <w:rPr>
          <w:rFonts w:ascii="Times New Roman" w:eastAsia="宋体" w:hAnsi="Times New Roman"/>
          <w:b/>
          <w:bCs/>
          <w:i/>
          <w:iCs/>
          <w:color w:val="000000"/>
          <w:sz w:val="20"/>
          <w:szCs w:val="20"/>
        </w:rPr>
        <w:t>Our reputation and/or business could be negatively impacted by ESG matters and/or our reporting of such matters.</w:t>
      </w:r>
    </w:p>
    <w:p w14:paraId="518B44D3" w14:textId="77777777" w:rsidR="005C332D" w:rsidRDefault="00B93EAE">
      <w:pPr>
        <w:spacing w:before="120"/>
        <w:jc w:val="both"/>
      </w:pPr>
      <w:r>
        <w:rPr>
          <w:rFonts w:ascii="Times New Roman" w:eastAsia="宋体" w:hAnsi="Times New Roman"/>
          <w:color w:val="000000"/>
          <w:sz w:val="20"/>
          <w:szCs w:val="20"/>
        </w:rPr>
        <w:t>There is an increasing focus from regulators, certain investors, and other stakeholders conce</w:t>
      </w:r>
      <w:r>
        <w:rPr>
          <w:rFonts w:ascii="Times New Roman" w:eastAsia="宋体" w:hAnsi="Times New Roman"/>
          <w:color w:val="000000"/>
          <w:sz w:val="20"/>
          <w:szCs w:val="20"/>
        </w:rPr>
        <w:t>rning environmental, social, and governance (“ESG”) matters, both in the United States and internationally. We communicate certain ESG-related initiatives, goals, and/or commitments regarding environmental matters, diversity, responsible sourcing and socia</w:t>
      </w:r>
      <w:r>
        <w:rPr>
          <w:rFonts w:ascii="Times New Roman" w:eastAsia="宋体" w:hAnsi="Times New Roman"/>
          <w:color w:val="000000"/>
          <w:sz w:val="20"/>
          <w:szCs w:val="20"/>
        </w:rPr>
        <w:t>l investments, and other matters, in our annual Purpose Report, on our website, in our filings with the SEC, and elsewhere. These initiatives, goals, or commitments could be difficult to achieve and costly to implement. For example, in September 2021, we a</w:t>
      </w:r>
      <w:r>
        <w:rPr>
          <w:rFonts w:ascii="Times New Roman" w:eastAsia="宋体" w:hAnsi="Times New Roman"/>
          <w:color w:val="000000"/>
          <w:sz w:val="20"/>
          <w:szCs w:val="20"/>
        </w:rPr>
        <w:t>nnounced our commitment to achieve net zero across all scopes of greenhouse gas emissions by 2040, the achievement of which relies, in large part, on the accuracy of our estimates and assumptions around the enhanced power efficiency of our products, the ad</w:t>
      </w:r>
      <w:r>
        <w:rPr>
          <w:rFonts w:ascii="Times New Roman" w:eastAsia="宋体" w:hAnsi="Times New Roman"/>
          <w:color w:val="000000"/>
          <w:sz w:val="20"/>
          <w:szCs w:val="20"/>
        </w:rPr>
        <w:t xml:space="preserve">option of renewable energy at customer sites, and the adoption of certain of our products and services by our customers. We could fail to achieve, or be perceived to fail to achieve, our 2040 net zero commitment or other ESG-related initiatives, goals, or </w:t>
      </w:r>
      <w:r>
        <w:rPr>
          <w:rFonts w:ascii="Times New Roman" w:eastAsia="宋体" w:hAnsi="Times New Roman"/>
          <w:color w:val="000000"/>
          <w:sz w:val="20"/>
          <w:szCs w:val="20"/>
        </w:rPr>
        <w:t>commitments. In addition, we could be criticized for the timing, scope or nature of these initiatives, goals, or commitments, or for any revisions to them. To the extent that our required and voluntary disclosures about ESG matters increase, we could be cr</w:t>
      </w:r>
      <w:r>
        <w:rPr>
          <w:rFonts w:ascii="Times New Roman" w:eastAsia="宋体" w:hAnsi="Times New Roman"/>
          <w:color w:val="000000"/>
          <w:sz w:val="20"/>
          <w:szCs w:val="20"/>
        </w:rPr>
        <w:t>iticized for the accuracy, adequacy, or completeness of such disclosures. Our actual or perceived failure to achieve our ESG-related initiatives, goals, or commitments could negatively impact our reputation or otherwise materially harm our business.</w:t>
      </w:r>
    </w:p>
    <w:p w14:paraId="518B44D4" w14:textId="77777777" w:rsidR="005C332D" w:rsidRDefault="00B93EAE">
      <w:pPr>
        <w:spacing w:before="120"/>
        <w:jc w:val="both"/>
      </w:pPr>
      <w:r>
        <w:rPr>
          <w:rFonts w:ascii="Times New Roman" w:eastAsia="宋体" w:hAnsi="Times New Roman"/>
          <w:b/>
          <w:bCs/>
          <w:color w:val="000000"/>
          <w:sz w:val="20"/>
          <w:szCs w:val="20"/>
          <w:u w:val="single"/>
        </w:rPr>
        <w:t xml:space="preserve">Risks </w:t>
      </w:r>
      <w:r>
        <w:rPr>
          <w:rFonts w:ascii="Times New Roman" w:eastAsia="宋体" w:hAnsi="Times New Roman"/>
          <w:b/>
          <w:bCs/>
          <w:color w:val="000000"/>
          <w:sz w:val="20"/>
          <w:szCs w:val="20"/>
          <w:u w:val="single"/>
        </w:rPr>
        <w:t>Related to Intellectual Property</w:t>
      </w:r>
    </w:p>
    <w:p w14:paraId="518B44D5" w14:textId="77777777" w:rsidR="005C332D" w:rsidRDefault="00B93EAE">
      <w:pPr>
        <w:spacing w:before="120"/>
        <w:jc w:val="both"/>
      </w:pPr>
      <w:r>
        <w:rPr>
          <w:rFonts w:ascii="Times New Roman" w:eastAsia="宋体" w:hAnsi="Times New Roman"/>
          <w:b/>
          <w:bCs/>
          <w:i/>
          <w:iCs/>
          <w:color w:val="000000"/>
          <w:sz w:val="20"/>
          <w:szCs w:val="20"/>
        </w:rPr>
        <w:t>Our proprietary rights may prove difficult to enforce.</w:t>
      </w:r>
    </w:p>
    <w:p w14:paraId="518B44D6" w14:textId="77777777" w:rsidR="005C332D" w:rsidRDefault="00B93EAE">
      <w:pPr>
        <w:spacing w:before="120"/>
        <w:jc w:val="both"/>
      </w:pPr>
      <w:r>
        <w:rPr>
          <w:rFonts w:ascii="Times New Roman" w:eastAsia="宋体" w:hAnsi="Times New Roman"/>
          <w:color w:val="000000"/>
          <w:sz w:val="20"/>
          <w:szCs w:val="20"/>
        </w:rPr>
        <w:t>We generally rely on patents, copyrights, trademarks, and trade secret laws to establish and maintain proprietary rights in our technology and products. Although we hav</w:t>
      </w:r>
      <w:r>
        <w:rPr>
          <w:rFonts w:ascii="Times New Roman" w:eastAsia="宋体" w:hAnsi="Times New Roman"/>
          <w:color w:val="000000"/>
          <w:sz w:val="20"/>
          <w:szCs w:val="20"/>
        </w:rPr>
        <w:t>e been issued numerous patents and other patent applications are currently pending, there can be no assurance that any of these patents or other proprietary rights will not be challenged, invalidated, or circumvented or that our rights will, in fact, provi</w:t>
      </w:r>
      <w:r>
        <w:rPr>
          <w:rFonts w:ascii="Times New Roman" w:eastAsia="宋体" w:hAnsi="Times New Roman"/>
          <w:color w:val="000000"/>
          <w:sz w:val="20"/>
          <w:szCs w:val="20"/>
        </w:rPr>
        <w:t>de competitive advantages to us. Furthermore, many key aspects of networking technology are governed by industrywide standards, which are usable by all market entrants. In addition, there can be no assurance that patents will be issued from pending applica</w:t>
      </w:r>
      <w:r>
        <w:rPr>
          <w:rFonts w:ascii="Times New Roman" w:eastAsia="宋体" w:hAnsi="Times New Roman"/>
          <w:color w:val="000000"/>
          <w:sz w:val="20"/>
          <w:szCs w:val="20"/>
        </w:rPr>
        <w:t xml:space="preserve">tions or that claims allowed on any patents will be sufficiently broad to protect our technology. In addition, the laws of some foreign countries may not protect our proprietary rights to the same extent as do the laws of the United States. The outcome of </w:t>
      </w:r>
      <w:r>
        <w:rPr>
          <w:rFonts w:ascii="Times New Roman" w:eastAsia="宋体" w:hAnsi="Times New Roman"/>
          <w:color w:val="000000"/>
          <w:sz w:val="20"/>
          <w:szCs w:val="20"/>
        </w:rPr>
        <w:t xml:space="preserve">any actions taken in these foreign countries may be different than if such actions were determined under the laws of the United States. Although we are not dependent on any individual patents or group of patents for particular segments of the business for </w:t>
      </w:r>
      <w:r>
        <w:rPr>
          <w:rFonts w:ascii="Times New Roman" w:eastAsia="宋体" w:hAnsi="Times New Roman"/>
          <w:color w:val="000000"/>
          <w:sz w:val="20"/>
          <w:szCs w:val="20"/>
        </w:rPr>
        <w:t>which we compete, if we are unable to protect our proprietary rights to the totality of the features (including aspects of products protected other than by patent rights) in a market, we may find ourselves at a competitive disadvantage to others who need n</w:t>
      </w:r>
      <w:r>
        <w:rPr>
          <w:rFonts w:ascii="Times New Roman" w:eastAsia="宋体" w:hAnsi="Times New Roman"/>
          <w:color w:val="000000"/>
          <w:sz w:val="20"/>
          <w:szCs w:val="20"/>
        </w:rPr>
        <w:t>ot incur the substantial expense, time, and effort required to create innovative products that have enabled us to be successful.</w:t>
      </w:r>
    </w:p>
    <w:p w14:paraId="518B44D7" w14:textId="77777777" w:rsidR="005C332D" w:rsidRDefault="00B93EAE">
      <w:pPr>
        <w:spacing w:before="120"/>
        <w:jc w:val="both"/>
      </w:pPr>
      <w:r>
        <w:rPr>
          <w:rFonts w:ascii="Times New Roman" w:eastAsia="宋体" w:hAnsi="Times New Roman"/>
          <w:b/>
          <w:bCs/>
          <w:i/>
          <w:iCs/>
          <w:color w:val="000000"/>
          <w:sz w:val="20"/>
          <w:szCs w:val="20"/>
        </w:rPr>
        <w:t>We may be found to infringe on intellectual property rights of others.</w:t>
      </w:r>
    </w:p>
    <w:p w14:paraId="518B44D8" w14:textId="77777777" w:rsidR="005C332D" w:rsidRDefault="00B93EAE">
      <w:pPr>
        <w:spacing w:before="120"/>
        <w:jc w:val="both"/>
      </w:pPr>
      <w:r>
        <w:rPr>
          <w:rFonts w:ascii="Times New Roman" w:eastAsia="宋体" w:hAnsi="Times New Roman"/>
          <w:color w:val="000000"/>
          <w:sz w:val="20"/>
          <w:szCs w:val="20"/>
        </w:rPr>
        <w:t>Third parties, including customers, have in the past and</w:t>
      </w:r>
      <w:r>
        <w:rPr>
          <w:rFonts w:ascii="Times New Roman" w:eastAsia="宋体" w:hAnsi="Times New Roman"/>
          <w:color w:val="000000"/>
          <w:sz w:val="20"/>
          <w:szCs w:val="20"/>
        </w:rPr>
        <w:t xml:space="preserve"> may in the future assert claims or initiate litigation related to exclusive patent, copyright, trademark, and other intellectual property rights to technologies and related standards that are relevant to us. These assertions have increased over time as a </w:t>
      </w:r>
      <w:r>
        <w:rPr>
          <w:rFonts w:ascii="Times New Roman" w:eastAsia="宋体" w:hAnsi="Times New Roman"/>
          <w:color w:val="000000"/>
          <w:sz w:val="20"/>
          <w:szCs w:val="20"/>
        </w:rPr>
        <w:t>result of our growth and the general increase in the pace of patent claims assertions, particularly in the United States. Because of the existence of a large number of patents in the networking field, the secrecy of some pending patents, and the rapid rate</w:t>
      </w:r>
      <w:r>
        <w:rPr>
          <w:rFonts w:ascii="Times New Roman" w:eastAsia="宋体" w:hAnsi="Times New Roman"/>
          <w:color w:val="000000"/>
          <w:sz w:val="20"/>
          <w:szCs w:val="20"/>
        </w:rPr>
        <w:t xml:space="preserve"> of issuance of new patents, it is not economically practical or even possible to determine in advance whether a product or any of its components infringes or will infringe on the patent rights of others. The asserted claims and/or initiated litigation can</w:t>
      </w:r>
      <w:r>
        <w:rPr>
          <w:rFonts w:ascii="Times New Roman" w:eastAsia="宋体" w:hAnsi="Times New Roman"/>
          <w:color w:val="000000"/>
          <w:sz w:val="20"/>
          <w:szCs w:val="20"/>
        </w:rPr>
        <w:t xml:space="preserve"> include claims against us or our manufacturers, suppliers, or customers, alleging infringement of their proprietary rights with respect to our existing or future products or components of those products. Regardless of the merit of these claims, they can b</w:t>
      </w:r>
      <w:r>
        <w:rPr>
          <w:rFonts w:ascii="Times New Roman" w:eastAsia="宋体" w:hAnsi="Times New Roman"/>
          <w:color w:val="000000"/>
          <w:sz w:val="20"/>
          <w:szCs w:val="20"/>
        </w:rPr>
        <w:t>e time-consuming, result in costly litigation and diversion of technical and management personnel, or require us to develop a non-infringing technology or enter into license agreements. Where claims are made by customers, resistance even to unmeritorious c</w:t>
      </w:r>
      <w:r>
        <w:rPr>
          <w:rFonts w:ascii="Times New Roman" w:eastAsia="宋体" w:hAnsi="Times New Roman"/>
          <w:color w:val="000000"/>
          <w:sz w:val="20"/>
          <w:szCs w:val="20"/>
        </w:rPr>
        <w:t>laims could damage customer relationships. There can be no assurance that licenses will be available on acceptable terms and conditions, if at all, or that our indemnification by our suppliers will be adequate to cover our costs if a claim were brought dir</w:t>
      </w:r>
      <w:r>
        <w:rPr>
          <w:rFonts w:ascii="Times New Roman" w:eastAsia="宋体" w:hAnsi="Times New Roman"/>
          <w:color w:val="000000"/>
          <w:sz w:val="20"/>
          <w:szCs w:val="20"/>
        </w:rPr>
        <w:t xml:space="preserve">ectly against us or our customers. Furthermore, because of the potential for high court awards that are not necessarily predictable, it is not unusual to find even arguably unmeritorious claims settled for significant amounts. If any infringement or other </w:t>
      </w:r>
      <w:r>
        <w:rPr>
          <w:rFonts w:ascii="Times New Roman" w:eastAsia="宋体" w:hAnsi="Times New Roman"/>
          <w:color w:val="000000"/>
          <w:sz w:val="20"/>
          <w:szCs w:val="20"/>
        </w:rPr>
        <w:t>intellectual property claim made against us by any third party is successful, if we are required to indemnify a customer with respect to a claim against the customer, or if we fail to develop non-infringing technology or license the proprietary rights on c</w:t>
      </w:r>
      <w:r>
        <w:rPr>
          <w:rFonts w:ascii="Times New Roman" w:eastAsia="宋体" w:hAnsi="Times New Roman"/>
          <w:color w:val="000000"/>
          <w:sz w:val="20"/>
          <w:szCs w:val="20"/>
        </w:rPr>
        <w:t>ommercially reasonable terms and conditions, our business, operating results, and financial condition could be materially and adversely affected. For additional information regarding our indemnification obligations, see Note 14(e) to the Consolidated Finan</w:t>
      </w:r>
      <w:r>
        <w:rPr>
          <w:rFonts w:ascii="Times New Roman" w:eastAsia="宋体" w:hAnsi="Times New Roman"/>
          <w:color w:val="000000"/>
          <w:sz w:val="20"/>
          <w:szCs w:val="20"/>
        </w:rPr>
        <w:t>cial Statements contained in this report. Our exposure to risks associated with the use of intellectual property may be increased as a result of acquisitions, as we have a lower level of visibility into the development process with respect to such technolo</w:t>
      </w:r>
      <w:r>
        <w:rPr>
          <w:rFonts w:ascii="Times New Roman" w:eastAsia="宋体" w:hAnsi="Times New Roman"/>
          <w:color w:val="000000"/>
          <w:sz w:val="20"/>
          <w:szCs w:val="20"/>
        </w:rPr>
        <w:t xml:space="preserve">gy or the care taken to safeguard against infringement risks. Further, in the </w:t>
      </w:r>
    </w:p>
    <w:p w14:paraId="518B44D9" w14:textId="77777777" w:rsidR="005C332D" w:rsidRDefault="00B93EAE">
      <w:pPr>
        <w:jc w:val="center"/>
      </w:pPr>
      <w:r>
        <w:rPr>
          <w:rFonts w:ascii="Times New Roman" w:eastAsia="宋体" w:hAnsi="Times New Roman"/>
          <w:color w:val="000000"/>
          <w:sz w:val="20"/>
          <w:szCs w:val="20"/>
        </w:rPr>
        <w:t>26</w:t>
      </w:r>
    </w:p>
    <w:p w14:paraId="518B44DA" w14:textId="77777777" w:rsidR="005C332D" w:rsidRDefault="00B93EAE">
      <w:r>
        <w:pict w14:anchorId="518B872D">
          <v:rect id="_x0000_i1052" style="width:415.3pt;height:1.5pt" o:hralign="center" o:hrstd="t" o:hr="t" fillcolor="#a0a0a0" stroked="f"/>
        </w:pict>
      </w:r>
    </w:p>
    <w:p w14:paraId="518B44DB" w14:textId="77777777" w:rsidR="005C332D" w:rsidRDefault="00B93EAE">
      <w:hyperlink r:id="rId80" w:anchor="i049852cab38845aabd2a79d07dacda86_7" w:history="1">
        <w:r>
          <w:rPr>
            <w:rStyle w:val="a5"/>
            <w:rFonts w:ascii="Times New Roman" w:eastAsia="宋体" w:hAnsi="Times New Roman"/>
            <w:sz w:val="20"/>
            <w:szCs w:val="20"/>
          </w:rPr>
          <w:t>Table of Contents</w:t>
        </w:r>
      </w:hyperlink>
    </w:p>
    <w:p w14:paraId="518B44DC" w14:textId="77777777" w:rsidR="005C332D" w:rsidRDefault="00B93EAE">
      <w:pPr>
        <w:spacing w:before="120"/>
        <w:jc w:val="both"/>
      </w:pPr>
      <w:r>
        <w:rPr>
          <w:rFonts w:ascii="Times New Roman" w:eastAsia="宋体" w:hAnsi="Times New Roman"/>
          <w:color w:val="000000"/>
          <w:sz w:val="20"/>
          <w:szCs w:val="20"/>
        </w:rPr>
        <w:t>past, third parties have made infringement and similar claims after we have acquired tech</w:t>
      </w:r>
      <w:r>
        <w:rPr>
          <w:rFonts w:ascii="Times New Roman" w:eastAsia="宋体" w:hAnsi="Times New Roman"/>
          <w:color w:val="000000"/>
          <w:sz w:val="20"/>
          <w:szCs w:val="20"/>
        </w:rPr>
        <w:t>nology that had not been asserted prior to our acquisition.</w:t>
      </w:r>
    </w:p>
    <w:p w14:paraId="518B44DD" w14:textId="77777777" w:rsidR="005C332D" w:rsidRDefault="00B93EAE">
      <w:pPr>
        <w:spacing w:before="120"/>
        <w:jc w:val="both"/>
      </w:pPr>
      <w:r>
        <w:rPr>
          <w:rFonts w:ascii="Times New Roman" w:eastAsia="宋体" w:hAnsi="Times New Roman"/>
          <w:b/>
          <w:bCs/>
          <w:i/>
          <w:iCs/>
          <w:color w:val="000000"/>
          <w:sz w:val="20"/>
          <w:szCs w:val="20"/>
        </w:rPr>
        <w:t>We rely on the availability of third-party licenses.</w:t>
      </w:r>
    </w:p>
    <w:p w14:paraId="518B44DE" w14:textId="77777777" w:rsidR="005C332D" w:rsidRDefault="00B93EAE">
      <w:pPr>
        <w:spacing w:before="120"/>
        <w:jc w:val="both"/>
      </w:pPr>
      <w:r>
        <w:rPr>
          <w:rFonts w:ascii="Times New Roman" w:eastAsia="宋体" w:hAnsi="Times New Roman"/>
          <w:color w:val="000000"/>
          <w:sz w:val="20"/>
          <w:szCs w:val="20"/>
        </w:rPr>
        <w:t>Many of our products are designed to include software or other intellectual property licensed from third parties. It may be necessary in the fu</w:t>
      </w:r>
      <w:r>
        <w:rPr>
          <w:rFonts w:ascii="Times New Roman" w:eastAsia="宋体" w:hAnsi="Times New Roman"/>
          <w:color w:val="000000"/>
          <w:sz w:val="20"/>
          <w:szCs w:val="20"/>
        </w:rPr>
        <w:t>ture to seek or renew licenses relating to various aspects of these products. There can be no assurance that the necessary licenses would be available on acceptable terms, if at all. The inability to obtain certain licenses or other rights or to obtain suc</w:t>
      </w:r>
      <w:r>
        <w:rPr>
          <w:rFonts w:ascii="Times New Roman" w:eastAsia="宋体" w:hAnsi="Times New Roman"/>
          <w:color w:val="000000"/>
          <w:sz w:val="20"/>
          <w:szCs w:val="20"/>
        </w:rPr>
        <w:t>h licenses or rights on favorable terms, or the need to engage in litigation regarding these matters, could have a material adverse effect on our business, operating results, and financial condition. Moreover, the inclusion in our products of software or o</w:t>
      </w:r>
      <w:r>
        <w:rPr>
          <w:rFonts w:ascii="Times New Roman" w:eastAsia="宋体" w:hAnsi="Times New Roman"/>
          <w:color w:val="000000"/>
          <w:sz w:val="20"/>
          <w:szCs w:val="20"/>
        </w:rPr>
        <w:t>ther intellectual property licensed from third parties on a nonexclusive basis could limit our ability to protect our proprietary rights in our products.</w:t>
      </w:r>
    </w:p>
    <w:p w14:paraId="518B44DF" w14:textId="77777777" w:rsidR="005C332D" w:rsidRDefault="00B93EAE">
      <w:pPr>
        <w:spacing w:before="120"/>
        <w:jc w:val="both"/>
      </w:pPr>
      <w:r>
        <w:rPr>
          <w:rFonts w:ascii="Times New Roman" w:eastAsia="宋体" w:hAnsi="Times New Roman"/>
          <w:b/>
          <w:bCs/>
          <w:color w:val="000000"/>
          <w:sz w:val="20"/>
          <w:szCs w:val="20"/>
          <w:u w:val="single"/>
        </w:rPr>
        <w:t>Risks Related to Cybersecurity, Privacy, and Regulatory Requirements</w:t>
      </w:r>
    </w:p>
    <w:p w14:paraId="518B44E0" w14:textId="77777777" w:rsidR="005C332D" w:rsidRDefault="00B93EAE">
      <w:pPr>
        <w:spacing w:before="120"/>
        <w:jc w:val="both"/>
      </w:pPr>
      <w:r>
        <w:rPr>
          <w:rFonts w:ascii="Times New Roman" w:eastAsia="宋体" w:hAnsi="Times New Roman"/>
          <w:b/>
          <w:bCs/>
          <w:i/>
          <w:iCs/>
          <w:color w:val="000000"/>
          <w:sz w:val="20"/>
          <w:szCs w:val="20"/>
        </w:rPr>
        <w:t>Cyber attacks, data breaches or m</w:t>
      </w:r>
      <w:r>
        <w:rPr>
          <w:rFonts w:ascii="Times New Roman" w:eastAsia="宋体" w:hAnsi="Times New Roman"/>
          <w:b/>
          <w:bCs/>
          <w:i/>
          <w:iCs/>
          <w:color w:val="000000"/>
          <w:sz w:val="20"/>
          <w:szCs w:val="20"/>
        </w:rPr>
        <w:t>alware may disrupt our operations, harm our operating results and financial condition, and damage our reputation or otherwise materially harm our business; and cyber attacks or data breaches on our customers’ or third-party providers’ networks, or in cloud</w:t>
      </w:r>
      <w:r>
        <w:rPr>
          <w:rFonts w:ascii="Times New Roman" w:eastAsia="宋体" w:hAnsi="Times New Roman"/>
          <w:b/>
          <w:bCs/>
          <w:i/>
          <w:iCs/>
          <w:color w:val="000000"/>
          <w:sz w:val="20"/>
          <w:szCs w:val="20"/>
        </w:rPr>
        <w:t>-based services provided to, by, or enabled by us, could result in claims of liability against us, give rise to legal and/or regulatory action, damage our reputation or otherwise materially harm our business.</w:t>
      </w:r>
    </w:p>
    <w:p w14:paraId="518B44E1" w14:textId="77777777" w:rsidR="005C332D" w:rsidRDefault="00B93EAE">
      <w:pPr>
        <w:spacing w:before="120"/>
        <w:jc w:val="both"/>
      </w:pPr>
      <w:r>
        <w:rPr>
          <w:rFonts w:ascii="Times New Roman" w:eastAsia="宋体" w:hAnsi="Times New Roman"/>
          <w:color w:val="000000"/>
          <w:sz w:val="20"/>
          <w:szCs w:val="20"/>
        </w:rPr>
        <w:t xml:space="preserve">We experience cyber attacks and other </w:t>
      </w:r>
      <w:r>
        <w:rPr>
          <w:rFonts w:ascii="Times New Roman" w:eastAsia="宋体" w:hAnsi="Times New Roman"/>
          <w:color w:val="000000"/>
          <w:sz w:val="20"/>
          <w:szCs w:val="20"/>
        </w:rPr>
        <w:t xml:space="preserve">attempts to gain unauthorized access to our products, services, and IT environment on a regular basis, and we anticipate continuing to be subject to such attempts as cyber attacks become increasingly sophisticated and more difficult to predict and protect </w:t>
      </w:r>
      <w:r>
        <w:rPr>
          <w:rFonts w:ascii="Times New Roman" w:eastAsia="宋体" w:hAnsi="Times New Roman"/>
          <w:color w:val="000000"/>
          <w:sz w:val="20"/>
          <w:szCs w:val="20"/>
        </w:rPr>
        <w:t>against. Despite our implementation of security measures, (i) our products and services, and (ii) the servers, data centers, and cloud-based solutions on which our and third-party data is stored or processed (including servers, data centers and cloud-based</w:t>
      </w:r>
      <w:r>
        <w:rPr>
          <w:rFonts w:ascii="Times New Roman" w:eastAsia="宋体" w:hAnsi="Times New Roman"/>
          <w:color w:val="000000"/>
          <w:sz w:val="20"/>
          <w:szCs w:val="20"/>
        </w:rPr>
        <w:t xml:space="preserve"> solutions operated by third parties on which we rely) (collectively, our “IT environment”), are vulnerable to cyber attacks, data breaches, malware, inadvertent error, disruptions from unauthorized access, tampering or other theft or misuse, including by </w:t>
      </w:r>
      <w:r>
        <w:rPr>
          <w:rFonts w:ascii="Times New Roman" w:eastAsia="宋体" w:hAnsi="Times New Roman"/>
          <w:color w:val="000000"/>
          <w:sz w:val="20"/>
          <w:szCs w:val="20"/>
        </w:rPr>
        <w:t>employees, contingent workers, malicious actors, or nation-states or their agents (which cyber attack or related activity may intensify during periods of diplomatic or armed conflict, such as the Russia and Ukraine war). Such events have caused, and in the</w:t>
      </w:r>
      <w:r>
        <w:rPr>
          <w:rFonts w:ascii="Times New Roman" w:eastAsia="宋体" w:hAnsi="Times New Roman"/>
          <w:color w:val="000000"/>
          <w:sz w:val="20"/>
          <w:szCs w:val="20"/>
        </w:rPr>
        <w:t xml:space="preserve"> future could result in, compromise to, or the disruption of access to, the operation of our products, services, and IT environment or those of our customers or third-party providers we rely on, or result in confidential information stored on our systems, </w:t>
      </w:r>
      <w:r>
        <w:rPr>
          <w:rFonts w:ascii="Times New Roman" w:eastAsia="宋体" w:hAnsi="Times New Roman"/>
          <w:color w:val="000000"/>
          <w:sz w:val="20"/>
          <w:szCs w:val="20"/>
        </w:rPr>
        <w:t>our customers’ systems, or other third-party systems being improperly accessed, processed, disclosed not or in the future, or be lost or stolen. For example, in December 2021, multiple vulnerabilities were reported for the widely used Java logging library,</w:t>
      </w:r>
      <w:r>
        <w:rPr>
          <w:rFonts w:ascii="Times New Roman" w:eastAsia="宋体" w:hAnsi="Times New Roman"/>
          <w:color w:val="000000"/>
          <w:sz w:val="20"/>
          <w:szCs w:val="20"/>
        </w:rPr>
        <w:t xml:space="preserve"> Apache Log4j. We reviewed the use of this library within our products and services, its use in our enterprise IT environment, and its use by our third-party providers, and have taken steps to mitigate these vulnerabilities, including by providing security</w:t>
      </w:r>
      <w:r>
        <w:rPr>
          <w:rFonts w:ascii="Times New Roman" w:eastAsia="宋体" w:hAnsi="Times New Roman"/>
          <w:color w:val="000000"/>
          <w:sz w:val="20"/>
          <w:szCs w:val="20"/>
        </w:rPr>
        <w:t xml:space="preserve"> updates for affected products to our customers. We have not to date experienced a material event related to a cybersecurity matter; however, the occurrence of any such event in the future could subject us to liability to our customers, data subjects, supp</w:t>
      </w:r>
      <w:r>
        <w:rPr>
          <w:rFonts w:ascii="Times New Roman" w:eastAsia="宋体" w:hAnsi="Times New Roman"/>
          <w:color w:val="000000"/>
          <w:sz w:val="20"/>
          <w:szCs w:val="20"/>
        </w:rPr>
        <w:t>liers, business partners, employees, and others, give rise to legal and/or regulatory action, could damage our reputation or could otherwise materially harm our business, any of which could have a material adverse effect on our business, operating results,</w:t>
      </w:r>
      <w:r>
        <w:rPr>
          <w:rFonts w:ascii="Times New Roman" w:eastAsia="宋体" w:hAnsi="Times New Roman"/>
          <w:color w:val="000000"/>
          <w:sz w:val="20"/>
          <w:szCs w:val="20"/>
        </w:rPr>
        <w:t xml:space="preserve"> and financial condition. Efforts to limit the ability of malicious actors to disrupt the operations of the Internet or undermine our own security efforts are costly to implement and may not be successful. Breaches of security in our customers’ or third-pa</w:t>
      </w:r>
      <w:r>
        <w:rPr>
          <w:rFonts w:ascii="Times New Roman" w:eastAsia="宋体" w:hAnsi="Times New Roman"/>
          <w:color w:val="000000"/>
          <w:sz w:val="20"/>
          <w:szCs w:val="20"/>
        </w:rPr>
        <w:t>rty providers’ networks, in third-party products we use, or in cloud-based services provided to, by, or enabled by us, regardless of whether the breach is attributable to a vulnerability in our products or services, or a failure to maintain the digital sec</w:t>
      </w:r>
      <w:r>
        <w:rPr>
          <w:rFonts w:ascii="Times New Roman" w:eastAsia="宋体" w:hAnsi="Times New Roman"/>
          <w:color w:val="000000"/>
          <w:sz w:val="20"/>
          <w:szCs w:val="20"/>
        </w:rPr>
        <w:t>urity infrastructure or security tools that protect the integrity of our products, services, and IT environment, could, in each case, result in claims of liability against us, damage our reputation or otherwise materially harm our business.</w:t>
      </w:r>
    </w:p>
    <w:p w14:paraId="518B44E2" w14:textId="77777777" w:rsidR="005C332D" w:rsidRDefault="00B93EAE">
      <w:pPr>
        <w:spacing w:before="120"/>
        <w:jc w:val="both"/>
      </w:pPr>
      <w:r>
        <w:rPr>
          <w:rFonts w:ascii="Times New Roman" w:eastAsia="宋体" w:hAnsi="Times New Roman"/>
          <w:b/>
          <w:bCs/>
          <w:i/>
          <w:iCs/>
          <w:color w:val="000000"/>
          <w:sz w:val="20"/>
          <w:szCs w:val="20"/>
        </w:rPr>
        <w:t>Vulnerabilities</w:t>
      </w:r>
      <w:r>
        <w:rPr>
          <w:rFonts w:ascii="Times New Roman" w:eastAsia="宋体" w:hAnsi="Times New Roman"/>
          <w:b/>
          <w:bCs/>
          <w:i/>
          <w:iCs/>
          <w:color w:val="000000"/>
          <w:sz w:val="20"/>
          <w:szCs w:val="20"/>
        </w:rPr>
        <w:t xml:space="preserve"> and critical security defects, prioritization decisions regarding remedying vulnerabilities or security defects, failure of third-party providers to remedy vulnerabilities or security defects, or customers not deploying security updates in a timely manner</w:t>
      </w:r>
      <w:r>
        <w:rPr>
          <w:rFonts w:ascii="Times New Roman" w:eastAsia="宋体" w:hAnsi="Times New Roman"/>
          <w:b/>
          <w:bCs/>
          <w:i/>
          <w:iCs/>
          <w:color w:val="000000"/>
          <w:sz w:val="20"/>
          <w:szCs w:val="20"/>
        </w:rPr>
        <w:t xml:space="preserve"> or deciding not to upgrade products, services or solutions could result in claims of liability against us, damage our reputation, or otherwise materially harm our business.</w:t>
      </w:r>
    </w:p>
    <w:p w14:paraId="518B44E3" w14:textId="77777777" w:rsidR="005C332D" w:rsidRDefault="00B93EAE">
      <w:pPr>
        <w:spacing w:before="120"/>
        <w:jc w:val="both"/>
      </w:pPr>
      <w:r>
        <w:rPr>
          <w:rFonts w:ascii="Times New Roman" w:eastAsia="宋体" w:hAnsi="Times New Roman"/>
          <w:color w:val="000000"/>
          <w:sz w:val="20"/>
          <w:szCs w:val="20"/>
        </w:rPr>
        <w:t>The products and services we sell to customers, and our cloud-based solutions, ine</w:t>
      </w:r>
      <w:r>
        <w:rPr>
          <w:rFonts w:ascii="Times New Roman" w:eastAsia="宋体" w:hAnsi="Times New Roman"/>
          <w:color w:val="000000"/>
          <w:sz w:val="20"/>
          <w:szCs w:val="20"/>
        </w:rPr>
        <w:t xml:space="preserve">vitably contain vulnerabilities or security defects which have not been remedied and cannot be disclosed without compromising security. We also make prioritization decisions in determining which vulnerabilities or security defects to fix and the timing of </w:t>
      </w:r>
      <w:r>
        <w:rPr>
          <w:rFonts w:ascii="Times New Roman" w:eastAsia="宋体" w:hAnsi="Times New Roman"/>
          <w:color w:val="000000"/>
          <w:sz w:val="20"/>
          <w:szCs w:val="20"/>
        </w:rPr>
        <w:t>these fixes. Customers may also need to test security updates before they can be deployed which can delay implementation. When customers do not deploy security updates in a timely manner, or decide not to upgrade to the latest versions of our products, ser</w:t>
      </w:r>
      <w:r>
        <w:rPr>
          <w:rFonts w:ascii="Times New Roman" w:eastAsia="宋体" w:hAnsi="Times New Roman"/>
          <w:color w:val="000000"/>
          <w:sz w:val="20"/>
          <w:szCs w:val="20"/>
        </w:rPr>
        <w:t>vices or cloud-based solutions containing the security update, they may be left vulnerable. In addition, we rely on third-party providers of software and cloud-based services on which our and third-party data is stored or processed, and we cannot control t</w:t>
      </w:r>
      <w:r>
        <w:rPr>
          <w:rFonts w:ascii="Times New Roman" w:eastAsia="宋体" w:hAnsi="Times New Roman"/>
          <w:color w:val="000000"/>
          <w:sz w:val="20"/>
          <w:szCs w:val="20"/>
        </w:rPr>
        <w:t>he timing at which third-party providers remedy vulnerabilities, which could leave us vulnerable. Vulnerabilities and security defects, prioritization errors in remedying vulnerabilities or security defects, failure of third-party providers to remedy vulne</w:t>
      </w:r>
      <w:r>
        <w:rPr>
          <w:rFonts w:ascii="Times New Roman" w:eastAsia="宋体" w:hAnsi="Times New Roman"/>
          <w:color w:val="000000"/>
          <w:sz w:val="20"/>
          <w:szCs w:val="20"/>
        </w:rPr>
        <w:t xml:space="preserve">rabilities or security defects, or </w:t>
      </w:r>
    </w:p>
    <w:p w14:paraId="518B44E4" w14:textId="77777777" w:rsidR="005C332D" w:rsidRDefault="00B93EAE">
      <w:pPr>
        <w:jc w:val="center"/>
      </w:pPr>
      <w:r>
        <w:rPr>
          <w:rFonts w:ascii="Times New Roman" w:eastAsia="宋体" w:hAnsi="Times New Roman"/>
          <w:color w:val="000000"/>
          <w:sz w:val="20"/>
          <w:szCs w:val="20"/>
        </w:rPr>
        <w:t>27</w:t>
      </w:r>
    </w:p>
    <w:p w14:paraId="518B44E5" w14:textId="77777777" w:rsidR="005C332D" w:rsidRDefault="00B93EAE">
      <w:r>
        <w:pict w14:anchorId="518B872E">
          <v:rect id="_x0000_i1053" style="width:415.3pt;height:1.5pt" o:hralign="center" o:hrstd="t" o:hr="t" fillcolor="#a0a0a0" stroked="f"/>
        </w:pict>
      </w:r>
    </w:p>
    <w:p w14:paraId="518B44E6" w14:textId="77777777" w:rsidR="005C332D" w:rsidRDefault="00B93EAE">
      <w:hyperlink r:id="rId81" w:anchor="i049852cab38845aabd2a79d07dacda86_7" w:history="1">
        <w:r>
          <w:rPr>
            <w:rStyle w:val="a5"/>
            <w:rFonts w:ascii="Times New Roman" w:eastAsia="宋体" w:hAnsi="Times New Roman"/>
            <w:sz w:val="20"/>
            <w:szCs w:val="20"/>
          </w:rPr>
          <w:t>Table of Contents</w:t>
        </w:r>
      </w:hyperlink>
    </w:p>
    <w:p w14:paraId="518B44E7" w14:textId="77777777" w:rsidR="005C332D" w:rsidRDefault="00B93EAE">
      <w:pPr>
        <w:spacing w:before="120"/>
        <w:jc w:val="both"/>
      </w:pPr>
      <w:r>
        <w:rPr>
          <w:rFonts w:ascii="Times New Roman" w:eastAsia="宋体" w:hAnsi="Times New Roman"/>
          <w:color w:val="000000"/>
          <w:sz w:val="20"/>
          <w:szCs w:val="20"/>
        </w:rPr>
        <w:t>customers not deploying security updates in a ti</w:t>
      </w:r>
      <w:r>
        <w:rPr>
          <w:rFonts w:ascii="Times New Roman" w:eastAsia="宋体" w:hAnsi="Times New Roman"/>
          <w:color w:val="000000"/>
          <w:sz w:val="20"/>
          <w:szCs w:val="20"/>
        </w:rPr>
        <w:t>mely manner or deciding not to upgrade products, services or solutions could result in claims of liability against us, damage our reputation or otherwise materially harm our business.</w:t>
      </w:r>
    </w:p>
    <w:p w14:paraId="518B44E8" w14:textId="77777777" w:rsidR="005C332D" w:rsidRDefault="00B93EAE">
      <w:pPr>
        <w:spacing w:before="120"/>
        <w:jc w:val="both"/>
      </w:pPr>
      <w:r>
        <w:rPr>
          <w:rFonts w:ascii="Times New Roman" w:eastAsia="宋体" w:hAnsi="Times New Roman"/>
          <w:b/>
          <w:bCs/>
          <w:i/>
          <w:iCs/>
          <w:color w:val="000000"/>
          <w:sz w:val="20"/>
          <w:szCs w:val="20"/>
        </w:rPr>
        <w:t>Our actual or perceived failure to adequately protect personal data coul</w:t>
      </w:r>
      <w:r>
        <w:rPr>
          <w:rFonts w:ascii="Times New Roman" w:eastAsia="宋体" w:hAnsi="Times New Roman"/>
          <w:b/>
          <w:bCs/>
          <w:i/>
          <w:iCs/>
          <w:color w:val="000000"/>
          <w:sz w:val="20"/>
          <w:szCs w:val="20"/>
        </w:rPr>
        <w:t>d result in claims of liability against us, damage our reputation or otherwise materially harm of business.</w:t>
      </w:r>
    </w:p>
    <w:p w14:paraId="518B44E9" w14:textId="77777777" w:rsidR="005C332D" w:rsidRDefault="00B93EAE">
      <w:pPr>
        <w:spacing w:before="120"/>
        <w:jc w:val="both"/>
      </w:pPr>
      <w:r>
        <w:rPr>
          <w:rFonts w:ascii="Times New Roman" w:eastAsia="宋体" w:hAnsi="Times New Roman"/>
          <w:color w:val="000000"/>
          <w:sz w:val="20"/>
          <w:szCs w:val="20"/>
        </w:rPr>
        <w:t xml:space="preserve">Global privacy and data protection-related laws and regulations are evolving, extensive, and complex. Compliance with these laws and regulations is </w:t>
      </w:r>
      <w:r>
        <w:rPr>
          <w:rFonts w:ascii="Times New Roman" w:eastAsia="宋体" w:hAnsi="Times New Roman"/>
          <w:color w:val="000000"/>
          <w:sz w:val="20"/>
          <w:szCs w:val="20"/>
        </w:rPr>
        <w:t xml:space="preserve">difficult and costly. In addition, evolving legal requirements restricting or controlling the collection, processing, or cross-border transmission of data, including for regulation of cloud-based services, could materially affect our customers’ ability to </w:t>
      </w:r>
      <w:r>
        <w:rPr>
          <w:rFonts w:ascii="Times New Roman" w:eastAsia="宋体" w:hAnsi="Times New Roman"/>
          <w:color w:val="000000"/>
          <w:sz w:val="20"/>
          <w:szCs w:val="20"/>
        </w:rPr>
        <w:t>use, and our ability to sell, our products and services. The interpretation and application of these laws in some instances is uncertain, and our legal and regulatory obligations are subject to frequent changes. For example, the European Union’s (“EU”) Gen</w:t>
      </w:r>
      <w:r>
        <w:rPr>
          <w:rFonts w:ascii="Times New Roman" w:eastAsia="宋体" w:hAnsi="Times New Roman"/>
          <w:color w:val="000000"/>
          <w:sz w:val="20"/>
          <w:szCs w:val="20"/>
        </w:rPr>
        <w:t>eral Data Protection Regulation (“GDPR”) applies to our activities conducted from an establishment in the EU or related to products and services offered in the EU and imposes a range of compliance obligations regarding the handling of personal data. Additi</w:t>
      </w:r>
      <w:r>
        <w:rPr>
          <w:rFonts w:ascii="Times New Roman" w:eastAsia="宋体" w:hAnsi="Times New Roman"/>
          <w:color w:val="000000"/>
          <w:sz w:val="20"/>
          <w:szCs w:val="20"/>
        </w:rPr>
        <w:t>onally, we are subject to California’s Consumer Privacy Act and other laws, regulations and obligations that relate to the handling of personal data. Our actual or perceived failure to comply with applicable laws and regulations or other obligations relati</w:t>
      </w:r>
      <w:r>
        <w:rPr>
          <w:rFonts w:ascii="Times New Roman" w:eastAsia="宋体" w:hAnsi="Times New Roman"/>
          <w:color w:val="000000"/>
          <w:sz w:val="20"/>
          <w:szCs w:val="20"/>
        </w:rPr>
        <w:t>ng to personal data, or to protect personal data from unauthorized access, use, or other processing, could subject us to liability to our customers, data subjects, suppliers, business partners, employees, and others, give rise to legal and/or regulatory ac</w:t>
      </w:r>
      <w:r>
        <w:rPr>
          <w:rFonts w:ascii="Times New Roman" w:eastAsia="宋体" w:hAnsi="Times New Roman"/>
          <w:color w:val="000000"/>
          <w:sz w:val="20"/>
          <w:szCs w:val="20"/>
        </w:rPr>
        <w:t>tion, could damage our reputation or could otherwise materially harm our business, any of which could have a material adverse effect on our business, operating results, and financial condition.</w:t>
      </w:r>
    </w:p>
    <w:p w14:paraId="518B44EA" w14:textId="77777777" w:rsidR="005C332D" w:rsidRDefault="00B93EAE">
      <w:pPr>
        <w:spacing w:before="120"/>
        <w:jc w:val="both"/>
      </w:pPr>
      <w:r>
        <w:rPr>
          <w:rFonts w:ascii="Times New Roman" w:eastAsia="宋体" w:hAnsi="Times New Roman"/>
          <w:b/>
          <w:bCs/>
          <w:i/>
          <w:iCs/>
          <w:color w:val="000000"/>
          <w:sz w:val="20"/>
          <w:szCs w:val="20"/>
        </w:rPr>
        <w:t xml:space="preserve">Our business, operating results and financial condition could </w:t>
      </w:r>
      <w:r>
        <w:rPr>
          <w:rFonts w:ascii="Times New Roman" w:eastAsia="宋体" w:hAnsi="Times New Roman"/>
          <w:b/>
          <w:bCs/>
          <w:i/>
          <w:iCs/>
          <w:color w:val="000000"/>
          <w:sz w:val="20"/>
          <w:szCs w:val="20"/>
        </w:rPr>
        <w:t>be materially harmed by evolving regulatory uncertainty or obligations applicable to our products and services.</w:t>
      </w:r>
    </w:p>
    <w:p w14:paraId="518B44EB" w14:textId="77777777" w:rsidR="005C332D" w:rsidRDefault="00B93EAE">
      <w:pPr>
        <w:spacing w:before="120"/>
        <w:jc w:val="both"/>
      </w:pPr>
      <w:r>
        <w:rPr>
          <w:rFonts w:ascii="Times New Roman" w:eastAsia="宋体" w:hAnsi="Times New Roman"/>
          <w:color w:val="000000"/>
          <w:sz w:val="20"/>
          <w:szCs w:val="20"/>
        </w:rPr>
        <w:t>Changes in regulatory requirements applicable to the industries in which we operate, in the United States and in other countries, could material</w:t>
      </w:r>
      <w:r>
        <w:rPr>
          <w:rFonts w:ascii="Times New Roman" w:eastAsia="宋体" w:hAnsi="Times New Roman"/>
          <w:color w:val="000000"/>
          <w:sz w:val="20"/>
          <w:szCs w:val="20"/>
        </w:rPr>
        <w:t xml:space="preserve">ly affect the sales of our products and services. In particular, economic sanctions and changes to export control requirements, have impacted and may continue to impact our ability to sell and support our products and services in certain jurisdictions. In </w:t>
      </w:r>
      <w:r>
        <w:rPr>
          <w:rFonts w:ascii="Times New Roman" w:eastAsia="宋体" w:hAnsi="Times New Roman"/>
          <w:color w:val="000000"/>
          <w:sz w:val="20"/>
          <w:szCs w:val="20"/>
        </w:rPr>
        <w:t>addition, changes in telecommunications regulations could impact our service provider customers’ purchase of our products and services, and they could also impact sales of our own regulated offerings. Additional areas of uncertainty that could impact sales</w:t>
      </w:r>
      <w:r>
        <w:rPr>
          <w:rFonts w:ascii="Times New Roman" w:eastAsia="宋体" w:hAnsi="Times New Roman"/>
          <w:color w:val="000000"/>
          <w:sz w:val="20"/>
          <w:szCs w:val="20"/>
        </w:rPr>
        <w:t xml:space="preserve"> of our products and services include laws and regulations related to encryption technology, environmental sustainability (including climate change), human rights, product certification, and national security controls applicable to our supply chain. For ex</w:t>
      </w:r>
      <w:r>
        <w:rPr>
          <w:rFonts w:ascii="Times New Roman" w:eastAsia="宋体" w:hAnsi="Times New Roman"/>
          <w:color w:val="000000"/>
          <w:sz w:val="20"/>
          <w:szCs w:val="20"/>
        </w:rPr>
        <w:t>ample, new laws and regulations in response to climate change could result in increased energy efficiency requirements for our products and increased compliance and energy costs. Changes in regulatory requirements in any of these areas could have a materia</w:t>
      </w:r>
      <w:r>
        <w:rPr>
          <w:rFonts w:ascii="Times New Roman" w:eastAsia="宋体" w:hAnsi="Times New Roman"/>
          <w:color w:val="000000"/>
          <w:sz w:val="20"/>
          <w:szCs w:val="20"/>
        </w:rPr>
        <w:t>l adverse effect on our business, operating results, and financial condition.</w:t>
      </w:r>
    </w:p>
    <w:p w14:paraId="518B44EC" w14:textId="77777777" w:rsidR="005C332D" w:rsidRDefault="00B93EAE">
      <w:pPr>
        <w:spacing w:before="120"/>
        <w:jc w:val="both"/>
      </w:pPr>
      <w:r>
        <w:rPr>
          <w:rFonts w:ascii="Times New Roman" w:eastAsia="宋体" w:hAnsi="Times New Roman"/>
          <w:b/>
          <w:bCs/>
          <w:color w:val="000000"/>
          <w:sz w:val="20"/>
          <w:szCs w:val="20"/>
          <w:u w:val="single"/>
        </w:rPr>
        <w:t>Risks Related to Ownership of Our Stock</w:t>
      </w:r>
    </w:p>
    <w:p w14:paraId="518B44ED" w14:textId="77777777" w:rsidR="005C332D" w:rsidRDefault="00B93EAE">
      <w:pPr>
        <w:spacing w:before="120"/>
        <w:jc w:val="both"/>
      </w:pPr>
      <w:r>
        <w:rPr>
          <w:rFonts w:ascii="Times New Roman" w:eastAsia="宋体" w:hAnsi="Times New Roman"/>
          <w:b/>
          <w:bCs/>
          <w:i/>
          <w:iCs/>
          <w:color w:val="000000"/>
          <w:sz w:val="20"/>
          <w:szCs w:val="20"/>
        </w:rPr>
        <w:t>Our stock price may be volatile.</w:t>
      </w:r>
    </w:p>
    <w:p w14:paraId="518B44EE" w14:textId="77777777" w:rsidR="005C332D" w:rsidRDefault="00B93EAE">
      <w:pPr>
        <w:spacing w:before="120"/>
        <w:jc w:val="both"/>
      </w:pPr>
      <w:r>
        <w:rPr>
          <w:rFonts w:ascii="Times New Roman" w:eastAsia="宋体" w:hAnsi="Times New Roman"/>
          <w:color w:val="000000"/>
          <w:sz w:val="20"/>
          <w:szCs w:val="20"/>
        </w:rPr>
        <w:t xml:space="preserve">Historically, our common stock has experienced substantial price volatility, particularly as a result of </w:t>
      </w:r>
      <w:r>
        <w:rPr>
          <w:rFonts w:ascii="Times New Roman" w:eastAsia="宋体" w:hAnsi="Times New Roman"/>
          <w:color w:val="000000"/>
          <w:sz w:val="20"/>
          <w:szCs w:val="20"/>
        </w:rPr>
        <w:t>variations between our actual financial results and the published expectations of analysts and as a result of announcements by our competitors and us. Furthermore, speculation in the press or investment community about our strategic position, financial con</w:t>
      </w:r>
      <w:r>
        <w:rPr>
          <w:rFonts w:ascii="Times New Roman" w:eastAsia="宋体" w:hAnsi="Times New Roman"/>
          <w:color w:val="000000"/>
          <w:sz w:val="20"/>
          <w:szCs w:val="20"/>
        </w:rPr>
        <w:t xml:space="preserve">dition, results of operations, business, security of our products, or significant transactions can cause changes in our stock price. In addition, the stock market has experienced extreme price and volume fluctuations that have affected the market price of </w:t>
      </w:r>
      <w:r>
        <w:rPr>
          <w:rFonts w:ascii="Times New Roman" w:eastAsia="宋体" w:hAnsi="Times New Roman"/>
          <w:color w:val="000000"/>
          <w:sz w:val="20"/>
          <w:szCs w:val="20"/>
        </w:rPr>
        <w:t>many technology companies, in particular, and that have often been unrelated to the operating performance of these companies. These factors, as well as general economic and political conditions and the announcement of proposed and completed acquisitions or</w:t>
      </w:r>
      <w:r>
        <w:rPr>
          <w:rFonts w:ascii="Times New Roman" w:eastAsia="宋体" w:hAnsi="Times New Roman"/>
          <w:color w:val="000000"/>
          <w:sz w:val="20"/>
          <w:szCs w:val="20"/>
        </w:rPr>
        <w:t xml:space="preserve"> other significant transactions, or any difficulties associated with such transactions, by us or our current or potential competitors, may materially adversely affect the market price of our common stock in the future. Additionally, volatility, lack of pos</w:t>
      </w:r>
      <w:r>
        <w:rPr>
          <w:rFonts w:ascii="Times New Roman" w:eastAsia="宋体" w:hAnsi="Times New Roman"/>
          <w:color w:val="000000"/>
          <w:sz w:val="20"/>
          <w:szCs w:val="20"/>
        </w:rPr>
        <w:t>itive performance in our stock price or changes to our overall compensation program, including our stock incentive program, may adversely affect our ability to retain key employees, virtually all of whom are compensated, in part, based on the performance o</w:t>
      </w:r>
      <w:r>
        <w:rPr>
          <w:rFonts w:ascii="Times New Roman" w:eastAsia="宋体" w:hAnsi="Times New Roman"/>
          <w:color w:val="000000"/>
          <w:sz w:val="20"/>
          <w:szCs w:val="20"/>
        </w:rPr>
        <w:t>f our stock price.</w:t>
      </w:r>
    </w:p>
    <w:p w14:paraId="518B44EF" w14:textId="77777777" w:rsidR="005C332D" w:rsidRDefault="005C332D">
      <w:pPr>
        <w:spacing w:before="120"/>
        <w:jc w:val="both"/>
      </w:pPr>
    </w:p>
    <w:p w14:paraId="518B44F0" w14:textId="77777777" w:rsidR="005C332D" w:rsidRDefault="00B93EAE">
      <w:pPr>
        <w:jc w:val="center"/>
      </w:pPr>
      <w:r>
        <w:rPr>
          <w:rFonts w:ascii="Times New Roman" w:eastAsia="宋体" w:hAnsi="Times New Roman"/>
          <w:color w:val="000000"/>
          <w:sz w:val="20"/>
          <w:szCs w:val="20"/>
        </w:rPr>
        <w:t>28</w:t>
      </w:r>
    </w:p>
    <w:p w14:paraId="518B44F1" w14:textId="77777777" w:rsidR="005C332D" w:rsidRDefault="00B93EAE">
      <w:r>
        <w:pict w14:anchorId="518B872F">
          <v:rect id="_x0000_i1054" style="width:415.3pt;height:1.5pt" o:hralign="center" o:hrstd="t" o:hr="t" fillcolor="#a0a0a0" stroked="f"/>
        </w:pict>
      </w:r>
    </w:p>
    <w:p w14:paraId="518B44F2" w14:textId="77777777" w:rsidR="005C332D" w:rsidRDefault="00B93EAE">
      <w:hyperlink r:id="rId82" w:anchor="i049852cab38845aabd2a79d07dacda86_7" w:history="1">
        <w:r>
          <w:rPr>
            <w:rStyle w:val="a5"/>
            <w:rFonts w:ascii="Times New Roman" w:eastAsia="宋体" w:hAnsi="Times New Roman"/>
            <w:sz w:val="20"/>
            <w:szCs w:val="20"/>
          </w:rPr>
          <w:t>Table of Contents</w:t>
        </w:r>
      </w:hyperlink>
    </w:p>
    <w:tbl>
      <w:tblPr>
        <w:tblW w:w="1952" w:type="pct"/>
        <w:tblCellMar>
          <w:top w:w="15" w:type="dxa"/>
          <w:left w:w="15" w:type="dxa"/>
          <w:bottom w:w="15" w:type="dxa"/>
          <w:right w:w="15" w:type="dxa"/>
        </w:tblCellMar>
        <w:tblLook w:val="04A0" w:firstRow="1" w:lastRow="0" w:firstColumn="1" w:lastColumn="0" w:noHBand="0" w:noVBand="1"/>
      </w:tblPr>
      <w:tblGrid>
        <w:gridCol w:w="37"/>
        <w:gridCol w:w="902"/>
        <w:gridCol w:w="36"/>
        <w:gridCol w:w="37"/>
        <w:gridCol w:w="2206"/>
        <w:gridCol w:w="36"/>
      </w:tblGrid>
      <w:tr w:rsidR="005C332D" w14:paraId="518B44F9" w14:textId="77777777">
        <w:tc>
          <w:tcPr>
            <w:tcW w:w="50" w:type="pct"/>
            <w:shd w:val="clear" w:color="auto" w:fill="auto"/>
            <w:vAlign w:val="bottom"/>
          </w:tcPr>
          <w:p w14:paraId="518B44F3" w14:textId="77777777" w:rsidR="005C332D" w:rsidRDefault="005C332D">
            <w:pPr>
              <w:rPr>
                <w:rFonts w:ascii="宋体"/>
              </w:rPr>
            </w:pPr>
          </w:p>
        </w:tc>
        <w:tc>
          <w:tcPr>
            <w:tcW w:w="1443" w:type="pct"/>
            <w:shd w:val="clear" w:color="auto" w:fill="auto"/>
            <w:vAlign w:val="bottom"/>
          </w:tcPr>
          <w:p w14:paraId="518B44F4" w14:textId="77777777" w:rsidR="005C332D" w:rsidRDefault="005C332D">
            <w:pPr>
              <w:rPr>
                <w:rFonts w:ascii="宋体"/>
              </w:rPr>
            </w:pPr>
          </w:p>
        </w:tc>
        <w:tc>
          <w:tcPr>
            <w:tcW w:w="5" w:type="pct"/>
            <w:shd w:val="clear" w:color="auto" w:fill="auto"/>
            <w:vAlign w:val="bottom"/>
          </w:tcPr>
          <w:p w14:paraId="518B44F5" w14:textId="77777777" w:rsidR="005C332D" w:rsidRDefault="005C332D">
            <w:pPr>
              <w:rPr>
                <w:rFonts w:ascii="宋体"/>
              </w:rPr>
            </w:pPr>
          </w:p>
        </w:tc>
        <w:tc>
          <w:tcPr>
            <w:tcW w:w="50" w:type="pct"/>
            <w:shd w:val="clear" w:color="auto" w:fill="auto"/>
            <w:vAlign w:val="bottom"/>
          </w:tcPr>
          <w:p w14:paraId="518B44F6" w14:textId="77777777" w:rsidR="005C332D" w:rsidRDefault="005C332D">
            <w:pPr>
              <w:rPr>
                <w:rFonts w:ascii="宋体"/>
              </w:rPr>
            </w:pPr>
          </w:p>
        </w:tc>
        <w:tc>
          <w:tcPr>
            <w:tcW w:w="3446" w:type="pct"/>
            <w:shd w:val="clear" w:color="auto" w:fill="auto"/>
            <w:vAlign w:val="bottom"/>
          </w:tcPr>
          <w:p w14:paraId="518B44F7" w14:textId="77777777" w:rsidR="005C332D" w:rsidRDefault="005C332D">
            <w:pPr>
              <w:rPr>
                <w:rFonts w:ascii="宋体"/>
              </w:rPr>
            </w:pPr>
          </w:p>
        </w:tc>
        <w:tc>
          <w:tcPr>
            <w:tcW w:w="5" w:type="pct"/>
            <w:shd w:val="clear" w:color="auto" w:fill="auto"/>
            <w:vAlign w:val="bottom"/>
          </w:tcPr>
          <w:p w14:paraId="518B44F8" w14:textId="77777777" w:rsidR="005C332D" w:rsidRDefault="005C332D">
            <w:pPr>
              <w:rPr>
                <w:rFonts w:ascii="宋体"/>
              </w:rPr>
            </w:pPr>
          </w:p>
        </w:tc>
      </w:tr>
      <w:tr w:rsidR="005C332D" w14:paraId="518B44FC" w14:textId="77777777">
        <w:tc>
          <w:tcPr>
            <w:tcW w:w="0" w:type="auto"/>
            <w:gridSpan w:val="3"/>
            <w:shd w:val="clear" w:color="auto" w:fill="auto"/>
            <w:tcMar>
              <w:top w:w="40" w:type="dxa"/>
              <w:left w:w="20" w:type="dxa"/>
              <w:bottom w:w="40" w:type="dxa"/>
              <w:right w:w="20" w:type="dxa"/>
            </w:tcMar>
          </w:tcPr>
          <w:p w14:paraId="518B44FA" w14:textId="77777777" w:rsidR="005C332D" w:rsidRDefault="00B93EAE">
            <w:pPr>
              <w:textAlignment w:val="top"/>
            </w:pPr>
            <w:r>
              <w:rPr>
                <w:rFonts w:ascii="Times New Roman" w:eastAsia="宋体" w:hAnsi="Times New Roman"/>
                <w:b/>
                <w:bCs/>
                <w:color w:val="000000"/>
                <w:sz w:val="20"/>
                <w:szCs w:val="20"/>
              </w:rPr>
              <w:t>Item 1B.</w:t>
            </w:r>
          </w:p>
        </w:tc>
        <w:tc>
          <w:tcPr>
            <w:tcW w:w="0" w:type="auto"/>
            <w:gridSpan w:val="3"/>
            <w:shd w:val="clear" w:color="auto" w:fill="auto"/>
            <w:tcMar>
              <w:top w:w="40" w:type="dxa"/>
              <w:left w:w="20" w:type="dxa"/>
              <w:bottom w:w="40" w:type="dxa"/>
              <w:right w:w="20" w:type="dxa"/>
            </w:tcMar>
          </w:tcPr>
          <w:p w14:paraId="518B44FB" w14:textId="77777777" w:rsidR="005C332D" w:rsidRDefault="00B93EAE">
            <w:pPr>
              <w:textAlignment w:val="top"/>
            </w:pPr>
            <w:r>
              <w:rPr>
                <w:rFonts w:ascii="Times New Roman" w:eastAsia="宋体" w:hAnsi="Times New Roman"/>
                <w:b/>
                <w:bCs/>
                <w:color w:val="000000"/>
                <w:sz w:val="20"/>
                <w:szCs w:val="20"/>
              </w:rPr>
              <w:t>Unresolved Staff Comments</w:t>
            </w:r>
          </w:p>
        </w:tc>
      </w:tr>
    </w:tbl>
    <w:p w14:paraId="518B44FD" w14:textId="77777777" w:rsidR="005C332D" w:rsidRDefault="00B93EAE">
      <w:pPr>
        <w:spacing w:before="120"/>
      </w:pPr>
      <w:r>
        <w:rPr>
          <w:rFonts w:ascii="Times New Roman" w:eastAsia="宋体" w:hAnsi="Times New Roman"/>
          <w:color w:val="000000"/>
          <w:sz w:val="20"/>
          <w:szCs w:val="20"/>
        </w:rPr>
        <w:t>None.</w:t>
      </w:r>
    </w:p>
    <w:p w14:paraId="518B44FE" w14:textId="77777777" w:rsidR="005C332D" w:rsidRDefault="005C332D">
      <w:pPr>
        <w:spacing w:before="120"/>
      </w:pPr>
    </w:p>
    <w:tbl>
      <w:tblPr>
        <w:tblW w:w="1557"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5C332D" w14:paraId="518B4505" w14:textId="77777777">
        <w:tc>
          <w:tcPr>
            <w:tcW w:w="50" w:type="pct"/>
            <w:shd w:val="clear" w:color="auto" w:fill="auto"/>
            <w:vAlign w:val="bottom"/>
          </w:tcPr>
          <w:p w14:paraId="518B44FF" w14:textId="77777777" w:rsidR="005C332D" w:rsidRDefault="005C332D">
            <w:pPr>
              <w:rPr>
                <w:rFonts w:ascii="宋体"/>
              </w:rPr>
            </w:pPr>
          </w:p>
        </w:tc>
        <w:tc>
          <w:tcPr>
            <w:tcW w:w="1822" w:type="pct"/>
            <w:shd w:val="clear" w:color="auto" w:fill="auto"/>
            <w:vAlign w:val="bottom"/>
          </w:tcPr>
          <w:p w14:paraId="518B4500" w14:textId="77777777" w:rsidR="005C332D" w:rsidRDefault="005C332D">
            <w:pPr>
              <w:rPr>
                <w:rFonts w:ascii="宋体"/>
              </w:rPr>
            </w:pPr>
          </w:p>
        </w:tc>
        <w:tc>
          <w:tcPr>
            <w:tcW w:w="5" w:type="pct"/>
            <w:shd w:val="clear" w:color="auto" w:fill="auto"/>
            <w:vAlign w:val="bottom"/>
          </w:tcPr>
          <w:p w14:paraId="518B4501" w14:textId="77777777" w:rsidR="005C332D" w:rsidRDefault="005C332D">
            <w:pPr>
              <w:rPr>
                <w:rFonts w:ascii="宋体"/>
              </w:rPr>
            </w:pPr>
          </w:p>
        </w:tc>
        <w:tc>
          <w:tcPr>
            <w:tcW w:w="50" w:type="pct"/>
            <w:shd w:val="clear" w:color="auto" w:fill="auto"/>
            <w:vAlign w:val="bottom"/>
          </w:tcPr>
          <w:p w14:paraId="518B4502" w14:textId="77777777" w:rsidR="005C332D" w:rsidRDefault="005C332D">
            <w:pPr>
              <w:rPr>
                <w:rFonts w:ascii="宋体"/>
              </w:rPr>
            </w:pPr>
          </w:p>
        </w:tc>
        <w:tc>
          <w:tcPr>
            <w:tcW w:w="3067" w:type="pct"/>
            <w:shd w:val="clear" w:color="auto" w:fill="auto"/>
            <w:vAlign w:val="bottom"/>
          </w:tcPr>
          <w:p w14:paraId="518B4503" w14:textId="77777777" w:rsidR="005C332D" w:rsidRDefault="005C332D">
            <w:pPr>
              <w:rPr>
                <w:rFonts w:ascii="宋体"/>
              </w:rPr>
            </w:pPr>
          </w:p>
        </w:tc>
        <w:tc>
          <w:tcPr>
            <w:tcW w:w="5" w:type="pct"/>
            <w:shd w:val="clear" w:color="auto" w:fill="auto"/>
            <w:vAlign w:val="bottom"/>
          </w:tcPr>
          <w:p w14:paraId="518B4504" w14:textId="77777777" w:rsidR="005C332D" w:rsidRDefault="005C332D">
            <w:pPr>
              <w:rPr>
                <w:rFonts w:ascii="宋体"/>
              </w:rPr>
            </w:pPr>
          </w:p>
        </w:tc>
      </w:tr>
      <w:tr w:rsidR="005C332D" w14:paraId="518B4508" w14:textId="77777777">
        <w:tc>
          <w:tcPr>
            <w:tcW w:w="0" w:type="auto"/>
            <w:gridSpan w:val="3"/>
            <w:shd w:val="clear" w:color="auto" w:fill="auto"/>
            <w:tcMar>
              <w:top w:w="40" w:type="dxa"/>
              <w:left w:w="20" w:type="dxa"/>
              <w:bottom w:w="40" w:type="dxa"/>
              <w:right w:w="20" w:type="dxa"/>
            </w:tcMar>
          </w:tcPr>
          <w:p w14:paraId="518B4506" w14:textId="77777777" w:rsidR="005C332D" w:rsidRDefault="00B93EAE">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518B4507" w14:textId="77777777" w:rsidR="005C332D" w:rsidRDefault="00B93EAE">
            <w:pPr>
              <w:textAlignment w:val="top"/>
            </w:pPr>
            <w:r>
              <w:rPr>
                <w:rFonts w:ascii="Times New Roman" w:eastAsia="宋体" w:hAnsi="Times New Roman"/>
                <w:b/>
                <w:bCs/>
                <w:color w:val="000000"/>
                <w:sz w:val="20"/>
                <w:szCs w:val="20"/>
              </w:rPr>
              <w:t>Properties</w:t>
            </w:r>
          </w:p>
        </w:tc>
      </w:tr>
    </w:tbl>
    <w:p w14:paraId="518B4509" w14:textId="77777777" w:rsidR="005C332D" w:rsidRDefault="00B93EAE">
      <w:pPr>
        <w:spacing w:before="120"/>
        <w:jc w:val="both"/>
      </w:pPr>
      <w:r>
        <w:rPr>
          <w:rFonts w:ascii="Times New Roman" w:eastAsia="宋体" w:hAnsi="Times New Roman"/>
          <w:color w:val="000000"/>
          <w:sz w:val="20"/>
          <w:szCs w:val="20"/>
        </w:rPr>
        <w:t>Our corporate headquarters are located at an owned site in San Jose, California, in the United States of America. The locations of our headquarters by geographic segment are as follows:</w:t>
      </w:r>
    </w:p>
    <w:tbl>
      <w:tblPr>
        <w:tblW w:w="4985" w:type="pct"/>
        <w:tblInd w:w="-75" w:type="dxa"/>
        <w:tblCellMar>
          <w:top w:w="15" w:type="dxa"/>
          <w:left w:w="15" w:type="dxa"/>
          <w:bottom w:w="15" w:type="dxa"/>
          <w:right w:w="15" w:type="dxa"/>
        </w:tblCellMar>
        <w:tblLook w:val="04A0" w:firstRow="1" w:lastRow="0" w:firstColumn="1" w:lastColumn="0" w:noHBand="0" w:noVBand="1"/>
      </w:tblPr>
      <w:tblGrid>
        <w:gridCol w:w="58"/>
        <w:gridCol w:w="2615"/>
        <w:gridCol w:w="36"/>
        <w:gridCol w:w="36"/>
        <w:gridCol w:w="36"/>
        <w:gridCol w:w="36"/>
        <w:gridCol w:w="40"/>
        <w:gridCol w:w="2616"/>
        <w:gridCol w:w="36"/>
        <w:gridCol w:w="36"/>
        <w:gridCol w:w="36"/>
        <w:gridCol w:w="36"/>
        <w:gridCol w:w="42"/>
        <w:gridCol w:w="2616"/>
        <w:gridCol w:w="36"/>
      </w:tblGrid>
      <w:tr w:rsidR="005C332D" w14:paraId="518B4519" w14:textId="77777777">
        <w:tc>
          <w:tcPr>
            <w:tcW w:w="50" w:type="pct"/>
            <w:shd w:val="clear" w:color="auto" w:fill="auto"/>
            <w:vAlign w:val="bottom"/>
          </w:tcPr>
          <w:p w14:paraId="518B450A" w14:textId="77777777" w:rsidR="005C332D" w:rsidRDefault="005C332D">
            <w:pPr>
              <w:rPr>
                <w:rFonts w:ascii="宋体"/>
              </w:rPr>
            </w:pPr>
          </w:p>
        </w:tc>
        <w:tc>
          <w:tcPr>
            <w:tcW w:w="1587" w:type="pct"/>
            <w:shd w:val="clear" w:color="auto" w:fill="auto"/>
            <w:vAlign w:val="bottom"/>
          </w:tcPr>
          <w:p w14:paraId="518B450B" w14:textId="77777777" w:rsidR="005C332D" w:rsidRDefault="005C332D">
            <w:pPr>
              <w:rPr>
                <w:rFonts w:ascii="宋体"/>
              </w:rPr>
            </w:pPr>
          </w:p>
        </w:tc>
        <w:tc>
          <w:tcPr>
            <w:tcW w:w="5" w:type="pct"/>
            <w:shd w:val="clear" w:color="auto" w:fill="auto"/>
            <w:vAlign w:val="bottom"/>
          </w:tcPr>
          <w:p w14:paraId="518B450C" w14:textId="77777777" w:rsidR="005C332D" w:rsidRDefault="005C332D">
            <w:pPr>
              <w:rPr>
                <w:rFonts w:ascii="宋体"/>
              </w:rPr>
            </w:pPr>
          </w:p>
        </w:tc>
        <w:tc>
          <w:tcPr>
            <w:tcW w:w="5" w:type="pct"/>
            <w:shd w:val="clear" w:color="auto" w:fill="auto"/>
            <w:vAlign w:val="bottom"/>
          </w:tcPr>
          <w:p w14:paraId="518B450D" w14:textId="77777777" w:rsidR="005C332D" w:rsidRDefault="005C332D">
            <w:pPr>
              <w:rPr>
                <w:rFonts w:ascii="宋体"/>
              </w:rPr>
            </w:pPr>
          </w:p>
        </w:tc>
        <w:tc>
          <w:tcPr>
            <w:tcW w:w="26" w:type="pct"/>
            <w:shd w:val="clear" w:color="auto" w:fill="auto"/>
            <w:vAlign w:val="bottom"/>
          </w:tcPr>
          <w:p w14:paraId="518B450E" w14:textId="77777777" w:rsidR="005C332D" w:rsidRDefault="005C332D">
            <w:pPr>
              <w:rPr>
                <w:rFonts w:ascii="宋体"/>
              </w:rPr>
            </w:pPr>
          </w:p>
        </w:tc>
        <w:tc>
          <w:tcPr>
            <w:tcW w:w="5" w:type="pct"/>
            <w:shd w:val="clear" w:color="auto" w:fill="auto"/>
            <w:vAlign w:val="bottom"/>
          </w:tcPr>
          <w:p w14:paraId="518B450F" w14:textId="77777777" w:rsidR="005C332D" w:rsidRDefault="005C332D">
            <w:pPr>
              <w:rPr>
                <w:rFonts w:ascii="宋体"/>
              </w:rPr>
            </w:pPr>
          </w:p>
        </w:tc>
        <w:tc>
          <w:tcPr>
            <w:tcW w:w="50" w:type="pct"/>
            <w:shd w:val="clear" w:color="auto" w:fill="auto"/>
            <w:vAlign w:val="bottom"/>
          </w:tcPr>
          <w:p w14:paraId="518B4510" w14:textId="77777777" w:rsidR="005C332D" w:rsidRDefault="005C332D">
            <w:pPr>
              <w:rPr>
                <w:rFonts w:ascii="宋体"/>
              </w:rPr>
            </w:pPr>
          </w:p>
        </w:tc>
        <w:tc>
          <w:tcPr>
            <w:tcW w:w="1587" w:type="pct"/>
            <w:shd w:val="clear" w:color="auto" w:fill="auto"/>
            <w:vAlign w:val="bottom"/>
          </w:tcPr>
          <w:p w14:paraId="518B4511" w14:textId="77777777" w:rsidR="005C332D" w:rsidRDefault="005C332D">
            <w:pPr>
              <w:rPr>
                <w:rFonts w:ascii="宋体"/>
              </w:rPr>
            </w:pPr>
          </w:p>
        </w:tc>
        <w:tc>
          <w:tcPr>
            <w:tcW w:w="5" w:type="pct"/>
            <w:shd w:val="clear" w:color="auto" w:fill="auto"/>
            <w:vAlign w:val="bottom"/>
          </w:tcPr>
          <w:p w14:paraId="518B4512" w14:textId="77777777" w:rsidR="005C332D" w:rsidRDefault="005C332D">
            <w:pPr>
              <w:rPr>
                <w:rFonts w:ascii="宋体"/>
              </w:rPr>
            </w:pPr>
          </w:p>
        </w:tc>
        <w:tc>
          <w:tcPr>
            <w:tcW w:w="5" w:type="pct"/>
            <w:shd w:val="clear" w:color="auto" w:fill="auto"/>
            <w:vAlign w:val="bottom"/>
          </w:tcPr>
          <w:p w14:paraId="518B4513" w14:textId="77777777" w:rsidR="005C332D" w:rsidRDefault="005C332D">
            <w:pPr>
              <w:rPr>
                <w:rFonts w:ascii="宋体"/>
              </w:rPr>
            </w:pPr>
          </w:p>
        </w:tc>
        <w:tc>
          <w:tcPr>
            <w:tcW w:w="26" w:type="pct"/>
            <w:shd w:val="clear" w:color="auto" w:fill="auto"/>
            <w:vAlign w:val="bottom"/>
          </w:tcPr>
          <w:p w14:paraId="518B4514" w14:textId="77777777" w:rsidR="005C332D" w:rsidRDefault="005C332D">
            <w:pPr>
              <w:rPr>
                <w:rFonts w:ascii="宋体"/>
              </w:rPr>
            </w:pPr>
          </w:p>
        </w:tc>
        <w:tc>
          <w:tcPr>
            <w:tcW w:w="5" w:type="pct"/>
            <w:shd w:val="clear" w:color="auto" w:fill="auto"/>
            <w:vAlign w:val="bottom"/>
          </w:tcPr>
          <w:p w14:paraId="518B4515" w14:textId="77777777" w:rsidR="005C332D" w:rsidRDefault="005C332D">
            <w:pPr>
              <w:rPr>
                <w:rFonts w:ascii="宋体"/>
              </w:rPr>
            </w:pPr>
          </w:p>
        </w:tc>
        <w:tc>
          <w:tcPr>
            <w:tcW w:w="50" w:type="pct"/>
            <w:shd w:val="clear" w:color="auto" w:fill="auto"/>
            <w:vAlign w:val="bottom"/>
          </w:tcPr>
          <w:p w14:paraId="518B4516" w14:textId="77777777" w:rsidR="005C332D" w:rsidRDefault="005C332D">
            <w:pPr>
              <w:rPr>
                <w:rFonts w:ascii="宋体"/>
              </w:rPr>
            </w:pPr>
          </w:p>
        </w:tc>
        <w:tc>
          <w:tcPr>
            <w:tcW w:w="1587" w:type="pct"/>
            <w:shd w:val="clear" w:color="auto" w:fill="auto"/>
            <w:vAlign w:val="bottom"/>
          </w:tcPr>
          <w:p w14:paraId="518B4517" w14:textId="77777777" w:rsidR="005C332D" w:rsidRDefault="005C332D">
            <w:pPr>
              <w:rPr>
                <w:rFonts w:ascii="宋体"/>
              </w:rPr>
            </w:pPr>
          </w:p>
        </w:tc>
        <w:tc>
          <w:tcPr>
            <w:tcW w:w="5" w:type="pct"/>
            <w:shd w:val="clear" w:color="auto" w:fill="auto"/>
            <w:vAlign w:val="bottom"/>
          </w:tcPr>
          <w:p w14:paraId="518B4518" w14:textId="77777777" w:rsidR="005C332D" w:rsidRDefault="005C332D">
            <w:pPr>
              <w:rPr>
                <w:rFonts w:ascii="宋体"/>
              </w:rPr>
            </w:pPr>
          </w:p>
        </w:tc>
      </w:tr>
      <w:tr w:rsidR="005C332D" w14:paraId="518B451F" w14:textId="77777777">
        <w:tc>
          <w:tcPr>
            <w:tcW w:w="0" w:type="auto"/>
            <w:gridSpan w:val="3"/>
            <w:shd w:val="clear" w:color="auto" w:fill="auto"/>
            <w:tcMar>
              <w:top w:w="40" w:type="dxa"/>
              <w:left w:w="20" w:type="dxa"/>
              <w:bottom w:w="40" w:type="dxa"/>
              <w:right w:w="20" w:type="dxa"/>
            </w:tcMar>
            <w:vAlign w:val="bottom"/>
          </w:tcPr>
          <w:p w14:paraId="518B451A" w14:textId="77777777" w:rsidR="005C332D" w:rsidRDefault="00B93EAE">
            <w:pPr>
              <w:jc w:val="center"/>
              <w:textAlignment w:val="bottom"/>
            </w:pPr>
            <w:r>
              <w:rPr>
                <w:rFonts w:ascii="Times New Roman" w:eastAsia="宋体" w:hAnsi="Times New Roman"/>
                <w:color w:val="000000"/>
                <w:sz w:val="20"/>
                <w:szCs w:val="20"/>
                <w:u w:val="single"/>
              </w:rPr>
              <w:t>Americas</w:t>
            </w:r>
          </w:p>
        </w:tc>
        <w:tc>
          <w:tcPr>
            <w:tcW w:w="0" w:type="auto"/>
            <w:gridSpan w:val="3"/>
            <w:shd w:val="clear" w:color="auto" w:fill="auto"/>
            <w:tcMar>
              <w:top w:w="0" w:type="dxa"/>
              <w:left w:w="20" w:type="dxa"/>
              <w:bottom w:w="0" w:type="dxa"/>
              <w:right w:w="20" w:type="dxa"/>
            </w:tcMar>
            <w:vAlign w:val="bottom"/>
          </w:tcPr>
          <w:p w14:paraId="518B451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1C" w14:textId="77777777" w:rsidR="005C332D" w:rsidRDefault="00B93EAE">
            <w:pPr>
              <w:jc w:val="center"/>
              <w:textAlignment w:val="bottom"/>
            </w:pPr>
            <w:r>
              <w:rPr>
                <w:rFonts w:ascii="Times New Roman" w:eastAsia="宋体" w:hAnsi="Times New Roman"/>
                <w:color w:val="000000"/>
                <w:sz w:val="20"/>
                <w:szCs w:val="20"/>
                <w:u w:val="single"/>
              </w:rPr>
              <w:t>EMEA</w:t>
            </w:r>
          </w:p>
        </w:tc>
        <w:tc>
          <w:tcPr>
            <w:tcW w:w="0" w:type="auto"/>
            <w:gridSpan w:val="3"/>
            <w:shd w:val="clear" w:color="auto" w:fill="auto"/>
            <w:tcMar>
              <w:top w:w="0" w:type="dxa"/>
              <w:left w:w="20" w:type="dxa"/>
              <w:bottom w:w="0" w:type="dxa"/>
              <w:right w:w="20" w:type="dxa"/>
            </w:tcMar>
            <w:vAlign w:val="bottom"/>
          </w:tcPr>
          <w:p w14:paraId="518B451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1E" w14:textId="77777777" w:rsidR="005C332D" w:rsidRDefault="00B93EAE">
            <w:pPr>
              <w:jc w:val="center"/>
              <w:textAlignment w:val="bottom"/>
            </w:pPr>
            <w:r>
              <w:rPr>
                <w:rFonts w:ascii="Times New Roman" w:eastAsia="宋体" w:hAnsi="Times New Roman"/>
                <w:color w:val="000000"/>
                <w:sz w:val="20"/>
                <w:szCs w:val="20"/>
                <w:u w:val="single"/>
              </w:rPr>
              <w:t>APJC</w:t>
            </w:r>
          </w:p>
        </w:tc>
      </w:tr>
      <w:tr w:rsidR="005C332D" w14:paraId="518B4525" w14:textId="77777777">
        <w:tc>
          <w:tcPr>
            <w:tcW w:w="0" w:type="auto"/>
            <w:gridSpan w:val="3"/>
            <w:shd w:val="clear" w:color="auto" w:fill="CCEEFF"/>
            <w:tcMar>
              <w:top w:w="40" w:type="dxa"/>
              <w:left w:w="20" w:type="dxa"/>
              <w:bottom w:w="40" w:type="dxa"/>
              <w:right w:w="20" w:type="dxa"/>
            </w:tcMar>
            <w:vAlign w:val="bottom"/>
          </w:tcPr>
          <w:p w14:paraId="518B4520" w14:textId="77777777" w:rsidR="005C332D" w:rsidRDefault="00B93EAE">
            <w:pPr>
              <w:jc w:val="center"/>
              <w:textAlignment w:val="bottom"/>
            </w:pPr>
            <w:r>
              <w:rPr>
                <w:rFonts w:ascii="Times New Roman" w:eastAsia="宋体" w:hAnsi="Times New Roman"/>
                <w:color w:val="000000"/>
                <w:sz w:val="20"/>
                <w:szCs w:val="20"/>
              </w:rPr>
              <w:t xml:space="preserve">San </w:t>
            </w:r>
            <w:r>
              <w:rPr>
                <w:rFonts w:ascii="Times New Roman" w:eastAsia="宋体" w:hAnsi="Times New Roman"/>
                <w:color w:val="000000"/>
                <w:sz w:val="20"/>
                <w:szCs w:val="20"/>
              </w:rPr>
              <w:t>Jose, California, USA</w:t>
            </w:r>
          </w:p>
        </w:tc>
        <w:tc>
          <w:tcPr>
            <w:tcW w:w="0" w:type="auto"/>
            <w:gridSpan w:val="3"/>
            <w:shd w:val="clear" w:color="auto" w:fill="CCEEFF"/>
            <w:tcMar>
              <w:top w:w="0" w:type="dxa"/>
              <w:left w:w="20" w:type="dxa"/>
              <w:bottom w:w="0" w:type="dxa"/>
              <w:right w:w="20" w:type="dxa"/>
            </w:tcMar>
            <w:vAlign w:val="bottom"/>
          </w:tcPr>
          <w:p w14:paraId="518B4521"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522" w14:textId="77777777" w:rsidR="005C332D" w:rsidRDefault="00B93EAE">
            <w:pPr>
              <w:jc w:val="center"/>
              <w:textAlignment w:val="bottom"/>
            </w:pPr>
            <w:r>
              <w:rPr>
                <w:rFonts w:ascii="Times New Roman" w:eastAsia="宋体" w:hAnsi="Times New Roman"/>
                <w:color w:val="000000"/>
                <w:sz w:val="20"/>
                <w:szCs w:val="20"/>
              </w:rPr>
              <w:t>Amsterdam, Netherlands</w:t>
            </w:r>
          </w:p>
        </w:tc>
        <w:tc>
          <w:tcPr>
            <w:tcW w:w="0" w:type="auto"/>
            <w:gridSpan w:val="3"/>
            <w:shd w:val="clear" w:color="auto" w:fill="CCEEFF"/>
            <w:tcMar>
              <w:top w:w="0" w:type="dxa"/>
              <w:left w:w="20" w:type="dxa"/>
              <w:bottom w:w="0" w:type="dxa"/>
              <w:right w:w="20" w:type="dxa"/>
            </w:tcMar>
            <w:vAlign w:val="bottom"/>
          </w:tcPr>
          <w:p w14:paraId="518B4523"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524" w14:textId="77777777" w:rsidR="005C332D" w:rsidRDefault="00B93EAE">
            <w:pPr>
              <w:jc w:val="center"/>
              <w:textAlignment w:val="bottom"/>
            </w:pPr>
            <w:r>
              <w:rPr>
                <w:rFonts w:ascii="Times New Roman" w:eastAsia="宋体" w:hAnsi="Times New Roman"/>
                <w:color w:val="000000"/>
                <w:sz w:val="20"/>
                <w:szCs w:val="20"/>
              </w:rPr>
              <w:t>Singapore</w:t>
            </w:r>
          </w:p>
        </w:tc>
      </w:tr>
    </w:tbl>
    <w:p w14:paraId="518B4526" w14:textId="77777777" w:rsidR="005C332D" w:rsidRDefault="00B93EAE">
      <w:pPr>
        <w:spacing w:before="120"/>
        <w:jc w:val="both"/>
      </w:pPr>
      <w:r>
        <w:rPr>
          <w:rFonts w:ascii="Times New Roman" w:eastAsia="宋体" w:hAnsi="Times New Roman"/>
          <w:color w:val="000000"/>
          <w:sz w:val="20"/>
          <w:szCs w:val="20"/>
        </w:rPr>
        <w:t xml:space="preserve">In addition to our headquarters site, we own additional sites in the United States, which include facilities in the surrounding areas of San Jose, California; Research Triangle Park, North </w:t>
      </w:r>
      <w:r>
        <w:rPr>
          <w:rFonts w:ascii="Times New Roman" w:eastAsia="宋体" w:hAnsi="Times New Roman"/>
          <w:color w:val="000000"/>
          <w:sz w:val="20"/>
          <w:szCs w:val="20"/>
        </w:rPr>
        <w:t>Carolina; and Richardson, Texas. We also own land for expansion in some of these locations. In addition, we lease office space in many U.S. locations.</w:t>
      </w:r>
    </w:p>
    <w:p w14:paraId="518B4527" w14:textId="77777777" w:rsidR="005C332D" w:rsidRDefault="00B93EAE">
      <w:pPr>
        <w:spacing w:before="120"/>
        <w:jc w:val="both"/>
      </w:pPr>
      <w:r>
        <w:rPr>
          <w:rFonts w:ascii="Times New Roman" w:eastAsia="宋体" w:hAnsi="Times New Roman"/>
          <w:color w:val="000000"/>
          <w:sz w:val="20"/>
          <w:szCs w:val="20"/>
        </w:rPr>
        <w:t>Outside the United States our operations are conducted primarily in leased sites. Other significant sites</w:t>
      </w:r>
      <w:r>
        <w:rPr>
          <w:rFonts w:ascii="Times New Roman" w:eastAsia="宋体" w:hAnsi="Times New Roman"/>
          <w:color w:val="000000"/>
          <w:sz w:val="20"/>
          <w:szCs w:val="20"/>
        </w:rPr>
        <w:t xml:space="preserve"> (in addition to the two non-U.S. headquarters locations) are located in Australia, Belgium, Canada, China, Germany, India, Japan, Mexico, Poland, and the United Kingdom. </w:t>
      </w:r>
    </w:p>
    <w:p w14:paraId="518B4528" w14:textId="77777777" w:rsidR="005C332D" w:rsidRDefault="00B93EAE">
      <w:pPr>
        <w:spacing w:before="120"/>
        <w:jc w:val="both"/>
      </w:pPr>
      <w:r>
        <w:rPr>
          <w:rFonts w:ascii="Times New Roman" w:eastAsia="宋体" w:hAnsi="Times New Roman"/>
          <w:color w:val="000000"/>
          <w:sz w:val="20"/>
          <w:szCs w:val="20"/>
        </w:rPr>
        <w:t>We believe that our existing facilities, including both owned and leased, are in goo</w:t>
      </w:r>
      <w:r>
        <w:rPr>
          <w:rFonts w:ascii="Times New Roman" w:eastAsia="宋体" w:hAnsi="Times New Roman"/>
          <w:color w:val="000000"/>
          <w:sz w:val="20"/>
          <w:szCs w:val="20"/>
        </w:rPr>
        <w:t>d condition and suitable for the conduct of our business.</w:t>
      </w:r>
    </w:p>
    <w:p w14:paraId="518B4529" w14:textId="77777777" w:rsidR="005C332D" w:rsidRDefault="005C332D">
      <w:pPr>
        <w:spacing w:before="120"/>
        <w:jc w:val="both"/>
      </w:pPr>
    </w:p>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5C332D" w14:paraId="518B4530" w14:textId="77777777">
        <w:tc>
          <w:tcPr>
            <w:tcW w:w="50" w:type="pct"/>
            <w:shd w:val="clear" w:color="auto" w:fill="auto"/>
            <w:vAlign w:val="bottom"/>
          </w:tcPr>
          <w:p w14:paraId="518B452A" w14:textId="77777777" w:rsidR="005C332D" w:rsidRDefault="005C332D">
            <w:pPr>
              <w:rPr>
                <w:rFonts w:ascii="宋体"/>
              </w:rPr>
            </w:pPr>
          </w:p>
        </w:tc>
        <w:tc>
          <w:tcPr>
            <w:tcW w:w="1747" w:type="pct"/>
            <w:shd w:val="clear" w:color="auto" w:fill="auto"/>
            <w:vAlign w:val="bottom"/>
          </w:tcPr>
          <w:p w14:paraId="518B452B" w14:textId="77777777" w:rsidR="005C332D" w:rsidRDefault="005C332D">
            <w:pPr>
              <w:rPr>
                <w:rFonts w:ascii="宋体"/>
              </w:rPr>
            </w:pPr>
          </w:p>
        </w:tc>
        <w:tc>
          <w:tcPr>
            <w:tcW w:w="5" w:type="pct"/>
            <w:shd w:val="clear" w:color="auto" w:fill="auto"/>
            <w:vAlign w:val="bottom"/>
          </w:tcPr>
          <w:p w14:paraId="518B452C" w14:textId="77777777" w:rsidR="005C332D" w:rsidRDefault="005C332D">
            <w:pPr>
              <w:rPr>
                <w:rFonts w:ascii="宋体"/>
              </w:rPr>
            </w:pPr>
          </w:p>
        </w:tc>
        <w:tc>
          <w:tcPr>
            <w:tcW w:w="50" w:type="pct"/>
            <w:shd w:val="clear" w:color="auto" w:fill="auto"/>
            <w:vAlign w:val="bottom"/>
          </w:tcPr>
          <w:p w14:paraId="518B452D" w14:textId="77777777" w:rsidR="005C332D" w:rsidRDefault="005C332D">
            <w:pPr>
              <w:rPr>
                <w:rFonts w:ascii="宋体"/>
              </w:rPr>
            </w:pPr>
          </w:p>
        </w:tc>
        <w:tc>
          <w:tcPr>
            <w:tcW w:w="3142" w:type="pct"/>
            <w:shd w:val="clear" w:color="auto" w:fill="auto"/>
            <w:vAlign w:val="bottom"/>
          </w:tcPr>
          <w:p w14:paraId="518B452E" w14:textId="77777777" w:rsidR="005C332D" w:rsidRDefault="005C332D">
            <w:pPr>
              <w:rPr>
                <w:rFonts w:ascii="宋体"/>
              </w:rPr>
            </w:pPr>
          </w:p>
        </w:tc>
        <w:tc>
          <w:tcPr>
            <w:tcW w:w="5" w:type="pct"/>
            <w:shd w:val="clear" w:color="auto" w:fill="auto"/>
            <w:vAlign w:val="bottom"/>
          </w:tcPr>
          <w:p w14:paraId="518B452F" w14:textId="77777777" w:rsidR="005C332D" w:rsidRDefault="005C332D">
            <w:pPr>
              <w:rPr>
                <w:rFonts w:ascii="宋体"/>
              </w:rPr>
            </w:pPr>
          </w:p>
        </w:tc>
      </w:tr>
      <w:tr w:rsidR="005C332D" w14:paraId="518B4533" w14:textId="77777777">
        <w:tc>
          <w:tcPr>
            <w:tcW w:w="0" w:type="auto"/>
            <w:gridSpan w:val="3"/>
            <w:shd w:val="clear" w:color="auto" w:fill="auto"/>
            <w:tcMar>
              <w:top w:w="40" w:type="dxa"/>
              <w:left w:w="20" w:type="dxa"/>
              <w:bottom w:w="40" w:type="dxa"/>
              <w:right w:w="20" w:type="dxa"/>
            </w:tcMar>
          </w:tcPr>
          <w:p w14:paraId="518B4531" w14:textId="77777777" w:rsidR="005C332D" w:rsidRDefault="00B93EAE">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518B4532" w14:textId="77777777" w:rsidR="005C332D" w:rsidRDefault="00B93EAE">
            <w:pPr>
              <w:textAlignment w:val="top"/>
            </w:pPr>
            <w:r>
              <w:rPr>
                <w:rFonts w:ascii="Times New Roman" w:eastAsia="宋体" w:hAnsi="Times New Roman"/>
                <w:b/>
                <w:bCs/>
                <w:color w:val="000000"/>
                <w:sz w:val="20"/>
                <w:szCs w:val="20"/>
              </w:rPr>
              <w:t>Legal Proceedings</w:t>
            </w:r>
          </w:p>
        </w:tc>
      </w:tr>
    </w:tbl>
    <w:p w14:paraId="518B4534" w14:textId="77777777" w:rsidR="005C332D" w:rsidRDefault="00B93EAE">
      <w:pPr>
        <w:spacing w:before="120"/>
        <w:jc w:val="both"/>
      </w:pPr>
      <w:r>
        <w:rPr>
          <w:rFonts w:ascii="Times New Roman" w:eastAsia="宋体" w:hAnsi="Times New Roman"/>
          <w:color w:val="000000"/>
          <w:sz w:val="20"/>
          <w:szCs w:val="20"/>
        </w:rPr>
        <w:t xml:space="preserve">For a description of pending legal proceedings in which we are involved, see Note 14 “Commitments and Contingencies - (f) Legal Proceedings” of the Notes to </w:t>
      </w:r>
      <w:r>
        <w:rPr>
          <w:rFonts w:ascii="Times New Roman" w:eastAsia="宋体" w:hAnsi="Times New Roman"/>
          <w:color w:val="000000"/>
          <w:sz w:val="20"/>
          <w:szCs w:val="20"/>
        </w:rPr>
        <w:t>Consolidated Financial Statements included in Item 8 of this Annual Report on Form 10-K, which is incorporated herein by reference.</w:t>
      </w:r>
    </w:p>
    <w:p w14:paraId="518B4535" w14:textId="77777777" w:rsidR="005C332D" w:rsidRDefault="005C332D">
      <w:pPr>
        <w:spacing w:before="120"/>
        <w:jc w:val="both"/>
      </w:pPr>
    </w:p>
    <w:tbl>
      <w:tblPr>
        <w:tblW w:w="1711" w:type="pct"/>
        <w:tblCellMar>
          <w:top w:w="15" w:type="dxa"/>
          <w:left w:w="15" w:type="dxa"/>
          <w:bottom w:w="15" w:type="dxa"/>
          <w:right w:w="15" w:type="dxa"/>
        </w:tblCellMar>
        <w:tblLook w:val="04A0" w:firstRow="1" w:lastRow="0" w:firstColumn="1" w:lastColumn="0" w:noHBand="0" w:noVBand="1"/>
      </w:tblPr>
      <w:tblGrid>
        <w:gridCol w:w="37"/>
        <w:gridCol w:w="841"/>
        <w:gridCol w:w="36"/>
        <w:gridCol w:w="37"/>
        <w:gridCol w:w="1866"/>
        <w:gridCol w:w="36"/>
      </w:tblGrid>
      <w:tr w:rsidR="005C332D" w14:paraId="518B453C" w14:textId="77777777">
        <w:tc>
          <w:tcPr>
            <w:tcW w:w="50" w:type="pct"/>
            <w:shd w:val="clear" w:color="auto" w:fill="auto"/>
            <w:vAlign w:val="bottom"/>
          </w:tcPr>
          <w:p w14:paraId="518B4536" w14:textId="77777777" w:rsidR="005C332D" w:rsidRDefault="005C332D">
            <w:pPr>
              <w:rPr>
                <w:rFonts w:ascii="宋体"/>
              </w:rPr>
            </w:pPr>
          </w:p>
        </w:tc>
        <w:tc>
          <w:tcPr>
            <w:tcW w:w="1547" w:type="pct"/>
            <w:shd w:val="clear" w:color="auto" w:fill="auto"/>
            <w:vAlign w:val="bottom"/>
          </w:tcPr>
          <w:p w14:paraId="518B4537" w14:textId="77777777" w:rsidR="005C332D" w:rsidRDefault="005C332D">
            <w:pPr>
              <w:rPr>
                <w:rFonts w:ascii="宋体"/>
              </w:rPr>
            </w:pPr>
          </w:p>
        </w:tc>
        <w:tc>
          <w:tcPr>
            <w:tcW w:w="5" w:type="pct"/>
            <w:shd w:val="clear" w:color="auto" w:fill="auto"/>
            <w:vAlign w:val="bottom"/>
          </w:tcPr>
          <w:p w14:paraId="518B4538" w14:textId="77777777" w:rsidR="005C332D" w:rsidRDefault="005C332D">
            <w:pPr>
              <w:rPr>
                <w:rFonts w:ascii="宋体"/>
              </w:rPr>
            </w:pPr>
          </w:p>
        </w:tc>
        <w:tc>
          <w:tcPr>
            <w:tcW w:w="50" w:type="pct"/>
            <w:shd w:val="clear" w:color="auto" w:fill="auto"/>
            <w:vAlign w:val="bottom"/>
          </w:tcPr>
          <w:p w14:paraId="518B4539" w14:textId="77777777" w:rsidR="005C332D" w:rsidRDefault="005C332D">
            <w:pPr>
              <w:rPr>
                <w:rFonts w:ascii="宋体"/>
              </w:rPr>
            </w:pPr>
          </w:p>
        </w:tc>
        <w:tc>
          <w:tcPr>
            <w:tcW w:w="3342" w:type="pct"/>
            <w:shd w:val="clear" w:color="auto" w:fill="auto"/>
            <w:vAlign w:val="bottom"/>
          </w:tcPr>
          <w:p w14:paraId="518B453A" w14:textId="77777777" w:rsidR="005C332D" w:rsidRDefault="005C332D">
            <w:pPr>
              <w:rPr>
                <w:rFonts w:ascii="宋体"/>
              </w:rPr>
            </w:pPr>
          </w:p>
        </w:tc>
        <w:tc>
          <w:tcPr>
            <w:tcW w:w="5" w:type="pct"/>
            <w:shd w:val="clear" w:color="auto" w:fill="auto"/>
            <w:vAlign w:val="bottom"/>
          </w:tcPr>
          <w:p w14:paraId="518B453B" w14:textId="77777777" w:rsidR="005C332D" w:rsidRDefault="005C332D">
            <w:pPr>
              <w:rPr>
                <w:rFonts w:ascii="宋体"/>
              </w:rPr>
            </w:pPr>
          </w:p>
        </w:tc>
      </w:tr>
      <w:tr w:rsidR="005C332D" w14:paraId="518B453F" w14:textId="77777777">
        <w:tc>
          <w:tcPr>
            <w:tcW w:w="0" w:type="auto"/>
            <w:gridSpan w:val="3"/>
            <w:shd w:val="clear" w:color="auto" w:fill="auto"/>
            <w:tcMar>
              <w:top w:w="40" w:type="dxa"/>
              <w:left w:w="20" w:type="dxa"/>
              <w:bottom w:w="40" w:type="dxa"/>
              <w:right w:w="20" w:type="dxa"/>
            </w:tcMar>
          </w:tcPr>
          <w:p w14:paraId="518B453D" w14:textId="77777777" w:rsidR="005C332D" w:rsidRDefault="00B93EAE">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518B453E" w14:textId="77777777" w:rsidR="005C332D" w:rsidRDefault="00B93EAE">
            <w:pPr>
              <w:textAlignment w:val="top"/>
            </w:pPr>
            <w:r>
              <w:rPr>
                <w:rFonts w:ascii="Times New Roman" w:eastAsia="宋体" w:hAnsi="Times New Roman"/>
                <w:b/>
                <w:bCs/>
                <w:color w:val="000000"/>
                <w:sz w:val="20"/>
                <w:szCs w:val="20"/>
              </w:rPr>
              <w:t>Mine Safety Disclosures</w:t>
            </w:r>
          </w:p>
        </w:tc>
      </w:tr>
    </w:tbl>
    <w:p w14:paraId="518B4540" w14:textId="77777777" w:rsidR="005C332D" w:rsidRDefault="00B93EAE">
      <w:pPr>
        <w:spacing w:before="120"/>
      </w:pPr>
      <w:r>
        <w:rPr>
          <w:rFonts w:ascii="Times New Roman" w:eastAsia="宋体" w:hAnsi="Times New Roman"/>
          <w:color w:val="000000"/>
          <w:sz w:val="20"/>
          <w:szCs w:val="20"/>
        </w:rPr>
        <w:t>Not applicable.</w:t>
      </w:r>
    </w:p>
    <w:p w14:paraId="518B4541" w14:textId="77777777" w:rsidR="005C332D" w:rsidRDefault="005C332D">
      <w:pPr>
        <w:spacing w:before="120"/>
      </w:pPr>
    </w:p>
    <w:p w14:paraId="518B4542" w14:textId="77777777" w:rsidR="005C332D" w:rsidRDefault="00B93EAE">
      <w:pPr>
        <w:jc w:val="center"/>
      </w:pPr>
      <w:r>
        <w:rPr>
          <w:rFonts w:ascii="Times New Roman" w:eastAsia="宋体" w:hAnsi="Times New Roman"/>
          <w:color w:val="000000"/>
          <w:sz w:val="20"/>
          <w:szCs w:val="20"/>
        </w:rPr>
        <w:t>29</w:t>
      </w:r>
    </w:p>
    <w:p w14:paraId="518B4543" w14:textId="77777777" w:rsidR="005C332D" w:rsidRDefault="00B93EAE">
      <w:r>
        <w:pict w14:anchorId="518B8730">
          <v:rect id="_x0000_i1055" style="width:415.3pt;height:1.5pt" o:hralign="center" o:hrstd="t" o:hr="t" fillcolor="#a0a0a0" stroked="f"/>
        </w:pict>
      </w:r>
    </w:p>
    <w:p w14:paraId="518B4544" w14:textId="77777777" w:rsidR="005C332D" w:rsidRDefault="00B93EAE">
      <w:hyperlink r:id="rId83" w:anchor="i049852cab38845aabd2a79d07dacda86_7" w:history="1">
        <w:r>
          <w:rPr>
            <w:rStyle w:val="a5"/>
            <w:rFonts w:ascii="Times New Roman" w:eastAsia="宋体" w:hAnsi="Times New Roman"/>
            <w:sz w:val="20"/>
            <w:szCs w:val="20"/>
          </w:rPr>
          <w:t>Table of Contents</w:t>
        </w:r>
      </w:hyperlink>
    </w:p>
    <w:p w14:paraId="518B4545" w14:textId="77777777" w:rsidR="005C332D" w:rsidRDefault="00B93EAE">
      <w:pPr>
        <w:jc w:val="center"/>
      </w:pPr>
      <w:r>
        <w:rPr>
          <w:rFonts w:ascii="Times New Roman" w:eastAsia="宋体" w:hAnsi="Times New Roman"/>
          <w:b/>
          <w:bCs/>
          <w:color w:val="000000"/>
          <w:sz w:val="20"/>
          <w:szCs w:val="20"/>
        </w:rPr>
        <w:t>PART II</w:t>
      </w:r>
    </w:p>
    <w:tbl>
      <w:tblPr>
        <w:tblW w:w="4846" w:type="pct"/>
        <w:tblCellMar>
          <w:top w:w="15" w:type="dxa"/>
          <w:left w:w="15" w:type="dxa"/>
          <w:bottom w:w="15" w:type="dxa"/>
          <w:right w:w="15" w:type="dxa"/>
        </w:tblCellMar>
        <w:tblLook w:val="04A0" w:firstRow="1" w:lastRow="0" w:firstColumn="1" w:lastColumn="0" w:noHBand="0" w:noVBand="1"/>
      </w:tblPr>
      <w:tblGrid>
        <w:gridCol w:w="89"/>
        <w:gridCol w:w="543"/>
        <w:gridCol w:w="36"/>
        <w:gridCol w:w="37"/>
        <w:gridCol w:w="7338"/>
        <w:gridCol w:w="36"/>
      </w:tblGrid>
      <w:tr w:rsidR="005C332D" w14:paraId="518B454C" w14:textId="77777777">
        <w:tc>
          <w:tcPr>
            <w:tcW w:w="50" w:type="pct"/>
            <w:shd w:val="clear" w:color="auto" w:fill="auto"/>
            <w:vAlign w:val="bottom"/>
          </w:tcPr>
          <w:p w14:paraId="518B4546" w14:textId="77777777" w:rsidR="005C332D" w:rsidRDefault="005C332D">
            <w:pPr>
              <w:rPr>
                <w:rFonts w:ascii="宋体"/>
              </w:rPr>
            </w:pPr>
          </w:p>
        </w:tc>
        <w:tc>
          <w:tcPr>
            <w:tcW w:w="306" w:type="pct"/>
            <w:shd w:val="clear" w:color="auto" w:fill="auto"/>
            <w:vAlign w:val="bottom"/>
          </w:tcPr>
          <w:p w14:paraId="518B4547" w14:textId="77777777" w:rsidR="005C332D" w:rsidRDefault="005C332D">
            <w:pPr>
              <w:rPr>
                <w:rFonts w:ascii="宋体"/>
              </w:rPr>
            </w:pPr>
          </w:p>
        </w:tc>
        <w:tc>
          <w:tcPr>
            <w:tcW w:w="5" w:type="pct"/>
            <w:shd w:val="clear" w:color="auto" w:fill="auto"/>
            <w:vAlign w:val="bottom"/>
          </w:tcPr>
          <w:p w14:paraId="518B4548" w14:textId="77777777" w:rsidR="005C332D" w:rsidRDefault="005C332D">
            <w:pPr>
              <w:rPr>
                <w:rFonts w:ascii="宋体"/>
              </w:rPr>
            </w:pPr>
          </w:p>
        </w:tc>
        <w:tc>
          <w:tcPr>
            <w:tcW w:w="50" w:type="pct"/>
            <w:shd w:val="clear" w:color="auto" w:fill="auto"/>
            <w:vAlign w:val="bottom"/>
          </w:tcPr>
          <w:p w14:paraId="518B4549" w14:textId="77777777" w:rsidR="005C332D" w:rsidRDefault="005C332D">
            <w:pPr>
              <w:rPr>
                <w:rFonts w:ascii="宋体"/>
              </w:rPr>
            </w:pPr>
          </w:p>
        </w:tc>
        <w:tc>
          <w:tcPr>
            <w:tcW w:w="4583" w:type="pct"/>
            <w:shd w:val="clear" w:color="auto" w:fill="auto"/>
            <w:vAlign w:val="bottom"/>
          </w:tcPr>
          <w:p w14:paraId="518B454A" w14:textId="77777777" w:rsidR="005C332D" w:rsidRDefault="005C332D">
            <w:pPr>
              <w:rPr>
                <w:rFonts w:ascii="宋体"/>
              </w:rPr>
            </w:pPr>
          </w:p>
        </w:tc>
        <w:tc>
          <w:tcPr>
            <w:tcW w:w="5" w:type="pct"/>
            <w:shd w:val="clear" w:color="auto" w:fill="auto"/>
            <w:vAlign w:val="bottom"/>
          </w:tcPr>
          <w:p w14:paraId="518B454B" w14:textId="77777777" w:rsidR="005C332D" w:rsidRDefault="005C332D">
            <w:pPr>
              <w:rPr>
                <w:rFonts w:ascii="宋体"/>
              </w:rPr>
            </w:pPr>
          </w:p>
        </w:tc>
      </w:tr>
      <w:tr w:rsidR="005C332D" w14:paraId="518B454F" w14:textId="77777777">
        <w:tc>
          <w:tcPr>
            <w:tcW w:w="0" w:type="auto"/>
            <w:gridSpan w:val="3"/>
            <w:shd w:val="clear" w:color="auto" w:fill="auto"/>
            <w:tcMar>
              <w:top w:w="40" w:type="dxa"/>
              <w:left w:w="20" w:type="dxa"/>
              <w:bottom w:w="40" w:type="dxa"/>
              <w:right w:w="20" w:type="dxa"/>
            </w:tcMar>
          </w:tcPr>
          <w:p w14:paraId="518B454D" w14:textId="77777777" w:rsidR="005C332D" w:rsidRDefault="00B93EAE">
            <w:pPr>
              <w:textAlignment w:val="top"/>
            </w:pPr>
            <w:r>
              <w:rPr>
                <w:rFonts w:ascii="Times New Roman" w:eastAsia="宋体" w:hAnsi="Times New Roman"/>
                <w:b/>
                <w:bCs/>
                <w:color w:val="000000"/>
                <w:sz w:val="20"/>
                <w:szCs w:val="20"/>
              </w:rPr>
              <w:t>Item 5.</w:t>
            </w:r>
          </w:p>
        </w:tc>
        <w:tc>
          <w:tcPr>
            <w:tcW w:w="0" w:type="auto"/>
            <w:gridSpan w:val="3"/>
            <w:shd w:val="clear" w:color="auto" w:fill="auto"/>
            <w:tcMar>
              <w:top w:w="40" w:type="dxa"/>
              <w:left w:w="20" w:type="dxa"/>
              <w:bottom w:w="40" w:type="dxa"/>
              <w:right w:w="20" w:type="dxa"/>
            </w:tcMar>
          </w:tcPr>
          <w:p w14:paraId="518B454E" w14:textId="77777777" w:rsidR="005C332D" w:rsidRDefault="00B93EAE">
            <w:pPr>
              <w:textAlignment w:val="top"/>
            </w:pPr>
            <w:r>
              <w:rPr>
                <w:rFonts w:ascii="Times New Roman" w:eastAsia="宋体" w:hAnsi="Times New Roman"/>
                <w:b/>
                <w:bCs/>
                <w:color w:val="000000"/>
                <w:sz w:val="20"/>
                <w:szCs w:val="20"/>
              </w:rPr>
              <w:t xml:space="preserve">Market for Registrant’s Common Equity, Related </w:t>
            </w:r>
            <w:r>
              <w:rPr>
                <w:rFonts w:ascii="Times New Roman" w:eastAsia="宋体" w:hAnsi="Times New Roman"/>
                <w:b/>
                <w:bCs/>
                <w:color w:val="000000"/>
                <w:sz w:val="20"/>
                <w:szCs w:val="20"/>
              </w:rPr>
              <w:t>Stockholder Matters, and Issuer Purchases of Equity Securities</w:t>
            </w:r>
          </w:p>
        </w:tc>
      </w:tr>
    </w:tbl>
    <w:p w14:paraId="518B4550" w14:textId="77777777" w:rsidR="005C332D" w:rsidRDefault="00B93EAE">
      <w:pPr>
        <w:spacing w:before="120"/>
        <w:ind w:hanging="450"/>
        <w:jc w:val="both"/>
      </w:pPr>
      <w:r>
        <w:rPr>
          <w:rFonts w:ascii="Times New Roman" w:eastAsia="宋体" w:hAnsi="Times New Roman"/>
          <w:color w:val="000000"/>
          <w:sz w:val="20"/>
          <w:szCs w:val="20"/>
        </w:rPr>
        <w:t>(a)Cisco common stock is traded on the Nasdaq Global Select Market under the symbol CSCO. There were 31,502</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 xml:space="preserve">registered stockholders as of September 2, 2022. </w:t>
      </w:r>
    </w:p>
    <w:p w14:paraId="518B4551" w14:textId="77777777" w:rsidR="005C332D" w:rsidRDefault="00B93EAE">
      <w:pPr>
        <w:spacing w:before="120"/>
        <w:ind w:hanging="450"/>
        <w:jc w:val="both"/>
      </w:pPr>
      <w:r>
        <w:rPr>
          <w:rFonts w:ascii="Times New Roman" w:eastAsia="宋体" w:hAnsi="Times New Roman"/>
          <w:color w:val="000000"/>
          <w:sz w:val="20"/>
          <w:szCs w:val="20"/>
        </w:rPr>
        <w:t xml:space="preserve">(b)None. </w:t>
      </w:r>
    </w:p>
    <w:p w14:paraId="518B4552" w14:textId="77777777" w:rsidR="005C332D" w:rsidRDefault="00B93EAE">
      <w:pPr>
        <w:spacing w:before="120"/>
        <w:ind w:hanging="450"/>
        <w:jc w:val="both"/>
      </w:pPr>
      <w:r>
        <w:rPr>
          <w:rFonts w:ascii="Times New Roman" w:eastAsia="宋体" w:hAnsi="Times New Roman"/>
          <w:color w:val="000000"/>
          <w:sz w:val="20"/>
          <w:szCs w:val="20"/>
        </w:rPr>
        <w:t>(c)Issuer purchases of e</w:t>
      </w:r>
      <w:r>
        <w:rPr>
          <w:rFonts w:ascii="Times New Roman" w:eastAsia="宋体" w:hAnsi="Times New Roman"/>
          <w:color w:val="000000"/>
          <w:sz w:val="20"/>
          <w:szCs w:val="20"/>
        </w:rPr>
        <w:t>quity securities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7"/>
        <w:gridCol w:w="2496"/>
        <w:gridCol w:w="36"/>
        <w:gridCol w:w="85"/>
        <w:gridCol w:w="690"/>
        <w:gridCol w:w="36"/>
        <w:gridCol w:w="36"/>
        <w:gridCol w:w="36"/>
        <w:gridCol w:w="36"/>
        <w:gridCol w:w="121"/>
        <w:gridCol w:w="1250"/>
        <w:gridCol w:w="36"/>
        <w:gridCol w:w="36"/>
        <w:gridCol w:w="36"/>
        <w:gridCol w:w="36"/>
        <w:gridCol w:w="93"/>
        <w:gridCol w:w="1587"/>
        <w:gridCol w:w="36"/>
        <w:gridCol w:w="36"/>
        <w:gridCol w:w="36"/>
        <w:gridCol w:w="36"/>
        <w:gridCol w:w="121"/>
        <w:gridCol w:w="1327"/>
        <w:gridCol w:w="36"/>
      </w:tblGrid>
      <w:tr w:rsidR="005C332D" w14:paraId="518B456B" w14:textId="77777777">
        <w:tc>
          <w:tcPr>
            <w:tcW w:w="50" w:type="pct"/>
            <w:shd w:val="clear" w:color="auto" w:fill="auto"/>
            <w:vAlign w:val="bottom"/>
          </w:tcPr>
          <w:p w14:paraId="518B4553" w14:textId="77777777" w:rsidR="005C332D" w:rsidRDefault="005C332D">
            <w:pPr>
              <w:rPr>
                <w:rFonts w:ascii="宋体"/>
              </w:rPr>
            </w:pPr>
          </w:p>
        </w:tc>
        <w:tc>
          <w:tcPr>
            <w:tcW w:w="1939" w:type="pct"/>
            <w:shd w:val="clear" w:color="auto" w:fill="auto"/>
            <w:vAlign w:val="bottom"/>
          </w:tcPr>
          <w:p w14:paraId="518B4554" w14:textId="77777777" w:rsidR="005C332D" w:rsidRDefault="005C332D">
            <w:pPr>
              <w:rPr>
                <w:rFonts w:ascii="宋体"/>
              </w:rPr>
            </w:pPr>
          </w:p>
        </w:tc>
        <w:tc>
          <w:tcPr>
            <w:tcW w:w="5" w:type="pct"/>
            <w:shd w:val="clear" w:color="auto" w:fill="auto"/>
            <w:vAlign w:val="bottom"/>
          </w:tcPr>
          <w:p w14:paraId="518B4555" w14:textId="77777777" w:rsidR="005C332D" w:rsidRDefault="005C332D">
            <w:pPr>
              <w:rPr>
                <w:rFonts w:ascii="宋体"/>
              </w:rPr>
            </w:pPr>
          </w:p>
        </w:tc>
        <w:tc>
          <w:tcPr>
            <w:tcW w:w="50" w:type="pct"/>
            <w:shd w:val="clear" w:color="auto" w:fill="auto"/>
            <w:vAlign w:val="bottom"/>
          </w:tcPr>
          <w:p w14:paraId="518B4556" w14:textId="77777777" w:rsidR="005C332D" w:rsidRDefault="005C332D">
            <w:pPr>
              <w:rPr>
                <w:rFonts w:ascii="宋体"/>
              </w:rPr>
            </w:pPr>
          </w:p>
        </w:tc>
        <w:tc>
          <w:tcPr>
            <w:tcW w:w="406" w:type="pct"/>
            <w:shd w:val="clear" w:color="auto" w:fill="auto"/>
            <w:vAlign w:val="bottom"/>
          </w:tcPr>
          <w:p w14:paraId="518B4557" w14:textId="77777777" w:rsidR="005C332D" w:rsidRDefault="005C332D">
            <w:pPr>
              <w:rPr>
                <w:rFonts w:ascii="宋体"/>
              </w:rPr>
            </w:pPr>
          </w:p>
        </w:tc>
        <w:tc>
          <w:tcPr>
            <w:tcW w:w="5" w:type="pct"/>
            <w:shd w:val="clear" w:color="auto" w:fill="auto"/>
            <w:vAlign w:val="bottom"/>
          </w:tcPr>
          <w:p w14:paraId="518B4558" w14:textId="77777777" w:rsidR="005C332D" w:rsidRDefault="005C332D">
            <w:pPr>
              <w:rPr>
                <w:rFonts w:ascii="宋体"/>
              </w:rPr>
            </w:pPr>
          </w:p>
        </w:tc>
        <w:tc>
          <w:tcPr>
            <w:tcW w:w="5" w:type="pct"/>
            <w:shd w:val="clear" w:color="auto" w:fill="auto"/>
            <w:vAlign w:val="bottom"/>
          </w:tcPr>
          <w:p w14:paraId="518B4559" w14:textId="77777777" w:rsidR="005C332D" w:rsidRDefault="005C332D">
            <w:pPr>
              <w:rPr>
                <w:rFonts w:ascii="宋体"/>
              </w:rPr>
            </w:pPr>
          </w:p>
        </w:tc>
        <w:tc>
          <w:tcPr>
            <w:tcW w:w="26" w:type="pct"/>
            <w:shd w:val="clear" w:color="auto" w:fill="auto"/>
            <w:vAlign w:val="bottom"/>
          </w:tcPr>
          <w:p w14:paraId="518B455A" w14:textId="77777777" w:rsidR="005C332D" w:rsidRDefault="005C332D">
            <w:pPr>
              <w:rPr>
                <w:rFonts w:ascii="宋体"/>
              </w:rPr>
            </w:pPr>
          </w:p>
        </w:tc>
        <w:tc>
          <w:tcPr>
            <w:tcW w:w="5" w:type="pct"/>
            <w:shd w:val="clear" w:color="auto" w:fill="auto"/>
            <w:vAlign w:val="bottom"/>
          </w:tcPr>
          <w:p w14:paraId="518B455B" w14:textId="77777777" w:rsidR="005C332D" w:rsidRDefault="005C332D">
            <w:pPr>
              <w:rPr>
                <w:rFonts w:ascii="宋体"/>
              </w:rPr>
            </w:pPr>
          </w:p>
        </w:tc>
        <w:tc>
          <w:tcPr>
            <w:tcW w:w="50" w:type="pct"/>
            <w:shd w:val="clear" w:color="auto" w:fill="auto"/>
            <w:vAlign w:val="bottom"/>
          </w:tcPr>
          <w:p w14:paraId="518B455C" w14:textId="77777777" w:rsidR="005C332D" w:rsidRDefault="005C332D">
            <w:pPr>
              <w:rPr>
                <w:rFonts w:ascii="宋体"/>
              </w:rPr>
            </w:pPr>
          </w:p>
        </w:tc>
        <w:tc>
          <w:tcPr>
            <w:tcW w:w="656" w:type="pct"/>
            <w:shd w:val="clear" w:color="auto" w:fill="auto"/>
            <w:vAlign w:val="bottom"/>
          </w:tcPr>
          <w:p w14:paraId="518B455D" w14:textId="77777777" w:rsidR="005C332D" w:rsidRDefault="005C332D">
            <w:pPr>
              <w:rPr>
                <w:rFonts w:ascii="宋体"/>
              </w:rPr>
            </w:pPr>
          </w:p>
        </w:tc>
        <w:tc>
          <w:tcPr>
            <w:tcW w:w="5" w:type="pct"/>
            <w:shd w:val="clear" w:color="auto" w:fill="auto"/>
            <w:vAlign w:val="bottom"/>
          </w:tcPr>
          <w:p w14:paraId="518B455E" w14:textId="77777777" w:rsidR="005C332D" w:rsidRDefault="005C332D">
            <w:pPr>
              <w:rPr>
                <w:rFonts w:ascii="宋体"/>
              </w:rPr>
            </w:pPr>
          </w:p>
        </w:tc>
        <w:tc>
          <w:tcPr>
            <w:tcW w:w="5" w:type="pct"/>
            <w:shd w:val="clear" w:color="auto" w:fill="auto"/>
            <w:vAlign w:val="bottom"/>
          </w:tcPr>
          <w:p w14:paraId="518B455F" w14:textId="77777777" w:rsidR="005C332D" w:rsidRDefault="005C332D">
            <w:pPr>
              <w:rPr>
                <w:rFonts w:ascii="宋体"/>
              </w:rPr>
            </w:pPr>
          </w:p>
        </w:tc>
        <w:tc>
          <w:tcPr>
            <w:tcW w:w="26" w:type="pct"/>
            <w:shd w:val="clear" w:color="auto" w:fill="auto"/>
            <w:vAlign w:val="bottom"/>
          </w:tcPr>
          <w:p w14:paraId="518B4560" w14:textId="77777777" w:rsidR="005C332D" w:rsidRDefault="005C332D">
            <w:pPr>
              <w:rPr>
                <w:rFonts w:ascii="宋体"/>
              </w:rPr>
            </w:pPr>
          </w:p>
        </w:tc>
        <w:tc>
          <w:tcPr>
            <w:tcW w:w="5" w:type="pct"/>
            <w:shd w:val="clear" w:color="auto" w:fill="auto"/>
            <w:vAlign w:val="bottom"/>
          </w:tcPr>
          <w:p w14:paraId="518B4561" w14:textId="77777777" w:rsidR="005C332D" w:rsidRDefault="005C332D">
            <w:pPr>
              <w:rPr>
                <w:rFonts w:ascii="宋体"/>
              </w:rPr>
            </w:pPr>
          </w:p>
        </w:tc>
        <w:tc>
          <w:tcPr>
            <w:tcW w:w="50" w:type="pct"/>
            <w:shd w:val="clear" w:color="auto" w:fill="auto"/>
            <w:vAlign w:val="bottom"/>
          </w:tcPr>
          <w:p w14:paraId="518B4562" w14:textId="77777777" w:rsidR="005C332D" w:rsidRDefault="005C332D">
            <w:pPr>
              <w:rPr>
                <w:rFonts w:ascii="宋体"/>
              </w:rPr>
            </w:pPr>
          </w:p>
        </w:tc>
        <w:tc>
          <w:tcPr>
            <w:tcW w:w="854" w:type="pct"/>
            <w:shd w:val="clear" w:color="auto" w:fill="auto"/>
            <w:vAlign w:val="bottom"/>
          </w:tcPr>
          <w:p w14:paraId="518B4563" w14:textId="77777777" w:rsidR="005C332D" w:rsidRDefault="005C332D">
            <w:pPr>
              <w:rPr>
                <w:rFonts w:ascii="宋体"/>
              </w:rPr>
            </w:pPr>
          </w:p>
        </w:tc>
        <w:tc>
          <w:tcPr>
            <w:tcW w:w="5" w:type="pct"/>
            <w:shd w:val="clear" w:color="auto" w:fill="auto"/>
            <w:vAlign w:val="bottom"/>
          </w:tcPr>
          <w:p w14:paraId="518B4564" w14:textId="77777777" w:rsidR="005C332D" w:rsidRDefault="005C332D">
            <w:pPr>
              <w:rPr>
                <w:rFonts w:ascii="宋体"/>
              </w:rPr>
            </w:pPr>
          </w:p>
        </w:tc>
        <w:tc>
          <w:tcPr>
            <w:tcW w:w="5" w:type="pct"/>
            <w:shd w:val="clear" w:color="auto" w:fill="auto"/>
            <w:vAlign w:val="bottom"/>
          </w:tcPr>
          <w:p w14:paraId="518B4565" w14:textId="77777777" w:rsidR="005C332D" w:rsidRDefault="005C332D">
            <w:pPr>
              <w:rPr>
                <w:rFonts w:ascii="宋体"/>
              </w:rPr>
            </w:pPr>
          </w:p>
        </w:tc>
        <w:tc>
          <w:tcPr>
            <w:tcW w:w="26" w:type="pct"/>
            <w:shd w:val="clear" w:color="auto" w:fill="auto"/>
            <w:vAlign w:val="bottom"/>
          </w:tcPr>
          <w:p w14:paraId="518B4566" w14:textId="77777777" w:rsidR="005C332D" w:rsidRDefault="005C332D">
            <w:pPr>
              <w:rPr>
                <w:rFonts w:ascii="宋体"/>
              </w:rPr>
            </w:pPr>
          </w:p>
        </w:tc>
        <w:tc>
          <w:tcPr>
            <w:tcW w:w="5" w:type="pct"/>
            <w:shd w:val="clear" w:color="auto" w:fill="auto"/>
            <w:vAlign w:val="bottom"/>
          </w:tcPr>
          <w:p w14:paraId="518B4567" w14:textId="77777777" w:rsidR="005C332D" w:rsidRDefault="005C332D">
            <w:pPr>
              <w:rPr>
                <w:rFonts w:ascii="宋体"/>
              </w:rPr>
            </w:pPr>
          </w:p>
        </w:tc>
        <w:tc>
          <w:tcPr>
            <w:tcW w:w="50" w:type="pct"/>
            <w:shd w:val="clear" w:color="auto" w:fill="auto"/>
            <w:vAlign w:val="bottom"/>
          </w:tcPr>
          <w:p w14:paraId="518B4568" w14:textId="77777777" w:rsidR="005C332D" w:rsidRDefault="005C332D">
            <w:pPr>
              <w:rPr>
                <w:rFonts w:ascii="宋体"/>
              </w:rPr>
            </w:pPr>
          </w:p>
        </w:tc>
        <w:tc>
          <w:tcPr>
            <w:tcW w:w="758" w:type="pct"/>
            <w:shd w:val="clear" w:color="auto" w:fill="auto"/>
            <w:vAlign w:val="bottom"/>
          </w:tcPr>
          <w:p w14:paraId="518B4569" w14:textId="77777777" w:rsidR="005C332D" w:rsidRDefault="005C332D">
            <w:pPr>
              <w:rPr>
                <w:rFonts w:ascii="宋体"/>
              </w:rPr>
            </w:pPr>
          </w:p>
        </w:tc>
        <w:tc>
          <w:tcPr>
            <w:tcW w:w="5" w:type="pct"/>
            <w:shd w:val="clear" w:color="auto" w:fill="auto"/>
            <w:vAlign w:val="bottom"/>
          </w:tcPr>
          <w:p w14:paraId="518B456A" w14:textId="77777777" w:rsidR="005C332D" w:rsidRDefault="005C332D">
            <w:pPr>
              <w:rPr>
                <w:rFonts w:ascii="宋体"/>
              </w:rPr>
            </w:pPr>
          </w:p>
        </w:tc>
      </w:tr>
      <w:tr w:rsidR="005C332D" w14:paraId="518B4577" w14:textId="77777777">
        <w:tc>
          <w:tcPr>
            <w:tcW w:w="0" w:type="auto"/>
            <w:gridSpan w:val="3"/>
            <w:shd w:val="clear" w:color="auto" w:fill="auto"/>
            <w:tcMar>
              <w:top w:w="40" w:type="dxa"/>
              <w:left w:w="20" w:type="dxa"/>
              <w:bottom w:w="40" w:type="dxa"/>
              <w:right w:w="20" w:type="dxa"/>
            </w:tcMar>
            <w:vAlign w:val="bottom"/>
          </w:tcPr>
          <w:p w14:paraId="518B456C" w14:textId="77777777" w:rsidR="005C332D" w:rsidRDefault="00B93EAE">
            <w:pPr>
              <w:textAlignment w:val="bottom"/>
            </w:pPr>
            <w:r>
              <w:rPr>
                <w:rFonts w:ascii="Times New Roman" w:eastAsia="宋体" w:hAnsi="Times New Roman"/>
                <w:b/>
                <w:bCs/>
                <w:color w:val="000000"/>
                <w:sz w:val="16"/>
                <w:szCs w:val="16"/>
                <w:u w:val="single"/>
              </w:rPr>
              <w:t>Period</w:t>
            </w:r>
          </w:p>
        </w:tc>
        <w:tc>
          <w:tcPr>
            <w:tcW w:w="0" w:type="auto"/>
            <w:gridSpan w:val="3"/>
            <w:shd w:val="clear" w:color="auto" w:fill="auto"/>
            <w:tcMar>
              <w:top w:w="40" w:type="dxa"/>
              <w:left w:w="20" w:type="dxa"/>
              <w:bottom w:w="40" w:type="dxa"/>
              <w:right w:w="20" w:type="dxa"/>
            </w:tcMar>
            <w:vAlign w:val="bottom"/>
          </w:tcPr>
          <w:p w14:paraId="518B456D" w14:textId="77777777" w:rsidR="005C332D" w:rsidRDefault="00B93EAE">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vAlign w:val="bottom"/>
          </w:tcPr>
          <w:p w14:paraId="518B456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6F" w14:textId="77777777" w:rsidR="005C332D" w:rsidRDefault="00B93EAE">
            <w:pPr>
              <w:jc w:val="center"/>
              <w:textAlignment w:val="bottom"/>
            </w:pPr>
            <w:r>
              <w:rPr>
                <w:rFonts w:ascii="Times New Roman" w:eastAsia="宋体" w:hAnsi="Times New Roman"/>
                <w:b/>
                <w:bCs/>
                <w:color w:val="000000"/>
                <w:sz w:val="16"/>
                <w:szCs w:val="16"/>
              </w:rPr>
              <w:t>Average Price Paid</w:t>
            </w:r>
            <w:r>
              <w:rPr>
                <w:rFonts w:ascii="Times New Roman" w:eastAsia="宋体" w:hAnsi="Times New Roman"/>
                <w:b/>
                <w:bCs/>
                <w:color w:val="000000"/>
                <w:sz w:val="16"/>
                <w:szCs w:val="16"/>
              </w:rPr>
              <w:br/>
              <w:t>per Share </w:t>
            </w:r>
          </w:p>
        </w:tc>
        <w:tc>
          <w:tcPr>
            <w:tcW w:w="0" w:type="auto"/>
            <w:gridSpan w:val="3"/>
            <w:shd w:val="clear" w:color="auto" w:fill="auto"/>
            <w:tcMar>
              <w:top w:w="0" w:type="dxa"/>
              <w:left w:w="20" w:type="dxa"/>
              <w:bottom w:w="0" w:type="dxa"/>
              <w:right w:w="20" w:type="dxa"/>
            </w:tcMar>
            <w:vAlign w:val="bottom"/>
          </w:tcPr>
          <w:p w14:paraId="518B457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71" w14:textId="77777777" w:rsidR="005C332D" w:rsidRDefault="00B93EAE">
            <w:pPr>
              <w:jc w:val="center"/>
              <w:textAlignment w:val="bottom"/>
            </w:pPr>
            <w:r>
              <w:rPr>
                <w:rFonts w:ascii="Times New Roman" w:eastAsia="宋体" w:hAnsi="Times New Roman"/>
                <w:b/>
                <w:bCs/>
                <w:color w:val="000000"/>
                <w:sz w:val="16"/>
                <w:szCs w:val="16"/>
              </w:rPr>
              <w:t>Total Number of Shares</w:t>
            </w:r>
          </w:p>
          <w:p w14:paraId="518B4572" w14:textId="77777777" w:rsidR="005C332D" w:rsidRDefault="00B93EAE">
            <w:pPr>
              <w:jc w:val="center"/>
              <w:textAlignment w:val="bottom"/>
            </w:pPr>
            <w:r>
              <w:rPr>
                <w:rFonts w:ascii="Times New Roman" w:eastAsia="宋体" w:hAnsi="Times New Roman"/>
                <w:b/>
                <w:bCs/>
                <w:color w:val="000000"/>
                <w:sz w:val="16"/>
                <w:szCs w:val="16"/>
              </w:rPr>
              <w:t>Purchased as Part of</w:t>
            </w:r>
          </w:p>
          <w:p w14:paraId="518B4573" w14:textId="77777777" w:rsidR="005C332D" w:rsidRDefault="00B93EAE">
            <w:pPr>
              <w:jc w:val="center"/>
              <w:textAlignment w:val="bottom"/>
            </w:pPr>
            <w:r>
              <w:rPr>
                <w:rFonts w:ascii="Times New Roman" w:eastAsia="宋体" w:hAnsi="Times New Roman"/>
                <w:b/>
                <w:bCs/>
                <w:color w:val="000000"/>
                <w:sz w:val="16"/>
                <w:szCs w:val="16"/>
              </w:rPr>
              <w:t>Publicly Announced</w:t>
            </w:r>
          </w:p>
          <w:p w14:paraId="518B4574" w14:textId="77777777" w:rsidR="005C332D" w:rsidRDefault="00B93EAE">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 xml:space="preserve"> </w:t>
            </w:r>
          </w:p>
        </w:tc>
        <w:tc>
          <w:tcPr>
            <w:tcW w:w="0" w:type="auto"/>
            <w:gridSpan w:val="3"/>
            <w:shd w:val="clear" w:color="auto" w:fill="auto"/>
            <w:tcMar>
              <w:top w:w="0" w:type="dxa"/>
              <w:left w:w="20" w:type="dxa"/>
              <w:bottom w:w="0" w:type="dxa"/>
              <w:right w:w="20" w:type="dxa"/>
            </w:tcMar>
            <w:vAlign w:val="bottom"/>
          </w:tcPr>
          <w:p w14:paraId="518B457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76" w14:textId="77777777" w:rsidR="005C332D" w:rsidRDefault="00B93EAE">
            <w:pPr>
              <w:jc w:val="center"/>
              <w:textAlignment w:val="bottom"/>
            </w:pPr>
            <w:r>
              <w:rPr>
                <w:rFonts w:ascii="Times New Roman" w:eastAsia="宋体" w:hAnsi="Times New Roman"/>
                <w:b/>
                <w:bCs/>
                <w:color w:val="000000"/>
                <w:sz w:val="16"/>
                <w:szCs w:val="16"/>
              </w:rPr>
              <w:t>Approximate Dollar Value of Shares</w:t>
            </w:r>
            <w:r>
              <w:rPr>
                <w:rFonts w:ascii="Times New Roman" w:eastAsia="宋体" w:hAnsi="Times New Roman"/>
                <w:b/>
                <w:bCs/>
                <w:color w:val="000000"/>
                <w:sz w:val="16"/>
                <w:szCs w:val="16"/>
              </w:rPr>
              <w:br/>
              <w:t xml:space="preserve">That May Yet </w:t>
            </w:r>
            <w:r>
              <w:rPr>
                <w:rFonts w:ascii="Times New Roman" w:eastAsia="宋体" w:hAnsi="Times New Roman"/>
                <w:b/>
                <w:bCs/>
                <w:color w:val="000000"/>
                <w:sz w:val="16"/>
                <w:szCs w:val="16"/>
              </w:rPr>
              <w:t>Be Purchased</w:t>
            </w:r>
            <w:r>
              <w:rPr>
                <w:rFonts w:ascii="Times New Roman" w:eastAsia="宋体" w:hAnsi="Times New Roman"/>
                <w:b/>
                <w:bCs/>
                <w:color w:val="000000"/>
                <w:sz w:val="16"/>
                <w:szCs w:val="16"/>
              </w:rPr>
              <w:br/>
              <w:t>Under the Plans or Programs</w:t>
            </w:r>
          </w:p>
        </w:tc>
      </w:tr>
      <w:tr w:rsidR="005C332D" w14:paraId="518B4586" w14:textId="77777777">
        <w:tc>
          <w:tcPr>
            <w:tcW w:w="0" w:type="auto"/>
            <w:gridSpan w:val="3"/>
            <w:shd w:val="clear" w:color="auto" w:fill="CCEEFF"/>
            <w:tcMar>
              <w:top w:w="40" w:type="dxa"/>
              <w:left w:w="20" w:type="dxa"/>
              <w:bottom w:w="40" w:type="dxa"/>
              <w:right w:w="20" w:type="dxa"/>
            </w:tcMar>
          </w:tcPr>
          <w:p w14:paraId="518B4578" w14:textId="77777777" w:rsidR="005C332D" w:rsidRDefault="00B93EAE">
            <w:pPr>
              <w:textAlignment w:val="top"/>
            </w:pPr>
            <w:r>
              <w:rPr>
                <w:rFonts w:ascii="Times New Roman" w:eastAsia="宋体" w:hAnsi="Times New Roman"/>
                <w:color w:val="000000"/>
                <w:sz w:val="20"/>
                <w:szCs w:val="20"/>
              </w:rPr>
              <w:t>May 1, 2022 to May 28, 2022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4579" w14:textId="77777777" w:rsidR="005C332D" w:rsidRDefault="00B93EAE">
            <w:pPr>
              <w:jc w:val="right"/>
              <w:textAlignment w:val="bottom"/>
            </w:pPr>
            <w:r>
              <w:rPr>
                <w:rFonts w:ascii="Times New Roman" w:eastAsia="宋体" w:hAnsi="Times New Roman"/>
                <w:color w:val="000000"/>
                <w:sz w:val="20"/>
                <w:szCs w:val="20"/>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57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57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57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57D" w14:textId="77777777" w:rsidR="005C332D" w:rsidRDefault="00B93EAE">
            <w:pPr>
              <w:jc w:val="right"/>
              <w:textAlignment w:val="bottom"/>
            </w:pPr>
            <w:r>
              <w:rPr>
                <w:rFonts w:ascii="Times New Roman" w:eastAsia="宋体" w:hAnsi="Times New Roman"/>
                <w:color w:val="000000"/>
                <w:sz w:val="20"/>
                <w:szCs w:val="20"/>
              </w:rPr>
              <w:t>44.36 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57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57F"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4580" w14:textId="77777777" w:rsidR="005C332D" w:rsidRDefault="00B93EAE">
            <w:pPr>
              <w:jc w:val="right"/>
              <w:textAlignment w:val="bottom"/>
            </w:pPr>
            <w:r>
              <w:rPr>
                <w:rFonts w:ascii="Times New Roman" w:eastAsia="宋体" w:hAnsi="Times New Roman"/>
                <w:color w:val="000000"/>
                <w:sz w:val="20"/>
                <w:szCs w:val="20"/>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58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58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58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584" w14:textId="77777777" w:rsidR="005C332D" w:rsidRDefault="00B93EAE">
            <w:pPr>
              <w:jc w:val="right"/>
              <w:textAlignment w:val="bottom"/>
            </w:pPr>
            <w:r>
              <w:rPr>
                <w:rFonts w:ascii="Times New Roman" w:eastAsia="宋体" w:hAnsi="Times New Roman"/>
                <w:color w:val="000000"/>
                <w:sz w:val="20"/>
                <w:szCs w:val="20"/>
              </w:rPr>
              <w:t>16,671 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585" w14:textId="77777777" w:rsidR="005C332D" w:rsidRDefault="005C332D">
            <w:pPr>
              <w:jc w:val="right"/>
              <w:rPr>
                <w:rFonts w:ascii="宋体"/>
              </w:rPr>
            </w:pPr>
          </w:p>
        </w:tc>
      </w:tr>
      <w:tr w:rsidR="005C332D" w14:paraId="518B4595" w14:textId="77777777">
        <w:tc>
          <w:tcPr>
            <w:tcW w:w="0" w:type="auto"/>
            <w:gridSpan w:val="3"/>
            <w:shd w:val="clear" w:color="auto" w:fill="FFFFFF"/>
            <w:tcMar>
              <w:top w:w="40" w:type="dxa"/>
              <w:left w:w="20" w:type="dxa"/>
              <w:bottom w:w="40" w:type="dxa"/>
              <w:right w:w="20" w:type="dxa"/>
            </w:tcMar>
          </w:tcPr>
          <w:p w14:paraId="518B4587" w14:textId="77777777" w:rsidR="005C332D" w:rsidRDefault="00B93EAE">
            <w:pPr>
              <w:textAlignment w:val="top"/>
            </w:pPr>
            <w:r>
              <w:rPr>
                <w:rFonts w:ascii="Times New Roman" w:eastAsia="宋体" w:hAnsi="Times New Roman"/>
                <w:color w:val="000000"/>
                <w:sz w:val="20"/>
                <w:szCs w:val="20"/>
              </w:rPr>
              <w:t>May 29, 2022 to June 25, 2022</w:t>
            </w:r>
          </w:p>
        </w:tc>
        <w:tc>
          <w:tcPr>
            <w:tcW w:w="0" w:type="auto"/>
            <w:gridSpan w:val="2"/>
            <w:shd w:val="clear" w:color="auto" w:fill="FFFFFF"/>
            <w:tcMar>
              <w:top w:w="40" w:type="dxa"/>
              <w:left w:w="20" w:type="dxa"/>
              <w:bottom w:w="40" w:type="dxa"/>
              <w:right w:w="0" w:type="dxa"/>
            </w:tcMar>
            <w:vAlign w:val="bottom"/>
          </w:tcPr>
          <w:p w14:paraId="518B4588" w14:textId="77777777" w:rsidR="005C332D" w:rsidRDefault="00B93EAE">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518B458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58A"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58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58C" w14:textId="77777777" w:rsidR="005C332D" w:rsidRDefault="00B93EAE">
            <w:pPr>
              <w:jc w:val="right"/>
              <w:textAlignment w:val="bottom"/>
            </w:pPr>
            <w:r>
              <w:rPr>
                <w:rFonts w:ascii="Times New Roman" w:eastAsia="宋体" w:hAnsi="Times New Roman"/>
                <w:color w:val="000000"/>
                <w:sz w:val="20"/>
                <w:szCs w:val="20"/>
              </w:rPr>
              <w:t>44.29 </w:t>
            </w:r>
          </w:p>
        </w:tc>
        <w:tc>
          <w:tcPr>
            <w:tcW w:w="0" w:type="auto"/>
            <w:shd w:val="clear" w:color="auto" w:fill="FFFFFF"/>
            <w:tcMar>
              <w:top w:w="40" w:type="dxa"/>
              <w:left w:w="0" w:type="dxa"/>
              <w:bottom w:w="40" w:type="dxa"/>
              <w:right w:w="20" w:type="dxa"/>
            </w:tcMar>
            <w:vAlign w:val="bottom"/>
          </w:tcPr>
          <w:p w14:paraId="518B458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58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58F" w14:textId="77777777" w:rsidR="005C332D" w:rsidRDefault="00B93EAE">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518B459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591"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59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593" w14:textId="77777777" w:rsidR="005C332D" w:rsidRDefault="00B93EAE">
            <w:pPr>
              <w:jc w:val="right"/>
              <w:textAlignment w:val="bottom"/>
            </w:pPr>
            <w:r>
              <w:rPr>
                <w:rFonts w:ascii="Times New Roman" w:eastAsia="宋体" w:hAnsi="Times New Roman"/>
                <w:color w:val="000000"/>
                <w:sz w:val="20"/>
                <w:szCs w:val="20"/>
              </w:rPr>
              <w:t>16,045 </w:t>
            </w:r>
          </w:p>
        </w:tc>
        <w:tc>
          <w:tcPr>
            <w:tcW w:w="0" w:type="auto"/>
            <w:shd w:val="clear" w:color="auto" w:fill="FFFFFF"/>
            <w:tcMar>
              <w:top w:w="40" w:type="dxa"/>
              <w:left w:w="0" w:type="dxa"/>
              <w:bottom w:w="40" w:type="dxa"/>
              <w:right w:w="20" w:type="dxa"/>
            </w:tcMar>
            <w:vAlign w:val="bottom"/>
          </w:tcPr>
          <w:p w14:paraId="518B4594" w14:textId="77777777" w:rsidR="005C332D" w:rsidRDefault="005C332D">
            <w:pPr>
              <w:jc w:val="right"/>
              <w:rPr>
                <w:rFonts w:ascii="宋体"/>
              </w:rPr>
            </w:pPr>
          </w:p>
        </w:tc>
      </w:tr>
      <w:tr w:rsidR="005C332D" w14:paraId="518B45A4" w14:textId="77777777">
        <w:tc>
          <w:tcPr>
            <w:tcW w:w="0" w:type="auto"/>
            <w:gridSpan w:val="3"/>
            <w:shd w:val="clear" w:color="auto" w:fill="CCEEFF"/>
            <w:tcMar>
              <w:top w:w="40" w:type="dxa"/>
              <w:left w:w="20" w:type="dxa"/>
              <w:bottom w:w="40" w:type="dxa"/>
              <w:right w:w="20" w:type="dxa"/>
            </w:tcMar>
          </w:tcPr>
          <w:p w14:paraId="518B4596" w14:textId="77777777" w:rsidR="005C332D" w:rsidRDefault="00B93EAE">
            <w:pPr>
              <w:textAlignment w:val="top"/>
            </w:pPr>
            <w:r>
              <w:rPr>
                <w:rFonts w:ascii="Times New Roman" w:eastAsia="宋体" w:hAnsi="Times New Roman"/>
                <w:color w:val="000000"/>
                <w:sz w:val="20"/>
                <w:szCs w:val="20"/>
              </w:rPr>
              <w:t>June 26, 2022 to July 30, 2022</w:t>
            </w:r>
          </w:p>
        </w:tc>
        <w:tc>
          <w:tcPr>
            <w:tcW w:w="0" w:type="auto"/>
            <w:gridSpan w:val="2"/>
            <w:shd w:val="clear" w:color="auto" w:fill="CCEEFF"/>
            <w:tcMar>
              <w:top w:w="40" w:type="dxa"/>
              <w:left w:w="20" w:type="dxa"/>
              <w:bottom w:w="40" w:type="dxa"/>
              <w:right w:w="0" w:type="dxa"/>
            </w:tcMar>
            <w:vAlign w:val="bottom"/>
          </w:tcPr>
          <w:p w14:paraId="518B4597" w14:textId="77777777" w:rsidR="005C332D" w:rsidRDefault="00B93EAE">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518B459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599"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59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59B" w14:textId="77777777" w:rsidR="005C332D" w:rsidRDefault="00B93EAE">
            <w:pPr>
              <w:jc w:val="right"/>
              <w:textAlignment w:val="bottom"/>
            </w:pPr>
            <w:r>
              <w:rPr>
                <w:rFonts w:ascii="Times New Roman" w:eastAsia="宋体" w:hAnsi="Times New Roman"/>
                <w:color w:val="000000"/>
                <w:sz w:val="20"/>
                <w:szCs w:val="20"/>
              </w:rPr>
              <w:t>43.44 </w:t>
            </w:r>
          </w:p>
        </w:tc>
        <w:tc>
          <w:tcPr>
            <w:tcW w:w="0" w:type="auto"/>
            <w:shd w:val="clear" w:color="auto" w:fill="CCEEFF"/>
            <w:tcMar>
              <w:top w:w="40" w:type="dxa"/>
              <w:left w:w="0" w:type="dxa"/>
              <w:bottom w:w="40" w:type="dxa"/>
              <w:right w:w="20" w:type="dxa"/>
            </w:tcMar>
            <w:vAlign w:val="bottom"/>
          </w:tcPr>
          <w:p w14:paraId="518B459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59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59E" w14:textId="77777777" w:rsidR="005C332D" w:rsidRDefault="00B93EAE">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518B459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5A0"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5A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5A2" w14:textId="77777777" w:rsidR="005C332D" w:rsidRDefault="00B93EAE">
            <w:pPr>
              <w:jc w:val="right"/>
              <w:textAlignment w:val="bottom"/>
            </w:pPr>
            <w:r>
              <w:rPr>
                <w:rFonts w:ascii="Times New Roman" w:eastAsia="宋体" w:hAnsi="Times New Roman"/>
                <w:color w:val="000000"/>
                <w:sz w:val="20"/>
                <w:szCs w:val="20"/>
              </w:rPr>
              <w:t>15,205 </w:t>
            </w:r>
          </w:p>
        </w:tc>
        <w:tc>
          <w:tcPr>
            <w:tcW w:w="0" w:type="auto"/>
            <w:shd w:val="clear" w:color="auto" w:fill="CCEEFF"/>
            <w:tcMar>
              <w:top w:w="40" w:type="dxa"/>
              <w:left w:w="0" w:type="dxa"/>
              <w:bottom w:w="40" w:type="dxa"/>
              <w:right w:w="20" w:type="dxa"/>
            </w:tcMar>
            <w:vAlign w:val="bottom"/>
          </w:tcPr>
          <w:p w14:paraId="518B45A3" w14:textId="77777777" w:rsidR="005C332D" w:rsidRDefault="005C332D">
            <w:pPr>
              <w:jc w:val="right"/>
              <w:rPr>
                <w:rFonts w:ascii="宋体"/>
              </w:rPr>
            </w:pPr>
          </w:p>
        </w:tc>
      </w:tr>
      <w:tr w:rsidR="005C332D" w14:paraId="518B45B1" w14:textId="77777777">
        <w:tc>
          <w:tcPr>
            <w:tcW w:w="0" w:type="auto"/>
            <w:gridSpan w:val="3"/>
            <w:shd w:val="clear" w:color="auto" w:fill="FFFFFF"/>
            <w:tcMar>
              <w:top w:w="40" w:type="dxa"/>
              <w:left w:w="20" w:type="dxa"/>
              <w:bottom w:w="40" w:type="dxa"/>
              <w:right w:w="20" w:type="dxa"/>
            </w:tcMar>
          </w:tcPr>
          <w:p w14:paraId="518B45A5" w14:textId="77777777" w:rsidR="005C332D" w:rsidRDefault="00B93EAE">
            <w:pPr>
              <w:textAlignment w:val="top"/>
            </w:pPr>
            <w:r>
              <w:rPr>
                <w:rFonts w:ascii="Times New Roman" w:eastAsia="宋体" w:hAnsi="Times New Roman"/>
                <w:color w:val="000000"/>
                <w:sz w:val="20"/>
                <w:szCs w:val="20"/>
              </w:rPr>
              <w:t>Total</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518B45A6" w14:textId="77777777" w:rsidR="005C332D" w:rsidRDefault="00B93EAE">
            <w:pPr>
              <w:jc w:val="right"/>
              <w:textAlignment w:val="bottom"/>
            </w:pPr>
            <w:r>
              <w:rPr>
                <w:rFonts w:ascii="Times New Roman" w:eastAsia="宋体" w:hAnsi="Times New Roman"/>
                <w:color w:val="000000"/>
                <w:sz w:val="20"/>
                <w:szCs w:val="20"/>
              </w:rPr>
              <w:t>54 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518B45A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5A8"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5A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5AA" w14:textId="77777777" w:rsidR="005C332D" w:rsidRDefault="00B93EAE">
            <w:pPr>
              <w:jc w:val="right"/>
              <w:textAlignment w:val="bottom"/>
            </w:pPr>
            <w:r>
              <w:rPr>
                <w:rFonts w:ascii="Times New Roman" w:eastAsia="宋体" w:hAnsi="Times New Roman"/>
                <w:color w:val="000000"/>
                <w:sz w:val="20"/>
                <w:szCs w:val="20"/>
              </w:rPr>
              <w:t>44.02 </w:t>
            </w:r>
          </w:p>
        </w:tc>
        <w:tc>
          <w:tcPr>
            <w:tcW w:w="0" w:type="auto"/>
            <w:shd w:val="clear" w:color="auto" w:fill="FFFFFF"/>
            <w:tcMar>
              <w:top w:w="40" w:type="dxa"/>
              <w:left w:w="0" w:type="dxa"/>
              <w:bottom w:w="40" w:type="dxa"/>
              <w:right w:w="20" w:type="dxa"/>
            </w:tcMar>
            <w:vAlign w:val="bottom"/>
          </w:tcPr>
          <w:p w14:paraId="518B45A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5AC" w14:textId="77777777" w:rsidR="005C332D" w:rsidRDefault="005C332D">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518B45AD" w14:textId="77777777" w:rsidR="005C332D" w:rsidRDefault="00B93EAE">
            <w:pPr>
              <w:jc w:val="right"/>
              <w:textAlignment w:val="bottom"/>
            </w:pPr>
            <w:r>
              <w:rPr>
                <w:rFonts w:ascii="Times New Roman" w:eastAsia="宋体" w:hAnsi="Times New Roman"/>
                <w:color w:val="000000"/>
                <w:sz w:val="20"/>
                <w:szCs w:val="20"/>
              </w:rPr>
              <w:t>54 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518B45A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5A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5B0" w14:textId="77777777" w:rsidR="005C332D" w:rsidRDefault="005C332D">
            <w:pPr>
              <w:rPr>
                <w:rFonts w:ascii="宋体"/>
              </w:rPr>
            </w:pPr>
          </w:p>
        </w:tc>
      </w:tr>
    </w:tbl>
    <w:p w14:paraId="518B45B2" w14:textId="77777777" w:rsidR="005C332D" w:rsidRDefault="00B93EAE">
      <w:pPr>
        <w:spacing w:before="120"/>
        <w:jc w:val="both"/>
      </w:pPr>
      <w:r>
        <w:rPr>
          <w:rFonts w:ascii="Times New Roman" w:eastAsia="宋体" w:hAnsi="Times New Roman"/>
          <w:color w:val="000000"/>
          <w:sz w:val="20"/>
          <w:szCs w:val="20"/>
        </w:rPr>
        <w:t xml:space="preserve">On September 13, 2001, we announced that our Board of Directors had authorized a stock repurchase program. As of July 30, 2022, the remaining authorized amount for stock repurchases under this program is approximately $15.2 billion </w:t>
      </w:r>
      <w:r>
        <w:rPr>
          <w:rFonts w:ascii="Times New Roman" w:eastAsia="宋体" w:hAnsi="Times New Roman"/>
          <w:color w:val="000000"/>
          <w:sz w:val="20"/>
          <w:szCs w:val="20"/>
        </w:rPr>
        <w:t>with no termination date.</w:t>
      </w:r>
    </w:p>
    <w:p w14:paraId="518B45B3" w14:textId="77777777" w:rsidR="005C332D" w:rsidRDefault="00B93EAE">
      <w:pPr>
        <w:spacing w:before="120"/>
        <w:jc w:val="both"/>
      </w:pPr>
      <w:r>
        <w:rPr>
          <w:rFonts w:ascii="Times New Roman" w:eastAsia="宋体" w:hAnsi="Times New Roman"/>
          <w:color w:val="000000"/>
          <w:sz w:val="20"/>
          <w:szCs w:val="20"/>
        </w:rPr>
        <w:t xml:space="preserve">For the majority of restricted stock units granted, the number of shares issued on the date the restricted stock units vest is net of shares withheld to meet applicable tax withholding requirements. Although these withheld shares </w:t>
      </w:r>
      <w:r>
        <w:rPr>
          <w:rFonts w:ascii="Times New Roman" w:eastAsia="宋体" w:hAnsi="Times New Roman"/>
          <w:color w:val="000000"/>
          <w:sz w:val="20"/>
          <w:szCs w:val="20"/>
        </w:rPr>
        <w:t>are not issued or considered common stock repurchases under our stock repurchase program and therefore are not included in the preceding table, they are treated as common stock repurchases in our financial statements as they reduce the number of shares tha</w:t>
      </w:r>
      <w:r>
        <w:rPr>
          <w:rFonts w:ascii="Times New Roman" w:eastAsia="宋体" w:hAnsi="Times New Roman"/>
          <w:color w:val="000000"/>
          <w:sz w:val="20"/>
          <w:szCs w:val="20"/>
        </w:rPr>
        <w:t>t would have been issued upon vesting (see Note 15 to the Consolidated Financial Statements).</w:t>
      </w:r>
    </w:p>
    <w:p w14:paraId="518B45B4" w14:textId="77777777" w:rsidR="005C332D" w:rsidRDefault="005C332D">
      <w:pPr>
        <w:jc w:val="center"/>
      </w:pPr>
    </w:p>
    <w:p w14:paraId="518B45B5" w14:textId="77777777" w:rsidR="005C332D" w:rsidRDefault="00B93EAE">
      <w:pPr>
        <w:jc w:val="center"/>
      </w:pPr>
      <w:r>
        <w:rPr>
          <w:rFonts w:ascii="Times New Roman" w:eastAsia="宋体" w:hAnsi="Times New Roman"/>
          <w:color w:val="000000"/>
          <w:sz w:val="20"/>
          <w:szCs w:val="20"/>
        </w:rPr>
        <w:t>30</w:t>
      </w:r>
    </w:p>
    <w:p w14:paraId="518B45B6" w14:textId="77777777" w:rsidR="005C332D" w:rsidRDefault="00B93EAE">
      <w:r>
        <w:pict w14:anchorId="518B8731">
          <v:rect id="_x0000_i1056" style="width:415.3pt;height:1.5pt" o:hralign="center" o:hrstd="t" o:hr="t" fillcolor="#a0a0a0" stroked="f"/>
        </w:pict>
      </w:r>
    </w:p>
    <w:p w14:paraId="518B45B7" w14:textId="77777777" w:rsidR="005C332D" w:rsidRDefault="00B93EAE">
      <w:hyperlink r:id="rId84" w:anchor="i049852cab38845aabd2a79d07dacda86_7" w:history="1">
        <w:r>
          <w:rPr>
            <w:rStyle w:val="a5"/>
            <w:rFonts w:ascii="Times New Roman" w:eastAsia="宋体" w:hAnsi="Times New Roman"/>
            <w:sz w:val="20"/>
            <w:szCs w:val="20"/>
          </w:rPr>
          <w:t>Table of Contents</w:t>
        </w:r>
      </w:hyperlink>
    </w:p>
    <w:p w14:paraId="518B45B8" w14:textId="77777777" w:rsidR="005C332D" w:rsidRDefault="00B93EAE">
      <w:pPr>
        <w:spacing w:before="180"/>
        <w:jc w:val="both"/>
      </w:pPr>
      <w:r>
        <w:rPr>
          <w:rFonts w:ascii="Times New Roman" w:eastAsia="宋体" w:hAnsi="Times New Roman"/>
          <w:b/>
          <w:bCs/>
          <w:color w:val="000000"/>
          <w:sz w:val="20"/>
          <w:szCs w:val="20"/>
        </w:rPr>
        <w:t xml:space="preserve">Stock Performance Graph </w:t>
      </w:r>
    </w:p>
    <w:p w14:paraId="518B45B9" w14:textId="77777777" w:rsidR="005C332D" w:rsidRDefault="00B93EAE">
      <w:pPr>
        <w:spacing w:before="120"/>
        <w:jc w:val="both"/>
      </w:pPr>
      <w:r>
        <w:rPr>
          <w:rFonts w:ascii="Times New Roman" w:eastAsia="宋体" w:hAnsi="Times New Roman"/>
          <w:i/>
          <w:iCs/>
          <w:color w:val="000000"/>
          <w:sz w:val="20"/>
          <w:szCs w:val="20"/>
        </w:rPr>
        <w:t>The information contained in this Stock Performance Graph sectio</w:t>
      </w:r>
      <w:r>
        <w:rPr>
          <w:rFonts w:ascii="Times New Roman" w:eastAsia="宋体" w:hAnsi="Times New Roman"/>
          <w:i/>
          <w:iCs/>
          <w:color w:val="000000"/>
          <w:sz w:val="20"/>
          <w:szCs w:val="20"/>
        </w:rPr>
        <w:t>n shall not be deemed to be “soliciting material” or “filed” or incorporated by reference in future filings with the SEC, or subject to the liabilities of Section 18 of the Securities Exchange Act of 1934, as amended (the “Exchange Act”), except to the ext</w:t>
      </w:r>
      <w:r>
        <w:rPr>
          <w:rFonts w:ascii="Times New Roman" w:eastAsia="宋体" w:hAnsi="Times New Roman"/>
          <w:i/>
          <w:iCs/>
          <w:color w:val="000000"/>
          <w:sz w:val="20"/>
          <w:szCs w:val="20"/>
        </w:rPr>
        <w:t>ent that Cisco specifically incorporates it by reference into a document filed under the Securities Act of 1933, as amended, or the Exchange Act.</w:t>
      </w:r>
    </w:p>
    <w:p w14:paraId="518B45BA" w14:textId="77777777" w:rsidR="005C332D" w:rsidRDefault="00B93EAE">
      <w:pPr>
        <w:spacing w:before="120"/>
        <w:jc w:val="both"/>
      </w:pPr>
      <w:r>
        <w:rPr>
          <w:rFonts w:ascii="Times New Roman" w:eastAsia="宋体" w:hAnsi="Times New Roman"/>
          <w:color w:val="000000"/>
          <w:sz w:val="20"/>
          <w:szCs w:val="20"/>
        </w:rPr>
        <w:t>The following graph shows a five-year comparison of the cumulative total stockholder return on Cisco common st</w:t>
      </w:r>
      <w:r>
        <w:rPr>
          <w:rFonts w:ascii="Times New Roman" w:eastAsia="宋体" w:hAnsi="Times New Roman"/>
          <w:color w:val="000000"/>
          <w:sz w:val="20"/>
          <w:szCs w:val="20"/>
        </w:rPr>
        <w:t>ock with the cumulative total returns of the S&amp;P 500 Index, and the S&amp;P Information Technology Index. The graph tracks the performance of a $100 investment in the Company’s common stock and in each of the indexes (with the reinvestment of all dividends) on</w:t>
      </w:r>
      <w:r>
        <w:rPr>
          <w:rFonts w:ascii="Times New Roman" w:eastAsia="宋体" w:hAnsi="Times New Roman"/>
          <w:color w:val="000000"/>
          <w:sz w:val="20"/>
          <w:szCs w:val="20"/>
        </w:rPr>
        <w:t xml:space="preserve"> the date specified. Stockholder returns over the indicated period are based on historical data and should not be considered indicative of future stockholder returns.</w:t>
      </w:r>
    </w:p>
    <w:p w14:paraId="518B45BB" w14:textId="77777777" w:rsidR="005C332D" w:rsidRDefault="00B93EAE">
      <w:pPr>
        <w:spacing w:before="180"/>
        <w:jc w:val="center"/>
      </w:pPr>
      <w:r>
        <w:rPr>
          <w:rFonts w:ascii="Times New Roman" w:eastAsia="宋体" w:hAnsi="Times New Roman"/>
          <w:b/>
          <w:bCs/>
          <w:color w:val="000000"/>
          <w:sz w:val="20"/>
          <w:szCs w:val="20"/>
        </w:rPr>
        <w:t>Comparison of 5-Year Cumulative Total Return Among Cisco Systems, Inc.,</w:t>
      </w:r>
    </w:p>
    <w:p w14:paraId="518B45BC" w14:textId="77777777" w:rsidR="005C332D" w:rsidRDefault="00B93EAE">
      <w:pPr>
        <w:jc w:val="center"/>
      </w:pPr>
      <w:r>
        <w:rPr>
          <w:rFonts w:ascii="Times New Roman" w:eastAsia="宋体" w:hAnsi="Times New Roman"/>
          <w:b/>
          <w:bCs/>
          <w:color w:val="000000"/>
          <w:sz w:val="20"/>
          <w:szCs w:val="20"/>
        </w:rPr>
        <w:t>the S&amp;P 500 Index</w:t>
      </w:r>
      <w:r>
        <w:rPr>
          <w:rFonts w:ascii="Times New Roman" w:eastAsia="宋体" w:hAnsi="Times New Roman"/>
          <w:b/>
          <w:bCs/>
          <w:color w:val="000000"/>
          <w:sz w:val="20"/>
          <w:szCs w:val="20"/>
        </w:rPr>
        <w:t>, and the S&amp;P Information Technology Index</w:t>
      </w:r>
    </w:p>
    <w:p w14:paraId="518B45BD" w14:textId="77777777" w:rsidR="005C332D" w:rsidRDefault="00B93EA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/Cisco/./Inline XBRL Viewer1_files/csco-20220730_g4.jpg"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518B8732" wp14:editId="518B8733">
            <wp:extent cx="304800" cy="304800"/>
            <wp:effectExtent l="0" t="0" r="0" b="0"/>
            <wp:docPr id="34" name="图片 6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9"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286"/>
        <w:gridCol w:w="37"/>
        <w:gridCol w:w="120"/>
        <w:gridCol w:w="782"/>
        <w:gridCol w:w="36"/>
        <w:gridCol w:w="36"/>
        <w:gridCol w:w="36"/>
        <w:gridCol w:w="36"/>
        <w:gridCol w:w="120"/>
        <w:gridCol w:w="736"/>
        <w:gridCol w:w="36"/>
        <w:gridCol w:w="36"/>
        <w:gridCol w:w="36"/>
        <w:gridCol w:w="36"/>
        <w:gridCol w:w="120"/>
        <w:gridCol w:w="736"/>
        <w:gridCol w:w="36"/>
        <w:gridCol w:w="36"/>
        <w:gridCol w:w="36"/>
        <w:gridCol w:w="36"/>
        <w:gridCol w:w="120"/>
        <w:gridCol w:w="736"/>
        <w:gridCol w:w="36"/>
        <w:gridCol w:w="36"/>
        <w:gridCol w:w="36"/>
        <w:gridCol w:w="36"/>
        <w:gridCol w:w="120"/>
        <w:gridCol w:w="736"/>
        <w:gridCol w:w="36"/>
        <w:gridCol w:w="36"/>
        <w:gridCol w:w="36"/>
        <w:gridCol w:w="36"/>
        <w:gridCol w:w="120"/>
        <w:gridCol w:w="736"/>
        <w:gridCol w:w="36"/>
      </w:tblGrid>
      <w:tr w:rsidR="005C332D" w14:paraId="518B45E2" w14:textId="77777777">
        <w:trPr>
          <w:jc w:val="center"/>
        </w:trPr>
        <w:tc>
          <w:tcPr>
            <w:tcW w:w="50" w:type="pct"/>
            <w:shd w:val="clear" w:color="auto" w:fill="auto"/>
            <w:vAlign w:val="bottom"/>
          </w:tcPr>
          <w:p w14:paraId="518B45BE" w14:textId="77777777" w:rsidR="005C332D" w:rsidRDefault="005C332D">
            <w:pPr>
              <w:rPr>
                <w:rFonts w:ascii="宋体"/>
              </w:rPr>
            </w:pPr>
          </w:p>
        </w:tc>
        <w:tc>
          <w:tcPr>
            <w:tcW w:w="1413" w:type="pct"/>
            <w:shd w:val="clear" w:color="auto" w:fill="auto"/>
            <w:vAlign w:val="bottom"/>
          </w:tcPr>
          <w:p w14:paraId="518B45BF" w14:textId="77777777" w:rsidR="005C332D" w:rsidRDefault="005C332D">
            <w:pPr>
              <w:rPr>
                <w:rFonts w:ascii="宋体"/>
              </w:rPr>
            </w:pPr>
          </w:p>
        </w:tc>
        <w:tc>
          <w:tcPr>
            <w:tcW w:w="5" w:type="pct"/>
            <w:shd w:val="clear" w:color="auto" w:fill="auto"/>
            <w:vAlign w:val="bottom"/>
          </w:tcPr>
          <w:p w14:paraId="518B45C0" w14:textId="77777777" w:rsidR="005C332D" w:rsidRDefault="005C332D">
            <w:pPr>
              <w:rPr>
                <w:rFonts w:ascii="宋体"/>
              </w:rPr>
            </w:pPr>
          </w:p>
        </w:tc>
        <w:tc>
          <w:tcPr>
            <w:tcW w:w="50" w:type="pct"/>
            <w:shd w:val="clear" w:color="auto" w:fill="auto"/>
            <w:vAlign w:val="bottom"/>
          </w:tcPr>
          <w:p w14:paraId="518B45C1" w14:textId="77777777" w:rsidR="005C332D" w:rsidRDefault="005C332D">
            <w:pPr>
              <w:rPr>
                <w:rFonts w:ascii="宋体"/>
              </w:rPr>
            </w:pPr>
          </w:p>
        </w:tc>
        <w:tc>
          <w:tcPr>
            <w:tcW w:w="503" w:type="pct"/>
            <w:shd w:val="clear" w:color="auto" w:fill="auto"/>
            <w:vAlign w:val="bottom"/>
          </w:tcPr>
          <w:p w14:paraId="518B45C2" w14:textId="77777777" w:rsidR="005C332D" w:rsidRDefault="005C332D">
            <w:pPr>
              <w:rPr>
                <w:rFonts w:ascii="宋体"/>
              </w:rPr>
            </w:pPr>
          </w:p>
        </w:tc>
        <w:tc>
          <w:tcPr>
            <w:tcW w:w="5" w:type="pct"/>
            <w:shd w:val="clear" w:color="auto" w:fill="auto"/>
            <w:vAlign w:val="bottom"/>
          </w:tcPr>
          <w:p w14:paraId="518B45C3" w14:textId="77777777" w:rsidR="005C332D" w:rsidRDefault="005C332D">
            <w:pPr>
              <w:rPr>
                <w:rFonts w:ascii="宋体"/>
              </w:rPr>
            </w:pPr>
          </w:p>
        </w:tc>
        <w:tc>
          <w:tcPr>
            <w:tcW w:w="5" w:type="pct"/>
            <w:shd w:val="clear" w:color="auto" w:fill="auto"/>
            <w:vAlign w:val="bottom"/>
          </w:tcPr>
          <w:p w14:paraId="518B45C4" w14:textId="77777777" w:rsidR="005C332D" w:rsidRDefault="005C332D">
            <w:pPr>
              <w:rPr>
                <w:rFonts w:ascii="宋体"/>
              </w:rPr>
            </w:pPr>
          </w:p>
        </w:tc>
        <w:tc>
          <w:tcPr>
            <w:tcW w:w="26" w:type="pct"/>
            <w:shd w:val="clear" w:color="auto" w:fill="auto"/>
            <w:vAlign w:val="bottom"/>
          </w:tcPr>
          <w:p w14:paraId="518B45C5" w14:textId="77777777" w:rsidR="005C332D" w:rsidRDefault="005C332D">
            <w:pPr>
              <w:rPr>
                <w:rFonts w:ascii="宋体"/>
              </w:rPr>
            </w:pPr>
          </w:p>
        </w:tc>
        <w:tc>
          <w:tcPr>
            <w:tcW w:w="5" w:type="pct"/>
            <w:shd w:val="clear" w:color="auto" w:fill="auto"/>
            <w:vAlign w:val="bottom"/>
          </w:tcPr>
          <w:p w14:paraId="518B45C6" w14:textId="77777777" w:rsidR="005C332D" w:rsidRDefault="005C332D">
            <w:pPr>
              <w:rPr>
                <w:rFonts w:ascii="宋体"/>
              </w:rPr>
            </w:pPr>
          </w:p>
        </w:tc>
        <w:tc>
          <w:tcPr>
            <w:tcW w:w="50" w:type="pct"/>
            <w:shd w:val="clear" w:color="auto" w:fill="auto"/>
            <w:vAlign w:val="bottom"/>
          </w:tcPr>
          <w:p w14:paraId="518B45C7" w14:textId="77777777" w:rsidR="005C332D" w:rsidRDefault="005C332D">
            <w:pPr>
              <w:rPr>
                <w:rFonts w:ascii="宋体"/>
              </w:rPr>
            </w:pPr>
          </w:p>
        </w:tc>
        <w:tc>
          <w:tcPr>
            <w:tcW w:w="503" w:type="pct"/>
            <w:shd w:val="clear" w:color="auto" w:fill="auto"/>
            <w:vAlign w:val="bottom"/>
          </w:tcPr>
          <w:p w14:paraId="518B45C8" w14:textId="77777777" w:rsidR="005C332D" w:rsidRDefault="005C332D">
            <w:pPr>
              <w:rPr>
                <w:rFonts w:ascii="宋体"/>
              </w:rPr>
            </w:pPr>
          </w:p>
        </w:tc>
        <w:tc>
          <w:tcPr>
            <w:tcW w:w="5" w:type="pct"/>
            <w:shd w:val="clear" w:color="auto" w:fill="auto"/>
            <w:vAlign w:val="bottom"/>
          </w:tcPr>
          <w:p w14:paraId="518B45C9" w14:textId="77777777" w:rsidR="005C332D" w:rsidRDefault="005C332D">
            <w:pPr>
              <w:rPr>
                <w:rFonts w:ascii="宋体"/>
              </w:rPr>
            </w:pPr>
          </w:p>
        </w:tc>
        <w:tc>
          <w:tcPr>
            <w:tcW w:w="5" w:type="pct"/>
            <w:shd w:val="clear" w:color="auto" w:fill="auto"/>
            <w:vAlign w:val="bottom"/>
          </w:tcPr>
          <w:p w14:paraId="518B45CA" w14:textId="77777777" w:rsidR="005C332D" w:rsidRDefault="005C332D">
            <w:pPr>
              <w:rPr>
                <w:rFonts w:ascii="宋体"/>
              </w:rPr>
            </w:pPr>
          </w:p>
        </w:tc>
        <w:tc>
          <w:tcPr>
            <w:tcW w:w="26" w:type="pct"/>
            <w:shd w:val="clear" w:color="auto" w:fill="auto"/>
            <w:vAlign w:val="bottom"/>
          </w:tcPr>
          <w:p w14:paraId="518B45CB" w14:textId="77777777" w:rsidR="005C332D" w:rsidRDefault="005C332D">
            <w:pPr>
              <w:rPr>
                <w:rFonts w:ascii="宋体"/>
              </w:rPr>
            </w:pPr>
          </w:p>
        </w:tc>
        <w:tc>
          <w:tcPr>
            <w:tcW w:w="5" w:type="pct"/>
            <w:shd w:val="clear" w:color="auto" w:fill="auto"/>
            <w:vAlign w:val="bottom"/>
          </w:tcPr>
          <w:p w14:paraId="518B45CC" w14:textId="77777777" w:rsidR="005C332D" w:rsidRDefault="005C332D">
            <w:pPr>
              <w:rPr>
                <w:rFonts w:ascii="宋体"/>
              </w:rPr>
            </w:pPr>
          </w:p>
        </w:tc>
        <w:tc>
          <w:tcPr>
            <w:tcW w:w="50" w:type="pct"/>
            <w:shd w:val="clear" w:color="auto" w:fill="auto"/>
            <w:vAlign w:val="bottom"/>
          </w:tcPr>
          <w:p w14:paraId="518B45CD" w14:textId="77777777" w:rsidR="005C332D" w:rsidRDefault="005C332D">
            <w:pPr>
              <w:rPr>
                <w:rFonts w:ascii="宋体"/>
              </w:rPr>
            </w:pPr>
          </w:p>
        </w:tc>
        <w:tc>
          <w:tcPr>
            <w:tcW w:w="503" w:type="pct"/>
            <w:shd w:val="clear" w:color="auto" w:fill="auto"/>
            <w:vAlign w:val="bottom"/>
          </w:tcPr>
          <w:p w14:paraId="518B45CE" w14:textId="77777777" w:rsidR="005C332D" w:rsidRDefault="005C332D">
            <w:pPr>
              <w:rPr>
                <w:rFonts w:ascii="宋体"/>
              </w:rPr>
            </w:pPr>
          </w:p>
        </w:tc>
        <w:tc>
          <w:tcPr>
            <w:tcW w:w="5" w:type="pct"/>
            <w:shd w:val="clear" w:color="auto" w:fill="auto"/>
            <w:vAlign w:val="bottom"/>
          </w:tcPr>
          <w:p w14:paraId="518B45CF" w14:textId="77777777" w:rsidR="005C332D" w:rsidRDefault="005C332D">
            <w:pPr>
              <w:rPr>
                <w:rFonts w:ascii="宋体"/>
              </w:rPr>
            </w:pPr>
          </w:p>
        </w:tc>
        <w:tc>
          <w:tcPr>
            <w:tcW w:w="5" w:type="pct"/>
            <w:shd w:val="clear" w:color="auto" w:fill="auto"/>
            <w:vAlign w:val="bottom"/>
          </w:tcPr>
          <w:p w14:paraId="518B45D0" w14:textId="77777777" w:rsidR="005C332D" w:rsidRDefault="005C332D">
            <w:pPr>
              <w:rPr>
                <w:rFonts w:ascii="宋体"/>
              </w:rPr>
            </w:pPr>
          </w:p>
        </w:tc>
        <w:tc>
          <w:tcPr>
            <w:tcW w:w="26" w:type="pct"/>
            <w:shd w:val="clear" w:color="auto" w:fill="auto"/>
            <w:vAlign w:val="bottom"/>
          </w:tcPr>
          <w:p w14:paraId="518B45D1" w14:textId="77777777" w:rsidR="005C332D" w:rsidRDefault="005C332D">
            <w:pPr>
              <w:rPr>
                <w:rFonts w:ascii="宋体"/>
              </w:rPr>
            </w:pPr>
          </w:p>
        </w:tc>
        <w:tc>
          <w:tcPr>
            <w:tcW w:w="5" w:type="pct"/>
            <w:shd w:val="clear" w:color="auto" w:fill="auto"/>
            <w:vAlign w:val="bottom"/>
          </w:tcPr>
          <w:p w14:paraId="518B45D2" w14:textId="77777777" w:rsidR="005C332D" w:rsidRDefault="005C332D">
            <w:pPr>
              <w:rPr>
                <w:rFonts w:ascii="宋体"/>
              </w:rPr>
            </w:pPr>
          </w:p>
        </w:tc>
        <w:tc>
          <w:tcPr>
            <w:tcW w:w="50" w:type="pct"/>
            <w:shd w:val="clear" w:color="auto" w:fill="auto"/>
            <w:vAlign w:val="bottom"/>
          </w:tcPr>
          <w:p w14:paraId="518B45D3" w14:textId="77777777" w:rsidR="005C332D" w:rsidRDefault="005C332D">
            <w:pPr>
              <w:rPr>
                <w:rFonts w:ascii="宋体"/>
              </w:rPr>
            </w:pPr>
          </w:p>
        </w:tc>
        <w:tc>
          <w:tcPr>
            <w:tcW w:w="503" w:type="pct"/>
            <w:shd w:val="clear" w:color="auto" w:fill="auto"/>
            <w:vAlign w:val="bottom"/>
          </w:tcPr>
          <w:p w14:paraId="518B45D4" w14:textId="77777777" w:rsidR="005C332D" w:rsidRDefault="005C332D">
            <w:pPr>
              <w:rPr>
                <w:rFonts w:ascii="宋体"/>
              </w:rPr>
            </w:pPr>
          </w:p>
        </w:tc>
        <w:tc>
          <w:tcPr>
            <w:tcW w:w="5" w:type="pct"/>
            <w:shd w:val="clear" w:color="auto" w:fill="auto"/>
            <w:vAlign w:val="bottom"/>
          </w:tcPr>
          <w:p w14:paraId="518B45D5" w14:textId="77777777" w:rsidR="005C332D" w:rsidRDefault="005C332D">
            <w:pPr>
              <w:rPr>
                <w:rFonts w:ascii="宋体"/>
              </w:rPr>
            </w:pPr>
          </w:p>
        </w:tc>
        <w:tc>
          <w:tcPr>
            <w:tcW w:w="5" w:type="pct"/>
            <w:shd w:val="clear" w:color="auto" w:fill="auto"/>
            <w:vAlign w:val="bottom"/>
          </w:tcPr>
          <w:p w14:paraId="518B45D6" w14:textId="77777777" w:rsidR="005C332D" w:rsidRDefault="005C332D">
            <w:pPr>
              <w:rPr>
                <w:rFonts w:ascii="宋体"/>
              </w:rPr>
            </w:pPr>
          </w:p>
        </w:tc>
        <w:tc>
          <w:tcPr>
            <w:tcW w:w="26" w:type="pct"/>
            <w:shd w:val="clear" w:color="auto" w:fill="auto"/>
            <w:vAlign w:val="bottom"/>
          </w:tcPr>
          <w:p w14:paraId="518B45D7" w14:textId="77777777" w:rsidR="005C332D" w:rsidRDefault="005C332D">
            <w:pPr>
              <w:rPr>
                <w:rFonts w:ascii="宋体"/>
              </w:rPr>
            </w:pPr>
          </w:p>
        </w:tc>
        <w:tc>
          <w:tcPr>
            <w:tcW w:w="5" w:type="pct"/>
            <w:shd w:val="clear" w:color="auto" w:fill="auto"/>
            <w:vAlign w:val="bottom"/>
          </w:tcPr>
          <w:p w14:paraId="518B45D8" w14:textId="77777777" w:rsidR="005C332D" w:rsidRDefault="005C332D">
            <w:pPr>
              <w:rPr>
                <w:rFonts w:ascii="宋体"/>
              </w:rPr>
            </w:pPr>
          </w:p>
        </w:tc>
        <w:tc>
          <w:tcPr>
            <w:tcW w:w="50" w:type="pct"/>
            <w:shd w:val="clear" w:color="auto" w:fill="auto"/>
            <w:vAlign w:val="bottom"/>
          </w:tcPr>
          <w:p w14:paraId="518B45D9" w14:textId="77777777" w:rsidR="005C332D" w:rsidRDefault="005C332D">
            <w:pPr>
              <w:rPr>
                <w:rFonts w:ascii="宋体"/>
              </w:rPr>
            </w:pPr>
          </w:p>
        </w:tc>
        <w:tc>
          <w:tcPr>
            <w:tcW w:w="503" w:type="pct"/>
            <w:shd w:val="clear" w:color="auto" w:fill="auto"/>
            <w:vAlign w:val="bottom"/>
          </w:tcPr>
          <w:p w14:paraId="518B45DA" w14:textId="77777777" w:rsidR="005C332D" w:rsidRDefault="005C332D">
            <w:pPr>
              <w:rPr>
                <w:rFonts w:ascii="宋体"/>
              </w:rPr>
            </w:pPr>
          </w:p>
        </w:tc>
        <w:tc>
          <w:tcPr>
            <w:tcW w:w="5" w:type="pct"/>
            <w:shd w:val="clear" w:color="auto" w:fill="auto"/>
            <w:vAlign w:val="bottom"/>
          </w:tcPr>
          <w:p w14:paraId="518B45DB" w14:textId="77777777" w:rsidR="005C332D" w:rsidRDefault="005C332D">
            <w:pPr>
              <w:rPr>
                <w:rFonts w:ascii="宋体"/>
              </w:rPr>
            </w:pPr>
          </w:p>
        </w:tc>
        <w:tc>
          <w:tcPr>
            <w:tcW w:w="5" w:type="pct"/>
            <w:shd w:val="clear" w:color="auto" w:fill="auto"/>
            <w:vAlign w:val="bottom"/>
          </w:tcPr>
          <w:p w14:paraId="518B45DC" w14:textId="77777777" w:rsidR="005C332D" w:rsidRDefault="005C332D">
            <w:pPr>
              <w:rPr>
                <w:rFonts w:ascii="宋体"/>
              </w:rPr>
            </w:pPr>
          </w:p>
        </w:tc>
        <w:tc>
          <w:tcPr>
            <w:tcW w:w="26" w:type="pct"/>
            <w:shd w:val="clear" w:color="auto" w:fill="auto"/>
            <w:vAlign w:val="bottom"/>
          </w:tcPr>
          <w:p w14:paraId="518B45DD" w14:textId="77777777" w:rsidR="005C332D" w:rsidRDefault="005C332D">
            <w:pPr>
              <w:rPr>
                <w:rFonts w:ascii="宋体"/>
              </w:rPr>
            </w:pPr>
          </w:p>
        </w:tc>
        <w:tc>
          <w:tcPr>
            <w:tcW w:w="5" w:type="pct"/>
            <w:shd w:val="clear" w:color="auto" w:fill="auto"/>
            <w:vAlign w:val="bottom"/>
          </w:tcPr>
          <w:p w14:paraId="518B45DE" w14:textId="77777777" w:rsidR="005C332D" w:rsidRDefault="005C332D">
            <w:pPr>
              <w:rPr>
                <w:rFonts w:ascii="宋体"/>
              </w:rPr>
            </w:pPr>
          </w:p>
        </w:tc>
        <w:tc>
          <w:tcPr>
            <w:tcW w:w="50" w:type="pct"/>
            <w:shd w:val="clear" w:color="auto" w:fill="auto"/>
            <w:vAlign w:val="bottom"/>
          </w:tcPr>
          <w:p w14:paraId="518B45DF" w14:textId="77777777" w:rsidR="005C332D" w:rsidRDefault="005C332D">
            <w:pPr>
              <w:rPr>
                <w:rFonts w:ascii="宋体"/>
              </w:rPr>
            </w:pPr>
          </w:p>
        </w:tc>
        <w:tc>
          <w:tcPr>
            <w:tcW w:w="503" w:type="pct"/>
            <w:shd w:val="clear" w:color="auto" w:fill="auto"/>
            <w:vAlign w:val="bottom"/>
          </w:tcPr>
          <w:p w14:paraId="518B45E0" w14:textId="77777777" w:rsidR="005C332D" w:rsidRDefault="005C332D">
            <w:pPr>
              <w:rPr>
                <w:rFonts w:ascii="宋体"/>
              </w:rPr>
            </w:pPr>
          </w:p>
        </w:tc>
        <w:tc>
          <w:tcPr>
            <w:tcW w:w="5" w:type="pct"/>
            <w:shd w:val="clear" w:color="auto" w:fill="auto"/>
            <w:vAlign w:val="bottom"/>
          </w:tcPr>
          <w:p w14:paraId="518B45E1" w14:textId="77777777" w:rsidR="005C332D" w:rsidRDefault="005C332D">
            <w:pPr>
              <w:rPr>
                <w:rFonts w:ascii="宋体"/>
              </w:rPr>
            </w:pPr>
          </w:p>
        </w:tc>
      </w:tr>
      <w:tr w:rsidR="005C332D" w14:paraId="518B45EF" w14:textId="77777777">
        <w:trPr>
          <w:jc w:val="center"/>
        </w:trPr>
        <w:tc>
          <w:tcPr>
            <w:tcW w:w="0" w:type="auto"/>
            <w:gridSpan w:val="3"/>
            <w:shd w:val="clear" w:color="auto" w:fill="auto"/>
            <w:tcMar>
              <w:top w:w="0" w:type="dxa"/>
              <w:left w:w="20" w:type="dxa"/>
              <w:bottom w:w="0" w:type="dxa"/>
              <w:right w:w="20" w:type="dxa"/>
            </w:tcMar>
            <w:vAlign w:val="bottom"/>
          </w:tcPr>
          <w:p w14:paraId="518B45E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E4" w14:textId="77777777" w:rsidR="005C332D" w:rsidRDefault="00B93EAE">
            <w:pPr>
              <w:jc w:val="center"/>
              <w:textAlignment w:val="bottom"/>
            </w:pPr>
            <w:r>
              <w:rPr>
                <w:rFonts w:ascii="Times New Roman" w:eastAsia="宋体" w:hAnsi="Times New Roman"/>
                <w:color w:val="000000"/>
                <w:sz w:val="18"/>
                <w:szCs w:val="18"/>
              </w:rPr>
              <w:t>July 2017</w:t>
            </w:r>
          </w:p>
        </w:tc>
        <w:tc>
          <w:tcPr>
            <w:tcW w:w="0" w:type="auto"/>
            <w:gridSpan w:val="3"/>
            <w:shd w:val="clear" w:color="auto" w:fill="auto"/>
            <w:tcMar>
              <w:top w:w="0" w:type="dxa"/>
              <w:left w:w="20" w:type="dxa"/>
              <w:bottom w:w="0" w:type="dxa"/>
              <w:right w:w="20" w:type="dxa"/>
            </w:tcMar>
            <w:vAlign w:val="bottom"/>
          </w:tcPr>
          <w:p w14:paraId="518B45E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E6" w14:textId="77777777" w:rsidR="005C332D" w:rsidRDefault="00B93EAE">
            <w:pPr>
              <w:jc w:val="center"/>
              <w:textAlignment w:val="bottom"/>
            </w:pPr>
            <w:r>
              <w:rPr>
                <w:rFonts w:ascii="Times New Roman" w:eastAsia="宋体" w:hAnsi="Times New Roman"/>
                <w:color w:val="000000"/>
                <w:sz w:val="18"/>
                <w:szCs w:val="18"/>
              </w:rPr>
              <w:t>July 2018</w:t>
            </w:r>
          </w:p>
        </w:tc>
        <w:tc>
          <w:tcPr>
            <w:tcW w:w="0" w:type="auto"/>
            <w:gridSpan w:val="3"/>
            <w:shd w:val="clear" w:color="auto" w:fill="auto"/>
            <w:tcMar>
              <w:top w:w="0" w:type="dxa"/>
              <w:left w:w="20" w:type="dxa"/>
              <w:bottom w:w="0" w:type="dxa"/>
              <w:right w:w="20" w:type="dxa"/>
            </w:tcMar>
            <w:vAlign w:val="bottom"/>
          </w:tcPr>
          <w:p w14:paraId="518B45E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E8" w14:textId="77777777" w:rsidR="005C332D" w:rsidRDefault="00B93EAE">
            <w:pPr>
              <w:jc w:val="center"/>
              <w:textAlignment w:val="bottom"/>
            </w:pPr>
            <w:r>
              <w:rPr>
                <w:rFonts w:ascii="Times New Roman" w:eastAsia="宋体" w:hAnsi="Times New Roman"/>
                <w:color w:val="000000"/>
                <w:sz w:val="18"/>
                <w:szCs w:val="18"/>
              </w:rPr>
              <w:t>July 2019</w:t>
            </w:r>
          </w:p>
        </w:tc>
        <w:tc>
          <w:tcPr>
            <w:tcW w:w="0" w:type="auto"/>
            <w:gridSpan w:val="3"/>
            <w:shd w:val="clear" w:color="auto" w:fill="auto"/>
            <w:tcMar>
              <w:top w:w="0" w:type="dxa"/>
              <w:left w:w="20" w:type="dxa"/>
              <w:bottom w:w="0" w:type="dxa"/>
              <w:right w:w="20" w:type="dxa"/>
            </w:tcMar>
            <w:vAlign w:val="bottom"/>
          </w:tcPr>
          <w:p w14:paraId="518B45E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EA" w14:textId="77777777" w:rsidR="005C332D" w:rsidRDefault="00B93EAE">
            <w:pPr>
              <w:jc w:val="center"/>
              <w:textAlignment w:val="bottom"/>
            </w:pPr>
            <w:r>
              <w:rPr>
                <w:rFonts w:ascii="Times New Roman" w:eastAsia="宋体" w:hAnsi="Times New Roman"/>
                <w:color w:val="000000"/>
                <w:sz w:val="18"/>
                <w:szCs w:val="18"/>
              </w:rPr>
              <w:t>July 2020</w:t>
            </w:r>
          </w:p>
        </w:tc>
        <w:tc>
          <w:tcPr>
            <w:tcW w:w="0" w:type="auto"/>
            <w:gridSpan w:val="3"/>
            <w:shd w:val="clear" w:color="auto" w:fill="auto"/>
            <w:tcMar>
              <w:top w:w="0" w:type="dxa"/>
              <w:left w:w="20" w:type="dxa"/>
              <w:bottom w:w="0" w:type="dxa"/>
              <w:right w:w="20" w:type="dxa"/>
            </w:tcMar>
            <w:vAlign w:val="bottom"/>
          </w:tcPr>
          <w:p w14:paraId="518B45E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EC" w14:textId="77777777" w:rsidR="005C332D" w:rsidRDefault="00B93EAE">
            <w:pPr>
              <w:jc w:val="center"/>
              <w:textAlignment w:val="bottom"/>
            </w:pPr>
            <w:r>
              <w:rPr>
                <w:rFonts w:ascii="Times New Roman" w:eastAsia="宋体" w:hAnsi="Times New Roman"/>
                <w:color w:val="000000"/>
                <w:sz w:val="18"/>
                <w:szCs w:val="18"/>
              </w:rPr>
              <w:t>July 2021</w:t>
            </w:r>
          </w:p>
        </w:tc>
        <w:tc>
          <w:tcPr>
            <w:tcW w:w="0" w:type="auto"/>
            <w:gridSpan w:val="3"/>
            <w:shd w:val="clear" w:color="auto" w:fill="auto"/>
            <w:tcMar>
              <w:top w:w="0" w:type="dxa"/>
              <w:left w:w="20" w:type="dxa"/>
              <w:bottom w:w="0" w:type="dxa"/>
              <w:right w:w="20" w:type="dxa"/>
            </w:tcMar>
            <w:vAlign w:val="bottom"/>
          </w:tcPr>
          <w:p w14:paraId="518B45E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5EE" w14:textId="77777777" w:rsidR="005C332D" w:rsidRDefault="00B93EAE">
            <w:pPr>
              <w:jc w:val="center"/>
              <w:textAlignment w:val="bottom"/>
            </w:pPr>
            <w:r>
              <w:rPr>
                <w:rFonts w:ascii="Times New Roman" w:eastAsia="宋体" w:hAnsi="Times New Roman"/>
                <w:color w:val="000000"/>
                <w:sz w:val="18"/>
                <w:szCs w:val="18"/>
              </w:rPr>
              <w:t>July 2022</w:t>
            </w:r>
          </w:p>
        </w:tc>
      </w:tr>
      <w:tr w:rsidR="005C332D" w14:paraId="518B4608" w14:textId="77777777">
        <w:trPr>
          <w:jc w:val="center"/>
        </w:trPr>
        <w:tc>
          <w:tcPr>
            <w:tcW w:w="0" w:type="auto"/>
            <w:gridSpan w:val="3"/>
            <w:shd w:val="clear" w:color="auto" w:fill="CCEEFF"/>
            <w:tcMar>
              <w:top w:w="40" w:type="dxa"/>
              <w:left w:w="20" w:type="dxa"/>
              <w:bottom w:w="40" w:type="dxa"/>
              <w:right w:w="20" w:type="dxa"/>
            </w:tcMar>
          </w:tcPr>
          <w:p w14:paraId="518B45F0" w14:textId="77777777" w:rsidR="005C332D" w:rsidRDefault="00B93EAE">
            <w:pPr>
              <w:textAlignment w:val="top"/>
            </w:pPr>
            <w:r>
              <w:rPr>
                <w:rFonts w:ascii="Times New Roman" w:eastAsia="宋体" w:hAnsi="Times New Roman"/>
                <w:color w:val="000000"/>
                <w:sz w:val="20"/>
                <w:szCs w:val="20"/>
              </w:rPr>
              <w:t>Cisco Systems, Inc.</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45F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5F2" w14:textId="77777777" w:rsidR="005C332D" w:rsidRDefault="00B93EAE">
            <w:pPr>
              <w:jc w:val="right"/>
              <w:textAlignment w:val="bottom"/>
            </w:pPr>
            <w:r>
              <w:rPr>
                <w:rFonts w:ascii="Times New Roman" w:eastAsia="宋体" w:hAnsi="Times New Roman"/>
                <w:color w:val="000000"/>
                <w:sz w:val="20"/>
                <w:szCs w:val="20"/>
              </w:rPr>
              <w:t>100.00 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5F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5F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5F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5F6" w14:textId="77777777" w:rsidR="005C332D" w:rsidRDefault="00B93EAE">
            <w:pPr>
              <w:jc w:val="right"/>
              <w:textAlignment w:val="bottom"/>
            </w:pPr>
            <w:r>
              <w:rPr>
                <w:rFonts w:ascii="Times New Roman" w:eastAsia="宋体" w:hAnsi="Times New Roman"/>
                <w:color w:val="000000"/>
                <w:sz w:val="20"/>
                <w:szCs w:val="20"/>
              </w:rPr>
              <w:t>139.41 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5F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5F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5F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5FA" w14:textId="77777777" w:rsidR="005C332D" w:rsidRDefault="00B93EAE">
            <w:pPr>
              <w:jc w:val="right"/>
              <w:textAlignment w:val="bottom"/>
            </w:pPr>
            <w:r>
              <w:rPr>
                <w:rFonts w:ascii="Times New Roman" w:eastAsia="宋体" w:hAnsi="Times New Roman"/>
                <w:color w:val="000000"/>
                <w:sz w:val="20"/>
                <w:szCs w:val="20"/>
              </w:rPr>
              <w:t>190.26 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5F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5F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5F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5FE" w14:textId="77777777" w:rsidR="005C332D" w:rsidRDefault="00B93EAE">
            <w:pPr>
              <w:jc w:val="right"/>
              <w:textAlignment w:val="bottom"/>
            </w:pPr>
            <w:r>
              <w:rPr>
                <w:rFonts w:ascii="Times New Roman" w:eastAsia="宋体" w:hAnsi="Times New Roman"/>
                <w:color w:val="000000"/>
                <w:sz w:val="20"/>
                <w:szCs w:val="20"/>
              </w:rPr>
              <w:t>161.16 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5F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00"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60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602" w14:textId="77777777" w:rsidR="005C332D" w:rsidRDefault="00B93EAE">
            <w:pPr>
              <w:jc w:val="right"/>
              <w:textAlignment w:val="bottom"/>
            </w:pPr>
            <w:r>
              <w:rPr>
                <w:rFonts w:ascii="Times New Roman" w:eastAsia="宋体" w:hAnsi="Times New Roman"/>
                <w:color w:val="000000"/>
                <w:sz w:val="20"/>
                <w:szCs w:val="20"/>
              </w:rPr>
              <w:t>198.43 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60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0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60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606" w14:textId="77777777" w:rsidR="005C332D" w:rsidRDefault="00B93EAE">
            <w:pPr>
              <w:jc w:val="right"/>
              <w:textAlignment w:val="bottom"/>
            </w:pPr>
            <w:r>
              <w:rPr>
                <w:rFonts w:ascii="Times New Roman" w:eastAsia="宋体" w:hAnsi="Times New Roman"/>
                <w:color w:val="000000"/>
                <w:sz w:val="20"/>
                <w:szCs w:val="20"/>
              </w:rPr>
              <w:t>167.33 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607" w14:textId="77777777" w:rsidR="005C332D" w:rsidRDefault="005C332D">
            <w:pPr>
              <w:jc w:val="right"/>
              <w:rPr>
                <w:rFonts w:ascii="宋体"/>
              </w:rPr>
            </w:pPr>
          </w:p>
        </w:tc>
      </w:tr>
      <w:tr w:rsidR="005C332D" w14:paraId="518B4621" w14:textId="77777777">
        <w:trPr>
          <w:jc w:val="center"/>
        </w:trPr>
        <w:tc>
          <w:tcPr>
            <w:tcW w:w="0" w:type="auto"/>
            <w:gridSpan w:val="3"/>
            <w:shd w:val="clear" w:color="auto" w:fill="FFFFFF"/>
            <w:tcMar>
              <w:top w:w="40" w:type="dxa"/>
              <w:left w:w="20" w:type="dxa"/>
              <w:bottom w:w="40" w:type="dxa"/>
              <w:right w:w="20" w:type="dxa"/>
            </w:tcMar>
          </w:tcPr>
          <w:p w14:paraId="518B4609" w14:textId="77777777" w:rsidR="005C332D" w:rsidRDefault="00B93EAE">
            <w:pPr>
              <w:textAlignment w:val="top"/>
            </w:pPr>
            <w:r>
              <w:rPr>
                <w:rFonts w:ascii="Times New Roman" w:eastAsia="宋体" w:hAnsi="Times New Roman"/>
                <w:color w:val="000000"/>
                <w:sz w:val="20"/>
                <w:szCs w:val="20"/>
              </w:rPr>
              <w:t>S&amp;P 500</w:t>
            </w:r>
          </w:p>
        </w:tc>
        <w:tc>
          <w:tcPr>
            <w:tcW w:w="0" w:type="auto"/>
            <w:shd w:val="clear" w:color="auto" w:fill="FFFFFF"/>
            <w:tcMar>
              <w:top w:w="40" w:type="dxa"/>
              <w:left w:w="20" w:type="dxa"/>
              <w:bottom w:w="40" w:type="dxa"/>
              <w:right w:w="0" w:type="dxa"/>
            </w:tcMar>
            <w:vAlign w:val="bottom"/>
          </w:tcPr>
          <w:p w14:paraId="518B460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60B" w14:textId="77777777" w:rsidR="005C332D" w:rsidRDefault="00B93EAE">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518B460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60D"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60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60F" w14:textId="77777777" w:rsidR="005C332D" w:rsidRDefault="00B93EAE">
            <w:pPr>
              <w:jc w:val="right"/>
              <w:textAlignment w:val="bottom"/>
            </w:pPr>
            <w:r>
              <w:rPr>
                <w:rFonts w:ascii="Times New Roman" w:eastAsia="宋体" w:hAnsi="Times New Roman"/>
                <w:color w:val="000000"/>
                <w:sz w:val="20"/>
                <w:szCs w:val="20"/>
              </w:rPr>
              <w:t>116.25 </w:t>
            </w:r>
          </w:p>
        </w:tc>
        <w:tc>
          <w:tcPr>
            <w:tcW w:w="0" w:type="auto"/>
            <w:shd w:val="clear" w:color="auto" w:fill="FFFFFF"/>
            <w:tcMar>
              <w:top w:w="40" w:type="dxa"/>
              <w:left w:w="0" w:type="dxa"/>
              <w:bottom w:w="40" w:type="dxa"/>
              <w:right w:w="20" w:type="dxa"/>
            </w:tcMar>
            <w:vAlign w:val="bottom"/>
          </w:tcPr>
          <w:p w14:paraId="518B461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611"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61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613" w14:textId="77777777" w:rsidR="005C332D" w:rsidRDefault="00B93EAE">
            <w:pPr>
              <w:jc w:val="right"/>
              <w:textAlignment w:val="bottom"/>
            </w:pPr>
            <w:r>
              <w:rPr>
                <w:rFonts w:ascii="Times New Roman" w:eastAsia="宋体" w:hAnsi="Times New Roman"/>
                <w:color w:val="000000"/>
                <w:sz w:val="20"/>
                <w:szCs w:val="20"/>
              </w:rPr>
              <w:t>127.33 </w:t>
            </w:r>
          </w:p>
        </w:tc>
        <w:tc>
          <w:tcPr>
            <w:tcW w:w="0" w:type="auto"/>
            <w:shd w:val="clear" w:color="auto" w:fill="FFFFFF"/>
            <w:tcMar>
              <w:top w:w="40" w:type="dxa"/>
              <w:left w:w="0" w:type="dxa"/>
              <w:bottom w:w="40" w:type="dxa"/>
              <w:right w:w="20" w:type="dxa"/>
            </w:tcMar>
            <w:vAlign w:val="bottom"/>
          </w:tcPr>
          <w:p w14:paraId="518B461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615"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61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617" w14:textId="77777777" w:rsidR="005C332D" w:rsidRDefault="00B93EAE">
            <w:pPr>
              <w:jc w:val="right"/>
              <w:textAlignment w:val="bottom"/>
            </w:pPr>
            <w:r>
              <w:rPr>
                <w:rFonts w:ascii="Times New Roman" w:eastAsia="宋体" w:hAnsi="Times New Roman"/>
                <w:color w:val="000000"/>
                <w:sz w:val="20"/>
                <w:szCs w:val="20"/>
              </w:rPr>
              <w:t>138.01 </w:t>
            </w:r>
          </w:p>
        </w:tc>
        <w:tc>
          <w:tcPr>
            <w:tcW w:w="0" w:type="auto"/>
            <w:shd w:val="clear" w:color="auto" w:fill="FFFFFF"/>
            <w:tcMar>
              <w:top w:w="40" w:type="dxa"/>
              <w:left w:w="0" w:type="dxa"/>
              <w:bottom w:w="40" w:type="dxa"/>
              <w:right w:w="20" w:type="dxa"/>
            </w:tcMar>
            <w:vAlign w:val="bottom"/>
          </w:tcPr>
          <w:p w14:paraId="518B461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619"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61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61B" w14:textId="77777777" w:rsidR="005C332D" w:rsidRDefault="00B93EAE">
            <w:pPr>
              <w:jc w:val="right"/>
              <w:textAlignment w:val="bottom"/>
            </w:pPr>
            <w:r>
              <w:rPr>
                <w:rFonts w:ascii="Times New Roman" w:eastAsia="宋体" w:hAnsi="Times New Roman"/>
                <w:color w:val="000000"/>
                <w:sz w:val="20"/>
                <w:szCs w:val="20"/>
              </w:rPr>
              <w:t>191.61 </w:t>
            </w:r>
          </w:p>
        </w:tc>
        <w:tc>
          <w:tcPr>
            <w:tcW w:w="0" w:type="auto"/>
            <w:shd w:val="clear" w:color="auto" w:fill="FFFFFF"/>
            <w:tcMar>
              <w:top w:w="40" w:type="dxa"/>
              <w:left w:w="0" w:type="dxa"/>
              <w:bottom w:w="40" w:type="dxa"/>
              <w:right w:w="20" w:type="dxa"/>
            </w:tcMar>
            <w:vAlign w:val="bottom"/>
          </w:tcPr>
          <w:p w14:paraId="518B461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61D"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61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61F" w14:textId="77777777" w:rsidR="005C332D" w:rsidRDefault="00B93EAE">
            <w:pPr>
              <w:jc w:val="right"/>
              <w:textAlignment w:val="bottom"/>
            </w:pPr>
            <w:r>
              <w:rPr>
                <w:rFonts w:ascii="Times New Roman" w:eastAsia="宋体" w:hAnsi="Times New Roman"/>
                <w:color w:val="000000"/>
                <w:sz w:val="20"/>
                <w:szCs w:val="20"/>
              </w:rPr>
              <w:t>182.72 </w:t>
            </w:r>
          </w:p>
        </w:tc>
        <w:tc>
          <w:tcPr>
            <w:tcW w:w="0" w:type="auto"/>
            <w:shd w:val="clear" w:color="auto" w:fill="FFFFFF"/>
            <w:tcMar>
              <w:top w:w="40" w:type="dxa"/>
              <w:left w:w="0" w:type="dxa"/>
              <w:bottom w:w="40" w:type="dxa"/>
              <w:right w:w="20" w:type="dxa"/>
            </w:tcMar>
            <w:vAlign w:val="bottom"/>
          </w:tcPr>
          <w:p w14:paraId="518B4620" w14:textId="77777777" w:rsidR="005C332D" w:rsidRDefault="005C332D">
            <w:pPr>
              <w:jc w:val="right"/>
              <w:rPr>
                <w:rFonts w:ascii="宋体"/>
              </w:rPr>
            </w:pPr>
          </w:p>
        </w:tc>
      </w:tr>
      <w:tr w:rsidR="005C332D" w14:paraId="518B463A" w14:textId="77777777">
        <w:trPr>
          <w:jc w:val="center"/>
        </w:trPr>
        <w:tc>
          <w:tcPr>
            <w:tcW w:w="0" w:type="auto"/>
            <w:gridSpan w:val="3"/>
            <w:shd w:val="clear" w:color="auto" w:fill="CCEEFF"/>
            <w:tcMar>
              <w:top w:w="40" w:type="dxa"/>
              <w:left w:w="20" w:type="dxa"/>
              <w:bottom w:w="40" w:type="dxa"/>
              <w:right w:w="20" w:type="dxa"/>
            </w:tcMar>
          </w:tcPr>
          <w:p w14:paraId="518B4622" w14:textId="77777777" w:rsidR="005C332D" w:rsidRDefault="00B93EAE">
            <w:pPr>
              <w:textAlignment w:val="top"/>
            </w:pPr>
            <w:r>
              <w:rPr>
                <w:rFonts w:ascii="Times New Roman" w:eastAsia="宋体" w:hAnsi="Times New Roman"/>
                <w:color w:val="000000"/>
                <w:sz w:val="20"/>
                <w:szCs w:val="20"/>
              </w:rPr>
              <w:t>S&amp;P Infor</w:t>
            </w:r>
            <w:r>
              <w:rPr>
                <w:rFonts w:ascii="Times New Roman" w:eastAsia="宋体" w:hAnsi="Times New Roman"/>
                <w:color w:val="000000"/>
                <w:sz w:val="20"/>
                <w:szCs w:val="20"/>
              </w:rPr>
              <w:t>mation Technology</w:t>
            </w:r>
          </w:p>
        </w:tc>
        <w:tc>
          <w:tcPr>
            <w:tcW w:w="0" w:type="auto"/>
            <w:shd w:val="clear" w:color="auto" w:fill="CCEEFF"/>
            <w:tcMar>
              <w:top w:w="40" w:type="dxa"/>
              <w:left w:w="20" w:type="dxa"/>
              <w:bottom w:w="40" w:type="dxa"/>
              <w:right w:w="0" w:type="dxa"/>
            </w:tcMar>
            <w:vAlign w:val="bottom"/>
          </w:tcPr>
          <w:p w14:paraId="518B4623"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624" w14:textId="77777777" w:rsidR="005C332D" w:rsidRDefault="00B93EAE">
            <w:pPr>
              <w:jc w:val="right"/>
              <w:textAlignment w:val="bottom"/>
            </w:pPr>
            <w:r>
              <w:rPr>
                <w:rFonts w:ascii="Times New Roman" w:eastAsia="宋体" w:hAnsi="Times New Roman"/>
                <w:color w:val="000000"/>
                <w:sz w:val="20"/>
                <w:szCs w:val="20"/>
              </w:rPr>
              <w:t>100.00 </w:t>
            </w:r>
          </w:p>
        </w:tc>
        <w:tc>
          <w:tcPr>
            <w:tcW w:w="0" w:type="auto"/>
            <w:shd w:val="clear" w:color="auto" w:fill="CCEEFF"/>
            <w:tcMar>
              <w:top w:w="40" w:type="dxa"/>
              <w:left w:w="0" w:type="dxa"/>
              <w:bottom w:w="40" w:type="dxa"/>
              <w:right w:w="20" w:type="dxa"/>
            </w:tcMar>
            <w:vAlign w:val="bottom"/>
          </w:tcPr>
          <w:p w14:paraId="518B462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2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62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628" w14:textId="77777777" w:rsidR="005C332D" w:rsidRDefault="00B93EAE">
            <w:pPr>
              <w:jc w:val="right"/>
              <w:textAlignment w:val="bottom"/>
            </w:pPr>
            <w:r>
              <w:rPr>
                <w:rFonts w:ascii="Times New Roman" w:eastAsia="宋体" w:hAnsi="Times New Roman"/>
                <w:color w:val="000000"/>
                <w:sz w:val="20"/>
                <w:szCs w:val="20"/>
              </w:rPr>
              <w:t>129.71 </w:t>
            </w:r>
          </w:p>
        </w:tc>
        <w:tc>
          <w:tcPr>
            <w:tcW w:w="0" w:type="auto"/>
            <w:shd w:val="clear" w:color="auto" w:fill="CCEEFF"/>
            <w:tcMar>
              <w:top w:w="40" w:type="dxa"/>
              <w:left w:w="0" w:type="dxa"/>
              <w:bottom w:w="40" w:type="dxa"/>
              <w:right w:w="20" w:type="dxa"/>
            </w:tcMar>
            <w:vAlign w:val="bottom"/>
          </w:tcPr>
          <w:p w14:paraId="518B462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2A"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62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62C" w14:textId="77777777" w:rsidR="005C332D" w:rsidRDefault="00B93EAE">
            <w:pPr>
              <w:jc w:val="right"/>
              <w:textAlignment w:val="bottom"/>
            </w:pPr>
            <w:r>
              <w:rPr>
                <w:rFonts w:ascii="Times New Roman" w:eastAsia="宋体" w:hAnsi="Times New Roman"/>
                <w:color w:val="000000"/>
                <w:sz w:val="20"/>
                <w:szCs w:val="20"/>
              </w:rPr>
              <w:t>151.19 </w:t>
            </w:r>
          </w:p>
        </w:tc>
        <w:tc>
          <w:tcPr>
            <w:tcW w:w="0" w:type="auto"/>
            <w:shd w:val="clear" w:color="auto" w:fill="CCEEFF"/>
            <w:tcMar>
              <w:top w:w="40" w:type="dxa"/>
              <w:left w:w="0" w:type="dxa"/>
              <w:bottom w:w="40" w:type="dxa"/>
              <w:right w:w="20" w:type="dxa"/>
            </w:tcMar>
            <w:vAlign w:val="bottom"/>
          </w:tcPr>
          <w:p w14:paraId="518B462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2E"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62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630" w14:textId="77777777" w:rsidR="005C332D" w:rsidRDefault="00B93EAE">
            <w:pPr>
              <w:jc w:val="right"/>
              <w:textAlignment w:val="bottom"/>
            </w:pPr>
            <w:r>
              <w:rPr>
                <w:rFonts w:ascii="Times New Roman" w:eastAsia="宋体" w:hAnsi="Times New Roman"/>
                <w:color w:val="000000"/>
                <w:sz w:val="20"/>
                <w:szCs w:val="20"/>
              </w:rPr>
              <w:t>195.65 </w:t>
            </w:r>
          </w:p>
        </w:tc>
        <w:tc>
          <w:tcPr>
            <w:tcW w:w="0" w:type="auto"/>
            <w:shd w:val="clear" w:color="auto" w:fill="CCEEFF"/>
            <w:tcMar>
              <w:top w:w="40" w:type="dxa"/>
              <w:left w:w="0" w:type="dxa"/>
              <w:bottom w:w="40" w:type="dxa"/>
              <w:right w:w="20" w:type="dxa"/>
            </w:tcMar>
            <w:vAlign w:val="bottom"/>
          </w:tcPr>
          <w:p w14:paraId="518B463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32"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633"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634" w14:textId="77777777" w:rsidR="005C332D" w:rsidRDefault="00B93EAE">
            <w:pPr>
              <w:jc w:val="right"/>
              <w:textAlignment w:val="bottom"/>
            </w:pPr>
            <w:r>
              <w:rPr>
                <w:rFonts w:ascii="Times New Roman" w:eastAsia="宋体" w:hAnsi="Times New Roman"/>
                <w:color w:val="000000"/>
                <w:sz w:val="20"/>
                <w:szCs w:val="20"/>
              </w:rPr>
              <w:t>287.65 </w:t>
            </w:r>
          </w:p>
        </w:tc>
        <w:tc>
          <w:tcPr>
            <w:tcW w:w="0" w:type="auto"/>
            <w:shd w:val="clear" w:color="auto" w:fill="CCEEFF"/>
            <w:tcMar>
              <w:top w:w="40" w:type="dxa"/>
              <w:left w:w="0" w:type="dxa"/>
              <w:bottom w:w="40" w:type="dxa"/>
              <w:right w:w="20" w:type="dxa"/>
            </w:tcMar>
            <w:vAlign w:val="bottom"/>
          </w:tcPr>
          <w:p w14:paraId="518B463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3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63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638" w14:textId="77777777" w:rsidR="005C332D" w:rsidRDefault="00B93EAE">
            <w:pPr>
              <w:jc w:val="right"/>
              <w:textAlignment w:val="bottom"/>
            </w:pPr>
            <w:r>
              <w:rPr>
                <w:rFonts w:ascii="Times New Roman" w:eastAsia="宋体" w:hAnsi="Times New Roman"/>
                <w:color w:val="000000"/>
                <w:sz w:val="20"/>
                <w:szCs w:val="20"/>
              </w:rPr>
              <w:t>271.80 </w:t>
            </w:r>
          </w:p>
        </w:tc>
        <w:tc>
          <w:tcPr>
            <w:tcW w:w="0" w:type="auto"/>
            <w:shd w:val="clear" w:color="auto" w:fill="CCEEFF"/>
            <w:tcMar>
              <w:top w:w="40" w:type="dxa"/>
              <w:left w:w="0" w:type="dxa"/>
              <w:bottom w:w="40" w:type="dxa"/>
              <w:right w:w="20" w:type="dxa"/>
            </w:tcMar>
            <w:vAlign w:val="bottom"/>
          </w:tcPr>
          <w:p w14:paraId="518B4639" w14:textId="77777777" w:rsidR="005C332D" w:rsidRDefault="005C332D">
            <w:pPr>
              <w:jc w:val="right"/>
              <w:rPr>
                <w:rFonts w:ascii="宋体"/>
              </w:rPr>
            </w:pPr>
          </w:p>
        </w:tc>
      </w:tr>
    </w:tbl>
    <w:p w14:paraId="518B463B" w14:textId="77777777" w:rsidR="005C332D" w:rsidRDefault="005C332D"/>
    <w:p w14:paraId="518B463C" w14:textId="77777777" w:rsidR="005C332D" w:rsidRDefault="005C332D"/>
    <w:tbl>
      <w:tblPr>
        <w:tblW w:w="1959" w:type="pct"/>
        <w:tblCellMar>
          <w:top w:w="15" w:type="dxa"/>
          <w:left w:w="15" w:type="dxa"/>
          <w:bottom w:w="15" w:type="dxa"/>
          <w:right w:w="15" w:type="dxa"/>
        </w:tblCellMar>
        <w:tblLook w:val="04A0" w:firstRow="1" w:lastRow="0" w:firstColumn="1" w:lastColumn="0" w:noHBand="0" w:noVBand="1"/>
      </w:tblPr>
      <w:tblGrid>
        <w:gridCol w:w="37"/>
        <w:gridCol w:w="902"/>
        <w:gridCol w:w="36"/>
        <w:gridCol w:w="37"/>
        <w:gridCol w:w="2218"/>
        <w:gridCol w:w="36"/>
      </w:tblGrid>
      <w:tr w:rsidR="005C332D" w14:paraId="518B4643" w14:textId="77777777">
        <w:tc>
          <w:tcPr>
            <w:tcW w:w="50" w:type="pct"/>
            <w:shd w:val="clear" w:color="auto" w:fill="auto"/>
            <w:vAlign w:val="bottom"/>
          </w:tcPr>
          <w:p w14:paraId="518B463D" w14:textId="77777777" w:rsidR="005C332D" w:rsidRDefault="005C332D">
            <w:pPr>
              <w:rPr>
                <w:rFonts w:ascii="宋体"/>
              </w:rPr>
            </w:pPr>
          </w:p>
        </w:tc>
        <w:tc>
          <w:tcPr>
            <w:tcW w:w="1437" w:type="pct"/>
            <w:shd w:val="clear" w:color="auto" w:fill="auto"/>
            <w:vAlign w:val="bottom"/>
          </w:tcPr>
          <w:p w14:paraId="518B463E" w14:textId="77777777" w:rsidR="005C332D" w:rsidRDefault="005C332D">
            <w:pPr>
              <w:rPr>
                <w:rFonts w:ascii="宋体"/>
              </w:rPr>
            </w:pPr>
          </w:p>
        </w:tc>
        <w:tc>
          <w:tcPr>
            <w:tcW w:w="5" w:type="pct"/>
            <w:shd w:val="clear" w:color="auto" w:fill="auto"/>
            <w:vAlign w:val="bottom"/>
          </w:tcPr>
          <w:p w14:paraId="518B463F" w14:textId="77777777" w:rsidR="005C332D" w:rsidRDefault="005C332D">
            <w:pPr>
              <w:rPr>
                <w:rFonts w:ascii="宋体"/>
              </w:rPr>
            </w:pPr>
          </w:p>
        </w:tc>
        <w:tc>
          <w:tcPr>
            <w:tcW w:w="50" w:type="pct"/>
            <w:shd w:val="clear" w:color="auto" w:fill="auto"/>
            <w:vAlign w:val="bottom"/>
          </w:tcPr>
          <w:p w14:paraId="518B4640" w14:textId="77777777" w:rsidR="005C332D" w:rsidRDefault="005C332D">
            <w:pPr>
              <w:rPr>
                <w:rFonts w:ascii="宋体"/>
              </w:rPr>
            </w:pPr>
          </w:p>
        </w:tc>
        <w:tc>
          <w:tcPr>
            <w:tcW w:w="3452" w:type="pct"/>
            <w:shd w:val="clear" w:color="auto" w:fill="auto"/>
            <w:vAlign w:val="bottom"/>
          </w:tcPr>
          <w:p w14:paraId="518B4641" w14:textId="77777777" w:rsidR="005C332D" w:rsidRDefault="005C332D">
            <w:pPr>
              <w:rPr>
                <w:rFonts w:ascii="宋体"/>
              </w:rPr>
            </w:pPr>
          </w:p>
        </w:tc>
        <w:tc>
          <w:tcPr>
            <w:tcW w:w="5" w:type="pct"/>
            <w:shd w:val="clear" w:color="auto" w:fill="auto"/>
            <w:vAlign w:val="bottom"/>
          </w:tcPr>
          <w:p w14:paraId="518B4642" w14:textId="77777777" w:rsidR="005C332D" w:rsidRDefault="005C332D">
            <w:pPr>
              <w:rPr>
                <w:rFonts w:ascii="宋体"/>
              </w:rPr>
            </w:pPr>
          </w:p>
        </w:tc>
      </w:tr>
      <w:tr w:rsidR="005C332D" w14:paraId="518B4646" w14:textId="77777777">
        <w:tc>
          <w:tcPr>
            <w:tcW w:w="0" w:type="auto"/>
            <w:gridSpan w:val="3"/>
            <w:shd w:val="clear" w:color="auto" w:fill="auto"/>
            <w:tcMar>
              <w:top w:w="40" w:type="dxa"/>
              <w:left w:w="20" w:type="dxa"/>
              <w:bottom w:w="40" w:type="dxa"/>
              <w:right w:w="20" w:type="dxa"/>
            </w:tcMar>
          </w:tcPr>
          <w:p w14:paraId="518B4644" w14:textId="77777777" w:rsidR="005C332D" w:rsidRDefault="00B93EAE">
            <w:pPr>
              <w:textAlignment w:val="top"/>
            </w:pPr>
            <w:r>
              <w:rPr>
                <w:rFonts w:ascii="Times New Roman" w:eastAsia="宋体" w:hAnsi="Times New Roman"/>
                <w:b/>
                <w:bCs/>
                <w:color w:val="000000"/>
                <w:sz w:val="20"/>
                <w:szCs w:val="20"/>
              </w:rPr>
              <w:t>Item 6.</w:t>
            </w:r>
          </w:p>
        </w:tc>
        <w:tc>
          <w:tcPr>
            <w:tcW w:w="0" w:type="auto"/>
            <w:gridSpan w:val="3"/>
            <w:shd w:val="clear" w:color="auto" w:fill="auto"/>
            <w:tcMar>
              <w:top w:w="40" w:type="dxa"/>
              <w:left w:w="20" w:type="dxa"/>
              <w:bottom w:w="40" w:type="dxa"/>
              <w:right w:w="20" w:type="dxa"/>
            </w:tcMar>
          </w:tcPr>
          <w:p w14:paraId="518B4645" w14:textId="77777777" w:rsidR="005C332D" w:rsidRDefault="00B93EAE">
            <w:pPr>
              <w:textAlignment w:val="top"/>
            </w:pPr>
            <w:r>
              <w:rPr>
                <w:rFonts w:ascii="Times New Roman" w:eastAsia="宋体" w:hAnsi="Times New Roman"/>
                <w:b/>
                <w:bCs/>
                <w:color w:val="000000"/>
                <w:sz w:val="20"/>
                <w:szCs w:val="20"/>
              </w:rPr>
              <w:t>[Reserved]</w:t>
            </w:r>
          </w:p>
        </w:tc>
      </w:tr>
    </w:tbl>
    <w:p w14:paraId="518B4647" w14:textId="77777777" w:rsidR="005C332D" w:rsidRDefault="005C332D">
      <w:pPr>
        <w:spacing w:before="120"/>
      </w:pPr>
    </w:p>
    <w:p w14:paraId="518B4648" w14:textId="77777777" w:rsidR="005C332D" w:rsidRDefault="005C332D">
      <w:pPr>
        <w:spacing w:before="120"/>
        <w:ind w:hanging="630"/>
      </w:pPr>
    </w:p>
    <w:p w14:paraId="518B4649" w14:textId="77777777" w:rsidR="005C332D" w:rsidRDefault="005C332D"/>
    <w:p w14:paraId="518B464A" w14:textId="77777777" w:rsidR="005C332D" w:rsidRDefault="00B93EAE">
      <w:pPr>
        <w:jc w:val="center"/>
      </w:pPr>
      <w:r>
        <w:rPr>
          <w:rFonts w:ascii="Times New Roman" w:eastAsia="宋体" w:hAnsi="Times New Roman"/>
          <w:color w:val="000000"/>
          <w:sz w:val="20"/>
          <w:szCs w:val="20"/>
        </w:rPr>
        <w:t>31</w:t>
      </w:r>
    </w:p>
    <w:p w14:paraId="518B464B" w14:textId="77777777" w:rsidR="005C332D" w:rsidRDefault="00B93EAE">
      <w:r>
        <w:pict w14:anchorId="518B8734">
          <v:rect id="_x0000_i1057" style="width:415.3pt;height:1.5pt" o:hralign="center" o:hrstd="t" o:hr="t" fillcolor="#a0a0a0" stroked="f"/>
        </w:pict>
      </w:r>
    </w:p>
    <w:p w14:paraId="518B464C" w14:textId="77777777" w:rsidR="005C332D" w:rsidRDefault="00B93EAE">
      <w:hyperlink r:id="rId85" w:anchor="i049852cab38845aabd2a79d07dacda86_7" w:history="1">
        <w:r>
          <w:rPr>
            <w:rStyle w:val="a5"/>
            <w:rFonts w:ascii="Times New Roman" w:eastAsia="宋体" w:hAnsi="Times New Roman"/>
            <w:sz w:val="20"/>
            <w:szCs w:val="20"/>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69"/>
        <w:gridCol w:w="868"/>
        <w:gridCol w:w="36"/>
        <w:gridCol w:w="69"/>
        <w:gridCol w:w="7246"/>
        <w:gridCol w:w="36"/>
      </w:tblGrid>
      <w:tr w:rsidR="005C332D" w14:paraId="518B4653" w14:textId="77777777">
        <w:tc>
          <w:tcPr>
            <w:tcW w:w="50" w:type="pct"/>
            <w:shd w:val="clear" w:color="auto" w:fill="auto"/>
            <w:vAlign w:val="bottom"/>
          </w:tcPr>
          <w:p w14:paraId="518B464D" w14:textId="77777777" w:rsidR="005C332D" w:rsidRDefault="005C332D">
            <w:pPr>
              <w:rPr>
                <w:rFonts w:ascii="宋体"/>
              </w:rPr>
            </w:pPr>
          </w:p>
        </w:tc>
        <w:tc>
          <w:tcPr>
            <w:tcW w:w="530" w:type="pct"/>
            <w:shd w:val="clear" w:color="auto" w:fill="auto"/>
            <w:vAlign w:val="bottom"/>
          </w:tcPr>
          <w:p w14:paraId="518B464E" w14:textId="77777777" w:rsidR="005C332D" w:rsidRDefault="005C332D">
            <w:pPr>
              <w:rPr>
                <w:rFonts w:ascii="宋体"/>
              </w:rPr>
            </w:pPr>
          </w:p>
        </w:tc>
        <w:tc>
          <w:tcPr>
            <w:tcW w:w="5" w:type="pct"/>
            <w:shd w:val="clear" w:color="auto" w:fill="auto"/>
            <w:vAlign w:val="bottom"/>
          </w:tcPr>
          <w:p w14:paraId="518B464F" w14:textId="77777777" w:rsidR="005C332D" w:rsidRDefault="005C332D">
            <w:pPr>
              <w:rPr>
                <w:rFonts w:ascii="宋体"/>
              </w:rPr>
            </w:pPr>
          </w:p>
        </w:tc>
        <w:tc>
          <w:tcPr>
            <w:tcW w:w="50" w:type="pct"/>
            <w:shd w:val="clear" w:color="auto" w:fill="auto"/>
            <w:vAlign w:val="bottom"/>
          </w:tcPr>
          <w:p w14:paraId="518B4650" w14:textId="77777777" w:rsidR="005C332D" w:rsidRDefault="005C332D">
            <w:pPr>
              <w:rPr>
                <w:rFonts w:ascii="宋体"/>
              </w:rPr>
            </w:pPr>
          </w:p>
        </w:tc>
        <w:tc>
          <w:tcPr>
            <w:tcW w:w="4359" w:type="pct"/>
            <w:shd w:val="clear" w:color="auto" w:fill="auto"/>
            <w:vAlign w:val="bottom"/>
          </w:tcPr>
          <w:p w14:paraId="518B4651" w14:textId="77777777" w:rsidR="005C332D" w:rsidRDefault="005C332D">
            <w:pPr>
              <w:rPr>
                <w:rFonts w:ascii="宋体"/>
              </w:rPr>
            </w:pPr>
          </w:p>
        </w:tc>
        <w:tc>
          <w:tcPr>
            <w:tcW w:w="5" w:type="pct"/>
            <w:shd w:val="clear" w:color="auto" w:fill="auto"/>
            <w:vAlign w:val="bottom"/>
          </w:tcPr>
          <w:p w14:paraId="518B4652" w14:textId="77777777" w:rsidR="005C332D" w:rsidRDefault="005C332D">
            <w:pPr>
              <w:rPr>
                <w:rFonts w:ascii="宋体"/>
              </w:rPr>
            </w:pPr>
          </w:p>
        </w:tc>
      </w:tr>
      <w:tr w:rsidR="005C332D" w14:paraId="518B4656" w14:textId="77777777">
        <w:tc>
          <w:tcPr>
            <w:tcW w:w="0" w:type="auto"/>
            <w:gridSpan w:val="3"/>
            <w:shd w:val="clear" w:color="auto" w:fill="auto"/>
            <w:tcMar>
              <w:top w:w="40" w:type="dxa"/>
              <w:left w:w="20" w:type="dxa"/>
              <w:bottom w:w="40" w:type="dxa"/>
              <w:right w:w="20" w:type="dxa"/>
            </w:tcMar>
          </w:tcPr>
          <w:p w14:paraId="518B4654" w14:textId="77777777" w:rsidR="005C332D" w:rsidRDefault="00B93EAE">
            <w:pPr>
              <w:textAlignment w:val="top"/>
            </w:pPr>
            <w:r>
              <w:rPr>
                <w:rFonts w:ascii="Times New Roman" w:eastAsia="宋体" w:hAnsi="Times New Roman"/>
                <w:b/>
                <w:bCs/>
                <w:color w:val="000000"/>
                <w:sz w:val="20"/>
                <w:szCs w:val="20"/>
              </w:rPr>
              <w:t>Item 7.</w:t>
            </w:r>
          </w:p>
        </w:tc>
        <w:tc>
          <w:tcPr>
            <w:tcW w:w="0" w:type="auto"/>
            <w:gridSpan w:val="3"/>
            <w:shd w:val="clear" w:color="auto" w:fill="auto"/>
            <w:tcMar>
              <w:top w:w="40" w:type="dxa"/>
              <w:left w:w="20" w:type="dxa"/>
              <w:bottom w:w="40" w:type="dxa"/>
              <w:right w:w="20" w:type="dxa"/>
            </w:tcMar>
          </w:tcPr>
          <w:p w14:paraId="518B4655" w14:textId="77777777" w:rsidR="005C332D" w:rsidRDefault="00B93EAE">
            <w:pPr>
              <w:textAlignment w:val="top"/>
            </w:pPr>
            <w:r>
              <w:rPr>
                <w:rFonts w:ascii="Times New Roman" w:eastAsia="宋体" w:hAnsi="Times New Roman"/>
                <w:b/>
                <w:bCs/>
                <w:color w:val="000000"/>
                <w:sz w:val="20"/>
                <w:szCs w:val="20"/>
              </w:rPr>
              <w:t xml:space="preserve">Management’s Discussion and Analysis of Financial Condition and </w:t>
            </w:r>
            <w:r>
              <w:rPr>
                <w:rFonts w:ascii="Times New Roman" w:eastAsia="宋体" w:hAnsi="Times New Roman"/>
                <w:b/>
                <w:bCs/>
                <w:color w:val="000000"/>
                <w:sz w:val="20"/>
                <w:szCs w:val="20"/>
              </w:rPr>
              <w:t>Results of Operations</w:t>
            </w:r>
          </w:p>
        </w:tc>
      </w:tr>
    </w:tbl>
    <w:p w14:paraId="518B4657" w14:textId="77777777" w:rsidR="005C332D" w:rsidRDefault="00B93EAE">
      <w:pPr>
        <w:spacing w:before="120"/>
      </w:pPr>
      <w:r>
        <w:rPr>
          <w:rFonts w:ascii="Times New Roman" w:eastAsia="宋体" w:hAnsi="Times New Roman"/>
          <w:b/>
          <w:bCs/>
          <w:color w:val="000000"/>
          <w:sz w:val="20"/>
          <w:szCs w:val="20"/>
        </w:rPr>
        <w:t>Forward-Looking Statements</w:t>
      </w:r>
    </w:p>
    <w:p w14:paraId="518B4658" w14:textId="77777777" w:rsidR="005C332D" w:rsidRDefault="00B93EAE">
      <w:pPr>
        <w:spacing w:before="120"/>
        <w:jc w:val="both"/>
      </w:pPr>
      <w:r>
        <w:rPr>
          <w:rFonts w:ascii="Times New Roman" w:eastAsia="宋体" w:hAnsi="Times New Roman"/>
          <w:color w:val="000000"/>
          <w:sz w:val="20"/>
          <w:szCs w:val="20"/>
        </w:rPr>
        <w:t xml:space="preserve">This Annual Report on Form 10-K, including this Management’s Discussion and Analysis of Financial Condition and Results of Operations, contains forward-looking statements regarding future events and our </w:t>
      </w:r>
      <w:r>
        <w:rPr>
          <w:rFonts w:ascii="Times New Roman" w:eastAsia="宋体" w:hAnsi="Times New Roman"/>
          <w:color w:val="000000"/>
          <w:sz w:val="20"/>
          <w:szCs w:val="20"/>
        </w:rPr>
        <w:t>future results that are subject to the safe harbors created under the Securities Act of 1933, as amended (the “Securities Act”), and the Securities Exchange Act of 1934, as amended (the “Exchange Act”). All statements other than statements of historical fa</w:t>
      </w:r>
      <w:r>
        <w:rPr>
          <w:rFonts w:ascii="Times New Roman" w:eastAsia="宋体" w:hAnsi="Times New Roman"/>
          <w:color w:val="000000"/>
          <w:sz w:val="20"/>
          <w:szCs w:val="20"/>
        </w:rPr>
        <w:t xml:space="preserve">cts are statements that could be deemed forward-looking statements. These statements are based on current expectations, estimates, forecasts, and projections about the industries in which we operate and the beliefs and assumptions of our management. Words </w:t>
      </w:r>
      <w:r>
        <w:rPr>
          <w:rFonts w:ascii="Times New Roman" w:eastAsia="宋体" w:hAnsi="Times New Roman"/>
          <w:color w:val="000000"/>
          <w:sz w:val="20"/>
          <w:szCs w:val="20"/>
        </w:rPr>
        <w:t xml:space="preserve">such as “expects,” “anticipates,” “targets,” “goals,” “projects,” “intends,” “plans,” “believes,” “momentum,” “seeks,” “estimates,” “continues,” “endeavors,” “strives,” “may,” variations of such words, and similar expressions are intended to identify such </w:t>
      </w:r>
      <w:r>
        <w:rPr>
          <w:rFonts w:ascii="Times New Roman" w:eastAsia="宋体" w:hAnsi="Times New Roman"/>
          <w:color w:val="000000"/>
          <w:sz w:val="20"/>
          <w:szCs w:val="20"/>
        </w:rPr>
        <w:t>forward-looking statements. In addition, any statements that refer to projections of our future financial performance, our anticipated growth and trends in our businesses, future responses to and effects of the COVID-19 pandemic, and other characterization</w:t>
      </w:r>
      <w:r>
        <w:rPr>
          <w:rFonts w:ascii="Times New Roman" w:eastAsia="宋体" w:hAnsi="Times New Roman"/>
          <w:color w:val="000000"/>
          <w:sz w:val="20"/>
          <w:szCs w:val="20"/>
        </w:rPr>
        <w:t>s of future events or circumstances are forward-looking statements. Readers are cautioned that these forward-looking statements are only predictions and are subject to risks, uncertainties, and assumptions that are difficult to predict, including those und</w:t>
      </w:r>
      <w:r>
        <w:rPr>
          <w:rFonts w:ascii="Times New Roman" w:eastAsia="宋体" w:hAnsi="Times New Roman"/>
          <w:color w:val="000000"/>
          <w:sz w:val="20"/>
          <w:szCs w:val="20"/>
        </w:rPr>
        <w:t>er “Part I, Item 1A. Risk Factors,” and elsewhere herein. Therefore, actual results may differ materially and adversely from those expressed in any forward-looking statements. We undertake no obligation to revise or update any forward-looking statements fo</w:t>
      </w:r>
      <w:r>
        <w:rPr>
          <w:rFonts w:ascii="Times New Roman" w:eastAsia="宋体" w:hAnsi="Times New Roman"/>
          <w:color w:val="000000"/>
          <w:sz w:val="20"/>
          <w:szCs w:val="20"/>
        </w:rPr>
        <w:t>r any reason.</w:t>
      </w:r>
    </w:p>
    <w:p w14:paraId="518B4659" w14:textId="77777777" w:rsidR="005C332D" w:rsidRDefault="00B93EAE">
      <w:pPr>
        <w:spacing w:before="180" w:after="120"/>
      </w:pPr>
      <w:r>
        <w:rPr>
          <w:rFonts w:ascii="Times New Roman" w:eastAsia="宋体" w:hAnsi="Times New Roman"/>
          <w:b/>
          <w:bCs/>
          <w:color w:val="000000"/>
          <w:sz w:val="22"/>
          <w:szCs w:val="22"/>
        </w:rPr>
        <w:t>OVERVIEW</w:t>
      </w:r>
    </w:p>
    <w:p w14:paraId="518B465A" w14:textId="77777777" w:rsidR="005C332D" w:rsidRDefault="00B93EAE">
      <w:pPr>
        <w:spacing w:before="120"/>
        <w:jc w:val="both"/>
      </w:pPr>
      <w:r>
        <w:rPr>
          <w:rFonts w:ascii="Times New Roman" w:eastAsia="宋体" w:hAnsi="Times New Roman"/>
          <w:color w:val="000000"/>
          <w:sz w:val="20"/>
          <w:szCs w:val="20"/>
        </w:rPr>
        <w:t>Cisco designs and sells a broad range of technologies that power the Internet. We are integrating our platforms across networking, security, collaboration, applications and the cloud. These platforms are designed to help our customer</w:t>
      </w:r>
      <w:r>
        <w:rPr>
          <w:rFonts w:ascii="Times New Roman" w:eastAsia="宋体" w:hAnsi="Times New Roman"/>
          <w:color w:val="000000"/>
          <w:sz w:val="20"/>
          <w:szCs w:val="20"/>
        </w:rPr>
        <w:t xml:space="preserve">s manage more users, devices and things connecting to their networks. This will enable us to provide customers with a highly secure, intelligent platform for their digital business. </w:t>
      </w:r>
    </w:p>
    <w:p w14:paraId="518B465B" w14:textId="77777777" w:rsidR="005C332D" w:rsidRDefault="00B93EAE">
      <w:pPr>
        <w:spacing w:before="120"/>
        <w:jc w:val="both"/>
      </w:pPr>
      <w:r>
        <w:rPr>
          <w:rFonts w:ascii="Times New Roman" w:eastAsia="宋体" w:hAnsi="Times New Roman"/>
          <w:color w:val="000000"/>
          <w:sz w:val="20"/>
          <w:szCs w:val="20"/>
        </w:rPr>
        <w:t>A summary of our results is as follows (in millions, except percentages a</w:t>
      </w:r>
      <w:r>
        <w:rPr>
          <w:rFonts w:ascii="Times New Roman" w:eastAsia="宋体" w:hAnsi="Times New Roman"/>
          <w:color w:val="000000"/>
          <w:sz w:val="20"/>
          <w:szCs w:val="20"/>
        </w:rPr>
        <w:t>nd per-share amounts):</w:t>
      </w:r>
    </w:p>
    <w:tbl>
      <w:tblPr>
        <w:tblW w:w="4985" w:type="pct"/>
        <w:tblCellMar>
          <w:top w:w="15" w:type="dxa"/>
          <w:left w:w="15" w:type="dxa"/>
          <w:bottom w:w="15" w:type="dxa"/>
          <w:right w:w="15" w:type="dxa"/>
        </w:tblCellMar>
        <w:tblLook w:val="04A0" w:firstRow="1" w:lastRow="0" w:firstColumn="1" w:lastColumn="0" w:noHBand="0" w:noVBand="1"/>
      </w:tblPr>
      <w:tblGrid>
        <w:gridCol w:w="40"/>
        <w:gridCol w:w="1853"/>
        <w:gridCol w:w="38"/>
        <w:gridCol w:w="120"/>
        <w:gridCol w:w="600"/>
        <w:gridCol w:w="220"/>
        <w:gridCol w:w="36"/>
        <w:gridCol w:w="36"/>
        <w:gridCol w:w="36"/>
        <w:gridCol w:w="120"/>
        <w:gridCol w:w="600"/>
        <w:gridCol w:w="187"/>
        <w:gridCol w:w="36"/>
        <w:gridCol w:w="36"/>
        <w:gridCol w:w="36"/>
        <w:gridCol w:w="66"/>
        <w:gridCol w:w="546"/>
        <w:gridCol w:w="187"/>
        <w:gridCol w:w="70"/>
        <w:gridCol w:w="198"/>
        <w:gridCol w:w="36"/>
        <w:gridCol w:w="120"/>
        <w:gridCol w:w="600"/>
        <w:gridCol w:w="220"/>
        <w:gridCol w:w="36"/>
        <w:gridCol w:w="36"/>
        <w:gridCol w:w="36"/>
        <w:gridCol w:w="120"/>
        <w:gridCol w:w="600"/>
        <w:gridCol w:w="187"/>
        <w:gridCol w:w="36"/>
        <w:gridCol w:w="36"/>
        <w:gridCol w:w="36"/>
        <w:gridCol w:w="66"/>
        <w:gridCol w:w="546"/>
        <w:gridCol w:w="187"/>
        <w:gridCol w:w="82"/>
        <w:gridCol w:w="234"/>
        <w:gridCol w:w="36"/>
      </w:tblGrid>
      <w:tr w:rsidR="005C332D" w14:paraId="518B4683" w14:textId="77777777">
        <w:tc>
          <w:tcPr>
            <w:tcW w:w="50" w:type="pct"/>
            <w:shd w:val="clear" w:color="auto" w:fill="auto"/>
            <w:vAlign w:val="bottom"/>
          </w:tcPr>
          <w:p w14:paraId="518B465C" w14:textId="77777777" w:rsidR="005C332D" w:rsidRDefault="005C332D">
            <w:pPr>
              <w:rPr>
                <w:rFonts w:ascii="宋体"/>
              </w:rPr>
            </w:pPr>
          </w:p>
        </w:tc>
        <w:tc>
          <w:tcPr>
            <w:tcW w:w="1587" w:type="pct"/>
            <w:shd w:val="clear" w:color="auto" w:fill="auto"/>
            <w:vAlign w:val="bottom"/>
          </w:tcPr>
          <w:p w14:paraId="518B465D" w14:textId="77777777" w:rsidR="005C332D" w:rsidRDefault="005C332D">
            <w:pPr>
              <w:rPr>
                <w:rFonts w:ascii="宋体"/>
              </w:rPr>
            </w:pPr>
          </w:p>
        </w:tc>
        <w:tc>
          <w:tcPr>
            <w:tcW w:w="5" w:type="pct"/>
            <w:shd w:val="clear" w:color="auto" w:fill="auto"/>
            <w:vAlign w:val="bottom"/>
          </w:tcPr>
          <w:p w14:paraId="518B465E" w14:textId="77777777" w:rsidR="005C332D" w:rsidRDefault="005C332D">
            <w:pPr>
              <w:rPr>
                <w:rFonts w:ascii="宋体"/>
              </w:rPr>
            </w:pPr>
          </w:p>
        </w:tc>
        <w:tc>
          <w:tcPr>
            <w:tcW w:w="50" w:type="pct"/>
            <w:shd w:val="clear" w:color="auto" w:fill="auto"/>
            <w:vAlign w:val="bottom"/>
          </w:tcPr>
          <w:p w14:paraId="518B465F" w14:textId="77777777" w:rsidR="005C332D" w:rsidRDefault="005C332D">
            <w:pPr>
              <w:rPr>
                <w:rFonts w:ascii="宋体"/>
              </w:rPr>
            </w:pPr>
          </w:p>
        </w:tc>
        <w:tc>
          <w:tcPr>
            <w:tcW w:w="414" w:type="pct"/>
            <w:shd w:val="clear" w:color="auto" w:fill="auto"/>
            <w:vAlign w:val="bottom"/>
          </w:tcPr>
          <w:p w14:paraId="518B4660" w14:textId="77777777" w:rsidR="005C332D" w:rsidRDefault="005C332D">
            <w:pPr>
              <w:rPr>
                <w:rFonts w:ascii="宋体"/>
              </w:rPr>
            </w:pPr>
          </w:p>
        </w:tc>
        <w:tc>
          <w:tcPr>
            <w:tcW w:w="5" w:type="pct"/>
            <w:shd w:val="clear" w:color="auto" w:fill="auto"/>
            <w:vAlign w:val="bottom"/>
          </w:tcPr>
          <w:p w14:paraId="518B4661" w14:textId="77777777" w:rsidR="005C332D" w:rsidRDefault="005C332D">
            <w:pPr>
              <w:rPr>
                <w:rFonts w:ascii="宋体"/>
              </w:rPr>
            </w:pPr>
          </w:p>
        </w:tc>
        <w:tc>
          <w:tcPr>
            <w:tcW w:w="5" w:type="pct"/>
            <w:shd w:val="clear" w:color="auto" w:fill="auto"/>
            <w:vAlign w:val="bottom"/>
          </w:tcPr>
          <w:p w14:paraId="518B4662" w14:textId="77777777" w:rsidR="005C332D" w:rsidRDefault="005C332D">
            <w:pPr>
              <w:rPr>
                <w:rFonts w:ascii="宋体"/>
              </w:rPr>
            </w:pPr>
          </w:p>
        </w:tc>
        <w:tc>
          <w:tcPr>
            <w:tcW w:w="26" w:type="pct"/>
            <w:shd w:val="clear" w:color="auto" w:fill="auto"/>
            <w:vAlign w:val="bottom"/>
          </w:tcPr>
          <w:p w14:paraId="518B4663" w14:textId="77777777" w:rsidR="005C332D" w:rsidRDefault="005C332D">
            <w:pPr>
              <w:rPr>
                <w:rFonts w:ascii="宋体"/>
              </w:rPr>
            </w:pPr>
          </w:p>
        </w:tc>
        <w:tc>
          <w:tcPr>
            <w:tcW w:w="5" w:type="pct"/>
            <w:shd w:val="clear" w:color="auto" w:fill="auto"/>
            <w:vAlign w:val="bottom"/>
          </w:tcPr>
          <w:p w14:paraId="518B4664" w14:textId="77777777" w:rsidR="005C332D" w:rsidRDefault="005C332D">
            <w:pPr>
              <w:rPr>
                <w:rFonts w:ascii="宋体"/>
              </w:rPr>
            </w:pPr>
          </w:p>
        </w:tc>
        <w:tc>
          <w:tcPr>
            <w:tcW w:w="50" w:type="pct"/>
            <w:shd w:val="clear" w:color="auto" w:fill="auto"/>
            <w:vAlign w:val="bottom"/>
          </w:tcPr>
          <w:p w14:paraId="518B4665" w14:textId="77777777" w:rsidR="005C332D" w:rsidRDefault="005C332D">
            <w:pPr>
              <w:rPr>
                <w:rFonts w:ascii="宋体"/>
              </w:rPr>
            </w:pPr>
          </w:p>
        </w:tc>
        <w:tc>
          <w:tcPr>
            <w:tcW w:w="414" w:type="pct"/>
            <w:shd w:val="clear" w:color="auto" w:fill="auto"/>
            <w:vAlign w:val="bottom"/>
          </w:tcPr>
          <w:p w14:paraId="518B4666" w14:textId="77777777" w:rsidR="005C332D" w:rsidRDefault="005C332D">
            <w:pPr>
              <w:rPr>
                <w:rFonts w:ascii="宋体"/>
              </w:rPr>
            </w:pPr>
          </w:p>
        </w:tc>
        <w:tc>
          <w:tcPr>
            <w:tcW w:w="5" w:type="pct"/>
            <w:shd w:val="clear" w:color="auto" w:fill="auto"/>
            <w:vAlign w:val="bottom"/>
          </w:tcPr>
          <w:p w14:paraId="518B4667" w14:textId="77777777" w:rsidR="005C332D" w:rsidRDefault="005C332D">
            <w:pPr>
              <w:rPr>
                <w:rFonts w:ascii="宋体"/>
              </w:rPr>
            </w:pPr>
          </w:p>
        </w:tc>
        <w:tc>
          <w:tcPr>
            <w:tcW w:w="5" w:type="pct"/>
            <w:shd w:val="clear" w:color="auto" w:fill="auto"/>
            <w:vAlign w:val="bottom"/>
          </w:tcPr>
          <w:p w14:paraId="518B4668" w14:textId="77777777" w:rsidR="005C332D" w:rsidRDefault="005C332D">
            <w:pPr>
              <w:rPr>
                <w:rFonts w:ascii="宋体"/>
              </w:rPr>
            </w:pPr>
          </w:p>
        </w:tc>
        <w:tc>
          <w:tcPr>
            <w:tcW w:w="26" w:type="pct"/>
            <w:shd w:val="clear" w:color="auto" w:fill="auto"/>
            <w:vAlign w:val="bottom"/>
          </w:tcPr>
          <w:p w14:paraId="518B4669" w14:textId="77777777" w:rsidR="005C332D" w:rsidRDefault="005C332D">
            <w:pPr>
              <w:rPr>
                <w:rFonts w:ascii="宋体"/>
              </w:rPr>
            </w:pPr>
          </w:p>
        </w:tc>
        <w:tc>
          <w:tcPr>
            <w:tcW w:w="5" w:type="pct"/>
            <w:shd w:val="clear" w:color="auto" w:fill="auto"/>
            <w:vAlign w:val="bottom"/>
          </w:tcPr>
          <w:p w14:paraId="518B466A" w14:textId="77777777" w:rsidR="005C332D" w:rsidRDefault="005C332D">
            <w:pPr>
              <w:rPr>
                <w:rFonts w:ascii="宋体"/>
              </w:rPr>
            </w:pPr>
          </w:p>
        </w:tc>
        <w:tc>
          <w:tcPr>
            <w:tcW w:w="50" w:type="pct"/>
            <w:shd w:val="clear" w:color="auto" w:fill="auto"/>
            <w:vAlign w:val="bottom"/>
          </w:tcPr>
          <w:p w14:paraId="518B466B" w14:textId="77777777" w:rsidR="005C332D" w:rsidRDefault="005C332D">
            <w:pPr>
              <w:rPr>
                <w:rFonts w:ascii="宋体"/>
              </w:rPr>
            </w:pPr>
          </w:p>
        </w:tc>
        <w:tc>
          <w:tcPr>
            <w:tcW w:w="414" w:type="pct"/>
            <w:shd w:val="clear" w:color="auto" w:fill="auto"/>
            <w:vAlign w:val="bottom"/>
          </w:tcPr>
          <w:p w14:paraId="518B466C" w14:textId="77777777" w:rsidR="005C332D" w:rsidRDefault="005C332D">
            <w:pPr>
              <w:rPr>
                <w:rFonts w:ascii="宋体"/>
              </w:rPr>
            </w:pPr>
          </w:p>
        </w:tc>
        <w:tc>
          <w:tcPr>
            <w:tcW w:w="5" w:type="pct"/>
            <w:shd w:val="clear" w:color="auto" w:fill="auto"/>
            <w:vAlign w:val="bottom"/>
          </w:tcPr>
          <w:p w14:paraId="518B466D" w14:textId="77777777" w:rsidR="005C332D" w:rsidRDefault="005C332D">
            <w:pPr>
              <w:rPr>
                <w:rFonts w:ascii="宋体"/>
              </w:rPr>
            </w:pPr>
          </w:p>
        </w:tc>
        <w:tc>
          <w:tcPr>
            <w:tcW w:w="50" w:type="pct"/>
            <w:shd w:val="clear" w:color="auto" w:fill="auto"/>
            <w:vAlign w:val="bottom"/>
          </w:tcPr>
          <w:p w14:paraId="518B466E" w14:textId="77777777" w:rsidR="005C332D" w:rsidRDefault="005C332D">
            <w:pPr>
              <w:rPr>
                <w:rFonts w:ascii="宋体"/>
              </w:rPr>
            </w:pPr>
          </w:p>
        </w:tc>
        <w:tc>
          <w:tcPr>
            <w:tcW w:w="142" w:type="pct"/>
            <w:shd w:val="clear" w:color="auto" w:fill="auto"/>
            <w:vAlign w:val="bottom"/>
          </w:tcPr>
          <w:p w14:paraId="518B466F" w14:textId="77777777" w:rsidR="005C332D" w:rsidRDefault="005C332D">
            <w:pPr>
              <w:rPr>
                <w:rFonts w:ascii="宋体"/>
              </w:rPr>
            </w:pPr>
          </w:p>
        </w:tc>
        <w:tc>
          <w:tcPr>
            <w:tcW w:w="5" w:type="pct"/>
            <w:shd w:val="clear" w:color="auto" w:fill="auto"/>
            <w:vAlign w:val="bottom"/>
          </w:tcPr>
          <w:p w14:paraId="518B4670" w14:textId="77777777" w:rsidR="005C332D" w:rsidRDefault="005C332D">
            <w:pPr>
              <w:rPr>
                <w:rFonts w:ascii="宋体"/>
              </w:rPr>
            </w:pPr>
          </w:p>
        </w:tc>
        <w:tc>
          <w:tcPr>
            <w:tcW w:w="50" w:type="pct"/>
            <w:shd w:val="clear" w:color="auto" w:fill="auto"/>
            <w:vAlign w:val="bottom"/>
          </w:tcPr>
          <w:p w14:paraId="518B4671" w14:textId="77777777" w:rsidR="005C332D" w:rsidRDefault="005C332D">
            <w:pPr>
              <w:rPr>
                <w:rFonts w:ascii="宋体"/>
              </w:rPr>
            </w:pPr>
          </w:p>
        </w:tc>
        <w:tc>
          <w:tcPr>
            <w:tcW w:w="414" w:type="pct"/>
            <w:shd w:val="clear" w:color="auto" w:fill="auto"/>
            <w:vAlign w:val="bottom"/>
          </w:tcPr>
          <w:p w14:paraId="518B4672" w14:textId="77777777" w:rsidR="005C332D" w:rsidRDefault="005C332D">
            <w:pPr>
              <w:rPr>
                <w:rFonts w:ascii="宋体"/>
              </w:rPr>
            </w:pPr>
          </w:p>
        </w:tc>
        <w:tc>
          <w:tcPr>
            <w:tcW w:w="5" w:type="pct"/>
            <w:shd w:val="clear" w:color="auto" w:fill="auto"/>
            <w:vAlign w:val="bottom"/>
          </w:tcPr>
          <w:p w14:paraId="518B4673" w14:textId="77777777" w:rsidR="005C332D" w:rsidRDefault="005C332D">
            <w:pPr>
              <w:rPr>
                <w:rFonts w:ascii="宋体"/>
              </w:rPr>
            </w:pPr>
          </w:p>
        </w:tc>
        <w:tc>
          <w:tcPr>
            <w:tcW w:w="5" w:type="pct"/>
            <w:shd w:val="clear" w:color="auto" w:fill="auto"/>
            <w:vAlign w:val="bottom"/>
          </w:tcPr>
          <w:p w14:paraId="518B4674" w14:textId="77777777" w:rsidR="005C332D" w:rsidRDefault="005C332D">
            <w:pPr>
              <w:rPr>
                <w:rFonts w:ascii="宋体"/>
              </w:rPr>
            </w:pPr>
          </w:p>
        </w:tc>
        <w:tc>
          <w:tcPr>
            <w:tcW w:w="26" w:type="pct"/>
            <w:shd w:val="clear" w:color="auto" w:fill="auto"/>
            <w:vAlign w:val="bottom"/>
          </w:tcPr>
          <w:p w14:paraId="518B4675" w14:textId="77777777" w:rsidR="005C332D" w:rsidRDefault="005C332D">
            <w:pPr>
              <w:rPr>
                <w:rFonts w:ascii="宋体"/>
              </w:rPr>
            </w:pPr>
          </w:p>
        </w:tc>
        <w:tc>
          <w:tcPr>
            <w:tcW w:w="5" w:type="pct"/>
            <w:shd w:val="clear" w:color="auto" w:fill="auto"/>
            <w:vAlign w:val="bottom"/>
          </w:tcPr>
          <w:p w14:paraId="518B4676" w14:textId="77777777" w:rsidR="005C332D" w:rsidRDefault="005C332D">
            <w:pPr>
              <w:rPr>
                <w:rFonts w:ascii="宋体"/>
              </w:rPr>
            </w:pPr>
          </w:p>
        </w:tc>
        <w:tc>
          <w:tcPr>
            <w:tcW w:w="50" w:type="pct"/>
            <w:shd w:val="clear" w:color="auto" w:fill="auto"/>
            <w:vAlign w:val="bottom"/>
          </w:tcPr>
          <w:p w14:paraId="518B4677" w14:textId="77777777" w:rsidR="005C332D" w:rsidRDefault="005C332D">
            <w:pPr>
              <w:rPr>
                <w:rFonts w:ascii="宋体"/>
              </w:rPr>
            </w:pPr>
          </w:p>
        </w:tc>
        <w:tc>
          <w:tcPr>
            <w:tcW w:w="414" w:type="pct"/>
            <w:shd w:val="clear" w:color="auto" w:fill="auto"/>
            <w:vAlign w:val="bottom"/>
          </w:tcPr>
          <w:p w14:paraId="518B4678" w14:textId="77777777" w:rsidR="005C332D" w:rsidRDefault="005C332D">
            <w:pPr>
              <w:rPr>
                <w:rFonts w:ascii="宋体"/>
              </w:rPr>
            </w:pPr>
          </w:p>
        </w:tc>
        <w:tc>
          <w:tcPr>
            <w:tcW w:w="5" w:type="pct"/>
            <w:shd w:val="clear" w:color="auto" w:fill="auto"/>
            <w:vAlign w:val="bottom"/>
          </w:tcPr>
          <w:p w14:paraId="518B4679" w14:textId="77777777" w:rsidR="005C332D" w:rsidRDefault="005C332D">
            <w:pPr>
              <w:rPr>
                <w:rFonts w:ascii="宋体"/>
              </w:rPr>
            </w:pPr>
          </w:p>
        </w:tc>
        <w:tc>
          <w:tcPr>
            <w:tcW w:w="5" w:type="pct"/>
            <w:shd w:val="clear" w:color="auto" w:fill="auto"/>
            <w:vAlign w:val="bottom"/>
          </w:tcPr>
          <w:p w14:paraId="518B467A" w14:textId="77777777" w:rsidR="005C332D" w:rsidRDefault="005C332D">
            <w:pPr>
              <w:rPr>
                <w:rFonts w:ascii="宋体"/>
              </w:rPr>
            </w:pPr>
          </w:p>
        </w:tc>
        <w:tc>
          <w:tcPr>
            <w:tcW w:w="26" w:type="pct"/>
            <w:shd w:val="clear" w:color="auto" w:fill="auto"/>
            <w:vAlign w:val="bottom"/>
          </w:tcPr>
          <w:p w14:paraId="518B467B" w14:textId="77777777" w:rsidR="005C332D" w:rsidRDefault="005C332D">
            <w:pPr>
              <w:rPr>
                <w:rFonts w:ascii="宋体"/>
              </w:rPr>
            </w:pPr>
          </w:p>
        </w:tc>
        <w:tc>
          <w:tcPr>
            <w:tcW w:w="5" w:type="pct"/>
            <w:shd w:val="clear" w:color="auto" w:fill="auto"/>
            <w:vAlign w:val="bottom"/>
          </w:tcPr>
          <w:p w14:paraId="518B467C" w14:textId="77777777" w:rsidR="005C332D" w:rsidRDefault="005C332D">
            <w:pPr>
              <w:rPr>
                <w:rFonts w:ascii="宋体"/>
              </w:rPr>
            </w:pPr>
          </w:p>
        </w:tc>
        <w:tc>
          <w:tcPr>
            <w:tcW w:w="50" w:type="pct"/>
            <w:shd w:val="clear" w:color="auto" w:fill="auto"/>
            <w:vAlign w:val="bottom"/>
          </w:tcPr>
          <w:p w14:paraId="518B467D" w14:textId="77777777" w:rsidR="005C332D" w:rsidRDefault="005C332D">
            <w:pPr>
              <w:rPr>
                <w:rFonts w:ascii="宋体"/>
              </w:rPr>
            </w:pPr>
          </w:p>
        </w:tc>
        <w:tc>
          <w:tcPr>
            <w:tcW w:w="414" w:type="pct"/>
            <w:shd w:val="clear" w:color="auto" w:fill="auto"/>
            <w:vAlign w:val="bottom"/>
          </w:tcPr>
          <w:p w14:paraId="518B467E" w14:textId="77777777" w:rsidR="005C332D" w:rsidRDefault="005C332D">
            <w:pPr>
              <w:rPr>
                <w:rFonts w:ascii="宋体"/>
              </w:rPr>
            </w:pPr>
          </w:p>
        </w:tc>
        <w:tc>
          <w:tcPr>
            <w:tcW w:w="5" w:type="pct"/>
            <w:shd w:val="clear" w:color="auto" w:fill="auto"/>
            <w:vAlign w:val="bottom"/>
          </w:tcPr>
          <w:p w14:paraId="518B467F" w14:textId="77777777" w:rsidR="005C332D" w:rsidRDefault="005C332D">
            <w:pPr>
              <w:rPr>
                <w:rFonts w:ascii="宋体"/>
              </w:rPr>
            </w:pPr>
          </w:p>
        </w:tc>
        <w:tc>
          <w:tcPr>
            <w:tcW w:w="50" w:type="pct"/>
            <w:shd w:val="clear" w:color="auto" w:fill="auto"/>
            <w:vAlign w:val="bottom"/>
          </w:tcPr>
          <w:p w14:paraId="518B4680" w14:textId="77777777" w:rsidR="005C332D" w:rsidRDefault="005C332D">
            <w:pPr>
              <w:rPr>
                <w:rFonts w:ascii="宋体"/>
              </w:rPr>
            </w:pPr>
          </w:p>
        </w:tc>
        <w:tc>
          <w:tcPr>
            <w:tcW w:w="143" w:type="pct"/>
            <w:shd w:val="clear" w:color="auto" w:fill="auto"/>
            <w:vAlign w:val="bottom"/>
          </w:tcPr>
          <w:p w14:paraId="518B4681" w14:textId="77777777" w:rsidR="005C332D" w:rsidRDefault="005C332D">
            <w:pPr>
              <w:rPr>
                <w:rFonts w:ascii="宋体"/>
              </w:rPr>
            </w:pPr>
          </w:p>
        </w:tc>
        <w:tc>
          <w:tcPr>
            <w:tcW w:w="5" w:type="pct"/>
            <w:shd w:val="clear" w:color="auto" w:fill="auto"/>
            <w:vAlign w:val="bottom"/>
          </w:tcPr>
          <w:p w14:paraId="518B4682" w14:textId="77777777" w:rsidR="005C332D" w:rsidRDefault="005C332D">
            <w:pPr>
              <w:rPr>
                <w:rFonts w:ascii="宋体"/>
              </w:rPr>
            </w:pPr>
          </w:p>
        </w:tc>
      </w:tr>
      <w:tr w:rsidR="005C332D" w14:paraId="518B4689" w14:textId="77777777">
        <w:tc>
          <w:tcPr>
            <w:tcW w:w="0" w:type="auto"/>
            <w:gridSpan w:val="3"/>
            <w:shd w:val="clear" w:color="auto" w:fill="auto"/>
            <w:tcMar>
              <w:top w:w="0" w:type="dxa"/>
              <w:left w:w="20" w:type="dxa"/>
              <w:bottom w:w="0" w:type="dxa"/>
              <w:right w:w="20" w:type="dxa"/>
            </w:tcMar>
            <w:vAlign w:val="bottom"/>
          </w:tcPr>
          <w:p w14:paraId="518B4684"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685" w14:textId="77777777" w:rsidR="005C332D" w:rsidRDefault="00B93EAE">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518B4686"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687" w14:textId="77777777" w:rsidR="005C332D" w:rsidRDefault="00B93EAE">
            <w:pPr>
              <w:jc w:val="center"/>
              <w:textAlignment w:val="bottom"/>
            </w:pPr>
            <w:r>
              <w:rPr>
                <w:rFonts w:ascii="Times New Roman" w:eastAsia="宋体" w:hAnsi="Times New Roman"/>
                <w:color w:val="000000"/>
                <w:sz w:val="18"/>
                <w:szCs w:val="18"/>
              </w:rPr>
              <w:t>Years Ended</w:t>
            </w:r>
          </w:p>
        </w:tc>
        <w:tc>
          <w:tcPr>
            <w:tcW w:w="0" w:type="auto"/>
            <w:gridSpan w:val="3"/>
            <w:shd w:val="clear" w:color="auto" w:fill="auto"/>
            <w:tcMar>
              <w:top w:w="0" w:type="dxa"/>
              <w:left w:w="20" w:type="dxa"/>
              <w:bottom w:w="0" w:type="dxa"/>
              <w:right w:w="20" w:type="dxa"/>
            </w:tcMar>
            <w:vAlign w:val="bottom"/>
          </w:tcPr>
          <w:p w14:paraId="518B4688" w14:textId="77777777" w:rsidR="005C332D" w:rsidRDefault="005C332D">
            <w:pPr>
              <w:rPr>
                <w:rFonts w:ascii="宋体"/>
              </w:rPr>
            </w:pPr>
          </w:p>
        </w:tc>
      </w:tr>
      <w:tr w:rsidR="005C332D" w14:paraId="518B4697" w14:textId="77777777">
        <w:tc>
          <w:tcPr>
            <w:tcW w:w="0" w:type="auto"/>
            <w:gridSpan w:val="3"/>
            <w:shd w:val="clear" w:color="auto" w:fill="auto"/>
            <w:tcMar>
              <w:top w:w="0" w:type="dxa"/>
              <w:left w:w="20" w:type="dxa"/>
              <w:bottom w:w="0" w:type="dxa"/>
              <w:right w:w="20" w:type="dxa"/>
            </w:tcMar>
            <w:vAlign w:val="bottom"/>
          </w:tcPr>
          <w:p w14:paraId="518B468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68B" w14:textId="77777777" w:rsidR="005C332D" w:rsidRDefault="00B93EAE">
            <w:pPr>
              <w:jc w:val="center"/>
              <w:textAlignment w:val="bottom"/>
            </w:pPr>
            <w:r>
              <w:rPr>
                <w:rFonts w:ascii="Times New Roman" w:eastAsia="宋体" w:hAnsi="Times New Roman"/>
                <w:b/>
                <w:bCs/>
                <w:color w:val="000000"/>
                <w:sz w:val="18"/>
                <w:szCs w:val="18"/>
              </w:rPr>
              <w:t xml:space="preserve">July </w:t>
            </w:r>
            <w:r>
              <w:rPr>
                <w:rFonts w:ascii="Times New Roman" w:eastAsia="宋体" w:hAnsi="Times New Roman"/>
                <w:b/>
                <w:bCs/>
                <w:color w:val="000000"/>
                <w:sz w:val="18"/>
                <w:szCs w:val="18"/>
              </w:rPr>
              <w:t>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68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68D"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68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68F" w14:textId="77777777" w:rsidR="005C332D" w:rsidRDefault="00B93EAE">
            <w:pPr>
              <w:jc w:val="center"/>
              <w:textAlignment w:val="bottom"/>
            </w:pPr>
            <w:r>
              <w:rPr>
                <w:rFonts w:ascii="Times New Roman" w:eastAsia="宋体" w:hAnsi="Times New Roman"/>
                <w:color w:val="000000"/>
                <w:sz w:val="16"/>
                <w:szCs w:val="16"/>
              </w:rPr>
              <w:t>Variance</w:t>
            </w:r>
          </w:p>
        </w:tc>
        <w:tc>
          <w:tcPr>
            <w:tcW w:w="0" w:type="auto"/>
            <w:gridSpan w:val="3"/>
            <w:shd w:val="clear" w:color="auto" w:fill="auto"/>
            <w:tcMar>
              <w:top w:w="0" w:type="dxa"/>
              <w:left w:w="20" w:type="dxa"/>
              <w:bottom w:w="0" w:type="dxa"/>
              <w:right w:w="20" w:type="dxa"/>
            </w:tcMar>
            <w:vAlign w:val="bottom"/>
          </w:tcPr>
          <w:p w14:paraId="518B469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691"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69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693"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69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695" w14:textId="77777777" w:rsidR="005C332D" w:rsidRDefault="00B93EAE">
            <w:pPr>
              <w:jc w:val="center"/>
              <w:textAlignment w:val="bottom"/>
            </w:pPr>
            <w:r>
              <w:rPr>
                <w:rFonts w:ascii="Times New Roman" w:eastAsia="宋体" w:hAnsi="Times New Roman"/>
                <w:color w:val="000000"/>
                <w:sz w:val="16"/>
                <w:szCs w:val="16"/>
              </w:rPr>
              <w:t>Variance</w:t>
            </w:r>
          </w:p>
        </w:tc>
        <w:tc>
          <w:tcPr>
            <w:tcW w:w="0" w:type="auto"/>
            <w:gridSpan w:val="3"/>
            <w:shd w:val="clear" w:color="auto" w:fill="auto"/>
            <w:tcMar>
              <w:top w:w="0" w:type="dxa"/>
              <w:left w:w="20" w:type="dxa"/>
              <w:bottom w:w="0" w:type="dxa"/>
              <w:right w:w="20" w:type="dxa"/>
            </w:tcMar>
            <w:vAlign w:val="bottom"/>
          </w:tcPr>
          <w:p w14:paraId="518B4696" w14:textId="77777777" w:rsidR="005C332D" w:rsidRDefault="005C332D">
            <w:pPr>
              <w:rPr>
                <w:rFonts w:ascii="宋体"/>
              </w:rPr>
            </w:pPr>
          </w:p>
        </w:tc>
      </w:tr>
      <w:tr w:rsidR="005C332D" w14:paraId="518B46AF" w14:textId="77777777">
        <w:tc>
          <w:tcPr>
            <w:tcW w:w="0" w:type="auto"/>
            <w:gridSpan w:val="3"/>
            <w:shd w:val="clear" w:color="auto" w:fill="CCEEFF"/>
            <w:tcMar>
              <w:top w:w="40" w:type="dxa"/>
              <w:left w:w="20" w:type="dxa"/>
              <w:bottom w:w="40" w:type="dxa"/>
              <w:right w:w="20" w:type="dxa"/>
            </w:tcMar>
            <w:vAlign w:val="bottom"/>
          </w:tcPr>
          <w:p w14:paraId="518B4698" w14:textId="77777777" w:rsidR="005C332D" w:rsidRDefault="00B93EAE">
            <w:pPr>
              <w:textAlignment w:val="bottom"/>
            </w:pPr>
            <w:r>
              <w:rPr>
                <w:rFonts w:ascii="Times New Roman" w:eastAsia="宋体" w:hAnsi="Times New Roman"/>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469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69A" w14:textId="77777777" w:rsidR="005C332D" w:rsidRDefault="00B93EAE">
            <w:pPr>
              <w:jc w:val="right"/>
              <w:textAlignment w:val="bottom"/>
            </w:pPr>
            <w:r>
              <w:rPr>
                <w:rFonts w:ascii="Times New Roman" w:eastAsia="宋体" w:hAnsi="Times New Roman"/>
                <w:b/>
                <w:bCs/>
                <w:color w:val="000000"/>
                <w:sz w:val="20"/>
                <w:szCs w:val="20"/>
              </w:rPr>
              <w:t>13,102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69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9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69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69E" w14:textId="77777777" w:rsidR="005C332D" w:rsidRDefault="00B93EAE">
            <w:pPr>
              <w:jc w:val="right"/>
              <w:textAlignment w:val="bottom"/>
            </w:pPr>
            <w:r>
              <w:rPr>
                <w:rFonts w:ascii="Times New Roman" w:eastAsia="宋体" w:hAnsi="Times New Roman"/>
                <w:color w:val="000000"/>
                <w:sz w:val="20"/>
                <w:szCs w:val="20"/>
              </w:rPr>
              <w:t>13,126 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69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A0"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46A1"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6A2"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6A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6A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6A5" w14:textId="77777777" w:rsidR="005C332D" w:rsidRDefault="00B93EAE">
            <w:pPr>
              <w:jc w:val="right"/>
              <w:textAlignment w:val="bottom"/>
            </w:pPr>
            <w:r>
              <w:rPr>
                <w:rFonts w:ascii="Times New Roman" w:eastAsia="宋体" w:hAnsi="Times New Roman"/>
                <w:b/>
                <w:bCs/>
                <w:color w:val="000000"/>
                <w:sz w:val="20"/>
                <w:szCs w:val="20"/>
              </w:rPr>
              <w:t>51,557</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6A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A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6A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6A9" w14:textId="77777777" w:rsidR="005C332D" w:rsidRDefault="00B93EAE">
            <w:pPr>
              <w:jc w:val="right"/>
              <w:textAlignment w:val="bottom"/>
            </w:pPr>
            <w:r>
              <w:rPr>
                <w:rFonts w:ascii="Times New Roman" w:eastAsia="宋体" w:hAnsi="Times New Roman"/>
                <w:color w:val="000000"/>
                <w:sz w:val="20"/>
                <w:szCs w:val="20"/>
              </w:rPr>
              <w:t>49,818 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6A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AB"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46AC" w14:textId="77777777" w:rsidR="005C332D" w:rsidRDefault="00B93EAE">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6AD"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6AE" w14:textId="77777777" w:rsidR="005C332D" w:rsidRDefault="005C332D">
            <w:pPr>
              <w:rPr>
                <w:rFonts w:ascii="宋体"/>
              </w:rPr>
            </w:pPr>
          </w:p>
        </w:tc>
      </w:tr>
      <w:tr w:rsidR="005C332D" w14:paraId="518B46C3" w14:textId="77777777">
        <w:tc>
          <w:tcPr>
            <w:tcW w:w="0" w:type="auto"/>
            <w:gridSpan w:val="3"/>
            <w:shd w:val="clear" w:color="auto" w:fill="FFFFFF"/>
            <w:tcMar>
              <w:top w:w="40" w:type="dxa"/>
              <w:left w:w="20" w:type="dxa"/>
              <w:bottom w:w="40" w:type="dxa"/>
              <w:right w:w="20" w:type="dxa"/>
            </w:tcMar>
            <w:vAlign w:val="bottom"/>
          </w:tcPr>
          <w:p w14:paraId="518B46B0" w14:textId="77777777" w:rsidR="005C332D" w:rsidRDefault="00B93EAE">
            <w:pPr>
              <w:textAlignment w:val="bottom"/>
            </w:pPr>
            <w:r>
              <w:rPr>
                <w:rFonts w:ascii="Times New Roman" w:eastAsia="宋体" w:hAnsi="Times New Roman"/>
                <w:color w:val="000000"/>
                <w:sz w:val="20"/>
                <w:szCs w:val="20"/>
              </w:rPr>
              <w:t>Gross margin percentage</w:t>
            </w:r>
          </w:p>
        </w:tc>
        <w:tc>
          <w:tcPr>
            <w:tcW w:w="0" w:type="auto"/>
            <w:gridSpan w:val="2"/>
            <w:shd w:val="clear" w:color="auto" w:fill="FFFFFF"/>
            <w:tcMar>
              <w:top w:w="40" w:type="dxa"/>
              <w:left w:w="20" w:type="dxa"/>
              <w:bottom w:w="40" w:type="dxa"/>
              <w:right w:w="0" w:type="dxa"/>
            </w:tcMar>
            <w:vAlign w:val="bottom"/>
          </w:tcPr>
          <w:p w14:paraId="518B46B1" w14:textId="77777777" w:rsidR="005C332D" w:rsidRDefault="00B93EAE">
            <w:pPr>
              <w:jc w:val="right"/>
              <w:textAlignment w:val="bottom"/>
            </w:pPr>
            <w:r>
              <w:rPr>
                <w:rFonts w:ascii="Times New Roman" w:eastAsia="宋体" w:hAnsi="Times New Roman"/>
                <w:b/>
                <w:bCs/>
                <w:color w:val="000000"/>
                <w:sz w:val="20"/>
                <w:szCs w:val="20"/>
              </w:rPr>
              <w:t>61.3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6B2"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6B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6B4" w14:textId="77777777" w:rsidR="005C332D" w:rsidRDefault="00B93EAE">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518B46B5"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6B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6B7" w14:textId="77777777" w:rsidR="005C332D" w:rsidRDefault="00B93EAE">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518B46B8" w14:textId="77777777" w:rsidR="005C332D" w:rsidRDefault="005C332D">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18B46B9" w14:textId="77777777" w:rsidR="005C332D" w:rsidRDefault="00B93EAE">
            <w:pPr>
              <w:textAlignment w:val="bottom"/>
            </w:pPr>
            <w:r>
              <w:rPr>
                <w:rFonts w:ascii="Times New Roman" w:eastAsia="宋体" w:hAnsi="Times New Roman"/>
                <w:color w:val="000000"/>
                <w:sz w:val="20"/>
                <w:szCs w:val="20"/>
              </w:rPr>
              <w:t>pts</w:t>
            </w:r>
          </w:p>
        </w:tc>
        <w:tc>
          <w:tcPr>
            <w:tcW w:w="0" w:type="auto"/>
            <w:gridSpan w:val="2"/>
            <w:shd w:val="clear" w:color="auto" w:fill="FFFFFF"/>
            <w:tcMar>
              <w:top w:w="40" w:type="dxa"/>
              <w:left w:w="20" w:type="dxa"/>
              <w:bottom w:w="40" w:type="dxa"/>
              <w:right w:w="0" w:type="dxa"/>
            </w:tcMar>
            <w:vAlign w:val="bottom"/>
          </w:tcPr>
          <w:p w14:paraId="518B46BA" w14:textId="77777777" w:rsidR="005C332D" w:rsidRDefault="00B93EAE">
            <w:pPr>
              <w:jc w:val="right"/>
              <w:textAlignment w:val="bottom"/>
            </w:pPr>
            <w:r>
              <w:rPr>
                <w:rFonts w:ascii="Times New Roman" w:eastAsia="宋体" w:hAnsi="Times New Roman"/>
                <w:b/>
                <w:bCs/>
                <w:color w:val="000000"/>
                <w:sz w:val="20"/>
                <w:szCs w:val="20"/>
              </w:rPr>
              <w:t>62.5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6BB"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6B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6BD" w14:textId="77777777" w:rsidR="005C332D" w:rsidRDefault="00B93EAE">
            <w:pPr>
              <w:jc w:val="right"/>
              <w:textAlignment w:val="bottom"/>
            </w:pPr>
            <w:r>
              <w:rPr>
                <w:rFonts w:ascii="Times New Roman" w:eastAsia="宋体" w:hAnsi="Times New Roman"/>
                <w:color w:val="000000"/>
                <w:sz w:val="20"/>
                <w:szCs w:val="20"/>
              </w:rPr>
              <w:t>64.0 </w:t>
            </w:r>
          </w:p>
        </w:tc>
        <w:tc>
          <w:tcPr>
            <w:tcW w:w="0" w:type="auto"/>
            <w:shd w:val="clear" w:color="auto" w:fill="FFFFFF"/>
            <w:tcMar>
              <w:top w:w="40" w:type="dxa"/>
              <w:left w:w="0" w:type="dxa"/>
              <w:bottom w:w="40" w:type="dxa"/>
              <w:right w:w="20" w:type="dxa"/>
            </w:tcMar>
            <w:vAlign w:val="bottom"/>
          </w:tcPr>
          <w:p w14:paraId="518B46BE"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6B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6C0" w14:textId="77777777" w:rsidR="005C332D" w:rsidRDefault="00B93EAE">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518B46C1" w14:textId="77777777" w:rsidR="005C332D" w:rsidRDefault="005C332D">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18B46C2" w14:textId="77777777" w:rsidR="005C332D" w:rsidRDefault="00B93EAE">
            <w:pPr>
              <w:textAlignment w:val="bottom"/>
            </w:pPr>
            <w:r>
              <w:rPr>
                <w:rFonts w:ascii="Times New Roman" w:eastAsia="宋体" w:hAnsi="Times New Roman"/>
                <w:color w:val="000000"/>
                <w:sz w:val="20"/>
                <w:szCs w:val="20"/>
              </w:rPr>
              <w:t>pts</w:t>
            </w:r>
          </w:p>
        </w:tc>
      </w:tr>
      <w:tr w:rsidR="005C332D" w14:paraId="518B46DB" w14:textId="77777777">
        <w:tc>
          <w:tcPr>
            <w:tcW w:w="0" w:type="auto"/>
            <w:gridSpan w:val="3"/>
            <w:shd w:val="clear" w:color="auto" w:fill="CCEEFF"/>
            <w:tcMar>
              <w:top w:w="40" w:type="dxa"/>
              <w:left w:w="20" w:type="dxa"/>
              <w:bottom w:w="40" w:type="dxa"/>
              <w:right w:w="20" w:type="dxa"/>
            </w:tcMar>
            <w:vAlign w:val="bottom"/>
          </w:tcPr>
          <w:p w14:paraId="518B46C4" w14:textId="77777777" w:rsidR="005C332D" w:rsidRDefault="00B93EAE">
            <w:pPr>
              <w:textAlignment w:val="bottom"/>
            </w:pPr>
            <w:r>
              <w:rPr>
                <w:rFonts w:ascii="Times New Roman" w:eastAsia="宋体" w:hAnsi="Times New Roman"/>
                <w:color w:val="000000"/>
                <w:sz w:val="20"/>
                <w:szCs w:val="20"/>
              </w:rPr>
              <w:t>Research and development</w:t>
            </w:r>
          </w:p>
        </w:tc>
        <w:tc>
          <w:tcPr>
            <w:tcW w:w="0" w:type="auto"/>
            <w:shd w:val="clear" w:color="auto" w:fill="CCEEFF"/>
            <w:tcMar>
              <w:top w:w="40" w:type="dxa"/>
              <w:left w:w="20" w:type="dxa"/>
              <w:bottom w:w="40" w:type="dxa"/>
              <w:right w:w="0" w:type="dxa"/>
            </w:tcMar>
            <w:vAlign w:val="bottom"/>
          </w:tcPr>
          <w:p w14:paraId="518B46C5"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6C6" w14:textId="77777777" w:rsidR="005C332D" w:rsidRDefault="00B93EAE">
            <w:pPr>
              <w:jc w:val="right"/>
              <w:textAlignment w:val="bottom"/>
            </w:pPr>
            <w:r>
              <w:rPr>
                <w:rFonts w:ascii="Times New Roman" w:eastAsia="宋体" w:hAnsi="Times New Roman"/>
                <w:b/>
                <w:bCs/>
                <w:color w:val="000000"/>
                <w:sz w:val="20"/>
                <w:szCs w:val="20"/>
              </w:rPr>
              <w:t>1,682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6C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C8"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6C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6CA" w14:textId="77777777" w:rsidR="005C332D" w:rsidRDefault="00B93EAE">
            <w:pPr>
              <w:jc w:val="right"/>
              <w:textAlignment w:val="bottom"/>
            </w:pPr>
            <w:r>
              <w:rPr>
                <w:rFonts w:ascii="Times New Roman" w:eastAsia="宋体" w:hAnsi="Times New Roman"/>
                <w:color w:val="000000"/>
                <w:sz w:val="20"/>
                <w:szCs w:val="20"/>
              </w:rPr>
              <w:t>1,713 </w:t>
            </w:r>
          </w:p>
        </w:tc>
        <w:tc>
          <w:tcPr>
            <w:tcW w:w="0" w:type="auto"/>
            <w:shd w:val="clear" w:color="auto" w:fill="CCEEFF"/>
            <w:tcMar>
              <w:top w:w="40" w:type="dxa"/>
              <w:left w:w="0" w:type="dxa"/>
              <w:bottom w:w="40" w:type="dxa"/>
              <w:right w:w="20" w:type="dxa"/>
            </w:tcMar>
            <w:vAlign w:val="bottom"/>
          </w:tcPr>
          <w:p w14:paraId="518B46C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C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6CD"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518B46CE"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6CF"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6D0"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6D1" w14:textId="77777777" w:rsidR="005C332D" w:rsidRDefault="00B93EAE">
            <w:pPr>
              <w:jc w:val="right"/>
              <w:textAlignment w:val="bottom"/>
            </w:pPr>
            <w:r>
              <w:rPr>
                <w:rFonts w:ascii="Times New Roman" w:eastAsia="宋体" w:hAnsi="Times New Roman"/>
                <w:b/>
                <w:bCs/>
                <w:color w:val="000000"/>
                <w:sz w:val="20"/>
                <w:szCs w:val="20"/>
              </w:rPr>
              <w:t>6,774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6D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D3"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6D4"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6D5" w14:textId="77777777" w:rsidR="005C332D" w:rsidRDefault="00B93EAE">
            <w:pPr>
              <w:jc w:val="right"/>
              <w:textAlignment w:val="bottom"/>
            </w:pPr>
            <w:r>
              <w:rPr>
                <w:rFonts w:ascii="Times New Roman" w:eastAsia="宋体" w:hAnsi="Times New Roman"/>
                <w:color w:val="000000"/>
                <w:sz w:val="20"/>
                <w:szCs w:val="20"/>
              </w:rPr>
              <w:t>6,549 </w:t>
            </w:r>
          </w:p>
        </w:tc>
        <w:tc>
          <w:tcPr>
            <w:tcW w:w="0" w:type="auto"/>
            <w:shd w:val="clear" w:color="auto" w:fill="CCEEFF"/>
            <w:tcMar>
              <w:top w:w="40" w:type="dxa"/>
              <w:left w:w="0" w:type="dxa"/>
              <w:bottom w:w="40" w:type="dxa"/>
              <w:right w:w="20" w:type="dxa"/>
            </w:tcMar>
            <w:vAlign w:val="bottom"/>
          </w:tcPr>
          <w:p w14:paraId="518B46D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D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6D8"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518B46D9"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6DA" w14:textId="77777777" w:rsidR="005C332D" w:rsidRDefault="005C332D">
            <w:pPr>
              <w:rPr>
                <w:rFonts w:ascii="宋体"/>
              </w:rPr>
            </w:pPr>
          </w:p>
        </w:tc>
      </w:tr>
      <w:tr w:rsidR="005C332D" w14:paraId="518B46F3" w14:textId="77777777">
        <w:tc>
          <w:tcPr>
            <w:tcW w:w="0" w:type="auto"/>
            <w:gridSpan w:val="3"/>
            <w:shd w:val="clear" w:color="auto" w:fill="FFFFFF"/>
            <w:tcMar>
              <w:top w:w="40" w:type="dxa"/>
              <w:left w:w="20" w:type="dxa"/>
              <w:bottom w:w="40" w:type="dxa"/>
              <w:right w:w="20" w:type="dxa"/>
            </w:tcMar>
            <w:vAlign w:val="bottom"/>
          </w:tcPr>
          <w:p w14:paraId="518B46DC" w14:textId="77777777" w:rsidR="005C332D" w:rsidRDefault="00B93EAE">
            <w:pPr>
              <w:textAlignment w:val="bottom"/>
            </w:pPr>
            <w:r>
              <w:rPr>
                <w:rFonts w:ascii="Times New Roman" w:eastAsia="宋体" w:hAnsi="Times New Roman"/>
                <w:color w:val="000000"/>
                <w:sz w:val="20"/>
                <w:szCs w:val="20"/>
              </w:rPr>
              <w:t>Sales and marketing</w:t>
            </w:r>
          </w:p>
        </w:tc>
        <w:tc>
          <w:tcPr>
            <w:tcW w:w="0" w:type="auto"/>
            <w:shd w:val="clear" w:color="auto" w:fill="FFFFFF"/>
            <w:tcMar>
              <w:top w:w="40" w:type="dxa"/>
              <w:left w:w="20" w:type="dxa"/>
              <w:bottom w:w="40" w:type="dxa"/>
              <w:right w:w="0" w:type="dxa"/>
            </w:tcMar>
            <w:vAlign w:val="bottom"/>
          </w:tcPr>
          <w:p w14:paraId="518B46DD"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46DE" w14:textId="77777777" w:rsidR="005C332D" w:rsidRDefault="00B93EAE">
            <w:pPr>
              <w:jc w:val="right"/>
              <w:textAlignment w:val="bottom"/>
            </w:pPr>
            <w:r>
              <w:rPr>
                <w:rFonts w:ascii="Times New Roman" w:eastAsia="宋体" w:hAnsi="Times New Roman"/>
                <w:b/>
                <w:bCs/>
                <w:color w:val="000000"/>
                <w:sz w:val="20"/>
                <w:szCs w:val="20"/>
              </w:rPr>
              <w:t>2,349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6D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6E0"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6E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6E2" w14:textId="77777777" w:rsidR="005C332D" w:rsidRDefault="00B93EAE">
            <w:pPr>
              <w:jc w:val="right"/>
              <w:textAlignment w:val="bottom"/>
            </w:pPr>
            <w:r>
              <w:rPr>
                <w:rFonts w:ascii="Times New Roman" w:eastAsia="宋体" w:hAnsi="Times New Roman"/>
                <w:color w:val="000000"/>
                <w:sz w:val="20"/>
                <w:szCs w:val="20"/>
              </w:rPr>
              <w:t>2,448 </w:t>
            </w:r>
          </w:p>
        </w:tc>
        <w:tc>
          <w:tcPr>
            <w:tcW w:w="0" w:type="auto"/>
            <w:shd w:val="clear" w:color="auto" w:fill="FFFFFF"/>
            <w:tcMar>
              <w:top w:w="40" w:type="dxa"/>
              <w:left w:w="0" w:type="dxa"/>
              <w:bottom w:w="40" w:type="dxa"/>
              <w:right w:w="20" w:type="dxa"/>
            </w:tcMar>
            <w:vAlign w:val="bottom"/>
          </w:tcPr>
          <w:p w14:paraId="518B46E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6E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6E5" w14:textId="77777777" w:rsidR="005C332D" w:rsidRDefault="00B93EAE">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518B46E6"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6E7"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6E8"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46E9" w14:textId="77777777" w:rsidR="005C332D" w:rsidRDefault="00B93EAE">
            <w:pPr>
              <w:jc w:val="right"/>
              <w:textAlignment w:val="bottom"/>
            </w:pPr>
            <w:r>
              <w:rPr>
                <w:rFonts w:ascii="Times New Roman" w:eastAsia="宋体" w:hAnsi="Times New Roman"/>
                <w:b/>
                <w:bCs/>
                <w:color w:val="000000"/>
                <w:sz w:val="20"/>
                <w:szCs w:val="20"/>
              </w:rPr>
              <w:t>9,085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6E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6EB"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6EC"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6ED" w14:textId="77777777" w:rsidR="005C332D" w:rsidRDefault="00B93EAE">
            <w:pPr>
              <w:jc w:val="right"/>
              <w:textAlignment w:val="bottom"/>
            </w:pPr>
            <w:r>
              <w:rPr>
                <w:rFonts w:ascii="Times New Roman" w:eastAsia="宋体" w:hAnsi="Times New Roman"/>
                <w:color w:val="000000"/>
                <w:sz w:val="20"/>
                <w:szCs w:val="20"/>
              </w:rPr>
              <w:t>9,259 </w:t>
            </w:r>
          </w:p>
        </w:tc>
        <w:tc>
          <w:tcPr>
            <w:tcW w:w="0" w:type="auto"/>
            <w:shd w:val="clear" w:color="auto" w:fill="FFFFFF"/>
            <w:tcMar>
              <w:top w:w="40" w:type="dxa"/>
              <w:left w:w="0" w:type="dxa"/>
              <w:bottom w:w="40" w:type="dxa"/>
              <w:right w:w="20" w:type="dxa"/>
            </w:tcMar>
            <w:vAlign w:val="bottom"/>
          </w:tcPr>
          <w:p w14:paraId="518B46E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6E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6F0"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518B46F1"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6F2" w14:textId="77777777" w:rsidR="005C332D" w:rsidRDefault="005C332D">
            <w:pPr>
              <w:rPr>
                <w:rFonts w:ascii="宋体"/>
              </w:rPr>
            </w:pPr>
          </w:p>
        </w:tc>
      </w:tr>
      <w:tr w:rsidR="005C332D" w14:paraId="518B470B" w14:textId="77777777">
        <w:tc>
          <w:tcPr>
            <w:tcW w:w="0" w:type="auto"/>
            <w:gridSpan w:val="3"/>
            <w:shd w:val="clear" w:color="auto" w:fill="CCEEFF"/>
            <w:tcMar>
              <w:top w:w="40" w:type="dxa"/>
              <w:left w:w="20" w:type="dxa"/>
              <w:bottom w:w="40" w:type="dxa"/>
              <w:right w:w="20" w:type="dxa"/>
            </w:tcMar>
            <w:vAlign w:val="bottom"/>
          </w:tcPr>
          <w:p w14:paraId="518B46F4" w14:textId="77777777" w:rsidR="005C332D" w:rsidRDefault="00B93EAE">
            <w:pPr>
              <w:textAlignment w:val="bottom"/>
            </w:pPr>
            <w:r>
              <w:rPr>
                <w:rFonts w:ascii="Times New Roman" w:eastAsia="宋体" w:hAnsi="Times New Roman"/>
                <w:color w:val="000000"/>
                <w:sz w:val="20"/>
                <w:szCs w:val="20"/>
              </w:rPr>
              <w:t>General and administrative</w:t>
            </w:r>
          </w:p>
        </w:tc>
        <w:tc>
          <w:tcPr>
            <w:tcW w:w="0" w:type="auto"/>
            <w:shd w:val="clear" w:color="auto" w:fill="CCEEFF"/>
            <w:tcMar>
              <w:top w:w="40" w:type="dxa"/>
              <w:left w:w="20" w:type="dxa"/>
              <w:bottom w:w="40" w:type="dxa"/>
              <w:right w:w="0" w:type="dxa"/>
            </w:tcMar>
            <w:vAlign w:val="bottom"/>
          </w:tcPr>
          <w:p w14:paraId="518B46F5"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6F6" w14:textId="77777777" w:rsidR="005C332D" w:rsidRDefault="00B93EAE">
            <w:pPr>
              <w:jc w:val="right"/>
              <w:textAlignment w:val="bottom"/>
            </w:pPr>
            <w:r>
              <w:rPr>
                <w:rFonts w:ascii="Times New Roman" w:eastAsia="宋体" w:hAnsi="Times New Roman"/>
                <w:b/>
                <w:bCs/>
                <w:color w:val="000000"/>
                <w:sz w:val="20"/>
                <w:szCs w:val="20"/>
              </w:rPr>
              <w:t>489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6F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F8"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6F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6FA" w14:textId="77777777" w:rsidR="005C332D" w:rsidRDefault="00B93EAE">
            <w:pPr>
              <w:jc w:val="right"/>
              <w:textAlignment w:val="bottom"/>
            </w:pPr>
            <w:r>
              <w:rPr>
                <w:rFonts w:ascii="Times New Roman" w:eastAsia="宋体" w:hAnsi="Times New Roman"/>
                <w:color w:val="000000"/>
                <w:sz w:val="20"/>
                <w:szCs w:val="20"/>
              </w:rPr>
              <w:t>521 </w:t>
            </w:r>
          </w:p>
        </w:tc>
        <w:tc>
          <w:tcPr>
            <w:tcW w:w="0" w:type="auto"/>
            <w:shd w:val="clear" w:color="auto" w:fill="CCEEFF"/>
            <w:tcMar>
              <w:top w:w="40" w:type="dxa"/>
              <w:left w:w="0" w:type="dxa"/>
              <w:bottom w:w="40" w:type="dxa"/>
              <w:right w:w="20" w:type="dxa"/>
            </w:tcMar>
            <w:vAlign w:val="bottom"/>
          </w:tcPr>
          <w:p w14:paraId="518B46F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6F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6FD" w14:textId="77777777" w:rsidR="005C332D" w:rsidRDefault="00B93EAE">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518B46FE"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6FF"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00"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701" w14:textId="77777777" w:rsidR="005C332D" w:rsidRDefault="00B93EAE">
            <w:pPr>
              <w:jc w:val="right"/>
              <w:textAlignment w:val="bottom"/>
            </w:pPr>
            <w:r>
              <w:rPr>
                <w:rFonts w:ascii="Times New Roman" w:eastAsia="宋体" w:hAnsi="Times New Roman"/>
                <w:b/>
                <w:bCs/>
                <w:color w:val="000000"/>
                <w:sz w:val="20"/>
                <w:szCs w:val="20"/>
              </w:rPr>
              <w:t>2,101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70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03"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04"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705" w14:textId="77777777" w:rsidR="005C332D" w:rsidRDefault="00B93EAE">
            <w:pPr>
              <w:jc w:val="right"/>
              <w:textAlignment w:val="bottom"/>
            </w:pPr>
            <w:r>
              <w:rPr>
                <w:rFonts w:ascii="Times New Roman" w:eastAsia="宋体" w:hAnsi="Times New Roman"/>
                <w:color w:val="000000"/>
                <w:sz w:val="20"/>
                <w:szCs w:val="20"/>
              </w:rPr>
              <w:t>2,152 </w:t>
            </w:r>
          </w:p>
        </w:tc>
        <w:tc>
          <w:tcPr>
            <w:tcW w:w="0" w:type="auto"/>
            <w:shd w:val="clear" w:color="auto" w:fill="CCEEFF"/>
            <w:tcMar>
              <w:top w:w="40" w:type="dxa"/>
              <w:left w:w="0" w:type="dxa"/>
              <w:bottom w:w="40" w:type="dxa"/>
              <w:right w:w="20" w:type="dxa"/>
            </w:tcMar>
            <w:vAlign w:val="bottom"/>
          </w:tcPr>
          <w:p w14:paraId="518B470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0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08"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518B4709"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0A" w14:textId="77777777" w:rsidR="005C332D" w:rsidRDefault="005C332D">
            <w:pPr>
              <w:rPr>
                <w:rFonts w:ascii="宋体"/>
              </w:rPr>
            </w:pPr>
          </w:p>
        </w:tc>
      </w:tr>
      <w:tr w:rsidR="005C332D" w14:paraId="518B4723" w14:textId="77777777">
        <w:tc>
          <w:tcPr>
            <w:tcW w:w="0" w:type="auto"/>
            <w:gridSpan w:val="3"/>
            <w:shd w:val="clear" w:color="auto" w:fill="FFFFFF"/>
            <w:tcMar>
              <w:top w:w="40" w:type="dxa"/>
              <w:left w:w="20" w:type="dxa"/>
              <w:bottom w:w="40" w:type="dxa"/>
              <w:right w:w="20" w:type="dxa"/>
            </w:tcMar>
            <w:vAlign w:val="bottom"/>
          </w:tcPr>
          <w:p w14:paraId="518B470C" w14:textId="77777777" w:rsidR="005C332D" w:rsidRDefault="00B93EAE">
            <w:pPr>
              <w:textAlignment w:val="bottom"/>
            </w:pPr>
            <w:r>
              <w:rPr>
                <w:rFonts w:ascii="Times New Roman" w:eastAsia="宋体" w:hAnsi="Times New Roman"/>
                <w:color w:val="000000"/>
                <w:sz w:val="20"/>
                <w:szCs w:val="20"/>
              </w:rPr>
              <w:t>Total R&amp;D, sales and marketi</w:t>
            </w:r>
            <w:r>
              <w:rPr>
                <w:rFonts w:ascii="Times New Roman" w:eastAsia="宋体" w:hAnsi="Times New Roman"/>
                <w:color w:val="000000"/>
                <w:sz w:val="20"/>
                <w:szCs w:val="20"/>
              </w:rPr>
              <w:t>ng, general and administrative</w:t>
            </w:r>
          </w:p>
        </w:tc>
        <w:tc>
          <w:tcPr>
            <w:tcW w:w="0" w:type="auto"/>
            <w:shd w:val="clear" w:color="auto" w:fill="FFFFFF"/>
            <w:tcMar>
              <w:top w:w="40" w:type="dxa"/>
              <w:left w:w="20" w:type="dxa"/>
              <w:bottom w:w="40" w:type="dxa"/>
              <w:right w:w="0" w:type="dxa"/>
            </w:tcMar>
            <w:vAlign w:val="bottom"/>
          </w:tcPr>
          <w:p w14:paraId="518B470D"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470E" w14:textId="77777777" w:rsidR="005C332D" w:rsidRDefault="00B93EAE">
            <w:pPr>
              <w:jc w:val="right"/>
              <w:textAlignment w:val="bottom"/>
            </w:pPr>
            <w:r>
              <w:rPr>
                <w:rFonts w:ascii="Times New Roman" w:eastAsia="宋体" w:hAnsi="Times New Roman"/>
                <w:b/>
                <w:bCs/>
                <w:color w:val="000000"/>
                <w:sz w:val="20"/>
                <w:szCs w:val="20"/>
              </w:rPr>
              <w:t>4,520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0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710"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71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712" w14:textId="77777777" w:rsidR="005C332D" w:rsidRDefault="00B93EAE">
            <w:pPr>
              <w:jc w:val="right"/>
              <w:textAlignment w:val="bottom"/>
            </w:pPr>
            <w:r>
              <w:rPr>
                <w:rFonts w:ascii="Times New Roman" w:eastAsia="宋体" w:hAnsi="Times New Roman"/>
                <w:color w:val="000000"/>
                <w:sz w:val="20"/>
                <w:szCs w:val="20"/>
              </w:rPr>
              <w:t>4,682 </w:t>
            </w:r>
          </w:p>
        </w:tc>
        <w:tc>
          <w:tcPr>
            <w:tcW w:w="0" w:type="auto"/>
            <w:shd w:val="clear" w:color="auto" w:fill="FFFFFF"/>
            <w:tcMar>
              <w:top w:w="40" w:type="dxa"/>
              <w:left w:w="0" w:type="dxa"/>
              <w:bottom w:w="40" w:type="dxa"/>
              <w:right w:w="20" w:type="dxa"/>
            </w:tcMar>
            <w:vAlign w:val="bottom"/>
          </w:tcPr>
          <w:p w14:paraId="518B471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71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15" w14:textId="77777777" w:rsidR="005C332D" w:rsidRDefault="00B93EAE">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518B4716"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17"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718"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4719" w14:textId="77777777" w:rsidR="005C332D" w:rsidRDefault="00B93EAE">
            <w:pPr>
              <w:jc w:val="right"/>
              <w:textAlignment w:val="bottom"/>
            </w:pPr>
            <w:r>
              <w:rPr>
                <w:rFonts w:ascii="Times New Roman" w:eastAsia="宋体" w:hAnsi="Times New Roman"/>
                <w:b/>
                <w:bCs/>
                <w:color w:val="000000"/>
                <w:sz w:val="20"/>
                <w:szCs w:val="20"/>
              </w:rPr>
              <w:t>17,960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1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71B"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71C"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71D" w14:textId="77777777" w:rsidR="005C332D" w:rsidRDefault="00B93EAE">
            <w:pPr>
              <w:jc w:val="right"/>
              <w:textAlignment w:val="bottom"/>
            </w:pPr>
            <w:r>
              <w:rPr>
                <w:rFonts w:ascii="Times New Roman" w:eastAsia="宋体" w:hAnsi="Times New Roman"/>
                <w:color w:val="000000"/>
                <w:sz w:val="20"/>
                <w:szCs w:val="20"/>
              </w:rPr>
              <w:t>17,960 </w:t>
            </w:r>
          </w:p>
        </w:tc>
        <w:tc>
          <w:tcPr>
            <w:tcW w:w="0" w:type="auto"/>
            <w:shd w:val="clear" w:color="auto" w:fill="FFFFFF"/>
            <w:tcMar>
              <w:top w:w="40" w:type="dxa"/>
              <w:left w:w="0" w:type="dxa"/>
              <w:bottom w:w="40" w:type="dxa"/>
              <w:right w:w="20" w:type="dxa"/>
            </w:tcMar>
            <w:vAlign w:val="bottom"/>
          </w:tcPr>
          <w:p w14:paraId="518B471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71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20"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21"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22" w14:textId="77777777" w:rsidR="005C332D" w:rsidRDefault="005C332D">
            <w:pPr>
              <w:rPr>
                <w:rFonts w:ascii="宋体"/>
              </w:rPr>
            </w:pPr>
          </w:p>
        </w:tc>
      </w:tr>
      <w:tr w:rsidR="005C332D" w14:paraId="518B4737" w14:textId="77777777">
        <w:tc>
          <w:tcPr>
            <w:tcW w:w="0" w:type="auto"/>
            <w:gridSpan w:val="3"/>
            <w:shd w:val="clear" w:color="auto" w:fill="CCEEFF"/>
            <w:tcMar>
              <w:top w:w="40" w:type="dxa"/>
              <w:left w:w="20" w:type="dxa"/>
              <w:bottom w:w="40" w:type="dxa"/>
              <w:right w:w="20" w:type="dxa"/>
            </w:tcMar>
            <w:vAlign w:val="bottom"/>
          </w:tcPr>
          <w:p w14:paraId="518B4724" w14:textId="77777777" w:rsidR="005C332D" w:rsidRDefault="00B93EAE">
            <w:pPr>
              <w:textAlignment w:val="bottom"/>
            </w:pPr>
            <w:r>
              <w:rPr>
                <w:rFonts w:ascii="Times New Roman" w:eastAsia="宋体" w:hAnsi="Times New Roman"/>
                <w:color w:val="000000"/>
                <w:sz w:val="20"/>
                <w:szCs w:val="20"/>
              </w:rPr>
              <w:t>Total as a percentage of rev</w:t>
            </w:r>
            <w:r>
              <w:rPr>
                <w:rFonts w:ascii="Times New Roman" w:eastAsia="宋体" w:hAnsi="Times New Roman"/>
                <w:color w:val="000000"/>
                <w:sz w:val="20"/>
                <w:szCs w:val="20"/>
              </w:rPr>
              <w:t>enue</w:t>
            </w:r>
          </w:p>
        </w:tc>
        <w:tc>
          <w:tcPr>
            <w:tcW w:w="0" w:type="auto"/>
            <w:gridSpan w:val="2"/>
            <w:shd w:val="clear" w:color="auto" w:fill="CCEEFF"/>
            <w:tcMar>
              <w:top w:w="40" w:type="dxa"/>
              <w:left w:w="20" w:type="dxa"/>
              <w:bottom w:w="40" w:type="dxa"/>
              <w:right w:w="0" w:type="dxa"/>
            </w:tcMar>
            <w:vAlign w:val="bottom"/>
          </w:tcPr>
          <w:p w14:paraId="518B4725" w14:textId="77777777" w:rsidR="005C332D" w:rsidRDefault="00B93EAE">
            <w:pPr>
              <w:jc w:val="right"/>
              <w:textAlignment w:val="bottom"/>
            </w:pPr>
            <w:r>
              <w:rPr>
                <w:rFonts w:ascii="Times New Roman" w:eastAsia="宋体" w:hAnsi="Times New Roman"/>
                <w:b/>
                <w:bCs/>
                <w:color w:val="000000"/>
                <w:sz w:val="20"/>
                <w:szCs w:val="20"/>
              </w:rPr>
              <w:t>34.5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726"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2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28" w14:textId="77777777" w:rsidR="005C332D" w:rsidRDefault="00B93EAE">
            <w:pPr>
              <w:jc w:val="right"/>
              <w:textAlignment w:val="bottom"/>
            </w:pPr>
            <w:r>
              <w:rPr>
                <w:rFonts w:ascii="Times New Roman" w:eastAsia="宋体" w:hAnsi="Times New Roman"/>
                <w:color w:val="000000"/>
                <w:sz w:val="20"/>
                <w:szCs w:val="20"/>
              </w:rPr>
              <w:t>35.7 </w:t>
            </w:r>
          </w:p>
        </w:tc>
        <w:tc>
          <w:tcPr>
            <w:tcW w:w="0" w:type="auto"/>
            <w:shd w:val="clear" w:color="auto" w:fill="CCEEFF"/>
            <w:tcMar>
              <w:top w:w="40" w:type="dxa"/>
              <w:left w:w="0" w:type="dxa"/>
              <w:bottom w:w="40" w:type="dxa"/>
              <w:right w:w="20" w:type="dxa"/>
            </w:tcMar>
            <w:vAlign w:val="bottom"/>
          </w:tcPr>
          <w:p w14:paraId="518B4729"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2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2B" w14:textId="77777777" w:rsidR="005C332D" w:rsidRDefault="00B93EAE">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518B472C" w14:textId="77777777" w:rsidR="005C332D" w:rsidRDefault="005C332D">
            <w:pPr>
              <w:jc w:val="right"/>
              <w:rPr>
                <w:rFonts w:ascii="宋体"/>
              </w:rPr>
            </w:pPr>
          </w:p>
        </w:tc>
        <w:tc>
          <w:tcPr>
            <w:tcW w:w="0" w:type="auto"/>
            <w:gridSpan w:val="3"/>
            <w:shd w:val="clear" w:color="auto" w:fill="CCEEFF"/>
            <w:tcMar>
              <w:top w:w="40" w:type="dxa"/>
              <w:left w:w="20" w:type="dxa"/>
              <w:bottom w:w="40" w:type="dxa"/>
              <w:right w:w="20" w:type="dxa"/>
            </w:tcMar>
            <w:vAlign w:val="bottom"/>
          </w:tcPr>
          <w:p w14:paraId="518B472D" w14:textId="77777777" w:rsidR="005C332D" w:rsidRDefault="00B93EAE">
            <w:pPr>
              <w:textAlignment w:val="bottom"/>
            </w:pPr>
            <w:r>
              <w:rPr>
                <w:rFonts w:ascii="Times New Roman" w:eastAsia="宋体" w:hAnsi="Times New Roman"/>
                <w:color w:val="000000"/>
                <w:sz w:val="20"/>
                <w:szCs w:val="20"/>
              </w:rPr>
              <w:t>pts</w:t>
            </w:r>
          </w:p>
        </w:tc>
        <w:tc>
          <w:tcPr>
            <w:tcW w:w="0" w:type="auto"/>
            <w:gridSpan w:val="2"/>
            <w:shd w:val="clear" w:color="auto" w:fill="CCEEFF"/>
            <w:tcMar>
              <w:top w:w="40" w:type="dxa"/>
              <w:left w:w="20" w:type="dxa"/>
              <w:bottom w:w="40" w:type="dxa"/>
              <w:right w:w="0" w:type="dxa"/>
            </w:tcMar>
            <w:vAlign w:val="bottom"/>
          </w:tcPr>
          <w:p w14:paraId="518B472E" w14:textId="77777777" w:rsidR="005C332D" w:rsidRDefault="00B93EAE">
            <w:pPr>
              <w:jc w:val="right"/>
              <w:textAlignment w:val="bottom"/>
            </w:pPr>
            <w:r>
              <w:rPr>
                <w:rFonts w:ascii="Times New Roman" w:eastAsia="宋体" w:hAnsi="Times New Roman"/>
                <w:b/>
                <w:bCs/>
                <w:color w:val="000000"/>
                <w:sz w:val="20"/>
                <w:szCs w:val="20"/>
              </w:rPr>
              <w:t>34.8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72F"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3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31" w14:textId="77777777" w:rsidR="005C332D" w:rsidRDefault="00B93EAE">
            <w:pPr>
              <w:jc w:val="right"/>
              <w:textAlignment w:val="bottom"/>
            </w:pPr>
            <w:r>
              <w:rPr>
                <w:rFonts w:ascii="Times New Roman" w:eastAsia="宋体" w:hAnsi="Times New Roman"/>
                <w:color w:val="000000"/>
                <w:sz w:val="20"/>
                <w:szCs w:val="20"/>
              </w:rPr>
              <w:t>36.1 </w:t>
            </w:r>
          </w:p>
        </w:tc>
        <w:tc>
          <w:tcPr>
            <w:tcW w:w="0" w:type="auto"/>
            <w:shd w:val="clear" w:color="auto" w:fill="CCEEFF"/>
            <w:tcMar>
              <w:top w:w="40" w:type="dxa"/>
              <w:left w:w="0" w:type="dxa"/>
              <w:bottom w:w="40" w:type="dxa"/>
              <w:right w:w="20" w:type="dxa"/>
            </w:tcMar>
            <w:vAlign w:val="bottom"/>
          </w:tcPr>
          <w:p w14:paraId="518B4732"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3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34" w14:textId="77777777" w:rsidR="005C332D" w:rsidRDefault="00B93EAE">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518B4735" w14:textId="77777777" w:rsidR="005C332D" w:rsidRDefault="005C332D">
            <w:pPr>
              <w:jc w:val="right"/>
              <w:rPr>
                <w:rFonts w:ascii="宋体"/>
              </w:rPr>
            </w:pPr>
          </w:p>
        </w:tc>
        <w:tc>
          <w:tcPr>
            <w:tcW w:w="0" w:type="auto"/>
            <w:gridSpan w:val="3"/>
            <w:shd w:val="clear" w:color="auto" w:fill="CCEEFF"/>
            <w:tcMar>
              <w:top w:w="40" w:type="dxa"/>
              <w:left w:w="20" w:type="dxa"/>
              <w:bottom w:w="40" w:type="dxa"/>
              <w:right w:w="20" w:type="dxa"/>
            </w:tcMar>
            <w:vAlign w:val="bottom"/>
          </w:tcPr>
          <w:p w14:paraId="518B4736" w14:textId="77777777" w:rsidR="005C332D" w:rsidRDefault="00B93EAE">
            <w:pPr>
              <w:textAlignment w:val="bottom"/>
            </w:pPr>
            <w:r>
              <w:rPr>
                <w:rFonts w:ascii="Times New Roman" w:eastAsia="宋体" w:hAnsi="Times New Roman"/>
                <w:color w:val="000000"/>
                <w:sz w:val="20"/>
                <w:szCs w:val="20"/>
              </w:rPr>
              <w:t>pts </w:t>
            </w:r>
          </w:p>
        </w:tc>
      </w:tr>
      <w:tr w:rsidR="005C332D" w14:paraId="518B474F" w14:textId="77777777">
        <w:tc>
          <w:tcPr>
            <w:tcW w:w="0" w:type="auto"/>
            <w:gridSpan w:val="3"/>
            <w:shd w:val="clear" w:color="auto" w:fill="FFFFFF"/>
            <w:tcMar>
              <w:top w:w="40" w:type="dxa"/>
              <w:left w:w="20" w:type="dxa"/>
              <w:bottom w:w="40" w:type="dxa"/>
              <w:right w:w="20" w:type="dxa"/>
            </w:tcMar>
            <w:vAlign w:val="bottom"/>
          </w:tcPr>
          <w:p w14:paraId="518B4738" w14:textId="77777777" w:rsidR="005C332D" w:rsidRDefault="00B93EAE">
            <w:pPr>
              <w:textAlignment w:val="bottom"/>
            </w:pPr>
            <w:r>
              <w:rPr>
                <w:rFonts w:ascii="Times New Roman" w:eastAsia="宋体" w:hAnsi="Times New Roman"/>
                <w:color w:val="000000"/>
                <w:sz w:val="20"/>
                <w:szCs w:val="20"/>
              </w:rPr>
              <w:t>Amortization of purchased intangible assets included in operating expenses</w:t>
            </w:r>
          </w:p>
        </w:tc>
        <w:tc>
          <w:tcPr>
            <w:tcW w:w="0" w:type="auto"/>
            <w:shd w:val="clear" w:color="auto" w:fill="FFFFFF"/>
            <w:tcMar>
              <w:top w:w="40" w:type="dxa"/>
              <w:left w:w="20" w:type="dxa"/>
              <w:bottom w:w="40" w:type="dxa"/>
              <w:right w:w="0" w:type="dxa"/>
            </w:tcMar>
            <w:vAlign w:val="bottom"/>
          </w:tcPr>
          <w:p w14:paraId="518B4739"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473A" w14:textId="77777777" w:rsidR="005C332D" w:rsidRDefault="00B93EAE">
            <w:pPr>
              <w:jc w:val="right"/>
              <w:textAlignment w:val="bottom"/>
            </w:pPr>
            <w:r>
              <w:rPr>
                <w:rFonts w:ascii="Times New Roman" w:eastAsia="宋体" w:hAnsi="Times New Roman"/>
                <w:b/>
                <w:bCs/>
                <w:color w:val="000000"/>
                <w:sz w:val="20"/>
                <w:szCs w:val="20"/>
              </w:rPr>
              <w:t>73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3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73C"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73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73E" w14:textId="77777777" w:rsidR="005C332D" w:rsidRDefault="00B93EAE">
            <w:pPr>
              <w:jc w:val="right"/>
              <w:textAlignment w:val="bottom"/>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bottom"/>
          </w:tcPr>
          <w:p w14:paraId="518B473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74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41" w14:textId="77777777" w:rsidR="005C332D" w:rsidRDefault="00B93EAE">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518B4742"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43"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744"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4745" w14:textId="77777777" w:rsidR="005C332D" w:rsidRDefault="00B93EAE">
            <w:pPr>
              <w:jc w:val="right"/>
              <w:textAlignment w:val="bottom"/>
            </w:pPr>
            <w:r>
              <w:rPr>
                <w:rFonts w:ascii="Times New Roman" w:eastAsia="宋体" w:hAnsi="Times New Roman"/>
                <w:b/>
                <w:bCs/>
                <w:color w:val="000000"/>
                <w:sz w:val="20"/>
                <w:szCs w:val="20"/>
              </w:rPr>
              <w:t>313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4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747"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748"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749" w14:textId="77777777" w:rsidR="005C332D" w:rsidRDefault="00B93EAE">
            <w:pPr>
              <w:jc w:val="right"/>
              <w:textAlignment w:val="bottom"/>
            </w:pPr>
            <w:r>
              <w:rPr>
                <w:rFonts w:ascii="Times New Roman" w:eastAsia="宋体" w:hAnsi="Times New Roman"/>
                <w:color w:val="000000"/>
                <w:sz w:val="20"/>
                <w:szCs w:val="20"/>
              </w:rPr>
              <w:t>215 </w:t>
            </w:r>
          </w:p>
        </w:tc>
        <w:tc>
          <w:tcPr>
            <w:tcW w:w="0" w:type="auto"/>
            <w:shd w:val="clear" w:color="auto" w:fill="FFFFFF"/>
            <w:tcMar>
              <w:top w:w="40" w:type="dxa"/>
              <w:left w:w="0" w:type="dxa"/>
              <w:bottom w:w="40" w:type="dxa"/>
              <w:right w:w="20" w:type="dxa"/>
            </w:tcMar>
            <w:vAlign w:val="bottom"/>
          </w:tcPr>
          <w:p w14:paraId="518B474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74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4C" w14:textId="77777777" w:rsidR="005C332D" w:rsidRDefault="00B93EAE">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518B474D"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4E" w14:textId="77777777" w:rsidR="005C332D" w:rsidRDefault="005C332D">
            <w:pPr>
              <w:rPr>
                <w:rFonts w:ascii="宋体"/>
              </w:rPr>
            </w:pPr>
          </w:p>
        </w:tc>
      </w:tr>
      <w:tr w:rsidR="005C332D" w14:paraId="518B4767" w14:textId="77777777">
        <w:tc>
          <w:tcPr>
            <w:tcW w:w="0" w:type="auto"/>
            <w:gridSpan w:val="3"/>
            <w:shd w:val="clear" w:color="auto" w:fill="CCEEFF"/>
            <w:tcMar>
              <w:top w:w="40" w:type="dxa"/>
              <w:left w:w="20" w:type="dxa"/>
              <w:bottom w:w="40" w:type="dxa"/>
              <w:right w:w="20" w:type="dxa"/>
            </w:tcMar>
            <w:vAlign w:val="bottom"/>
          </w:tcPr>
          <w:p w14:paraId="518B4750" w14:textId="77777777" w:rsidR="005C332D" w:rsidRDefault="00B93EAE">
            <w:pPr>
              <w:textAlignment w:val="bottom"/>
            </w:pPr>
            <w:r>
              <w:rPr>
                <w:rFonts w:ascii="Times New Roman" w:eastAsia="宋体" w:hAnsi="Times New Roman"/>
                <w:color w:val="000000"/>
                <w:sz w:val="20"/>
                <w:szCs w:val="20"/>
              </w:rPr>
              <w:t>Re</w:t>
            </w:r>
            <w:r>
              <w:rPr>
                <w:rFonts w:ascii="Times New Roman" w:eastAsia="宋体" w:hAnsi="Times New Roman"/>
                <w:color w:val="000000"/>
                <w:sz w:val="20"/>
                <w:szCs w:val="20"/>
              </w:rPr>
              <w:t>structuring and other charges included in operating expenses</w:t>
            </w:r>
          </w:p>
        </w:tc>
        <w:tc>
          <w:tcPr>
            <w:tcW w:w="0" w:type="auto"/>
            <w:shd w:val="clear" w:color="auto" w:fill="CCEEFF"/>
            <w:tcMar>
              <w:top w:w="40" w:type="dxa"/>
              <w:left w:w="20" w:type="dxa"/>
              <w:bottom w:w="40" w:type="dxa"/>
              <w:right w:w="0" w:type="dxa"/>
            </w:tcMar>
            <w:vAlign w:val="bottom"/>
          </w:tcPr>
          <w:p w14:paraId="518B4751"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752" w14:textId="77777777" w:rsidR="005C332D" w:rsidRDefault="00B93EAE">
            <w:pPr>
              <w:jc w:val="right"/>
              <w:textAlignment w:val="bottom"/>
            </w:pPr>
            <w:r>
              <w:rPr>
                <w:rFonts w:ascii="Times New Roman" w:eastAsia="宋体" w:hAnsi="Times New Roman"/>
                <w:b/>
                <w:bCs/>
                <w:color w:val="000000"/>
                <w:sz w:val="20"/>
                <w:szCs w:val="20"/>
              </w:rPr>
              <w:t>(2)</w:t>
            </w:r>
          </w:p>
        </w:tc>
        <w:tc>
          <w:tcPr>
            <w:tcW w:w="0" w:type="auto"/>
            <w:shd w:val="clear" w:color="auto" w:fill="CCEEFF"/>
            <w:tcMar>
              <w:top w:w="40" w:type="dxa"/>
              <w:left w:w="0" w:type="dxa"/>
              <w:bottom w:w="40" w:type="dxa"/>
              <w:right w:w="20" w:type="dxa"/>
            </w:tcMar>
            <w:vAlign w:val="bottom"/>
          </w:tcPr>
          <w:p w14:paraId="518B475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54"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55"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756" w14:textId="77777777" w:rsidR="005C332D" w:rsidRDefault="00B93EAE">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518B475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5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59" w14:textId="77777777" w:rsidR="005C332D" w:rsidRDefault="00B93EAE">
            <w:pPr>
              <w:jc w:val="right"/>
              <w:textAlignment w:val="bottom"/>
            </w:pPr>
            <w:r>
              <w:rPr>
                <w:rFonts w:ascii="Times New Roman" w:eastAsia="宋体" w:hAnsi="Times New Roman"/>
                <w:color w:val="000000"/>
                <w:sz w:val="20"/>
                <w:szCs w:val="20"/>
              </w:rPr>
              <w:t>(133)</w:t>
            </w:r>
          </w:p>
        </w:tc>
        <w:tc>
          <w:tcPr>
            <w:tcW w:w="0" w:type="auto"/>
            <w:shd w:val="clear" w:color="auto" w:fill="CCEEFF"/>
            <w:tcMar>
              <w:top w:w="40" w:type="dxa"/>
              <w:left w:w="0" w:type="dxa"/>
              <w:bottom w:w="40" w:type="dxa"/>
              <w:right w:w="20" w:type="dxa"/>
            </w:tcMar>
            <w:vAlign w:val="bottom"/>
          </w:tcPr>
          <w:p w14:paraId="518B475A"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5B"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5C"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75D" w14:textId="77777777" w:rsidR="005C332D" w:rsidRDefault="00B93EAE">
            <w:pPr>
              <w:jc w:val="right"/>
              <w:textAlignment w:val="bottom"/>
            </w:pPr>
            <w:r>
              <w:rPr>
                <w:rFonts w:ascii="Times New Roman" w:eastAsia="宋体" w:hAnsi="Times New Roman"/>
                <w:b/>
                <w:bCs/>
                <w:color w:val="000000"/>
                <w:sz w:val="20"/>
                <w:szCs w:val="20"/>
              </w:rPr>
              <w:t>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75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5F"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60"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761" w14:textId="77777777" w:rsidR="005C332D" w:rsidRDefault="00B93EAE">
            <w:pPr>
              <w:jc w:val="right"/>
              <w:textAlignment w:val="bottom"/>
            </w:pPr>
            <w:r>
              <w:rPr>
                <w:rFonts w:ascii="Times New Roman" w:eastAsia="宋体" w:hAnsi="Times New Roman"/>
                <w:color w:val="000000"/>
                <w:sz w:val="20"/>
                <w:szCs w:val="20"/>
              </w:rPr>
              <w:t>886 </w:t>
            </w:r>
          </w:p>
        </w:tc>
        <w:tc>
          <w:tcPr>
            <w:tcW w:w="0" w:type="auto"/>
            <w:shd w:val="clear" w:color="auto" w:fill="CCEEFF"/>
            <w:tcMar>
              <w:top w:w="40" w:type="dxa"/>
              <w:left w:w="0" w:type="dxa"/>
              <w:bottom w:w="40" w:type="dxa"/>
              <w:right w:w="20" w:type="dxa"/>
            </w:tcMar>
            <w:vAlign w:val="bottom"/>
          </w:tcPr>
          <w:p w14:paraId="518B476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6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64" w14:textId="77777777" w:rsidR="005C332D" w:rsidRDefault="00B93EAE">
            <w:pPr>
              <w:jc w:val="right"/>
              <w:textAlignment w:val="bottom"/>
            </w:pPr>
            <w:r>
              <w:rPr>
                <w:rFonts w:ascii="Times New Roman" w:eastAsia="宋体" w:hAnsi="Times New Roman"/>
                <w:color w:val="000000"/>
                <w:sz w:val="20"/>
                <w:szCs w:val="20"/>
              </w:rPr>
              <w:t>(99)</w:t>
            </w:r>
          </w:p>
        </w:tc>
        <w:tc>
          <w:tcPr>
            <w:tcW w:w="0" w:type="auto"/>
            <w:shd w:val="clear" w:color="auto" w:fill="CCEEFF"/>
            <w:tcMar>
              <w:top w:w="40" w:type="dxa"/>
              <w:left w:w="0" w:type="dxa"/>
              <w:bottom w:w="40" w:type="dxa"/>
              <w:right w:w="20" w:type="dxa"/>
            </w:tcMar>
            <w:vAlign w:val="bottom"/>
          </w:tcPr>
          <w:p w14:paraId="518B4765"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66" w14:textId="77777777" w:rsidR="005C332D" w:rsidRDefault="005C332D">
            <w:pPr>
              <w:rPr>
                <w:rFonts w:ascii="宋体"/>
              </w:rPr>
            </w:pPr>
          </w:p>
        </w:tc>
      </w:tr>
      <w:tr w:rsidR="005C332D" w14:paraId="518B477B" w14:textId="77777777">
        <w:tc>
          <w:tcPr>
            <w:tcW w:w="0" w:type="auto"/>
            <w:gridSpan w:val="3"/>
            <w:shd w:val="clear" w:color="auto" w:fill="FFFFFF"/>
            <w:tcMar>
              <w:top w:w="40" w:type="dxa"/>
              <w:left w:w="20" w:type="dxa"/>
              <w:bottom w:w="40" w:type="dxa"/>
              <w:right w:w="20" w:type="dxa"/>
            </w:tcMar>
            <w:vAlign w:val="bottom"/>
          </w:tcPr>
          <w:p w14:paraId="518B4768" w14:textId="77777777" w:rsidR="005C332D" w:rsidRDefault="00B93EAE">
            <w:pPr>
              <w:textAlignment w:val="bottom"/>
            </w:pPr>
            <w:r>
              <w:rPr>
                <w:rFonts w:ascii="Times New Roman" w:eastAsia="宋体" w:hAnsi="Times New Roman"/>
                <w:color w:val="000000"/>
                <w:sz w:val="20"/>
                <w:szCs w:val="20"/>
              </w:rPr>
              <w:t>Operating income as a percen</w:t>
            </w:r>
            <w:r>
              <w:rPr>
                <w:rFonts w:ascii="Times New Roman" w:eastAsia="宋体" w:hAnsi="Times New Roman"/>
                <w:color w:val="000000"/>
                <w:sz w:val="20"/>
                <w:szCs w:val="20"/>
              </w:rPr>
              <w:t>tage of revenue</w:t>
            </w:r>
          </w:p>
        </w:tc>
        <w:tc>
          <w:tcPr>
            <w:tcW w:w="0" w:type="auto"/>
            <w:gridSpan w:val="2"/>
            <w:shd w:val="clear" w:color="auto" w:fill="FFFFFF"/>
            <w:tcMar>
              <w:top w:w="40" w:type="dxa"/>
              <w:left w:w="20" w:type="dxa"/>
              <w:bottom w:w="40" w:type="dxa"/>
              <w:right w:w="0" w:type="dxa"/>
            </w:tcMar>
            <w:vAlign w:val="bottom"/>
          </w:tcPr>
          <w:p w14:paraId="518B4769" w14:textId="77777777" w:rsidR="005C332D" w:rsidRDefault="00B93EAE">
            <w:pPr>
              <w:jc w:val="right"/>
              <w:textAlignment w:val="bottom"/>
            </w:pPr>
            <w:r>
              <w:rPr>
                <w:rFonts w:ascii="Times New Roman" w:eastAsia="宋体" w:hAnsi="Times New Roman"/>
                <w:b/>
                <w:bCs/>
                <w:color w:val="000000"/>
                <w:sz w:val="20"/>
                <w:szCs w:val="20"/>
              </w:rPr>
              <w:t>26.2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6A"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6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6C" w14:textId="77777777" w:rsidR="005C332D" w:rsidRDefault="00B93EAE">
            <w:pPr>
              <w:jc w:val="right"/>
              <w:textAlignment w:val="bottom"/>
            </w:pPr>
            <w:r>
              <w:rPr>
                <w:rFonts w:ascii="Times New Roman" w:eastAsia="宋体" w:hAnsi="Times New Roman"/>
                <w:color w:val="000000"/>
                <w:sz w:val="20"/>
                <w:szCs w:val="20"/>
              </w:rPr>
              <w:t>27.2 </w:t>
            </w:r>
          </w:p>
        </w:tc>
        <w:tc>
          <w:tcPr>
            <w:tcW w:w="0" w:type="auto"/>
            <w:shd w:val="clear" w:color="auto" w:fill="FFFFFF"/>
            <w:tcMar>
              <w:top w:w="40" w:type="dxa"/>
              <w:left w:w="0" w:type="dxa"/>
              <w:bottom w:w="40" w:type="dxa"/>
              <w:right w:w="20" w:type="dxa"/>
            </w:tcMar>
            <w:vAlign w:val="bottom"/>
          </w:tcPr>
          <w:p w14:paraId="518B476D"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6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6F" w14:textId="77777777" w:rsidR="005C332D" w:rsidRDefault="00B93EAE">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518B4770" w14:textId="77777777" w:rsidR="005C332D" w:rsidRDefault="005C332D">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18B4771" w14:textId="77777777" w:rsidR="005C332D" w:rsidRDefault="00B93EAE">
            <w:pPr>
              <w:textAlignment w:val="bottom"/>
            </w:pPr>
            <w:r>
              <w:rPr>
                <w:rFonts w:ascii="Times New Roman" w:eastAsia="宋体" w:hAnsi="Times New Roman"/>
                <w:color w:val="000000"/>
                <w:sz w:val="20"/>
                <w:szCs w:val="20"/>
              </w:rPr>
              <w:t>pts</w:t>
            </w:r>
          </w:p>
        </w:tc>
        <w:tc>
          <w:tcPr>
            <w:tcW w:w="0" w:type="auto"/>
            <w:gridSpan w:val="2"/>
            <w:shd w:val="clear" w:color="auto" w:fill="FFFFFF"/>
            <w:tcMar>
              <w:top w:w="40" w:type="dxa"/>
              <w:left w:w="20" w:type="dxa"/>
              <w:bottom w:w="40" w:type="dxa"/>
              <w:right w:w="0" w:type="dxa"/>
            </w:tcMar>
            <w:vAlign w:val="bottom"/>
          </w:tcPr>
          <w:p w14:paraId="518B4772" w14:textId="77777777" w:rsidR="005C332D" w:rsidRDefault="00B93EAE">
            <w:pPr>
              <w:jc w:val="right"/>
              <w:textAlignment w:val="bottom"/>
            </w:pPr>
            <w:r>
              <w:rPr>
                <w:rFonts w:ascii="Times New Roman" w:eastAsia="宋体" w:hAnsi="Times New Roman"/>
                <w:b/>
                <w:bCs/>
                <w:color w:val="000000"/>
                <w:sz w:val="20"/>
                <w:szCs w:val="20"/>
              </w:rPr>
              <w:t>27.1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73"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7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75" w14:textId="77777777" w:rsidR="005C332D" w:rsidRDefault="00B93EAE">
            <w:pPr>
              <w:jc w:val="right"/>
              <w:textAlignment w:val="bottom"/>
            </w:pPr>
            <w:r>
              <w:rPr>
                <w:rFonts w:ascii="Times New Roman" w:eastAsia="宋体" w:hAnsi="Times New Roman"/>
                <w:color w:val="000000"/>
                <w:sz w:val="20"/>
                <w:szCs w:val="20"/>
              </w:rPr>
              <w:t>25.8 </w:t>
            </w:r>
          </w:p>
        </w:tc>
        <w:tc>
          <w:tcPr>
            <w:tcW w:w="0" w:type="auto"/>
            <w:shd w:val="clear" w:color="auto" w:fill="FFFFFF"/>
            <w:tcMar>
              <w:top w:w="40" w:type="dxa"/>
              <w:left w:w="0" w:type="dxa"/>
              <w:bottom w:w="40" w:type="dxa"/>
              <w:right w:w="20" w:type="dxa"/>
            </w:tcMar>
            <w:vAlign w:val="bottom"/>
          </w:tcPr>
          <w:p w14:paraId="518B4776"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7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78" w14:textId="77777777" w:rsidR="005C332D" w:rsidRDefault="00B93EAE">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518B4779" w14:textId="77777777" w:rsidR="005C332D" w:rsidRDefault="005C332D">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18B477A" w14:textId="77777777" w:rsidR="005C332D" w:rsidRDefault="00B93EAE">
            <w:pPr>
              <w:textAlignment w:val="bottom"/>
            </w:pPr>
            <w:r>
              <w:rPr>
                <w:rFonts w:ascii="Times New Roman" w:eastAsia="宋体" w:hAnsi="Times New Roman"/>
                <w:color w:val="000000"/>
                <w:sz w:val="20"/>
                <w:szCs w:val="20"/>
              </w:rPr>
              <w:t>pts</w:t>
            </w:r>
          </w:p>
        </w:tc>
      </w:tr>
      <w:tr w:rsidR="005C332D" w14:paraId="518B4793" w14:textId="77777777">
        <w:tc>
          <w:tcPr>
            <w:tcW w:w="0" w:type="auto"/>
            <w:gridSpan w:val="3"/>
            <w:shd w:val="clear" w:color="auto" w:fill="CCEEFF"/>
            <w:tcMar>
              <w:top w:w="40" w:type="dxa"/>
              <w:left w:w="20" w:type="dxa"/>
              <w:bottom w:w="40" w:type="dxa"/>
              <w:right w:w="20" w:type="dxa"/>
            </w:tcMar>
            <w:vAlign w:val="bottom"/>
          </w:tcPr>
          <w:p w14:paraId="518B477C" w14:textId="77777777" w:rsidR="005C332D" w:rsidRDefault="00B93EAE">
            <w:pPr>
              <w:textAlignment w:val="bottom"/>
            </w:pPr>
            <w:r>
              <w:rPr>
                <w:rFonts w:ascii="Times New Roman" w:eastAsia="宋体" w:hAnsi="Times New Roman"/>
                <w:color w:val="000000"/>
                <w:sz w:val="20"/>
                <w:szCs w:val="20"/>
              </w:rPr>
              <w:t>Interest and other income (loss), net</w:t>
            </w:r>
          </w:p>
        </w:tc>
        <w:tc>
          <w:tcPr>
            <w:tcW w:w="0" w:type="auto"/>
            <w:shd w:val="clear" w:color="auto" w:fill="CCEEFF"/>
            <w:tcMar>
              <w:top w:w="40" w:type="dxa"/>
              <w:left w:w="20" w:type="dxa"/>
              <w:bottom w:w="40" w:type="dxa"/>
              <w:right w:w="0" w:type="dxa"/>
            </w:tcMar>
            <w:vAlign w:val="bottom"/>
          </w:tcPr>
          <w:p w14:paraId="518B477D"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77E" w14:textId="77777777" w:rsidR="005C332D" w:rsidRDefault="00B93EAE">
            <w:pPr>
              <w:jc w:val="right"/>
              <w:textAlignment w:val="bottom"/>
            </w:pPr>
            <w:r>
              <w:rPr>
                <w:rFonts w:ascii="Times New Roman" w:eastAsia="宋体" w:hAnsi="Times New Roman"/>
                <w:b/>
                <w:bCs/>
                <w:color w:val="000000"/>
                <w:sz w:val="20"/>
                <w:szCs w:val="20"/>
              </w:rPr>
              <w:t>(18)</w:t>
            </w:r>
          </w:p>
        </w:tc>
        <w:tc>
          <w:tcPr>
            <w:tcW w:w="0" w:type="auto"/>
            <w:shd w:val="clear" w:color="auto" w:fill="CCEEFF"/>
            <w:tcMar>
              <w:top w:w="40" w:type="dxa"/>
              <w:left w:w="0" w:type="dxa"/>
              <w:bottom w:w="40" w:type="dxa"/>
              <w:right w:w="20" w:type="dxa"/>
            </w:tcMar>
            <w:vAlign w:val="bottom"/>
          </w:tcPr>
          <w:p w14:paraId="518B477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80"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8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782" w14:textId="77777777" w:rsidR="005C332D" w:rsidRDefault="00B93EAE">
            <w:pPr>
              <w:jc w:val="right"/>
              <w:textAlignment w:val="bottom"/>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vAlign w:val="bottom"/>
          </w:tcPr>
          <w:p w14:paraId="518B478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8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85" w14:textId="77777777" w:rsidR="005C332D" w:rsidRDefault="00B93EAE">
            <w:pPr>
              <w:jc w:val="right"/>
              <w:textAlignment w:val="bottom"/>
            </w:pPr>
            <w:r>
              <w:rPr>
                <w:rFonts w:ascii="Times New Roman" w:eastAsia="宋体" w:hAnsi="Times New Roman"/>
                <w:color w:val="000000"/>
                <w:sz w:val="20"/>
                <w:szCs w:val="20"/>
              </w:rPr>
              <w:t>(111)</w:t>
            </w:r>
          </w:p>
        </w:tc>
        <w:tc>
          <w:tcPr>
            <w:tcW w:w="0" w:type="auto"/>
            <w:shd w:val="clear" w:color="auto" w:fill="CCEEFF"/>
            <w:tcMar>
              <w:top w:w="40" w:type="dxa"/>
              <w:left w:w="0" w:type="dxa"/>
              <w:bottom w:w="40" w:type="dxa"/>
              <w:right w:w="20" w:type="dxa"/>
            </w:tcMar>
            <w:vAlign w:val="bottom"/>
          </w:tcPr>
          <w:p w14:paraId="518B4786"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87"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88"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789" w14:textId="77777777" w:rsidR="005C332D" w:rsidRDefault="00B93EAE">
            <w:pPr>
              <w:jc w:val="right"/>
              <w:textAlignment w:val="bottom"/>
            </w:pPr>
            <w:r>
              <w:rPr>
                <w:rFonts w:ascii="Times New Roman" w:eastAsia="宋体" w:hAnsi="Times New Roman"/>
                <w:b/>
                <w:bCs/>
                <w:color w:val="000000"/>
                <w:sz w:val="20"/>
                <w:szCs w:val="20"/>
              </w:rPr>
              <w:t>508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78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8B"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8C"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78D" w14:textId="77777777" w:rsidR="005C332D" w:rsidRDefault="00B93EAE">
            <w:pPr>
              <w:jc w:val="right"/>
              <w:textAlignment w:val="bottom"/>
            </w:pPr>
            <w:r>
              <w:rPr>
                <w:rFonts w:ascii="Times New Roman" w:eastAsia="宋体" w:hAnsi="Times New Roman"/>
                <w:color w:val="000000"/>
                <w:sz w:val="20"/>
                <w:szCs w:val="20"/>
              </w:rPr>
              <w:t>429 </w:t>
            </w:r>
          </w:p>
        </w:tc>
        <w:tc>
          <w:tcPr>
            <w:tcW w:w="0" w:type="auto"/>
            <w:shd w:val="clear" w:color="auto" w:fill="CCEEFF"/>
            <w:tcMar>
              <w:top w:w="40" w:type="dxa"/>
              <w:left w:w="0" w:type="dxa"/>
              <w:bottom w:w="40" w:type="dxa"/>
              <w:right w:w="20" w:type="dxa"/>
            </w:tcMar>
            <w:vAlign w:val="bottom"/>
          </w:tcPr>
          <w:p w14:paraId="518B478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8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90" w14:textId="77777777" w:rsidR="005C332D" w:rsidRDefault="00B93EAE">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518B4791"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92" w14:textId="77777777" w:rsidR="005C332D" w:rsidRDefault="005C332D">
            <w:pPr>
              <w:rPr>
                <w:rFonts w:ascii="宋体"/>
              </w:rPr>
            </w:pPr>
          </w:p>
        </w:tc>
      </w:tr>
      <w:tr w:rsidR="005C332D" w14:paraId="518B47A7" w14:textId="77777777">
        <w:tc>
          <w:tcPr>
            <w:tcW w:w="0" w:type="auto"/>
            <w:gridSpan w:val="3"/>
            <w:shd w:val="clear" w:color="auto" w:fill="FFFFFF"/>
            <w:tcMar>
              <w:top w:w="40" w:type="dxa"/>
              <w:left w:w="20" w:type="dxa"/>
              <w:bottom w:w="40" w:type="dxa"/>
              <w:right w:w="20" w:type="dxa"/>
            </w:tcMar>
            <w:vAlign w:val="bottom"/>
          </w:tcPr>
          <w:p w14:paraId="518B4794" w14:textId="77777777" w:rsidR="005C332D" w:rsidRDefault="00B93EAE">
            <w:pPr>
              <w:textAlignment w:val="bottom"/>
            </w:pPr>
            <w:r>
              <w:rPr>
                <w:rFonts w:ascii="Times New Roman" w:eastAsia="宋体" w:hAnsi="Times New Roman"/>
                <w:color w:val="000000"/>
                <w:sz w:val="20"/>
                <w:szCs w:val="20"/>
              </w:rPr>
              <w:t>Income tax percentage</w:t>
            </w:r>
          </w:p>
        </w:tc>
        <w:tc>
          <w:tcPr>
            <w:tcW w:w="0" w:type="auto"/>
            <w:gridSpan w:val="2"/>
            <w:shd w:val="clear" w:color="auto" w:fill="FFFFFF"/>
            <w:tcMar>
              <w:top w:w="40" w:type="dxa"/>
              <w:left w:w="20" w:type="dxa"/>
              <w:bottom w:w="40" w:type="dxa"/>
              <w:right w:w="0" w:type="dxa"/>
            </w:tcMar>
            <w:vAlign w:val="bottom"/>
          </w:tcPr>
          <w:p w14:paraId="518B4795" w14:textId="77777777" w:rsidR="005C332D" w:rsidRDefault="00B93EAE">
            <w:pPr>
              <w:jc w:val="right"/>
              <w:textAlignment w:val="bottom"/>
            </w:pPr>
            <w:r>
              <w:rPr>
                <w:rFonts w:ascii="Times New Roman" w:eastAsia="宋体" w:hAnsi="Times New Roman"/>
                <w:b/>
                <w:bCs/>
                <w:color w:val="000000"/>
                <w:sz w:val="20"/>
                <w:szCs w:val="20"/>
              </w:rPr>
              <w:t>17.6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96"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9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98" w14:textId="77777777" w:rsidR="005C332D" w:rsidRDefault="00B93EAE">
            <w:pPr>
              <w:jc w:val="right"/>
              <w:textAlignment w:val="bottom"/>
            </w:pPr>
            <w:r>
              <w:rPr>
                <w:rFonts w:ascii="Times New Roman" w:eastAsia="宋体" w:hAnsi="Times New Roman"/>
                <w:color w:val="000000"/>
                <w:sz w:val="20"/>
                <w:szCs w:val="20"/>
              </w:rPr>
              <w:t>19.4 </w:t>
            </w:r>
          </w:p>
        </w:tc>
        <w:tc>
          <w:tcPr>
            <w:tcW w:w="0" w:type="auto"/>
            <w:shd w:val="clear" w:color="auto" w:fill="FFFFFF"/>
            <w:tcMar>
              <w:top w:w="40" w:type="dxa"/>
              <w:left w:w="0" w:type="dxa"/>
              <w:bottom w:w="40" w:type="dxa"/>
              <w:right w:w="20" w:type="dxa"/>
            </w:tcMar>
            <w:vAlign w:val="bottom"/>
          </w:tcPr>
          <w:p w14:paraId="518B4799"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9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9B" w14:textId="77777777" w:rsidR="005C332D" w:rsidRDefault="00B93EAE">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518B479C" w14:textId="77777777" w:rsidR="005C332D" w:rsidRDefault="005C332D">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18B479D" w14:textId="77777777" w:rsidR="005C332D" w:rsidRDefault="00B93EAE">
            <w:pPr>
              <w:textAlignment w:val="bottom"/>
            </w:pPr>
            <w:r>
              <w:rPr>
                <w:rFonts w:ascii="Times New Roman" w:eastAsia="宋体" w:hAnsi="Times New Roman"/>
                <w:color w:val="000000"/>
                <w:sz w:val="20"/>
                <w:szCs w:val="20"/>
              </w:rPr>
              <w:t>pts</w:t>
            </w:r>
          </w:p>
        </w:tc>
        <w:tc>
          <w:tcPr>
            <w:tcW w:w="0" w:type="auto"/>
            <w:gridSpan w:val="2"/>
            <w:shd w:val="clear" w:color="auto" w:fill="FFFFFF"/>
            <w:tcMar>
              <w:top w:w="40" w:type="dxa"/>
              <w:left w:w="20" w:type="dxa"/>
              <w:bottom w:w="40" w:type="dxa"/>
              <w:right w:w="0" w:type="dxa"/>
            </w:tcMar>
            <w:vAlign w:val="bottom"/>
          </w:tcPr>
          <w:p w14:paraId="518B479E" w14:textId="77777777" w:rsidR="005C332D" w:rsidRDefault="00B93EAE">
            <w:pPr>
              <w:jc w:val="right"/>
              <w:textAlignment w:val="bottom"/>
            </w:pPr>
            <w:r>
              <w:rPr>
                <w:rFonts w:ascii="Times New Roman" w:eastAsia="宋体" w:hAnsi="Times New Roman"/>
                <w:b/>
                <w:bCs/>
                <w:color w:val="000000"/>
                <w:sz w:val="20"/>
                <w:szCs w:val="20"/>
              </w:rPr>
              <w:t>18.4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9F"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A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A1" w14:textId="77777777" w:rsidR="005C332D" w:rsidRDefault="00B93EAE">
            <w:pPr>
              <w:jc w:val="right"/>
              <w:textAlignment w:val="bottom"/>
            </w:pPr>
            <w:r>
              <w:rPr>
                <w:rFonts w:ascii="Times New Roman" w:eastAsia="宋体" w:hAnsi="Times New Roman"/>
                <w:color w:val="000000"/>
                <w:sz w:val="20"/>
                <w:szCs w:val="20"/>
              </w:rPr>
              <w:t>20.1 </w:t>
            </w:r>
          </w:p>
        </w:tc>
        <w:tc>
          <w:tcPr>
            <w:tcW w:w="0" w:type="auto"/>
            <w:shd w:val="clear" w:color="auto" w:fill="FFFFFF"/>
            <w:tcMar>
              <w:top w:w="40" w:type="dxa"/>
              <w:left w:w="0" w:type="dxa"/>
              <w:bottom w:w="40" w:type="dxa"/>
              <w:right w:w="20" w:type="dxa"/>
            </w:tcMar>
            <w:vAlign w:val="bottom"/>
          </w:tcPr>
          <w:p w14:paraId="518B47A2"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A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A4" w14:textId="77777777" w:rsidR="005C332D" w:rsidRDefault="00B93EAE">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518B47A5" w14:textId="77777777" w:rsidR="005C332D" w:rsidRDefault="005C332D">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18B47A6" w14:textId="77777777" w:rsidR="005C332D" w:rsidRDefault="00B93EAE">
            <w:pPr>
              <w:textAlignment w:val="bottom"/>
            </w:pPr>
            <w:r>
              <w:rPr>
                <w:rFonts w:ascii="Times New Roman" w:eastAsia="宋体" w:hAnsi="Times New Roman"/>
                <w:color w:val="000000"/>
                <w:sz w:val="20"/>
                <w:szCs w:val="20"/>
              </w:rPr>
              <w:t>pts</w:t>
            </w:r>
          </w:p>
        </w:tc>
      </w:tr>
      <w:tr w:rsidR="005C332D" w14:paraId="518B47BF" w14:textId="77777777">
        <w:tc>
          <w:tcPr>
            <w:tcW w:w="0" w:type="auto"/>
            <w:gridSpan w:val="3"/>
            <w:shd w:val="clear" w:color="auto" w:fill="CCEEFF"/>
            <w:tcMar>
              <w:top w:w="40" w:type="dxa"/>
              <w:left w:w="20" w:type="dxa"/>
              <w:bottom w:w="40" w:type="dxa"/>
              <w:right w:w="20" w:type="dxa"/>
            </w:tcMar>
            <w:vAlign w:val="bottom"/>
          </w:tcPr>
          <w:p w14:paraId="518B47A8" w14:textId="77777777" w:rsidR="005C332D" w:rsidRDefault="00B93EAE">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518B47A9"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7AA" w14:textId="77777777" w:rsidR="005C332D" w:rsidRDefault="00B93EAE">
            <w:pPr>
              <w:jc w:val="right"/>
              <w:textAlignment w:val="bottom"/>
            </w:pPr>
            <w:r>
              <w:rPr>
                <w:rFonts w:ascii="Times New Roman" w:eastAsia="宋体" w:hAnsi="Times New Roman"/>
                <w:b/>
                <w:bCs/>
                <w:color w:val="000000"/>
                <w:sz w:val="20"/>
                <w:szCs w:val="20"/>
              </w:rPr>
              <w:t>2,815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7A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AC"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A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7AE" w14:textId="77777777" w:rsidR="005C332D" w:rsidRDefault="00B93EAE">
            <w:pPr>
              <w:jc w:val="right"/>
              <w:textAlignment w:val="bottom"/>
            </w:pPr>
            <w:r>
              <w:rPr>
                <w:rFonts w:ascii="Times New Roman" w:eastAsia="宋体" w:hAnsi="Times New Roman"/>
                <w:color w:val="000000"/>
                <w:sz w:val="20"/>
                <w:szCs w:val="20"/>
              </w:rPr>
              <w:t>3,009 </w:t>
            </w:r>
          </w:p>
        </w:tc>
        <w:tc>
          <w:tcPr>
            <w:tcW w:w="0" w:type="auto"/>
            <w:shd w:val="clear" w:color="auto" w:fill="CCEEFF"/>
            <w:tcMar>
              <w:top w:w="40" w:type="dxa"/>
              <w:left w:w="0" w:type="dxa"/>
              <w:bottom w:w="40" w:type="dxa"/>
              <w:right w:w="20" w:type="dxa"/>
            </w:tcMar>
            <w:vAlign w:val="bottom"/>
          </w:tcPr>
          <w:p w14:paraId="518B47A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B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B1" w14:textId="77777777" w:rsidR="005C332D" w:rsidRDefault="00B93EAE">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518B47B2"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B3"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B4"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7B5" w14:textId="77777777" w:rsidR="005C332D" w:rsidRDefault="00B93EAE">
            <w:pPr>
              <w:jc w:val="right"/>
              <w:textAlignment w:val="bottom"/>
            </w:pPr>
            <w:r>
              <w:rPr>
                <w:rFonts w:ascii="Times New Roman" w:eastAsia="宋体" w:hAnsi="Times New Roman"/>
                <w:b/>
                <w:bCs/>
                <w:color w:val="000000"/>
                <w:sz w:val="20"/>
                <w:szCs w:val="20"/>
              </w:rPr>
              <w:t>11,812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7B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B7"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B8"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7B9" w14:textId="77777777" w:rsidR="005C332D" w:rsidRDefault="00B93EAE">
            <w:pPr>
              <w:jc w:val="right"/>
              <w:textAlignment w:val="bottom"/>
            </w:pPr>
            <w:r>
              <w:rPr>
                <w:rFonts w:ascii="Times New Roman" w:eastAsia="宋体" w:hAnsi="Times New Roman"/>
                <w:color w:val="000000"/>
                <w:sz w:val="20"/>
                <w:szCs w:val="20"/>
              </w:rPr>
              <w:t>10,591 </w:t>
            </w:r>
          </w:p>
        </w:tc>
        <w:tc>
          <w:tcPr>
            <w:tcW w:w="0" w:type="auto"/>
            <w:shd w:val="clear" w:color="auto" w:fill="CCEEFF"/>
            <w:tcMar>
              <w:top w:w="40" w:type="dxa"/>
              <w:left w:w="0" w:type="dxa"/>
              <w:bottom w:w="40" w:type="dxa"/>
              <w:right w:w="20" w:type="dxa"/>
            </w:tcMar>
            <w:vAlign w:val="bottom"/>
          </w:tcPr>
          <w:p w14:paraId="518B47B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B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BC" w14:textId="77777777" w:rsidR="005C332D" w:rsidRDefault="00B93EAE">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518B47BD"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BE" w14:textId="77777777" w:rsidR="005C332D" w:rsidRDefault="005C332D">
            <w:pPr>
              <w:rPr>
                <w:rFonts w:ascii="宋体"/>
              </w:rPr>
            </w:pPr>
          </w:p>
        </w:tc>
      </w:tr>
      <w:tr w:rsidR="005C332D" w14:paraId="518B47D3" w14:textId="77777777">
        <w:tc>
          <w:tcPr>
            <w:tcW w:w="0" w:type="auto"/>
            <w:gridSpan w:val="3"/>
            <w:shd w:val="clear" w:color="auto" w:fill="FFFFFF"/>
            <w:tcMar>
              <w:top w:w="40" w:type="dxa"/>
              <w:left w:w="20" w:type="dxa"/>
              <w:bottom w:w="40" w:type="dxa"/>
              <w:right w:w="20" w:type="dxa"/>
            </w:tcMar>
            <w:vAlign w:val="bottom"/>
          </w:tcPr>
          <w:p w14:paraId="518B47C0" w14:textId="77777777" w:rsidR="005C332D" w:rsidRDefault="00B93EAE">
            <w:pPr>
              <w:textAlignment w:val="bottom"/>
            </w:pPr>
            <w:r>
              <w:rPr>
                <w:rFonts w:ascii="Times New Roman" w:eastAsia="宋体" w:hAnsi="Times New Roman"/>
                <w:color w:val="000000"/>
                <w:sz w:val="20"/>
                <w:szCs w:val="20"/>
              </w:rPr>
              <w:t>Net income as a percentage of revenue</w:t>
            </w:r>
          </w:p>
        </w:tc>
        <w:tc>
          <w:tcPr>
            <w:tcW w:w="0" w:type="auto"/>
            <w:gridSpan w:val="2"/>
            <w:shd w:val="clear" w:color="auto" w:fill="FFFFFF"/>
            <w:tcMar>
              <w:top w:w="40" w:type="dxa"/>
              <w:left w:w="20" w:type="dxa"/>
              <w:bottom w:w="40" w:type="dxa"/>
              <w:right w:w="0" w:type="dxa"/>
            </w:tcMar>
            <w:vAlign w:val="bottom"/>
          </w:tcPr>
          <w:p w14:paraId="518B47C1" w14:textId="77777777" w:rsidR="005C332D" w:rsidRDefault="00B93EAE">
            <w:pPr>
              <w:jc w:val="right"/>
              <w:textAlignment w:val="bottom"/>
            </w:pPr>
            <w:r>
              <w:rPr>
                <w:rFonts w:ascii="Times New Roman" w:eastAsia="宋体" w:hAnsi="Times New Roman"/>
                <w:b/>
                <w:bCs/>
                <w:color w:val="000000"/>
                <w:sz w:val="20"/>
                <w:szCs w:val="20"/>
              </w:rPr>
              <w:t>21.5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C2"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C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C4" w14:textId="77777777" w:rsidR="005C332D" w:rsidRDefault="00B93EAE">
            <w:pPr>
              <w:jc w:val="right"/>
              <w:textAlignment w:val="bottom"/>
            </w:pPr>
            <w:r>
              <w:rPr>
                <w:rFonts w:ascii="Times New Roman" w:eastAsia="宋体" w:hAnsi="Times New Roman"/>
                <w:color w:val="000000"/>
                <w:sz w:val="20"/>
                <w:szCs w:val="20"/>
              </w:rPr>
              <w:t>22.9 </w:t>
            </w:r>
          </w:p>
        </w:tc>
        <w:tc>
          <w:tcPr>
            <w:tcW w:w="0" w:type="auto"/>
            <w:shd w:val="clear" w:color="auto" w:fill="FFFFFF"/>
            <w:tcMar>
              <w:top w:w="40" w:type="dxa"/>
              <w:left w:w="0" w:type="dxa"/>
              <w:bottom w:w="40" w:type="dxa"/>
              <w:right w:w="20" w:type="dxa"/>
            </w:tcMar>
            <w:vAlign w:val="bottom"/>
          </w:tcPr>
          <w:p w14:paraId="518B47C5"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C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C7" w14:textId="77777777" w:rsidR="005C332D" w:rsidRDefault="00B93EAE">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518B47C8" w14:textId="77777777" w:rsidR="005C332D" w:rsidRDefault="005C332D">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18B47C9" w14:textId="77777777" w:rsidR="005C332D" w:rsidRDefault="00B93EAE">
            <w:pPr>
              <w:textAlignment w:val="bottom"/>
            </w:pPr>
            <w:r>
              <w:rPr>
                <w:rFonts w:ascii="Times New Roman" w:eastAsia="宋体" w:hAnsi="Times New Roman"/>
                <w:color w:val="000000"/>
                <w:sz w:val="20"/>
                <w:szCs w:val="20"/>
              </w:rPr>
              <w:t>pts</w:t>
            </w:r>
          </w:p>
        </w:tc>
        <w:tc>
          <w:tcPr>
            <w:tcW w:w="0" w:type="auto"/>
            <w:gridSpan w:val="2"/>
            <w:shd w:val="clear" w:color="auto" w:fill="FFFFFF"/>
            <w:tcMar>
              <w:top w:w="40" w:type="dxa"/>
              <w:left w:w="20" w:type="dxa"/>
              <w:bottom w:w="40" w:type="dxa"/>
              <w:right w:w="0" w:type="dxa"/>
            </w:tcMar>
            <w:vAlign w:val="bottom"/>
          </w:tcPr>
          <w:p w14:paraId="518B47CA" w14:textId="77777777" w:rsidR="005C332D" w:rsidRDefault="00B93EAE">
            <w:pPr>
              <w:jc w:val="right"/>
              <w:textAlignment w:val="bottom"/>
            </w:pPr>
            <w:r>
              <w:rPr>
                <w:rFonts w:ascii="Times New Roman" w:eastAsia="宋体" w:hAnsi="Times New Roman"/>
                <w:b/>
                <w:bCs/>
                <w:color w:val="000000"/>
                <w:sz w:val="20"/>
                <w:szCs w:val="20"/>
              </w:rPr>
              <w:t>22.9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7CB"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C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CD" w14:textId="77777777" w:rsidR="005C332D" w:rsidRDefault="00B93EAE">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518B47CE"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7C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7D0" w14:textId="77777777" w:rsidR="005C332D" w:rsidRDefault="00B93EAE">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518B47D1" w14:textId="77777777" w:rsidR="005C332D" w:rsidRDefault="005C332D">
            <w:pPr>
              <w:jc w:val="right"/>
              <w:rPr>
                <w:rFonts w:ascii="宋体"/>
              </w:rPr>
            </w:pPr>
          </w:p>
        </w:tc>
        <w:tc>
          <w:tcPr>
            <w:tcW w:w="0" w:type="auto"/>
            <w:gridSpan w:val="3"/>
            <w:shd w:val="clear" w:color="auto" w:fill="FFFFFF"/>
            <w:tcMar>
              <w:top w:w="40" w:type="dxa"/>
              <w:left w:w="20" w:type="dxa"/>
              <w:bottom w:w="40" w:type="dxa"/>
              <w:right w:w="20" w:type="dxa"/>
            </w:tcMar>
            <w:vAlign w:val="bottom"/>
          </w:tcPr>
          <w:p w14:paraId="518B47D2" w14:textId="77777777" w:rsidR="005C332D" w:rsidRDefault="00B93EAE">
            <w:pPr>
              <w:textAlignment w:val="bottom"/>
            </w:pPr>
            <w:r>
              <w:rPr>
                <w:rFonts w:ascii="Times New Roman" w:eastAsia="宋体" w:hAnsi="Times New Roman"/>
                <w:color w:val="000000"/>
                <w:sz w:val="20"/>
                <w:szCs w:val="20"/>
              </w:rPr>
              <w:t>pts</w:t>
            </w:r>
          </w:p>
        </w:tc>
      </w:tr>
      <w:tr w:rsidR="005C332D" w14:paraId="518B47EB" w14:textId="77777777">
        <w:tc>
          <w:tcPr>
            <w:tcW w:w="0" w:type="auto"/>
            <w:gridSpan w:val="3"/>
            <w:shd w:val="clear" w:color="auto" w:fill="CCEEFF"/>
            <w:tcMar>
              <w:top w:w="40" w:type="dxa"/>
              <w:left w:w="20" w:type="dxa"/>
              <w:bottom w:w="40" w:type="dxa"/>
              <w:right w:w="20" w:type="dxa"/>
            </w:tcMar>
            <w:vAlign w:val="bottom"/>
          </w:tcPr>
          <w:p w14:paraId="518B47D4" w14:textId="77777777" w:rsidR="005C332D" w:rsidRDefault="00B93EAE">
            <w:pPr>
              <w:textAlignment w:val="bottom"/>
            </w:pPr>
            <w:r>
              <w:rPr>
                <w:rFonts w:ascii="Times New Roman" w:eastAsia="宋体" w:hAnsi="Times New Roman"/>
                <w:color w:val="000000"/>
                <w:sz w:val="20"/>
                <w:szCs w:val="20"/>
              </w:rPr>
              <w:t>Earnings per share—diluted</w:t>
            </w:r>
          </w:p>
        </w:tc>
        <w:tc>
          <w:tcPr>
            <w:tcW w:w="0" w:type="auto"/>
            <w:shd w:val="clear" w:color="auto" w:fill="CCEEFF"/>
            <w:tcMar>
              <w:top w:w="40" w:type="dxa"/>
              <w:left w:w="20" w:type="dxa"/>
              <w:bottom w:w="40" w:type="dxa"/>
              <w:right w:w="0" w:type="dxa"/>
            </w:tcMar>
            <w:vAlign w:val="bottom"/>
          </w:tcPr>
          <w:p w14:paraId="518B47D5"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7D6" w14:textId="77777777" w:rsidR="005C332D" w:rsidRDefault="00B93EAE">
            <w:pPr>
              <w:jc w:val="right"/>
              <w:textAlignment w:val="bottom"/>
            </w:pPr>
            <w:r>
              <w:rPr>
                <w:rFonts w:ascii="Times New Roman" w:eastAsia="宋体" w:hAnsi="Times New Roman"/>
                <w:b/>
                <w:bCs/>
                <w:color w:val="000000"/>
                <w:sz w:val="20"/>
                <w:szCs w:val="20"/>
              </w:rPr>
              <w:t>0.68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7D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D8"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D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7DA" w14:textId="77777777" w:rsidR="005C332D" w:rsidRDefault="00B93EAE">
            <w:pPr>
              <w:jc w:val="right"/>
              <w:textAlignment w:val="bottom"/>
            </w:pPr>
            <w:r>
              <w:rPr>
                <w:rFonts w:ascii="Times New Roman" w:eastAsia="宋体" w:hAnsi="Times New Roman"/>
                <w:color w:val="000000"/>
                <w:sz w:val="20"/>
                <w:szCs w:val="20"/>
              </w:rPr>
              <w:t>0.71 </w:t>
            </w:r>
          </w:p>
        </w:tc>
        <w:tc>
          <w:tcPr>
            <w:tcW w:w="0" w:type="auto"/>
            <w:shd w:val="clear" w:color="auto" w:fill="CCEEFF"/>
            <w:tcMar>
              <w:top w:w="40" w:type="dxa"/>
              <w:left w:w="0" w:type="dxa"/>
              <w:bottom w:w="40" w:type="dxa"/>
              <w:right w:w="20" w:type="dxa"/>
            </w:tcMar>
            <w:vAlign w:val="bottom"/>
          </w:tcPr>
          <w:p w14:paraId="518B47D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D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DD" w14:textId="77777777" w:rsidR="005C332D" w:rsidRDefault="00B93EAE">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518B47DE"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DF"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E0"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7E1" w14:textId="77777777" w:rsidR="005C332D" w:rsidRDefault="00B93EAE">
            <w:pPr>
              <w:jc w:val="right"/>
              <w:textAlignment w:val="bottom"/>
            </w:pPr>
            <w:r>
              <w:rPr>
                <w:rFonts w:ascii="Times New Roman" w:eastAsia="宋体" w:hAnsi="Times New Roman"/>
                <w:b/>
                <w:bCs/>
                <w:color w:val="000000"/>
                <w:sz w:val="20"/>
                <w:szCs w:val="20"/>
              </w:rPr>
              <w:t>2.82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7E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E3"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7E4"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7E5" w14:textId="77777777" w:rsidR="005C332D" w:rsidRDefault="00B93EAE">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518B47E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7E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7E8" w14:textId="77777777" w:rsidR="005C332D" w:rsidRDefault="00B93EAE">
            <w:pPr>
              <w:jc w:val="right"/>
              <w:textAlignment w:val="bottom"/>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bottom"/>
          </w:tcPr>
          <w:p w14:paraId="518B47E9"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7EA" w14:textId="77777777" w:rsidR="005C332D" w:rsidRDefault="005C332D">
            <w:pPr>
              <w:rPr>
                <w:rFonts w:ascii="宋体"/>
              </w:rPr>
            </w:pPr>
          </w:p>
        </w:tc>
      </w:tr>
    </w:tbl>
    <w:p w14:paraId="518B47EC" w14:textId="77777777" w:rsidR="005C332D" w:rsidRDefault="00B93EAE">
      <w:pPr>
        <w:spacing w:before="120"/>
        <w:jc w:val="both"/>
      </w:pPr>
      <w:r>
        <w:rPr>
          <w:rFonts w:ascii="Times New Roman" w:eastAsia="宋体" w:hAnsi="Times New Roman"/>
          <w:color w:val="000000"/>
          <w:sz w:val="20"/>
          <w:szCs w:val="20"/>
        </w:rPr>
        <w:t>Percentages may not recalcul</w:t>
      </w:r>
      <w:r>
        <w:rPr>
          <w:rFonts w:ascii="Times New Roman" w:eastAsia="宋体" w:hAnsi="Times New Roman"/>
          <w:color w:val="000000"/>
          <w:sz w:val="20"/>
          <w:szCs w:val="20"/>
        </w:rPr>
        <w:t>ate due to rounding.</w:t>
      </w:r>
    </w:p>
    <w:p w14:paraId="518B47ED" w14:textId="77777777" w:rsidR="005C332D" w:rsidRDefault="005C332D">
      <w:pPr>
        <w:spacing w:before="60"/>
        <w:jc w:val="both"/>
      </w:pPr>
    </w:p>
    <w:p w14:paraId="518B47EE" w14:textId="77777777" w:rsidR="005C332D" w:rsidRDefault="00B93EAE">
      <w:pPr>
        <w:jc w:val="center"/>
      </w:pPr>
      <w:r>
        <w:rPr>
          <w:rFonts w:ascii="Times New Roman" w:eastAsia="宋体" w:hAnsi="Times New Roman"/>
          <w:color w:val="000000"/>
          <w:sz w:val="20"/>
          <w:szCs w:val="20"/>
        </w:rPr>
        <w:t>32</w:t>
      </w:r>
    </w:p>
    <w:p w14:paraId="518B47EF" w14:textId="77777777" w:rsidR="005C332D" w:rsidRDefault="00B93EAE">
      <w:r>
        <w:pict w14:anchorId="518B8735">
          <v:rect id="_x0000_i1058" style="width:415.3pt;height:1.5pt" o:hralign="center" o:hrstd="t" o:hr="t" fillcolor="#a0a0a0" stroked="f"/>
        </w:pict>
      </w:r>
    </w:p>
    <w:p w14:paraId="518B47F0" w14:textId="77777777" w:rsidR="005C332D" w:rsidRDefault="00B93EAE">
      <w:hyperlink r:id="rId86" w:anchor="i049852cab38845aabd2a79d07dacda86_7" w:history="1">
        <w:r>
          <w:rPr>
            <w:rStyle w:val="a5"/>
            <w:rFonts w:ascii="Times New Roman" w:eastAsia="宋体" w:hAnsi="Times New Roman"/>
            <w:sz w:val="20"/>
            <w:szCs w:val="20"/>
          </w:rPr>
          <w:t>Table of Contents</w:t>
        </w:r>
      </w:hyperlink>
    </w:p>
    <w:p w14:paraId="518B47F1" w14:textId="77777777" w:rsidR="005C332D" w:rsidRDefault="00B93EAE">
      <w:pPr>
        <w:spacing w:before="120"/>
        <w:jc w:val="both"/>
      </w:pPr>
      <w:r>
        <w:rPr>
          <w:rFonts w:ascii="Times New Roman" w:eastAsia="宋体" w:hAnsi="Times New Roman"/>
          <w:b/>
          <w:bCs/>
          <w:color w:val="000000"/>
          <w:sz w:val="20"/>
          <w:szCs w:val="20"/>
        </w:rPr>
        <w:t>Fiscal 2022 Compared with Fiscal 2021</w:t>
      </w:r>
    </w:p>
    <w:p w14:paraId="518B47F2" w14:textId="77777777" w:rsidR="005C332D" w:rsidRDefault="00B93EAE">
      <w:pPr>
        <w:spacing w:before="120"/>
        <w:jc w:val="both"/>
      </w:pPr>
      <w:r>
        <w:rPr>
          <w:rFonts w:ascii="Times New Roman" w:eastAsia="宋体" w:hAnsi="Times New Roman"/>
          <w:color w:val="000000"/>
          <w:sz w:val="20"/>
          <w:szCs w:val="20"/>
        </w:rPr>
        <w:t>In fiscal 2022, we delivered growth in total revenu</w:t>
      </w:r>
      <w:r>
        <w:rPr>
          <w:rFonts w:ascii="Times New Roman" w:eastAsia="宋体" w:hAnsi="Times New Roman"/>
          <w:color w:val="000000"/>
          <w:sz w:val="20"/>
          <w:szCs w:val="20"/>
        </w:rPr>
        <w:t>e and strong profitability in a challenging environment impacted by significant supply constraints, rising component and related costs, and the Russia and Ukraine war. We remain focused on delivering innovation across our technologies to assist our custome</w:t>
      </w:r>
      <w:r>
        <w:rPr>
          <w:rFonts w:ascii="Times New Roman" w:eastAsia="宋体" w:hAnsi="Times New Roman"/>
          <w:color w:val="000000"/>
          <w:sz w:val="20"/>
          <w:szCs w:val="20"/>
        </w:rPr>
        <w:t>rs in executing on their digital transformations. We continue to be negatively impacted by supply constraints seen industry-wide due to component shortages. While we did see some easing of the supply constraints towards the end of the fourth quarter of fis</w:t>
      </w:r>
      <w:r>
        <w:rPr>
          <w:rFonts w:ascii="Times New Roman" w:eastAsia="宋体" w:hAnsi="Times New Roman"/>
          <w:color w:val="000000"/>
          <w:sz w:val="20"/>
          <w:szCs w:val="20"/>
        </w:rPr>
        <w:t>cal 2022, we expect the constraints to continue and the duration is uncertain. We have, and continue to take, multiple steps in order to mitigate the component shortages and deliver products to our customers. We continued to make progress in the transition</w:t>
      </w:r>
      <w:r>
        <w:rPr>
          <w:rFonts w:ascii="Times New Roman" w:eastAsia="宋体" w:hAnsi="Times New Roman"/>
          <w:color w:val="000000"/>
          <w:sz w:val="20"/>
          <w:szCs w:val="20"/>
        </w:rPr>
        <w:t xml:space="preserve"> of our business model delivering increased software and subscriptions. We remain focused on accelerating innovation across our portfolio, and we believe that we have made continued progress on our strategic priorities. We continue to operate in a challeng</w:t>
      </w:r>
      <w:r>
        <w:rPr>
          <w:rFonts w:ascii="Times New Roman" w:eastAsia="宋体" w:hAnsi="Times New Roman"/>
          <w:color w:val="000000"/>
          <w:sz w:val="20"/>
          <w:szCs w:val="20"/>
        </w:rPr>
        <w:t>ing macroeconomic and highly competitive environment. While the overall environment remains uncertain, we continue to aggressively invest in priority areas with the objective of driving profitable growth over the long term.</w:t>
      </w:r>
    </w:p>
    <w:p w14:paraId="518B47F3" w14:textId="77777777" w:rsidR="005C332D" w:rsidRDefault="00B93EAE">
      <w:pPr>
        <w:spacing w:before="120"/>
        <w:jc w:val="both"/>
      </w:pPr>
      <w:r>
        <w:rPr>
          <w:rFonts w:ascii="Times New Roman" w:eastAsia="宋体" w:hAnsi="Times New Roman"/>
          <w:color w:val="000000"/>
          <w:sz w:val="20"/>
          <w:szCs w:val="20"/>
        </w:rPr>
        <w:t>Total revenue increased by 3% co</w:t>
      </w:r>
      <w:r>
        <w:rPr>
          <w:rFonts w:ascii="Times New Roman" w:eastAsia="宋体" w:hAnsi="Times New Roman"/>
          <w:color w:val="000000"/>
          <w:sz w:val="20"/>
          <w:szCs w:val="20"/>
        </w:rPr>
        <w:t>mpared with fiscal 2021. Within total revenue, product revenue increased by 6% and service revenue decreased by 2%. Fiscal 2022 had 52 weeks, compared with 53 weeks in fiscal 2021, thus our results for fiscal 2022 reflect one less week compared with fiscal</w:t>
      </w:r>
      <w:r>
        <w:rPr>
          <w:rFonts w:ascii="Times New Roman" w:eastAsia="宋体" w:hAnsi="Times New Roman"/>
          <w:color w:val="000000"/>
          <w:sz w:val="20"/>
          <w:szCs w:val="20"/>
        </w:rPr>
        <w:t xml:space="preserve"> 2021. In fiscal 2022, total software revenue was flat at $15.1 billion across all product areas and service. Within total software revenue, subscription revenue increased 3%. Total gross margin decreased by 1.5 percentage points. Product gross margin decr</w:t>
      </w:r>
      <w:r>
        <w:rPr>
          <w:rFonts w:ascii="Times New Roman" w:eastAsia="宋体" w:hAnsi="Times New Roman"/>
          <w:color w:val="000000"/>
          <w:sz w:val="20"/>
          <w:szCs w:val="20"/>
        </w:rPr>
        <w:t>eased by 2.1 percentage points, largely driven by increased costs related to supply constraints and to a lesser extent, product mix, partially offset by favorable pricing. As a percentage of revenue, research and development, sales and marketing, and gener</w:t>
      </w:r>
      <w:r>
        <w:rPr>
          <w:rFonts w:ascii="Times New Roman" w:eastAsia="宋体" w:hAnsi="Times New Roman"/>
          <w:color w:val="000000"/>
          <w:sz w:val="20"/>
          <w:szCs w:val="20"/>
        </w:rPr>
        <w:t>al and administrative expenses, collectively, decreased by 1.3 percentage points. Operating income as a percentage of revenue increased by 1.3 percentage points. Diluted earnings per share increased 13%, driven by an increase of 12% in net income and a dec</w:t>
      </w:r>
      <w:r>
        <w:rPr>
          <w:rFonts w:ascii="Times New Roman" w:eastAsia="宋体" w:hAnsi="Times New Roman"/>
          <w:color w:val="000000"/>
          <w:sz w:val="20"/>
          <w:szCs w:val="20"/>
        </w:rPr>
        <w:t xml:space="preserve">rease in diluted share count of 44 million shares. </w:t>
      </w:r>
    </w:p>
    <w:p w14:paraId="518B47F4" w14:textId="77777777" w:rsidR="005C332D" w:rsidRDefault="00B93EAE">
      <w:pPr>
        <w:spacing w:before="120"/>
        <w:jc w:val="both"/>
      </w:pPr>
      <w:r>
        <w:rPr>
          <w:rFonts w:ascii="Times New Roman" w:eastAsia="宋体" w:hAnsi="Times New Roman"/>
          <w:color w:val="000000"/>
          <w:sz w:val="20"/>
          <w:szCs w:val="20"/>
        </w:rPr>
        <w:t>In terms of our geographic segments, revenue from the Americas increased by $0.7 billion, EMEA revenue increased by $0.8 billion and revenue in our APJC segment increased by $0.3 billion.</w:t>
      </w:r>
    </w:p>
    <w:p w14:paraId="518B47F5" w14:textId="77777777" w:rsidR="005C332D" w:rsidRDefault="00B93EAE">
      <w:pPr>
        <w:spacing w:before="120"/>
        <w:jc w:val="both"/>
      </w:pPr>
      <w:r>
        <w:rPr>
          <w:rFonts w:ascii="Times New Roman" w:eastAsia="宋体" w:hAnsi="Times New Roman"/>
          <w:color w:val="000000"/>
          <w:sz w:val="20"/>
          <w:szCs w:val="20"/>
        </w:rPr>
        <w:t xml:space="preserve">From a customer </w:t>
      </w:r>
      <w:r>
        <w:rPr>
          <w:rFonts w:ascii="Times New Roman" w:eastAsia="宋体" w:hAnsi="Times New Roman"/>
          <w:color w:val="000000"/>
          <w:sz w:val="20"/>
          <w:szCs w:val="20"/>
        </w:rPr>
        <w:t>market standpoint, we experienced product revenue growth in the commercial, enterprise and service provider markets partially offset by a decline in the public sector market.</w:t>
      </w:r>
    </w:p>
    <w:p w14:paraId="518B47F6" w14:textId="77777777" w:rsidR="005C332D" w:rsidRDefault="00B93EAE">
      <w:pPr>
        <w:spacing w:before="120"/>
        <w:jc w:val="both"/>
      </w:pPr>
      <w:r>
        <w:rPr>
          <w:rFonts w:ascii="Times New Roman" w:eastAsia="宋体" w:hAnsi="Times New Roman"/>
          <w:color w:val="000000"/>
          <w:sz w:val="20"/>
          <w:szCs w:val="20"/>
        </w:rPr>
        <w:t>From a product category perspective, total product revenue increased 6% year over</w:t>
      </w:r>
      <w:r>
        <w:rPr>
          <w:rFonts w:ascii="Times New Roman" w:eastAsia="宋体" w:hAnsi="Times New Roman"/>
          <w:color w:val="000000"/>
          <w:sz w:val="20"/>
          <w:szCs w:val="20"/>
        </w:rPr>
        <w:t xml:space="preserve"> year, driven by growth in revenue in Secure, Agile Networks of 5%; Internet for the Future of 17%; End-to-End Security of 9% and Optimized Application Experiences of 11%; partially offset by a product revenue decline in Collaboration of 5%.</w:t>
      </w:r>
    </w:p>
    <w:p w14:paraId="518B47F7" w14:textId="77777777" w:rsidR="005C332D" w:rsidRDefault="00B93EAE">
      <w:pPr>
        <w:spacing w:before="120"/>
        <w:jc w:val="both"/>
      </w:pPr>
      <w:r>
        <w:rPr>
          <w:rFonts w:ascii="Times New Roman" w:eastAsia="宋体" w:hAnsi="Times New Roman"/>
          <w:i/>
          <w:iCs/>
          <w:color w:val="000000"/>
          <w:sz w:val="20"/>
          <w:szCs w:val="20"/>
        </w:rPr>
        <w:t>Russia and Ukr</w:t>
      </w:r>
      <w:r>
        <w:rPr>
          <w:rFonts w:ascii="Times New Roman" w:eastAsia="宋体" w:hAnsi="Times New Roman"/>
          <w:i/>
          <w:iCs/>
          <w:color w:val="000000"/>
          <w:sz w:val="20"/>
          <w:szCs w:val="20"/>
        </w:rPr>
        <w:t>aine War</w:t>
      </w:r>
    </w:p>
    <w:p w14:paraId="518B47F8" w14:textId="77777777" w:rsidR="005C332D" w:rsidRDefault="00B93EAE">
      <w:pPr>
        <w:spacing w:before="120"/>
        <w:jc w:val="both"/>
      </w:pPr>
      <w:r>
        <w:rPr>
          <w:rFonts w:ascii="Times New Roman" w:eastAsia="宋体" w:hAnsi="Times New Roman"/>
          <w:color w:val="000000"/>
          <w:sz w:val="20"/>
          <w:szCs w:val="20"/>
        </w:rPr>
        <w:t>In March 2022, in connection with the Russian invasion of Ukraine, Cisco announced its intention to stop business operations in Russia and Belarus for the foreseeable future. Those operations in Russia and Belarus included sales, services and rela</w:t>
      </w:r>
      <w:r>
        <w:rPr>
          <w:rFonts w:ascii="Times New Roman" w:eastAsia="宋体" w:hAnsi="Times New Roman"/>
          <w:color w:val="000000"/>
          <w:sz w:val="20"/>
          <w:szCs w:val="20"/>
        </w:rPr>
        <w:t>ted support functions. Further, on June 23, 2022, we announced that we will begin an orderly wind-down and exit of our business in Russia and Belarus.</w:t>
      </w:r>
    </w:p>
    <w:p w14:paraId="518B47F9" w14:textId="77777777" w:rsidR="005C332D" w:rsidRDefault="00B93EAE">
      <w:pPr>
        <w:spacing w:before="120"/>
        <w:jc w:val="both"/>
      </w:pPr>
      <w:r>
        <w:rPr>
          <w:rFonts w:ascii="Times New Roman" w:eastAsia="宋体" w:hAnsi="Times New Roman"/>
          <w:color w:val="000000"/>
          <w:sz w:val="20"/>
          <w:szCs w:val="20"/>
        </w:rPr>
        <w:t>Our business operations in Russia, Belarus and Ukraine, collectively, comprised approximately 1% of our t</w:t>
      </w:r>
      <w:r>
        <w:rPr>
          <w:rFonts w:ascii="Times New Roman" w:eastAsia="宋体" w:hAnsi="Times New Roman"/>
          <w:color w:val="000000"/>
          <w:sz w:val="20"/>
          <w:szCs w:val="20"/>
        </w:rPr>
        <w:t>otal revenue for the year ended July 31, 2021. Russia and Belarus, collectively, represented less than 0.1% of our total assets at the end of fiscal 2022. As a result of the war and the resulting events, we have not recognized revenue in these countries ef</w:t>
      </w:r>
      <w:r>
        <w:rPr>
          <w:rFonts w:ascii="Times New Roman" w:eastAsia="宋体" w:hAnsi="Times New Roman"/>
          <w:color w:val="000000"/>
          <w:sz w:val="20"/>
          <w:szCs w:val="20"/>
        </w:rPr>
        <w:t xml:space="preserve">fective March 2022. The negative impact to total revenue was approximately $200 million for fiscal 2022, which includes committed revenue we would have otherwise recognized, charges for uncollectible receivables, and other items. Further, we also assessed </w:t>
      </w:r>
      <w:r>
        <w:rPr>
          <w:rFonts w:ascii="Times New Roman" w:eastAsia="宋体" w:hAnsi="Times New Roman"/>
          <w:color w:val="000000"/>
          <w:sz w:val="20"/>
          <w:szCs w:val="20"/>
        </w:rPr>
        <w:t>the risk to the recoverability of our assets and other potential financial exposures in these countries. We have reserved for the non-recoverability of substantially all of our assets in Russia and Belarus. As a result, we have recognized certain non-recur</w:t>
      </w:r>
      <w:r>
        <w:rPr>
          <w:rFonts w:ascii="Times New Roman" w:eastAsia="宋体" w:hAnsi="Times New Roman"/>
          <w:color w:val="000000"/>
          <w:sz w:val="20"/>
          <w:szCs w:val="20"/>
        </w:rPr>
        <w:t>ring charges of $91 million in cost of sales and operating expenses in fiscal 2022 related to non-recoverability of certain assets, special personnel-related charges in order to support impacted employees, and severance and other exit related costs.</w:t>
      </w:r>
    </w:p>
    <w:p w14:paraId="518B47FA" w14:textId="77777777" w:rsidR="005C332D" w:rsidRDefault="00B93EAE">
      <w:pPr>
        <w:spacing w:before="120"/>
        <w:jc w:val="both"/>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ongoing effect of the Russia and Ukraine war are difficult to predict due to the other uncertainties identified in Part I, Item 1A. Risk Factors herein.</w:t>
      </w:r>
    </w:p>
    <w:p w14:paraId="518B47FB" w14:textId="77777777" w:rsidR="005C332D" w:rsidRDefault="00B93EAE">
      <w:pPr>
        <w:jc w:val="center"/>
      </w:pPr>
      <w:r>
        <w:rPr>
          <w:rFonts w:ascii="Times New Roman" w:eastAsia="宋体" w:hAnsi="Times New Roman"/>
          <w:color w:val="000000"/>
          <w:sz w:val="20"/>
          <w:szCs w:val="20"/>
        </w:rPr>
        <w:t>33</w:t>
      </w:r>
    </w:p>
    <w:p w14:paraId="518B47FC" w14:textId="77777777" w:rsidR="005C332D" w:rsidRDefault="00B93EAE">
      <w:r>
        <w:pict w14:anchorId="518B8736">
          <v:rect id="_x0000_i1059" style="width:415.3pt;height:1.5pt" o:hralign="center" o:hrstd="t" o:hr="t" fillcolor="#a0a0a0" stroked="f"/>
        </w:pict>
      </w:r>
    </w:p>
    <w:p w14:paraId="518B47FD" w14:textId="77777777" w:rsidR="005C332D" w:rsidRDefault="00B93EAE">
      <w:hyperlink r:id="rId87" w:anchor="i049852cab38845aabd2a79d07dacda86_7" w:history="1">
        <w:r>
          <w:rPr>
            <w:rStyle w:val="a5"/>
            <w:rFonts w:ascii="Times New Roman" w:eastAsia="宋体" w:hAnsi="Times New Roman"/>
            <w:sz w:val="20"/>
            <w:szCs w:val="20"/>
          </w:rPr>
          <w:t>Table of Contents</w:t>
        </w:r>
      </w:hyperlink>
    </w:p>
    <w:p w14:paraId="518B47FE" w14:textId="77777777" w:rsidR="005C332D" w:rsidRDefault="00B93EAE">
      <w:pPr>
        <w:spacing w:before="120"/>
        <w:jc w:val="both"/>
      </w:pPr>
      <w:r>
        <w:rPr>
          <w:rFonts w:ascii="Times New Roman" w:eastAsia="宋体" w:hAnsi="Times New Roman"/>
          <w:b/>
          <w:bCs/>
          <w:color w:val="000000"/>
          <w:sz w:val="20"/>
          <w:szCs w:val="20"/>
        </w:rPr>
        <w:t>Fourth Quarter Snapshot</w:t>
      </w:r>
    </w:p>
    <w:p w14:paraId="518B47FF" w14:textId="77777777" w:rsidR="005C332D" w:rsidRDefault="00B93EAE">
      <w:pPr>
        <w:spacing w:before="120"/>
        <w:jc w:val="both"/>
      </w:pPr>
      <w:r>
        <w:rPr>
          <w:rFonts w:ascii="Times New Roman" w:eastAsia="宋体" w:hAnsi="Times New Roman"/>
          <w:color w:val="000000"/>
          <w:sz w:val="20"/>
          <w:szCs w:val="20"/>
        </w:rPr>
        <w:t>For the fourth quarter of fiscal 2022, total revenue, product revenue and service revenue were each flat as compared with the fourth quarter of fiscal 2021. With r</w:t>
      </w:r>
      <w:r>
        <w:rPr>
          <w:rFonts w:ascii="Times New Roman" w:eastAsia="宋体" w:hAnsi="Times New Roman"/>
          <w:color w:val="000000"/>
          <w:sz w:val="20"/>
          <w:szCs w:val="20"/>
        </w:rPr>
        <w:t>egard to our geographic segment performance, on a year-over-year basis, revenue in EMEA increased by 8% offset by declines in Americas and APJC by 3% and 2%, respectively. From a product category perspective, we experienced product revenue growth in Collab</w:t>
      </w:r>
      <w:r>
        <w:rPr>
          <w:rFonts w:ascii="Times New Roman" w:eastAsia="宋体" w:hAnsi="Times New Roman"/>
          <w:color w:val="000000"/>
          <w:sz w:val="20"/>
          <w:szCs w:val="20"/>
        </w:rPr>
        <w:t>oration; End-to-End Security and Optimized Application Experiences; partially offset by declines in Secure, Agile Networks and Internet for the Future. Total gross margin decreased by 2.3 percentage points, driven by higher component and commodity costs, i</w:t>
      </w:r>
      <w:r>
        <w:rPr>
          <w:rFonts w:ascii="Times New Roman" w:eastAsia="宋体" w:hAnsi="Times New Roman"/>
          <w:color w:val="000000"/>
          <w:sz w:val="20"/>
          <w:szCs w:val="20"/>
        </w:rPr>
        <w:t>n addition to higher freight and logistics costs related to supply constraints, partially offset by favorable pricing and product mix. As a percentage of revenue, research and development, sales and marketing, and general and administrative expenses collec</w:t>
      </w:r>
      <w:r>
        <w:rPr>
          <w:rFonts w:ascii="Times New Roman" w:eastAsia="宋体" w:hAnsi="Times New Roman"/>
          <w:color w:val="000000"/>
          <w:sz w:val="20"/>
          <w:szCs w:val="20"/>
        </w:rPr>
        <w:t>tively decreased by 1.2 percentage points. Operating income as a percentage of revenue decreased by 1.0 percentage points. Diluted earnings per share decreased by 4%, driven by a decrease in net income of 6% and a decrease in diluted share count of 101 mil</w:t>
      </w:r>
      <w:r>
        <w:rPr>
          <w:rFonts w:ascii="Times New Roman" w:eastAsia="宋体" w:hAnsi="Times New Roman"/>
          <w:color w:val="000000"/>
          <w:sz w:val="20"/>
          <w:szCs w:val="20"/>
        </w:rPr>
        <w:t xml:space="preserve">lion shares. </w:t>
      </w:r>
    </w:p>
    <w:p w14:paraId="518B4800" w14:textId="77777777" w:rsidR="005C332D" w:rsidRDefault="00B93EAE">
      <w:pPr>
        <w:spacing w:before="120"/>
        <w:jc w:val="both"/>
      </w:pPr>
      <w:r>
        <w:rPr>
          <w:rFonts w:ascii="Times New Roman" w:eastAsia="宋体" w:hAnsi="Times New Roman"/>
          <w:b/>
          <w:bCs/>
          <w:color w:val="000000"/>
          <w:sz w:val="20"/>
          <w:szCs w:val="20"/>
        </w:rPr>
        <w:t>Strategy and Priorities</w:t>
      </w:r>
    </w:p>
    <w:p w14:paraId="518B4801" w14:textId="77777777" w:rsidR="005C332D" w:rsidRDefault="00B93EAE">
      <w:pPr>
        <w:spacing w:before="120"/>
        <w:jc w:val="both"/>
      </w:pPr>
      <w:r>
        <w:rPr>
          <w:rFonts w:ascii="Times New Roman" w:eastAsia="宋体" w:hAnsi="Times New Roman"/>
          <w:color w:val="000000"/>
          <w:sz w:val="20"/>
          <w:szCs w:val="20"/>
        </w:rPr>
        <w:t>As our customers add billions of new connections to their enterprises, and as more applications move to a multicloud environment, the network becomes even more critical. Our customers are navigating change at an unprec</w:t>
      </w:r>
      <w:r>
        <w:rPr>
          <w:rFonts w:ascii="Times New Roman" w:eastAsia="宋体" w:hAnsi="Times New Roman"/>
          <w:color w:val="000000"/>
          <w:sz w:val="20"/>
          <w:szCs w:val="20"/>
        </w:rPr>
        <w:t>edented pace. In this dynamic environment, we believe their priorities are to reimagine applications, power hybrid work, transform infrastructure, and secure the enterprise.</w:t>
      </w:r>
    </w:p>
    <w:p w14:paraId="518B4802" w14:textId="77777777" w:rsidR="005C332D" w:rsidRDefault="00B93EAE">
      <w:pPr>
        <w:spacing w:before="120"/>
        <w:jc w:val="both"/>
      </w:pPr>
      <w:r>
        <w:rPr>
          <w:rFonts w:ascii="Times New Roman" w:eastAsia="宋体" w:hAnsi="Times New Roman"/>
          <w:color w:val="000000"/>
          <w:sz w:val="20"/>
          <w:szCs w:val="20"/>
        </w:rPr>
        <w:t xml:space="preserve">Our strategy is to help our customers connect, secure, and automate to accelerate </w:t>
      </w:r>
      <w:r>
        <w:rPr>
          <w:rFonts w:ascii="Times New Roman" w:eastAsia="宋体" w:hAnsi="Times New Roman"/>
          <w:color w:val="000000"/>
          <w:sz w:val="20"/>
          <w:szCs w:val="20"/>
        </w:rPr>
        <w:t xml:space="preserve">their digital agility in a cloud-first world. We are committed to driving a trusted customer experience, through our innovation, choice, and people. </w:t>
      </w:r>
    </w:p>
    <w:p w14:paraId="518B4803" w14:textId="77777777" w:rsidR="005C332D" w:rsidRDefault="00B93EAE">
      <w:pPr>
        <w:spacing w:before="120"/>
        <w:jc w:val="both"/>
      </w:pPr>
      <w:r>
        <w:rPr>
          <w:rFonts w:ascii="Times New Roman" w:eastAsia="宋体" w:hAnsi="Times New Roman"/>
          <w:color w:val="000000"/>
          <w:sz w:val="20"/>
          <w:szCs w:val="20"/>
        </w:rPr>
        <w:t>For a full discussion of our strategy and priorities, see “Item 1. Business.”</w:t>
      </w:r>
    </w:p>
    <w:p w14:paraId="518B4804" w14:textId="77777777" w:rsidR="005C332D" w:rsidRDefault="00B93EAE">
      <w:pPr>
        <w:spacing w:before="120"/>
        <w:jc w:val="both"/>
      </w:pPr>
      <w:r>
        <w:rPr>
          <w:rFonts w:ascii="Times New Roman" w:eastAsia="宋体" w:hAnsi="Times New Roman"/>
          <w:b/>
          <w:bCs/>
          <w:color w:val="000000"/>
          <w:sz w:val="20"/>
          <w:szCs w:val="20"/>
        </w:rPr>
        <w:t>Other Key Financial Measures</w:t>
      </w:r>
    </w:p>
    <w:p w14:paraId="518B4805" w14:textId="77777777" w:rsidR="005C332D" w:rsidRDefault="00B93EAE">
      <w:pPr>
        <w:spacing w:before="120"/>
        <w:jc w:val="both"/>
      </w:pPr>
      <w:r>
        <w:rPr>
          <w:rFonts w:ascii="Times New Roman" w:eastAsia="宋体" w:hAnsi="Times New Roman"/>
          <w:color w:val="000000"/>
          <w:sz w:val="20"/>
          <w:szCs w:val="20"/>
        </w:rPr>
        <w:t xml:space="preserve">The following is a summary of our other key financial measures for fiscal 2022 compared with fiscal 2021 (in millions): </w:t>
      </w:r>
    </w:p>
    <w:tbl>
      <w:tblPr>
        <w:tblW w:w="4993" w:type="pct"/>
        <w:tblCellMar>
          <w:top w:w="15" w:type="dxa"/>
          <w:left w:w="15" w:type="dxa"/>
          <w:bottom w:w="15" w:type="dxa"/>
          <w:right w:w="15" w:type="dxa"/>
        </w:tblCellMar>
        <w:tblLook w:val="04A0" w:firstRow="1" w:lastRow="0" w:firstColumn="1" w:lastColumn="0" w:noHBand="0" w:noVBand="1"/>
      </w:tblPr>
      <w:tblGrid>
        <w:gridCol w:w="58"/>
        <w:gridCol w:w="5479"/>
        <w:gridCol w:w="37"/>
        <w:gridCol w:w="36"/>
        <w:gridCol w:w="36"/>
        <w:gridCol w:w="36"/>
        <w:gridCol w:w="45"/>
        <w:gridCol w:w="1185"/>
        <w:gridCol w:w="37"/>
        <w:gridCol w:w="36"/>
        <w:gridCol w:w="36"/>
        <w:gridCol w:w="36"/>
        <w:gridCol w:w="45"/>
        <w:gridCol w:w="1185"/>
        <w:gridCol w:w="37"/>
      </w:tblGrid>
      <w:tr w:rsidR="005C332D" w14:paraId="518B4815" w14:textId="77777777">
        <w:tc>
          <w:tcPr>
            <w:tcW w:w="50" w:type="pct"/>
            <w:shd w:val="clear" w:color="auto" w:fill="auto"/>
            <w:vAlign w:val="bottom"/>
          </w:tcPr>
          <w:p w14:paraId="518B4806" w14:textId="77777777" w:rsidR="005C332D" w:rsidRDefault="005C332D">
            <w:pPr>
              <w:rPr>
                <w:rFonts w:ascii="宋体"/>
              </w:rPr>
            </w:pPr>
          </w:p>
        </w:tc>
        <w:tc>
          <w:tcPr>
            <w:tcW w:w="3305" w:type="pct"/>
            <w:shd w:val="clear" w:color="auto" w:fill="auto"/>
            <w:vAlign w:val="bottom"/>
          </w:tcPr>
          <w:p w14:paraId="518B4807" w14:textId="77777777" w:rsidR="005C332D" w:rsidRDefault="005C332D">
            <w:pPr>
              <w:rPr>
                <w:rFonts w:ascii="宋体"/>
              </w:rPr>
            </w:pPr>
          </w:p>
        </w:tc>
        <w:tc>
          <w:tcPr>
            <w:tcW w:w="5" w:type="pct"/>
            <w:shd w:val="clear" w:color="auto" w:fill="auto"/>
            <w:vAlign w:val="bottom"/>
          </w:tcPr>
          <w:p w14:paraId="518B4808" w14:textId="77777777" w:rsidR="005C332D" w:rsidRDefault="005C332D">
            <w:pPr>
              <w:rPr>
                <w:rFonts w:ascii="宋体"/>
              </w:rPr>
            </w:pPr>
          </w:p>
        </w:tc>
        <w:tc>
          <w:tcPr>
            <w:tcW w:w="5" w:type="pct"/>
            <w:shd w:val="clear" w:color="auto" w:fill="auto"/>
            <w:vAlign w:val="bottom"/>
          </w:tcPr>
          <w:p w14:paraId="518B4809" w14:textId="77777777" w:rsidR="005C332D" w:rsidRDefault="005C332D">
            <w:pPr>
              <w:rPr>
                <w:rFonts w:ascii="宋体"/>
              </w:rPr>
            </w:pPr>
          </w:p>
        </w:tc>
        <w:tc>
          <w:tcPr>
            <w:tcW w:w="26" w:type="pct"/>
            <w:shd w:val="clear" w:color="auto" w:fill="auto"/>
            <w:vAlign w:val="bottom"/>
          </w:tcPr>
          <w:p w14:paraId="518B480A" w14:textId="77777777" w:rsidR="005C332D" w:rsidRDefault="005C332D">
            <w:pPr>
              <w:rPr>
                <w:rFonts w:ascii="宋体"/>
              </w:rPr>
            </w:pPr>
          </w:p>
        </w:tc>
        <w:tc>
          <w:tcPr>
            <w:tcW w:w="5" w:type="pct"/>
            <w:shd w:val="clear" w:color="auto" w:fill="auto"/>
            <w:vAlign w:val="bottom"/>
          </w:tcPr>
          <w:p w14:paraId="518B480B" w14:textId="77777777" w:rsidR="005C332D" w:rsidRDefault="005C332D">
            <w:pPr>
              <w:rPr>
                <w:rFonts w:ascii="宋体"/>
              </w:rPr>
            </w:pPr>
          </w:p>
        </w:tc>
        <w:tc>
          <w:tcPr>
            <w:tcW w:w="50" w:type="pct"/>
            <w:shd w:val="clear" w:color="auto" w:fill="auto"/>
            <w:vAlign w:val="bottom"/>
          </w:tcPr>
          <w:p w14:paraId="518B480C" w14:textId="77777777" w:rsidR="005C332D" w:rsidRDefault="005C332D">
            <w:pPr>
              <w:rPr>
                <w:rFonts w:ascii="宋体"/>
              </w:rPr>
            </w:pPr>
          </w:p>
        </w:tc>
        <w:tc>
          <w:tcPr>
            <w:tcW w:w="728" w:type="pct"/>
            <w:shd w:val="clear" w:color="auto" w:fill="auto"/>
            <w:vAlign w:val="bottom"/>
          </w:tcPr>
          <w:p w14:paraId="518B480D" w14:textId="77777777" w:rsidR="005C332D" w:rsidRDefault="005C332D">
            <w:pPr>
              <w:rPr>
                <w:rFonts w:ascii="宋体"/>
              </w:rPr>
            </w:pPr>
          </w:p>
        </w:tc>
        <w:tc>
          <w:tcPr>
            <w:tcW w:w="5" w:type="pct"/>
            <w:shd w:val="clear" w:color="auto" w:fill="auto"/>
            <w:vAlign w:val="bottom"/>
          </w:tcPr>
          <w:p w14:paraId="518B480E" w14:textId="77777777" w:rsidR="005C332D" w:rsidRDefault="005C332D">
            <w:pPr>
              <w:rPr>
                <w:rFonts w:ascii="宋体"/>
              </w:rPr>
            </w:pPr>
          </w:p>
        </w:tc>
        <w:tc>
          <w:tcPr>
            <w:tcW w:w="5" w:type="pct"/>
            <w:shd w:val="clear" w:color="auto" w:fill="auto"/>
            <w:vAlign w:val="bottom"/>
          </w:tcPr>
          <w:p w14:paraId="518B480F" w14:textId="77777777" w:rsidR="005C332D" w:rsidRDefault="005C332D">
            <w:pPr>
              <w:rPr>
                <w:rFonts w:ascii="宋体"/>
              </w:rPr>
            </w:pPr>
          </w:p>
        </w:tc>
        <w:tc>
          <w:tcPr>
            <w:tcW w:w="26" w:type="pct"/>
            <w:shd w:val="clear" w:color="auto" w:fill="auto"/>
            <w:vAlign w:val="bottom"/>
          </w:tcPr>
          <w:p w14:paraId="518B4810" w14:textId="77777777" w:rsidR="005C332D" w:rsidRDefault="005C332D">
            <w:pPr>
              <w:rPr>
                <w:rFonts w:ascii="宋体"/>
              </w:rPr>
            </w:pPr>
          </w:p>
        </w:tc>
        <w:tc>
          <w:tcPr>
            <w:tcW w:w="5" w:type="pct"/>
            <w:shd w:val="clear" w:color="auto" w:fill="auto"/>
            <w:vAlign w:val="bottom"/>
          </w:tcPr>
          <w:p w14:paraId="518B4811" w14:textId="77777777" w:rsidR="005C332D" w:rsidRDefault="005C332D">
            <w:pPr>
              <w:rPr>
                <w:rFonts w:ascii="宋体"/>
              </w:rPr>
            </w:pPr>
          </w:p>
        </w:tc>
        <w:tc>
          <w:tcPr>
            <w:tcW w:w="50" w:type="pct"/>
            <w:shd w:val="clear" w:color="auto" w:fill="auto"/>
            <w:vAlign w:val="bottom"/>
          </w:tcPr>
          <w:p w14:paraId="518B4812" w14:textId="77777777" w:rsidR="005C332D" w:rsidRDefault="005C332D">
            <w:pPr>
              <w:rPr>
                <w:rFonts w:ascii="宋体"/>
              </w:rPr>
            </w:pPr>
          </w:p>
        </w:tc>
        <w:tc>
          <w:tcPr>
            <w:tcW w:w="728" w:type="pct"/>
            <w:shd w:val="clear" w:color="auto" w:fill="auto"/>
            <w:vAlign w:val="bottom"/>
          </w:tcPr>
          <w:p w14:paraId="518B4813" w14:textId="77777777" w:rsidR="005C332D" w:rsidRDefault="005C332D">
            <w:pPr>
              <w:rPr>
                <w:rFonts w:ascii="宋体"/>
              </w:rPr>
            </w:pPr>
          </w:p>
        </w:tc>
        <w:tc>
          <w:tcPr>
            <w:tcW w:w="5" w:type="pct"/>
            <w:shd w:val="clear" w:color="auto" w:fill="auto"/>
            <w:vAlign w:val="bottom"/>
          </w:tcPr>
          <w:p w14:paraId="518B4814" w14:textId="77777777" w:rsidR="005C332D" w:rsidRDefault="005C332D">
            <w:pPr>
              <w:rPr>
                <w:rFonts w:ascii="宋体"/>
              </w:rPr>
            </w:pPr>
          </w:p>
        </w:tc>
      </w:tr>
      <w:tr w:rsidR="005C332D" w14:paraId="518B481B" w14:textId="77777777">
        <w:tc>
          <w:tcPr>
            <w:tcW w:w="0" w:type="auto"/>
            <w:gridSpan w:val="3"/>
            <w:shd w:val="clear" w:color="auto" w:fill="auto"/>
            <w:tcMar>
              <w:top w:w="0" w:type="dxa"/>
              <w:left w:w="20" w:type="dxa"/>
              <w:bottom w:w="0" w:type="dxa"/>
              <w:right w:w="20" w:type="dxa"/>
            </w:tcMar>
            <w:vAlign w:val="bottom"/>
          </w:tcPr>
          <w:p w14:paraId="518B4816"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81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818" w14:textId="77777777" w:rsidR="005C332D" w:rsidRDefault="00B93EAE">
            <w:pPr>
              <w:jc w:val="center"/>
              <w:textAlignment w:val="bottom"/>
            </w:pPr>
            <w:r>
              <w:rPr>
                <w:rFonts w:ascii="Times New Roman" w:eastAsia="宋体" w:hAnsi="Times New Roman"/>
                <w:b/>
                <w:bCs/>
                <w:color w:val="000000"/>
                <w:sz w:val="20"/>
                <w:szCs w:val="20"/>
              </w:rPr>
              <w:t>Fiscal 2022</w:t>
            </w:r>
          </w:p>
        </w:tc>
        <w:tc>
          <w:tcPr>
            <w:tcW w:w="0" w:type="auto"/>
            <w:gridSpan w:val="3"/>
            <w:shd w:val="clear" w:color="auto" w:fill="auto"/>
            <w:tcMar>
              <w:top w:w="0" w:type="dxa"/>
              <w:left w:w="20" w:type="dxa"/>
              <w:bottom w:w="0" w:type="dxa"/>
              <w:right w:w="20" w:type="dxa"/>
            </w:tcMar>
            <w:vAlign w:val="bottom"/>
          </w:tcPr>
          <w:p w14:paraId="518B481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81A" w14:textId="77777777" w:rsidR="005C332D" w:rsidRDefault="00B93EAE">
            <w:pPr>
              <w:jc w:val="center"/>
              <w:textAlignment w:val="bottom"/>
            </w:pPr>
            <w:r>
              <w:rPr>
                <w:rFonts w:ascii="Times New Roman" w:eastAsia="宋体" w:hAnsi="Times New Roman"/>
                <w:color w:val="000000"/>
                <w:sz w:val="20"/>
                <w:szCs w:val="20"/>
              </w:rPr>
              <w:t>Fiscal 2021</w:t>
            </w:r>
          </w:p>
        </w:tc>
      </w:tr>
      <w:tr w:rsidR="005C332D" w14:paraId="518B4821" w14:textId="77777777">
        <w:tc>
          <w:tcPr>
            <w:tcW w:w="0" w:type="auto"/>
            <w:gridSpan w:val="3"/>
            <w:shd w:val="clear" w:color="auto" w:fill="CCEEFF"/>
            <w:tcMar>
              <w:top w:w="40" w:type="dxa"/>
              <w:left w:w="20" w:type="dxa"/>
              <w:bottom w:w="40" w:type="dxa"/>
              <w:right w:w="20" w:type="dxa"/>
            </w:tcMar>
            <w:vAlign w:val="bottom"/>
          </w:tcPr>
          <w:p w14:paraId="518B481C" w14:textId="77777777" w:rsidR="005C332D" w:rsidRDefault="00B93EAE">
            <w:pPr>
              <w:textAlignment w:val="bottom"/>
            </w:pPr>
            <w:r>
              <w:rPr>
                <w:rFonts w:ascii="Times New Roman" w:eastAsia="宋体" w:hAnsi="Times New Roman"/>
                <w:color w:val="000000"/>
                <w:sz w:val="20"/>
                <w:szCs w:val="20"/>
              </w:rPr>
              <w:t>Cash and cash equivalents and investments</w:t>
            </w:r>
          </w:p>
        </w:tc>
        <w:tc>
          <w:tcPr>
            <w:tcW w:w="0" w:type="auto"/>
            <w:gridSpan w:val="3"/>
            <w:shd w:val="clear" w:color="auto" w:fill="CCEEFF"/>
            <w:tcMar>
              <w:top w:w="0" w:type="dxa"/>
              <w:left w:w="20" w:type="dxa"/>
              <w:bottom w:w="0" w:type="dxa"/>
              <w:right w:w="20" w:type="dxa"/>
            </w:tcMar>
            <w:vAlign w:val="bottom"/>
          </w:tcPr>
          <w:p w14:paraId="518B481D"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481E" w14:textId="77777777" w:rsidR="005C332D" w:rsidRDefault="00B93EAE">
            <w:pPr>
              <w:jc w:val="center"/>
              <w:textAlignment w:val="bottom"/>
            </w:pPr>
            <w:r>
              <w:rPr>
                <w:rFonts w:ascii="Times New Roman" w:eastAsia="宋体" w:hAnsi="Times New Roman"/>
                <w:b/>
                <w:bCs/>
                <w:color w:val="000000"/>
                <w:sz w:val="20"/>
                <w:szCs w:val="20"/>
              </w:rPr>
              <w:t>$19,267</w:t>
            </w:r>
          </w:p>
        </w:tc>
        <w:tc>
          <w:tcPr>
            <w:tcW w:w="0" w:type="auto"/>
            <w:gridSpan w:val="3"/>
            <w:shd w:val="clear" w:color="auto" w:fill="CCEEFF"/>
            <w:tcMar>
              <w:top w:w="0" w:type="dxa"/>
              <w:left w:w="20" w:type="dxa"/>
              <w:bottom w:w="0" w:type="dxa"/>
              <w:right w:w="20" w:type="dxa"/>
            </w:tcMar>
            <w:vAlign w:val="bottom"/>
          </w:tcPr>
          <w:p w14:paraId="518B481F"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4820" w14:textId="77777777" w:rsidR="005C332D" w:rsidRDefault="00B93EAE">
            <w:pPr>
              <w:jc w:val="center"/>
              <w:textAlignment w:val="bottom"/>
            </w:pPr>
            <w:r>
              <w:rPr>
                <w:rFonts w:ascii="Times New Roman" w:eastAsia="宋体" w:hAnsi="Times New Roman"/>
                <w:color w:val="000000"/>
                <w:sz w:val="20"/>
                <w:szCs w:val="20"/>
              </w:rPr>
              <w:t>$24,518</w:t>
            </w:r>
          </w:p>
        </w:tc>
      </w:tr>
      <w:tr w:rsidR="005C332D" w14:paraId="518B4827" w14:textId="77777777">
        <w:tc>
          <w:tcPr>
            <w:tcW w:w="0" w:type="auto"/>
            <w:gridSpan w:val="3"/>
            <w:shd w:val="clear" w:color="auto" w:fill="FFFFFF"/>
            <w:tcMar>
              <w:top w:w="40" w:type="dxa"/>
              <w:left w:w="20" w:type="dxa"/>
              <w:bottom w:w="40" w:type="dxa"/>
              <w:right w:w="20" w:type="dxa"/>
            </w:tcMar>
            <w:vAlign w:val="bottom"/>
          </w:tcPr>
          <w:p w14:paraId="518B4822" w14:textId="77777777" w:rsidR="005C332D" w:rsidRDefault="00B93EAE">
            <w:pPr>
              <w:textAlignment w:val="bottom"/>
            </w:pPr>
            <w:r>
              <w:rPr>
                <w:rFonts w:ascii="Times New Roman" w:eastAsia="宋体" w:hAnsi="Times New Roman"/>
                <w:color w:val="000000"/>
                <w:sz w:val="20"/>
                <w:szCs w:val="20"/>
              </w:rPr>
              <w:t xml:space="preserve">Cash provided by </w:t>
            </w:r>
            <w:r>
              <w:rPr>
                <w:rFonts w:ascii="Times New Roman" w:eastAsia="宋体" w:hAnsi="Times New Roman"/>
                <w:color w:val="000000"/>
                <w:sz w:val="20"/>
                <w:szCs w:val="20"/>
              </w:rPr>
              <w:t>operating activities</w:t>
            </w:r>
          </w:p>
        </w:tc>
        <w:tc>
          <w:tcPr>
            <w:tcW w:w="0" w:type="auto"/>
            <w:gridSpan w:val="3"/>
            <w:shd w:val="clear" w:color="auto" w:fill="FFFFFF"/>
            <w:tcMar>
              <w:top w:w="0" w:type="dxa"/>
              <w:left w:w="20" w:type="dxa"/>
              <w:bottom w:w="0" w:type="dxa"/>
              <w:right w:w="20" w:type="dxa"/>
            </w:tcMar>
            <w:vAlign w:val="bottom"/>
          </w:tcPr>
          <w:p w14:paraId="518B482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824" w14:textId="77777777" w:rsidR="005C332D" w:rsidRDefault="00B93EAE">
            <w:pPr>
              <w:jc w:val="center"/>
              <w:textAlignment w:val="bottom"/>
            </w:pPr>
            <w:r>
              <w:rPr>
                <w:rFonts w:ascii="Times New Roman" w:eastAsia="宋体" w:hAnsi="Times New Roman"/>
                <w:b/>
                <w:bCs/>
                <w:color w:val="000000"/>
                <w:sz w:val="20"/>
                <w:szCs w:val="20"/>
              </w:rPr>
              <w:t>$13,226</w:t>
            </w:r>
          </w:p>
        </w:tc>
        <w:tc>
          <w:tcPr>
            <w:tcW w:w="0" w:type="auto"/>
            <w:gridSpan w:val="3"/>
            <w:shd w:val="clear" w:color="auto" w:fill="FFFFFF"/>
            <w:tcMar>
              <w:top w:w="0" w:type="dxa"/>
              <w:left w:w="20" w:type="dxa"/>
              <w:bottom w:w="0" w:type="dxa"/>
              <w:right w:w="20" w:type="dxa"/>
            </w:tcMar>
            <w:vAlign w:val="bottom"/>
          </w:tcPr>
          <w:p w14:paraId="518B4825"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826" w14:textId="77777777" w:rsidR="005C332D" w:rsidRDefault="00B93EAE">
            <w:pPr>
              <w:jc w:val="center"/>
              <w:textAlignment w:val="bottom"/>
            </w:pPr>
            <w:r>
              <w:rPr>
                <w:rFonts w:ascii="Times New Roman" w:eastAsia="宋体" w:hAnsi="Times New Roman"/>
                <w:color w:val="000000"/>
                <w:sz w:val="20"/>
                <w:szCs w:val="20"/>
              </w:rPr>
              <w:t>$15,454</w:t>
            </w:r>
          </w:p>
        </w:tc>
      </w:tr>
      <w:tr w:rsidR="005C332D" w14:paraId="518B482D" w14:textId="77777777">
        <w:tc>
          <w:tcPr>
            <w:tcW w:w="0" w:type="auto"/>
            <w:gridSpan w:val="3"/>
            <w:shd w:val="clear" w:color="auto" w:fill="CCEEFF"/>
            <w:tcMar>
              <w:top w:w="40" w:type="dxa"/>
              <w:left w:w="20" w:type="dxa"/>
              <w:bottom w:w="40" w:type="dxa"/>
              <w:right w:w="20" w:type="dxa"/>
            </w:tcMar>
            <w:vAlign w:val="bottom"/>
          </w:tcPr>
          <w:p w14:paraId="518B4828" w14:textId="77777777" w:rsidR="005C332D" w:rsidRDefault="00B93EAE">
            <w:pPr>
              <w:textAlignment w:val="bottom"/>
            </w:pPr>
            <w:r>
              <w:rPr>
                <w:rFonts w:ascii="Times New Roman" w:eastAsia="宋体" w:hAnsi="Times New Roman"/>
                <w:color w:val="000000"/>
                <w:sz w:val="20"/>
                <w:szCs w:val="20"/>
              </w:rPr>
              <w:t>Remaining performance obligations</w:t>
            </w:r>
          </w:p>
        </w:tc>
        <w:tc>
          <w:tcPr>
            <w:tcW w:w="0" w:type="auto"/>
            <w:gridSpan w:val="3"/>
            <w:shd w:val="clear" w:color="auto" w:fill="CCEEFF"/>
            <w:tcMar>
              <w:top w:w="0" w:type="dxa"/>
              <w:left w:w="20" w:type="dxa"/>
              <w:bottom w:w="0" w:type="dxa"/>
              <w:right w:w="20" w:type="dxa"/>
            </w:tcMar>
            <w:vAlign w:val="bottom"/>
          </w:tcPr>
          <w:p w14:paraId="518B4829"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82A" w14:textId="77777777" w:rsidR="005C332D" w:rsidRDefault="00B93EAE">
            <w:pPr>
              <w:jc w:val="center"/>
              <w:textAlignment w:val="bottom"/>
            </w:pPr>
            <w:r>
              <w:rPr>
                <w:rFonts w:ascii="Times New Roman" w:eastAsia="宋体" w:hAnsi="Times New Roman"/>
                <w:b/>
                <w:bCs/>
                <w:color w:val="000000"/>
                <w:sz w:val="20"/>
                <w:szCs w:val="20"/>
              </w:rPr>
              <w:t>$31,539</w:t>
            </w:r>
          </w:p>
        </w:tc>
        <w:tc>
          <w:tcPr>
            <w:tcW w:w="0" w:type="auto"/>
            <w:gridSpan w:val="3"/>
            <w:shd w:val="clear" w:color="auto" w:fill="CCEEFF"/>
            <w:tcMar>
              <w:top w:w="0" w:type="dxa"/>
              <w:left w:w="20" w:type="dxa"/>
              <w:bottom w:w="0" w:type="dxa"/>
              <w:right w:w="20" w:type="dxa"/>
            </w:tcMar>
            <w:vAlign w:val="bottom"/>
          </w:tcPr>
          <w:p w14:paraId="518B482B"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82C" w14:textId="77777777" w:rsidR="005C332D" w:rsidRDefault="00B93EAE">
            <w:pPr>
              <w:jc w:val="center"/>
              <w:textAlignment w:val="bottom"/>
            </w:pPr>
            <w:r>
              <w:rPr>
                <w:rFonts w:ascii="Times New Roman" w:eastAsia="宋体" w:hAnsi="Times New Roman"/>
                <w:color w:val="000000"/>
                <w:sz w:val="20"/>
                <w:szCs w:val="20"/>
              </w:rPr>
              <w:t>$30,893</w:t>
            </w:r>
          </w:p>
        </w:tc>
      </w:tr>
      <w:tr w:rsidR="005C332D" w14:paraId="518B4833" w14:textId="77777777">
        <w:tc>
          <w:tcPr>
            <w:tcW w:w="0" w:type="auto"/>
            <w:gridSpan w:val="3"/>
            <w:shd w:val="clear" w:color="auto" w:fill="FFFFFF"/>
            <w:tcMar>
              <w:top w:w="40" w:type="dxa"/>
              <w:left w:w="20" w:type="dxa"/>
              <w:bottom w:w="40" w:type="dxa"/>
              <w:right w:w="20" w:type="dxa"/>
            </w:tcMar>
            <w:vAlign w:val="bottom"/>
          </w:tcPr>
          <w:p w14:paraId="518B482E" w14:textId="77777777" w:rsidR="005C332D" w:rsidRDefault="00B93EAE">
            <w:pPr>
              <w:textAlignment w:val="bottom"/>
            </w:pPr>
            <w:r>
              <w:rPr>
                <w:rFonts w:ascii="Times New Roman" w:eastAsia="宋体" w:hAnsi="Times New Roman"/>
                <w:color w:val="000000"/>
                <w:sz w:val="20"/>
                <w:szCs w:val="20"/>
              </w:rPr>
              <w:t>Repurchases of common stock—stock repurchase program</w:t>
            </w:r>
          </w:p>
        </w:tc>
        <w:tc>
          <w:tcPr>
            <w:tcW w:w="0" w:type="auto"/>
            <w:gridSpan w:val="3"/>
            <w:shd w:val="clear" w:color="auto" w:fill="FFFFFF"/>
            <w:tcMar>
              <w:top w:w="0" w:type="dxa"/>
              <w:left w:w="20" w:type="dxa"/>
              <w:bottom w:w="0" w:type="dxa"/>
              <w:right w:w="20" w:type="dxa"/>
            </w:tcMar>
            <w:vAlign w:val="bottom"/>
          </w:tcPr>
          <w:p w14:paraId="518B482F"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830" w14:textId="77777777" w:rsidR="005C332D" w:rsidRDefault="00B93EAE">
            <w:pPr>
              <w:jc w:val="center"/>
              <w:textAlignment w:val="bottom"/>
            </w:pPr>
            <w:r>
              <w:rPr>
                <w:rFonts w:ascii="Times New Roman" w:eastAsia="宋体" w:hAnsi="Times New Roman"/>
                <w:b/>
                <w:bCs/>
                <w:color w:val="000000"/>
                <w:sz w:val="20"/>
                <w:szCs w:val="20"/>
              </w:rPr>
              <w:t>$7,734</w:t>
            </w:r>
          </w:p>
        </w:tc>
        <w:tc>
          <w:tcPr>
            <w:tcW w:w="0" w:type="auto"/>
            <w:gridSpan w:val="3"/>
            <w:shd w:val="clear" w:color="auto" w:fill="FFFFFF"/>
            <w:tcMar>
              <w:top w:w="0" w:type="dxa"/>
              <w:left w:w="20" w:type="dxa"/>
              <w:bottom w:w="0" w:type="dxa"/>
              <w:right w:w="20" w:type="dxa"/>
            </w:tcMar>
            <w:vAlign w:val="bottom"/>
          </w:tcPr>
          <w:p w14:paraId="518B4831"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832" w14:textId="77777777" w:rsidR="005C332D" w:rsidRDefault="00B93EAE">
            <w:pPr>
              <w:jc w:val="center"/>
              <w:textAlignment w:val="bottom"/>
            </w:pPr>
            <w:r>
              <w:rPr>
                <w:rFonts w:ascii="Times New Roman" w:eastAsia="宋体" w:hAnsi="Times New Roman"/>
                <w:color w:val="000000"/>
                <w:sz w:val="20"/>
                <w:szCs w:val="20"/>
              </w:rPr>
              <w:t>$2,902</w:t>
            </w:r>
          </w:p>
        </w:tc>
      </w:tr>
      <w:tr w:rsidR="005C332D" w14:paraId="518B4839" w14:textId="77777777">
        <w:tc>
          <w:tcPr>
            <w:tcW w:w="0" w:type="auto"/>
            <w:gridSpan w:val="3"/>
            <w:shd w:val="clear" w:color="auto" w:fill="CCEEFF"/>
            <w:tcMar>
              <w:top w:w="40" w:type="dxa"/>
              <w:left w:w="20" w:type="dxa"/>
              <w:bottom w:w="40" w:type="dxa"/>
              <w:right w:w="20" w:type="dxa"/>
            </w:tcMar>
            <w:vAlign w:val="bottom"/>
          </w:tcPr>
          <w:p w14:paraId="518B4834" w14:textId="77777777" w:rsidR="005C332D" w:rsidRDefault="00B93EAE">
            <w:pPr>
              <w:textAlignment w:val="bottom"/>
            </w:pPr>
            <w:r>
              <w:rPr>
                <w:rFonts w:ascii="Times New Roman" w:eastAsia="宋体" w:hAnsi="Times New Roman"/>
                <w:color w:val="000000"/>
                <w:sz w:val="20"/>
                <w:szCs w:val="20"/>
              </w:rPr>
              <w:t>Dividends paid</w:t>
            </w:r>
          </w:p>
        </w:tc>
        <w:tc>
          <w:tcPr>
            <w:tcW w:w="0" w:type="auto"/>
            <w:gridSpan w:val="3"/>
            <w:shd w:val="clear" w:color="auto" w:fill="CCEEFF"/>
            <w:tcMar>
              <w:top w:w="0" w:type="dxa"/>
              <w:left w:w="20" w:type="dxa"/>
              <w:bottom w:w="0" w:type="dxa"/>
              <w:right w:w="20" w:type="dxa"/>
            </w:tcMar>
            <w:vAlign w:val="bottom"/>
          </w:tcPr>
          <w:p w14:paraId="518B483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836" w14:textId="77777777" w:rsidR="005C332D" w:rsidRDefault="00B93EAE">
            <w:pPr>
              <w:jc w:val="center"/>
              <w:textAlignment w:val="bottom"/>
            </w:pPr>
            <w:r>
              <w:rPr>
                <w:rFonts w:ascii="Times New Roman" w:eastAsia="宋体" w:hAnsi="Times New Roman"/>
                <w:b/>
                <w:bCs/>
                <w:color w:val="000000"/>
                <w:sz w:val="20"/>
                <w:szCs w:val="20"/>
              </w:rPr>
              <w:t>$6,224</w:t>
            </w:r>
          </w:p>
        </w:tc>
        <w:tc>
          <w:tcPr>
            <w:tcW w:w="0" w:type="auto"/>
            <w:gridSpan w:val="3"/>
            <w:shd w:val="clear" w:color="auto" w:fill="CCEEFF"/>
            <w:tcMar>
              <w:top w:w="0" w:type="dxa"/>
              <w:left w:w="20" w:type="dxa"/>
              <w:bottom w:w="0" w:type="dxa"/>
              <w:right w:w="20" w:type="dxa"/>
            </w:tcMar>
            <w:vAlign w:val="bottom"/>
          </w:tcPr>
          <w:p w14:paraId="518B4837"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4838" w14:textId="77777777" w:rsidR="005C332D" w:rsidRDefault="00B93EAE">
            <w:pPr>
              <w:jc w:val="center"/>
              <w:textAlignment w:val="bottom"/>
            </w:pPr>
            <w:r>
              <w:rPr>
                <w:rFonts w:ascii="Times New Roman" w:eastAsia="宋体" w:hAnsi="Times New Roman"/>
                <w:color w:val="000000"/>
                <w:sz w:val="20"/>
                <w:szCs w:val="20"/>
              </w:rPr>
              <w:t>$6,163</w:t>
            </w:r>
          </w:p>
        </w:tc>
      </w:tr>
      <w:tr w:rsidR="005C332D" w14:paraId="518B483F" w14:textId="77777777">
        <w:tc>
          <w:tcPr>
            <w:tcW w:w="0" w:type="auto"/>
            <w:gridSpan w:val="3"/>
            <w:shd w:val="clear" w:color="auto" w:fill="FFFFFF"/>
            <w:tcMar>
              <w:top w:w="40" w:type="dxa"/>
              <w:left w:w="20" w:type="dxa"/>
              <w:bottom w:w="40" w:type="dxa"/>
              <w:right w:w="20" w:type="dxa"/>
            </w:tcMar>
            <w:vAlign w:val="bottom"/>
          </w:tcPr>
          <w:p w14:paraId="518B483A" w14:textId="77777777" w:rsidR="005C332D" w:rsidRDefault="00B93EAE">
            <w:pPr>
              <w:textAlignment w:val="bottom"/>
            </w:pPr>
            <w:r>
              <w:rPr>
                <w:rFonts w:ascii="Times New Roman" w:eastAsia="宋体" w:hAnsi="Times New Roman"/>
                <w:color w:val="000000"/>
                <w:sz w:val="20"/>
                <w:szCs w:val="20"/>
              </w:rPr>
              <w:t>Inventories</w:t>
            </w:r>
          </w:p>
        </w:tc>
        <w:tc>
          <w:tcPr>
            <w:tcW w:w="0" w:type="auto"/>
            <w:gridSpan w:val="3"/>
            <w:shd w:val="clear" w:color="auto" w:fill="FFFFFF"/>
            <w:tcMar>
              <w:top w:w="0" w:type="dxa"/>
              <w:left w:w="20" w:type="dxa"/>
              <w:bottom w:w="0" w:type="dxa"/>
              <w:right w:w="20" w:type="dxa"/>
            </w:tcMar>
            <w:vAlign w:val="bottom"/>
          </w:tcPr>
          <w:p w14:paraId="518B483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83C" w14:textId="77777777" w:rsidR="005C332D" w:rsidRDefault="00B93EAE">
            <w:pPr>
              <w:jc w:val="center"/>
              <w:textAlignment w:val="bottom"/>
            </w:pPr>
            <w:r>
              <w:rPr>
                <w:rFonts w:ascii="Times New Roman" w:eastAsia="宋体" w:hAnsi="Times New Roman"/>
                <w:b/>
                <w:bCs/>
                <w:color w:val="000000"/>
                <w:sz w:val="20"/>
                <w:szCs w:val="20"/>
              </w:rPr>
              <w:t>$2,568</w:t>
            </w:r>
          </w:p>
        </w:tc>
        <w:tc>
          <w:tcPr>
            <w:tcW w:w="0" w:type="auto"/>
            <w:gridSpan w:val="3"/>
            <w:shd w:val="clear" w:color="auto" w:fill="FFFFFF"/>
            <w:tcMar>
              <w:top w:w="0" w:type="dxa"/>
              <w:left w:w="20" w:type="dxa"/>
              <w:bottom w:w="0" w:type="dxa"/>
              <w:right w:w="20" w:type="dxa"/>
            </w:tcMar>
            <w:vAlign w:val="bottom"/>
          </w:tcPr>
          <w:p w14:paraId="518B483D"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83E" w14:textId="77777777" w:rsidR="005C332D" w:rsidRDefault="00B93EAE">
            <w:pPr>
              <w:jc w:val="center"/>
              <w:textAlignment w:val="bottom"/>
            </w:pPr>
            <w:r>
              <w:rPr>
                <w:rFonts w:ascii="Times New Roman" w:eastAsia="宋体" w:hAnsi="Times New Roman"/>
                <w:color w:val="000000"/>
                <w:sz w:val="20"/>
                <w:szCs w:val="20"/>
              </w:rPr>
              <w:t>$1,559</w:t>
            </w:r>
          </w:p>
        </w:tc>
      </w:tr>
    </w:tbl>
    <w:p w14:paraId="518B4840" w14:textId="77777777" w:rsidR="005C332D" w:rsidRDefault="00B93EAE">
      <w:pPr>
        <w:jc w:val="center"/>
      </w:pPr>
      <w:r>
        <w:rPr>
          <w:rFonts w:ascii="Times New Roman" w:eastAsia="宋体" w:hAnsi="Times New Roman"/>
          <w:color w:val="000000"/>
          <w:sz w:val="20"/>
          <w:szCs w:val="20"/>
        </w:rPr>
        <w:t>34</w:t>
      </w:r>
    </w:p>
    <w:p w14:paraId="518B4841" w14:textId="77777777" w:rsidR="005C332D" w:rsidRDefault="00B93EAE">
      <w:r>
        <w:pict w14:anchorId="518B8737">
          <v:rect id="_x0000_i1060" style="width:415.3pt;height:1.5pt" o:hralign="center" o:hrstd="t" o:hr="t" fillcolor="#a0a0a0" stroked="f"/>
        </w:pict>
      </w:r>
    </w:p>
    <w:p w14:paraId="518B4842" w14:textId="77777777" w:rsidR="005C332D" w:rsidRDefault="00B93EAE">
      <w:hyperlink r:id="rId88" w:anchor="i049852cab38845aabd2a79d07dacda86_7" w:history="1">
        <w:r>
          <w:rPr>
            <w:rStyle w:val="a5"/>
            <w:rFonts w:ascii="Times New Roman" w:eastAsia="宋体" w:hAnsi="Times New Roman"/>
            <w:sz w:val="20"/>
            <w:szCs w:val="20"/>
          </w:rPr>
          <w:t>Table of Contents</w:t>
        </w:r>
      </w:hyperlink>
    </w:p>
    <w:p w14:paraId="518B4843" w14:textId="77777777" w:rsidR="005C332D" w:rsidRDefault="00B93EAE">
      <w:pPr>
        <w:jc w:val="both"/>
      </w:pPr>
      <w:r>
        <w:rPr>
          <w:rFonts w:ascii="Times New Roman" w:eastAsia="宋体" w:hAnsi="Times New Roman"/>
          <w:b/>
          <w:bCs/>
          <w:color w:val="000000"/>
          <w:sz w:val="22"/>
          <w:szCs w:val="22"/>
        </w:rPr>
        <w:t>CRITICAL ACCOUNTING ESTIMATES</w:t>
      </w:r>
    </w:p>
    <w:p w14:paraId="518B4844" w14:textId="77777777" w:rsidR="005C332D" w:rsidRDefault="00B93EAE">
      <w:pPr>
        <w:spacing w:before="120"/>
        <w:jc w:val="both"/>
      </w:pPr>
      <w:r>
        <w:rPr>
          <w:rFonts w:ascii="Times New Roman" w:eastAsia="宋体" w:hAnsi="Times New Roman"/>
          <w:color w:val="000000"/>
          <w:sz w:val="20"/>
          <w:szCs w:val="20"/>
        </w:rPr>
        <w:t xml:space="preserve">The preparation of financial statements and related </w:t>
      </w:r>
      <w:r>
        <w:rPr>
          <w:rFonts w:ascii="Times New Roman" w:eastAsia="宋体" w:hAnsi="Times New Roman"/>
          <w:color w:val="000000"/>
          <w:sz w:val="20"/>
          <w:szCs w:val="20"/>
        </w:rPr>
        <w:t xml:space="preserve">disclosures in conformity with accounting principles generally accepted in the United States requires us to make judgments, assumptions, and estimates that affect the amounts reported in the Consolidated Financial Statements and accompanying notes. Note 2 </w:t>
      </w:r>
      <w:r>
        <w:rPr>
          <w:rFonts w:ascii="Times New Roman" w:eastAsia="宋体" w:hAnsi="Times New Roman"/>
          <w:color w:val="000000"/>
          <w:sz w:val="20"/>
          <w:szCs w:val="20"/>
        </w:rPr>
        <w:t>to the Consolidated Financial Statements describes the significant accounting policies and methods used in the preparation of the Consolidated Financial Statements. The accounting policies described below are significantly affected by critical accounting e</w:t>
      </w:r>
      <w:r>
        <w:rPr>
          <w:rFonts w:ascii="Times New Roman" w:eastAsia="宋体" w:hAnsi="Times New Roman"/>
          <w:color w:val="000000"/>
          <w:sz w:val="20"/>
          <w:szCs w:val="20"/>
        </w:rPr>
        <w:t>stimates. Such accounting policies require significant judgments, assumptions, and estimates used in the preparation of the Consolidated Financial Statements, and actual results could differ materially from the amounts reported based on these policies.</w:t>
      </w:r>
    </w:p>
    <w:p w14:paraId="518B4845" w14:textId="77777777" w:rsidR="005C332D" w:rsidRDefault="00B93EAE">
      <w:pPr>
        <w:spacing w:before="120"/>
        <w:jc w:val="both"/>
      </w:pPr>
      <w:r>
        <w:rPr>
          <w:rFonts w:ascii="Times New Roman" w:eastAsia="宋体" w:hAnsi="Times New Roman"/>
          <w:color w:val="000000"/>
          <w:sz w:val="20"/>
          <w:szCs w:val="20"/>
        </w:rPr>
        <w:t>The</w:t>
      </w:r>
      <w:r>
        <w:rPr>
          <w:rFonts w:ascii="Times New Roman" w:eastAsia="宋体" w:hAnsi="Times New Roman"/>
          <w:color w:val="000000"/>
          <w:sz w:val="20"/>
          <w:szCs w:val="20"/>
        </w:rPr>
        <w:t xml:space="preserve"> inputs into certain of our judgments, assumptions, and estimates considered the economic implications of the COVID-19 pandemic, including the associated impact of supply constraints, on our critical and significant accounting estimates. The COVID-19 pande</w:t>
      </w:r>
      <w:r>
        <w:rPr>
          <w:rFonts w:ascii="Times New Roman" w:eastAsia="宋体" w:hAnsi="Times New Roman"/>
          <w:color w:val="000000"/>
          <w:sz w:val="20"/>
          <w:szCs w:val="20"/>
        </w:rPr>
        <w:t xml:space="preserve">mic did not have a material impact on our significant judgments, assumptions and estimates that are reflected in our results for fiscal 2022. These estimates include: goodwill and identified purchased intangible assets and income taxes, among other items. </w:t>
      </w:r>
      <w:r>
        <w:rPr>
          <w:rFonts w:ascii="Times New Roman" w:eastAsia="宋体" w:hAnsi="Times New Roman"/>
          <w:color w:val="000000"/>
          <w:sz w:val="20"/>
          <w:szCs w:val="20"/>
        </w:rPr>
        <w:t>The actual results that we experience may differ materially from our estimates. As the COVID-19 pandemic continues, many of our estimates could require increased judgment and carry a higher degree of variability and volatility. As events continue to evolve</w:t>
      </w:r>
      <w:r>
        <w:rPr>
          <w:rFonts w:ascii="Times New Roman" w:eastAsia="宋体" w:hAnsi="Times New Roman"/>
          <w:color w:val="000000"/>
          <w:sz w:val="20"/>
          <w:szCs w:val="20"/>
        </w:rPr>
        <w:t xml:space="preserve"> our estimates may change materially in future periods.</w:t>
      </w:r>
    </w:p>
    <w:p w14:paraId="518B4846" w14:textId="77777777" w:rsidR="005C332D" w:rsidRDefault="00B93EAE">
      <w:pPr>
        <w:spacing w:before="120"/>
        <w:jc w:val="both"/>
      </w:pPr>
      <w:r>
        <w:rPr>
          <w:rFonts w:ascii="Times New Roman" w:eastAsia="宋体" w:hAnsi="Times New Roman"/>
          <w:b/>
          <w:bCs/>
          <w:color w:val="000000"/>
          <w:sz w:val="20"/>
          <w:szCs w:val="20"/>
        </w:rPr>
        <w:t xml:space="preserve">Revenue Recognition </w:t>
      </w:r>
    </w:p>
    <w:p w14:paraId="518B4847" w14:textId="77777777" w:rsidR="005C332D" w:rsidRDefault="00B93EAE">
      <w:pPr>
        <w:spacing w:before="120"/>
        <w:jc w:val="both"/>
      </w:pPr>
      <w:r>
        <w:rPr>
          <w:rFonts w:ascii="Times New Roman" w:eastAsia="宋体" w:hAnsi="Times New Roman"/>
          <w:color w:val="000000"/>
          <w:sz w:val="20"/>
          <w:szCs w:val="20"/>
        </w:rPr>
        <w:t>We enter into contracts with customers that can include various combinations of products and services which are generally distinct and accounted for as separate performance obliga</w:t>
      </w:r>
      <w:r>
        <w:rPr>
          <w:rFonts w:ascii="Times New Roman" w:eastAsia="宋体" w:hAnsi="Times New Roman"/>
          <w:color w:val="000000"/>
          <w:sz w:val="20"/>
          <w:szCs w:val="20"/>
        </w:rPr>
        <w:t>tions. As a result, our contracts may contain multiple performance obligations. We determine whether arrangements are distinct based on whether the customer can benefit from the product or service on its own or together with other resources that are readil</w:t>
      </w:r>
      <w:r>
        <w:rPr>
          <w:rFonts w:ascii="Times New Roman" w:eastAsia="宋体" w:hAnsi="Times New Roman"/>
          <w:color w:val="000000"/>
          <w:sz w:val="20"/>
          <w:szCs w:val="20"/>
        </w:rPr>
        <w:t>y available and whether our commitment to transfer the product or service to the customer is separately identifiable from other obligations in the contract. We classify our hardware, perpetual software licenses, and SaaS as distinct performance obligations</w:t>
      </w:r>
      <w:r>
        <w:rPr>
          <w:rFonts w:ascii="Times New Roman" w:eastAsia="宋体" w:hAnsi="Times New Roman"/>
          <w:color w:val="000000"/>
          <w:sz w:val="20"/>
          <w:szCs w:val="20"/>
        </w:rPr>
        <w:t>. Term software licenses represent multiple obligations, which include software licenses and software maintenance. In transactions where we deliver hardware or software, we are typically the principal and we record revenue and costs of goods sold on a gros</w:t>
      </w:r>
      <w:r>
        <w:rPr>
          <w:rFonts w:ascii="Times New Roman" w:eastAsia="宋体" w:hAnsi="Times New Roman"/>
          <w:color w:val="000000"/>
          <w:sz w:val="20"/>
          <w:szCs w:val="20"/>
        </w:rPr>
        <w:t>s basis.</w:t>
      </w:r>
    </w:p>
    <w:p w14:paraId="518B4848" w14:textId="77777777" w:rsidR="005C332D" w:rsidRDefault="00B93EAE">
      <w:pPr>
        <w:spacing w:before="120"/>
        <w:jc w:val="both"/>
      </w:pPr>
      <w:r>
        <w:rPr>
          <w:rFonts w:ascii="Times New Roman" w:eastAsia="宋体" w:hAnsi="Times New Roman"/>
          <w:color w:val="000000"/>
          <w:sz w:val="20"/>
          <w:szCs w:val="20"/>
        </w:rPr>
        <w:t>We recognize revenue upon transfer of control of promised goods or services in a contract with a customer in an amount that reflects the consideration we expect to receive in exchange for those products or services. Transfer of control occurs once</w:t>
      </w:r>
      <w:r>
        <w:rPr>
          <w:rFonts w:ascii="Times New Roman" w:eastAsia="宋体" w:hAnsi="Times New Roman"/>
          <w:color w:val="000000"/>
          <w:sz w:val="20"/>
          <w:szCs w:val="20"/>
        </w:rPr>
        <w:t xml:space="preserve"> the customer has the contractual right to use the product, generally upon shipment, electronic delivery (or when the software is available for download by the customer), or once title and risk of loss has transferred to the customer. Transfer of control c</w:t>
      </w:r>
      <w:r>
        <w:rPr>
          <w:rFonts w:ascii="Times New Roman" w:eastAsia="宋体" w:hAnsi="Times New Roman"/>
          <w:color w:val="000000"/>
          <w:sz w:val="20"/>
          <w:szCs w:val="20"/>
        </w:rPr>
        <w:t>an also occur over time for software maintenance and services as the customer receives the benefit over the contract term. Our hardware and perpetual software licenses are distinct performance obligations where revenue is recognized upfront upon transfer o</w:t>
      </w:r>
      <w:r>
        <w:rPr>
          <w:rFonts w:ascii="Times New Roman" w:eastAsia="宋体" w:hAnsi="Times New Roman"/>
          <w:color w:val="000000"/>
          <w:sz w:val="20"/>
          <w:szCs w:val="20"/>
        </w:rPr>
        <w:t>f control. Term software licenses include multiple performance obligations where the term licenses are recognized upfront upon transfer of control, with the associated software maintenance revenue recognized ratably over the contract term as services and s</w:t>
      </w:r>
      <w:r>
        <w:rPr>
          <w:rFonts w:ascii="Times New Roman" w:eastAsia="宋体" w:hAnsi="Times New Roman"/>
          <w:color w:val="000000"/>
          <w:sz w:val="20"/>
          <w:szCs w:val="20"/>
        </w:rPr>
        <w:t>oftware updates are provided. SaaS arrangements do not include the right for the customer to take possession of the software during the term, and therefore have one distinct performance obligation which is satisfied over time with revenue recognized ratabl</w:t>
      </w:r>
      <w:r>
        <w:rPr>
          <w:rFonts w:ascii="Times New Roman" w:eastAsia="宋体" w:hAnsi="Times New Roman"/>
          <w:color w:val="000000"/>
          <w:sz w:val="20"/>
          <w:szCs w:val="20"/>
        </w:rPr>
        <w:t>y over the contract term as the customer consumes the services. On our product sales, we record consideration from shipping and handling on a gross basis within net product sales. We record our revenue net of any associated sales taxes.</w:t>
      </w:r>
    </w:p>
    <w:p w14:paraId="518B4849" w14:textId="77777777" w:rsidR="005C332D" w:rsidRDefault="00B93EAE">
      <w:pPr>
        <w:spacing w:before="120"/>
        <w:jc w:val="both"/>
      </w:pPr>
      <w:r>
        <w:rPr>
          <w:rFonts w:ascii="Times New Roman" w:eastAsia="宋体" w:hAnsi="Times New Roman"/>
          <w:color w:val="000000"/>
          <w:sz w:val="20"/>
          <w:szCs w:val="20"/>
        </w:rPr>
        <w:t>Revenue is allocate</w:t>
      </w:r>
      <w:r>
        <w:rPr>
          <w:rFonts w:ascii="Times New Roman" w:eastAsia="宋体" w:hAnsi="Times New Roman"/>
          <w:color w:val="000000"/>
          <w:sz w:val="20"/>
          <w:szCs w:val="20"/>
        </w:rPr>
        <w:t>d among these performance obligations in a manner that reflects the consideration that we expect to be entitled to for the promised goods or services based on standalone selling prices (SSP). SSP is estimated for each distinct performance obligation and ju</w:t>
      </w:r>
      <w:r>
        <w:rPr>
          <w:rFonts w:ascii="Times New Roman" w:eastAsia="宋体" w:hAnsi="Times New Roman"/>
          <w:color w:val="000000"/>
          <w:sz w:val="20"/>
          <w:szCs w:val="20"/>
        </w:rPr>
        <w:t xml:space="preserve">dgment may be required in their determination. The best evidence of SSP is the observable price of a product or service when we sell the goods separately in similar circumstances and to similar customers. In instances where SSP is not directly observable, </w:t>
      </w:r>
      <w:r>
        <w:rPr>
          <w:rFonts w:ascii="Times New Roman" w:eastAsia="宋体" w:hAnsi="Times New Roman"/>
          <w:color w:val="000000"/>
          <w:sz w:val="20"/>
          <w:szCs w:val="20"/>
        </w:rPr>
        <w:t xml:space="preserve">we determine SSP using information that may include market conditions and other observable inputs. </w:t>
      </w:r>
    </w:p>
    <w:p w14:paraId="518B484A" w14:textId="77777777" w:rsidR="005C332D" w:rsidRDefault="00B93EAE">
      <w:pPr>
        <w:spacing w:before="120"/>
        <w:jc w:val="both"/>
      </w:pPr>
      <w:r>
        <w:rPr>
          <w:rFonts w:ascii="Times New Roman" w:eastAsia="宋体" w:hAnsi="Times New Roman"/>
          <w:color w:val="000000"/>
          <w:sz w:val="20"/>
          <w:szCs w:val="20"/>
        </w:rPr>
        <w:t>We assess relevant contractual terms in our customer contracts to determine the transaction price. We apply judgment in identifying contractual terms and de</w:t>
      </w:r>
      <w:r>
        <w:rPr>
          <w:rFonts w:ascii="Times New Roman" w:eastAsia="宋体" w:hAnsi="Times New Roman"/>
          <w:color w:val="000000"/>
          <w:sz w:val="20"/>
          <w:szCs w:val="20"/>
        </w:rPr>
        <w:t>termining the transaction price as we may be required to estimate variable consideration when determining the amount of revenue to recognize. Variable consideration includes potential contractual penalties and various rebate, cooperative marketing and othe</w:t>
      </w:r>
      <w:r>
        <w:rPr>
          <w:rFonts w:ascii="Times New Roman" w:eastAsia="宋体" w:hAnsi="Times New Roman"/>
          <w:color w:val="000000"/>
          <w:sz w:val="20"/>
          <w:szCs w:val="20"/>
        </w:rPr>
        <w:t>r incentive programs that we offer to our distributors, channel partners and customers. When determining the amount of revenue to recognize, we estimate the expected usage of these programs, applying the expected value or most likely estimate and update th</w:t>
      </w:r>
      <w:r>
        <w:rPr>
          <w:rFonts w:ascii="Times New Roman" w:eastAsia="宋体" w:hAnsi="Times New Roman"/>
          <w:color w:val="000000"/>
          <w:sz w:val="20"/>
          <w:szCs w:val="20"/>
        </w:rPr>
        <w:t>e estimate at each reporting period as actual utilization becomes available. We also consider the customers’ right of return in determining the transaction price, where applicable. If actual credits received by distributors under these programs were to dev</w:t>
      </w:r>
      <w:r>
        <w:rPr>
          <w:rFonts w:ascii="Times New Roman" w:eastAsia="宋体" w:hAnsi="Times New Roman"/>
          <w:color w:val="000000"/>
          <w:sz w:val="20"/>
          <w:szCs w:val="20"/>
        </w:rPr>
        <w:t>iate significantly from our estimates, which are based on historical experience, our revenue could be adversely affected.</w:t>
      </w:r>
    </w:p>
    <w:p w14:paraId="518B484B" w14:textId="77777777" w:rsidR="005C332D" w:rsidRDefault="00B93EAE">
      <w:pPr>
        <w:spacing w:before="120"/>
        <w:jc w:val="both"/>
      </w:pPr>
      <w:r>
        <w:rPr>
          <w:rFonts w:ascii="Times New Roman" w:eastAsia="宋体" w:hAnsi="Times New Roman"/>
          <w:color w:val="000000"/>
          <w:sz w:val="20"/>
          <w:szCs w:val="20"/>
        </w:rPr>
        <w:t xml:space="preserve">See Note 3 to the Consolidated Financial Statements for more details. </w:t>
      </w:r>
    </w:p>
    <w:p w14:paraId="518B484C" w14:textId="77777777" w:rsidR="005C332D" w:rsidRDefault="00B93EAE">
      <w:pPr>
        <w:jc w:val="center"/>
      </w:pPr>
      <w:r>
        <w:rPr>
          <w:rFonts w:ascii="Times New Roman" w:eastAsia="宋体" w:hAnsi="Times New Roman"/>
          <w:color w:val="000000"/>
          <w:sz w:val="20"/>
          <w:szCs w:val="20"/>
        </w:rPr>
        <w:t>35</w:t>
      </w:r>
    </w:p>
    <w:p w14:paraId="518B484D" w14:textId="77777777" w:rsidR="005C332D" w:rsidRDefault="00B93EAE">
      <w:r>
        <w:pict w14:anchorId="518B8738">
          <v:rect id="_x0000_i1061" style="width:415.3pt;height:1.5pt" o:hralign="center" o:hrstd="t" o:hr="t" fillcolor="#a0a0a0" stroked="f"/>
        </w:pict>
      </w:r>
    </w:p>
    <w:p w14:paraId="518B484E" w14:textId="77777777" w:rsidR="005C332D" w:rsidRDefault="00B93EAE">
      <w:hyperlink r:id="rId89" w:anchor="i049852cab38845aabd2a79d07dacda86_7" w:history="1">
        <w:r>
          <w:rPr>
            <w:rStyle w:val="a5"/>
            <w:rFonts w:ascii="Times New Roman" w:eastAsia="宋体" w:hAnsi="Times New Roman"/>
            <w:sz w:val="20"/>
            <w:szCs w:val="20"/>
          </w:rPr>
          <w:t>Table of Contents</w:t>
        </w:r>
      </w:hyperlink>
    </w:p>
    <w:p w14:paraId="518B484F" w14:textId="77777777" w:rsidR="005C332D" w:rsidRDefault="00B93EAE">
      <w:pPr>
        <w:spacing w:before="120" w:after="120"/>
        <w:jc w:val="both"/>
      </w:pPr>
      <w:r>
        <w:rPr>
          <w:rFonts w:ascii="Times New Roman" w:eastAsia="宋体" w:hAnsi="Times New Roman"/>
          <w:b/>
          <w:bCs/>
          <w:color w:val="000000"/>
          <w:sz w:val="20"/>
          <w:szCs w:val="20"/>
        </w:rPr>
        <w:t>Inventory Valuation and Liability for Purchase Commitments with Contract Manufacturers an</w:t>
      </w:r>
      <w:r>
        <w:rPr>
          <w:rFonts w:ascii="Times New Roman" w:eastAsia="宋体" w:hAnsi="Times New Roman"/>
          <w:b/>
          <w:bCs/>
          <w:color w:val="000000"/>
          <w:sz w:val="20"/>
          <w:szCs w:val="20"/>
        </w:rPr>
        <w:t>d Suppliers</w:t>
      </w:r>
    </w:p>
    <w:p w14:paraId="518B4850" w14:textId="77777777" w:rsidR="005C332D" w:rsidRDefault="00B93EAE">
      <w:pPr>
        <w:spacing w:before="120" w:after="120"/>
        <w:jc w:val="both"/>
      </w:pPr>
      <w:r>
        <w:rPr>
          <w:rFonts w:ascii="Times New Roman" w:eastAsia="宋体" w:hAnsi="Times New Roman"/>
          <w:color w:val="000000"/>
          <w:sz w:val="20"/>
          <w:szCs w:val="20"/>
        </w:rPr>
        <w:t>Inventory is written down based on excess and obsolete inventories, determined primarily by future demand forecasts. Inventory write-downs are measured as the difference between the cost of the inventory and net realizable value, based upon ass</w:t>
      </w:r>
      <w:r>
        <w:rPr>
          <w:rFonts w:ascii="Times New Roman" w:eastAsia="宋体" w:hAnsi="Times New Roman"/>
          <w:color w:val="000000"/>
          <w:sz w:val="20"/>
          <w:szCs w:val="20"/>
        </w:rPr>
        <w:t>umptions about future demand, and are charged to the provision for inventory, which is a component of our cost of sales. At the point of the loss recognition, a new, lower cost basis for that inventory is established, and subsequent changes in facts and ci</w:t>
      </w:r>
      <w:r>
        <w:rPr>
          <w:rFonts w:ascii="Times New Roman" w:eastAsia="宋体" w:hAnsi="Times New Roman"/>
          <w:color w:val="000000"/>
          <w:sz w:val="20"/>
          <w:szCs w:val="20"/>
        </w:rPr>
        <w:t>rcumstances do not result in the restoration or increase in that newly established cost basis.</w:t>
      </w:r>
    </w:p>
    <w:p w14:paraId="518B4851" w14:textId="77777777" w:rsidR="005C332D" w:rsidRDefault="00B93EAE">
      <w:pPr>
        <w:spacing w:before="120"/>
        <w:jc w:val="both"/>
      </w:pPr>
      <w:r>
        <w:rPr>
          <w:rFonts w:ascii="Times New Roman" w:eastAsia="宋体" w:hAnsi="Times New Roman"/>
          <w:color w:val="000000"/>
          <w:sz w:val="20"/>
          <w:szCs w:val="20"/>
        </w:rPr>
        <w:t>We record a liability for firm, noncancelable, and unconditional purchase commitments with contract manufacturers and suppliers for quantities in excess of our f</w:t>
      </w:r>
      <w:r>
        <w:rPr>
          <w:rFonts w:ascii="Times New Roman" w:eastAsia="宋体" w:hAnsi="Times New Roman"/>
          <w:color w:val="000000"/>
          <w:sz w:val="20"/>
          <w:szCs w:val="20"/>
        </w:rPr>
        <w:t>uture demand forecasts consistent with the valuation of our excess and obsolete inventory.</w:t>
      </w:r>
    </w:p>
    <w:p w14:paraId="518B4852" w14:textId="77777777" w:rsidR="005C332D" w:rsidRDefault="00B93EAE">
      <w:pPr>
        <w:spacing w:before="120"/>
        <w:jc w:val="both"/>
      </w:pPr>
      <w:r>
        <w:rPr>
          <w:rFonts w:ascii="Times New Roman" w:eastAsia="宋体" w:hAnsi="Times New Roman"/>
          <w:color w:val="000000"/>
          <w:sz w:val="20"/>
          <w:szCs w:val="20"/>
        </w:rPr>
        <w:t xml:space="preserve">Our provision for inventory was $102 million, $116 million, and $74 million in fiscal 2022, 2021, and 2020, respectively. The provision for the liability related to </w:t>
      </w:r>
      <w:r>
        <w:rPr>
          <w:rFonts w:ascii="Times New Roman" w:eastAsia="宋体" w:hAnsi="Times New Roman"/>
          <w:color w:val="000000"/>
          <w:sz w:val="20"/>
          <w:szCs w:val="20"/>
        </w:rPr>
        <w:t xml:space="preserve">purchase commitments with contract manufacturers and suppliers was $227 million, $76 million, and $139 million in fiscal 2022, 2021, and 2020, respectively. If there were to be a sudden and significant decrease in demand for our products, or if there were </w:t>
      </w:r>
      <w:r>
        <w:rPr>
          <w:rFonts w:ascii="Times New Roman" w:eastAsia="宋体" w:hAnsi="Times New Roman"/>
          <w:color w:val="000000"/>
          <w:sz w:val="20"/>
          <w:szCs w:val="20"/>
        </w:rPr>
        <w:t>a higher incidence of inventory obsolescence because of rapidly changing technology and customer requirements, or if supply constraints were to continue, we could be required to increase our inventory write-downs, and our liability for purchase commitments</w:t>
      </w:r>
      <w:r>
        <w:rPr>
          <w:rFonts w:ascii="Times New Roman" w:eastAsia="宋体" w:hAnsi="Times New Roman"/>
          <w:color w:val="000000"/>
          <w:sz w:val="20"/>
          <w:szCs w:val="20"/>
        </w:rPr>
        <w:t xml:space="preserve"> with contract manufacturers and suppliers, and accordingly our profitability, could be adversely affected. We regularly evaluate our exposure for inventory write-downs, and the adequacy of our liability for purchase commitments. We continue to manage thro</w:t>
      </w:r>
      <w:r>
        <w:rPr>
          <w:rFonts w:ascii="Times New Roman" w:eastAsia="宋体" w:hAnsi="Times New Roman"/>
          <w:color w:val="000000"/>
          <w:sz w:val="20"/>
          <w:szCs w:val="20"/>
        </w:rPr>
        <w:t xml:space="preserve">ugh significant supply constraints seen industry-wide due to component shortages caused, in part, by the COVID-19 pandemic. For further discussion around the Supply Constraints Impacts and Risks, see “—Results of Operations—Gross Margin—Supply Constraints </w:t>
      </w:r>
      <w:r>
        <w:rPr>
          <w:rFonts w:ascii="Times New Roman" w:eastAsia="宋体" w:hAnsi="Times New Roman"/>
          <w:color w:val="000000"/>
          <w:sz w:val="20"/>
          <w:szCs w:val="20"/>
        </w:rPr>
        <w:t>Impacts and Risks” and “—Liquidity and Capital Resources—Inventory Supply Chain.”</w:t>
      </w:r>
    </w:p>
    <w:p w14:paraId="518B4853" w14:textId="77777777" w:rsidR="005C332D" w:rsidRDefault="00B93EAE">
      <w:pPr>
        <w:spacing w:before="120"/>
      </w:pPr>
      <w:r>
        <w:rPr>
          <w:rFonts w:ascii="Times New Roman" w:eastAsia="宋体" w:hAnsi="Times New Roman"/>
          <w:b/>
          <w:bCs/>
          <w:color w:val="000000"/>
          <w:sz w:val="20"/>
          <w:szCs w:val="20"/>
        </w:rPr>
        <w:t>Loss Contingencies</w:t>
      </w:r>
    </w:p>
    <w:p w14:paraId="518B4854" w14:textId="77777777" w:rsidR="005C332D" w:rsidRDefault="00B93EAE">
      <w:pPr>
        <w:spacing w:before="120"/>
        <w:jc w:val="both"/>
      </w:pPr>
      <w:r>
        <w:rPr>
          <w:rFonts w:ascii="Times New Roman" w:eastAsia="宋体" w:hAnsi="Times New Roman"/>
          <w:color w:val="000000"/>
          <w:sz w:val="20"/>
          <w:szCs w:val="20"/>
        </w:rPr>
        <w:t>We are subject to the possibility of various losses arising in the ordinary course of business. We consider the likelihood of the incurrence of a liability</w:t>
      </w:r>
      <w:r>
        <w:rPr>
          <w:rFonts w:ascii="Times New Roman" w:eastAsia="宋体" w:hAnsi="Times New Roman"/>
          <w:color w:val="000000"/>
          <w:sz w:val="20"/>
          <w:szCs w:val="20"/>
        </w:rPr>
        <w:t>, as well as our ability to reasonably estimate the amount of loss, in determining loss contingencies. An estimated loss contingency is accrued when it is probable that a liability has been incurred and the amount of loss can be reasonably estimated. We re</w:t>
      </w:r>
      <w:r>
        <w:rPr>
          <w:rFonts w:ascii="Times New Roman" w:eastAsia="宋体" w:hAnsi="Times New Roman"/>
          <w:color w:val="000000"/>
          <w:sz w:val="20"/>
          <w:szCs w:val="20"/>
        </w:rPr>
        <w:t xml:space="preserve">gularly evaluate information available to us to determine whether such accruals should be made or adjusted and whether new accruals are required. </w:t>
      </w:r>
    </w:p>
    <w:p w14:paraId="518B4855" w14:textId="77777777" w:rsidR="005C332D" w:rsidRDefault="00B93EAE">
      <w:pPr>
        <w:spacing w:before="120"/>
        <w:jc w:val="both"/>
      </w:pPr>
      <w:r>
        <w:rPr>
          <w:rFonts w:ascii="Times New Roman" w:eastAsia="宋体" w:hAnsi="Times New Roman"/>
          <w:color w:val="000000"/>
          <w:sz w:val="20"/>
          <w:szCs w:val="20"/>
        </w:rPr>
        <w:t>Third parties, including customers, have in the past and may in the future assert claims or initiate litigati</w:t>
      </w:r>
      <w:r>
        <w:rPr>
          <w:rFonts w:ascii="Times New Roman" w:eastAsia="宋体" w:hAnsi="Times New Roman"/>
          <w:color w:val="000000"/>
          <w:sz w:val="20"/>
          <w:szCs w:val="20"/>
        </w:rPr>
        <w:t xml:space="preserve">on related to exclusive patent, copyright, trademark, and other intellectual property rights to technologies and related standards that are relevant to us. These assertions have increased over time as a result of our growth and the general increase in the </w:t>
      </w:r>
      <w:r>
        <w:rPr>
          <w:rFonts w:ascii="Times New Roman" w:eastAsia="宋体" w:hAnsi="Times New Roman"/>
          <w:color w:val="000000"/>
          <w:sz w:val="20"/>
          <w:szCs w:val="20"/>
        </w:rPr>
        <w:t>pace of patent claims assertions, particularly in the United States. If any infringement or other intellectual property claim made against us by any third party is successful, or if we fail to develop non-infringing technology or license the proprietary ri</w:t>
      </w:r>
      <w:r>
        <w:rPr>
          <w:rFonts w:ascii="Times New Roman" w:eastAsia="宋体" w:hAnsi="Times New Roman"/>
          <w:color w:val="000000"/>
          <w:sz w:val="20"/>
          <w:szCs w:val="20"/>
        </w:rPr>
        <w:t>ghts on commercially reasonable terms and conditions, our business, operating results, and financial condition could be materially and adversely affected.</w:t>
      </w:r>
    </w:p>
    <w:p w14:paraId="518B4856" w14:textId="77777777" w:rsidR="005C332D" w:rsidRDefault="00B93EAE">
      <w:pPr>
        <w:spacing w:before="120"/>
        <w:jc w:val="both"/>
      </w:pPr>
      <w:r>
        <w:rPr>
          <w:rFonts w:ascii="Times New Roman" w:eastAsia="宋体" w:hAnsi="Times New Roman"/>
          <w:b/>
          <w:bCs/>
          <w:color w:val="000000"/>
          <w:sz w:val="20"/>
          <w:szCs w:val="20"/>
        </w:rPr>
        <w:t>Goodwill and Purchased Intangible Asset Impairments</w:t>
      </w:r>
    </w:p>
    <w:p w14:paraId="518B4857" w14:textId="77777777" w:rsidR="005C332D" w:rsidRDefault="00B93EAE">
      <w:pPr>
        <w:spacing w:before="120"/>
        <w:jc w:val="both"/>
      </w:pPr>
      <w:r>
        <w:rPr>
          <w:rFonts w:ascii="Times New Roman" w:eastAsia="宋体" w:hAnsi="Times New Roman"/>
          <w:color w:val="000000"/>
          <w:sz w:val="20"/>
          <w:szCs w:val="20"/>
        </w:rPr>
        <w:t>Our methodology for allocating the purchase price</w:t>
      </w:r>
      <w:r>
        <w:rPr>
          <w:rFonts w:ascii="Times New Roman" w:eastAsia="宋体" w:hAnsi="Times New Roman"/>
          <w:color w:val="000000"/>
          <w:sz w:val="20"/>
          <w:szCs w:val="20"/>
        </w:rPr>
        <w:t xml:space="preserve"> relating to purchase acquisitions is determined through established valuation techniques. Goodwill represents a residual value as of the acquisition date, which in most cases results in measuring goodwill as an excess of the purchase consideration transfe</w:t>
      </w:r>
      <w:r>
        <w:rPr>
          <w:rFonts w:ascii="Times New Roman" w:eastAsia="宋体" w:hAnsi="Times New Roman"/>
          <w:color w:val="000000"/>
          <w:sz w:val="20"/>
          <w:szCs w:val="20"/>
        </w:rPr>
        <w:t>rred plus the fair value of any noncontrolling interest in the acquired company over the fair value of net assets acquired, including contingent consideration. We perform goodwill impairment tests on an annual basis in the fourth fiscal quarter and between</w:t>
      </w:r>
      <w:r>
        <w:rPr>
          <w:rFonts w:ascii="Times New Roman" w:eastAsia="宋体" w:hAnsi="Times New Roman"/>
          <w:color w:val="000000"/>
          <w:sz w:val="20"/>
          <w:szCs w:val="20"/>
        </w:rPr>
        <w:t xml:space="preserve"> annual tests in certain circumstances for each reporting unit. The assessment of fair value for goodwill and purchased intangible assets is based on factors that market participants would use in an orderly transaction in accordance with the new accounting</w:t>
      </w:r>
      <w:r>
        <w:rPr>
          <w:rFonts w:ascii="Times New Roman" w:eastAsia="宋体" w:hAnsi="Times New Roman"/>
          <w:color w:val="000000"/>
          <w:sz w:val="20"/>
          <w:szCs w:val="20"/>
        </w:rPr>
        <w:t xml:space="preserve"> guidance for the fair value measurement of nonfinancial assets.</w:t>
      </w:r>
    </w:p>
    <w:p w14:paraId="518B4858" w14:textId="77777777" w:rsidR="005C332D" w:rsidRDefault="00B93EAE">
      <w:pPr>
        <w:spacing w:before="120"/>
        <w:jc w:val="both"/>
      </w:pPr>
      <w:r>
        <w:rPr>
          <w:rFonts w:ascii="Times New Roman" w:eastAsia="宋体" w:hAnsi="Times New Roman"/>
          <w:color w:val="000000"/>
          <w:sz w:val="20"/>
          <w:szCs w:val="20"/>
        </w:rPr>
        <w:t>In response to changes in industry and market conditions, we could be required to strategically realign our resources and consider restructuring, disposing of, or otherwise exiting businesses</w:t>
      </w:r>
      <w:r>
        <w:rPr>
          <w:rFonts w:ascii="Times New Roman" w:eastAsia="宋体" w:hAnsi="Times New Roman"/>
          <w:color w:val="000000"/>
          <w:sz w:val="20"/>
          <w:szCs w:val="20"/>
        </w:rPr>
        <w:t>, which could result in an impairment of goodwill. There was no impairment of goodwill in fiscal 2022, 2021, and 2020. For the annual impairment testing in fiscal 2022, the excess of the fair value over the carrying value for each of our reporting units wa</w:t>
      </w:r>
      <w:r>
        <w:rPr>
          <w:rFonts w:ascii="Times New Roman" w:eastAsia="宋体" w:hAnsi="Times New Roman"/>
          <w:color w:val="000000"/>
          <w:sz w:val="20"/>
          <w:szCs w:val="20"/>
        </w:rPr>
        <w:t xml:space="preserve">s $64.7 billion for the Americas, $55.2 billion for EMEA, and $21.0 billion for APJC. </w:t>
      </w:r>
    </w:p>
    <w:p w14:paraId="518B4859" w14:textId="77777777" w:rsidR="005C332D" w:rsidRDefault="00B93EAE">
      <w:pPr>
        <w:spacing w:before="120"/>
        <w:jc w:val="both"/>
      </w:pPr>
      <w:r>
        <w:rPr>
          <w:rFonts w:ascii="Times New Roman" w:eastAsia="宋体" w:hAnsi="Times New Roman"/>
          <w:color w:val="000000"/>
          <w:sz w:val="20"/>
          <w:szCs w:val="20"/>
        </w:rPr>
        <w:t>During the fourth quarter of fiscal 2022, we performed a sensitivity analysis for goodwill impairment with respect to each of our respective reporting units and determin</w:t>
      </w:r>
      <w:r>
        <w:rPr>
          <w:rFonts w:ascii="Times New Roman" w:eastAsia="宋体" w:hAnsi="Times New Roman"/>
          <w:color w:val="000000"/>
          <w:sz w:val="20"/>
          <w:szCs w:val="20"/>
        </w:rPr>
        <w:t xml:space="preserve">ed that a hypothetical 10% decline in the fair value of each reporting unit would not result in an impairment of goodwill for any reporting unit. </w:t>
      </w:r>
    </w:p>
    <w:p w14:paraId="518B485A" w14:textId="77777777" w:rsidR="005C332D" w:rsidRDefault="00B93EAE">
      <w:pPr>
        <w:spacing w:before="120"/>
        <w:jc w:val="both"/>
      </w:pPr>
      <w:r>
        <w:rPr>
          <w:rFonts w:ascii="Times New Roman" w:eastAsia="宋体" w:hAnsi="Times New Roman"/>
          <w:color w:val="000000"/>
          <w:sz w:val="20"/>
          <w:szCs w:val="20"/>
        </w:rPr>
        <w:t>The fair value of acquired technology and patents, as well as acquired technology under development, is deter</w:t>
      </w:r>
      <w:r>
        <w:rPr>
          <w:rFonts w:ascii="Times New Roman" w:eastAsia="宋体" w:hAnsi="Times New Roman"/>
          <w:color w:val="000000"/>
          <w:sz w:val="20"/>
          <w:szCs w:val="20"/>
        </w:rPr>
        <w:t>mined at acquisition date primarily using the income approach, which discounts expected future cash flows to present value. The discount rates used in the present value calculations are typically derived from a weighted-average cost of capital analysis and</w:t>
      </w:r>
      <w:r>
        <w:rPr>
          <w:rFonts w:ascii="Times New Roman" w:eastAsia="宋体" w:hAnsi="Times New Roman"/>
          <w:color w:val="000000"/>
          <w:sz w:val="20"/>
          <w:szCs w:val="20"/>
        </w:rPr>
        <w:t xml:space="preserve"> </w:t>
      </w:r>
    </w:p>
    <w:p w14:paraId="518B485B" w14:textId="77777777" w:rsidR="005C332D" w:rsidRDefault="00B93EAE">
      <w:pPr>
        <w:jc w:val="center"/>
      </w:pPr>
      <w:r>
        <w:rPr>
          <w:rFonts w:ascii="Times New Roman" w:eastAsia="宋体" w:hAnsi="Times New Roman"/>
          <w:color w:val="000000"/>
          <w:sz w:val="20"/>
          <w:szCs w:val="20"/>
        </w:rPr>
        <w:t>36</w:t>
      </w:r>
    </w:p>
    <w:p w14:paraId="518B485C" w14:textId="77777777" w:rsidR="005C332D" w:rsidRDefault="00B93EAE">
      <w:r>
        <w:pict w14:anchorId="518B8739">
          <v:rect id="_x0000_i1062" style="width:415.3pt;height:1.5pt" o:hralign="center" o:hrstd="t" o:hr="t" fillcolor="#a0a0a0" stroked="f"/>
        </w:pict>
      </w:r>
    </w:p>
    <w:p w14:paraId="518B485D" w14:textId="77777777" w:rsidR="005C332D" w:rsidRDefault="00B93EAE">
      <w:hyperlink r:id="rId90" w:anchor="i049852cab38845aabd2a79d07dacda86_7" w:history="1">
        <w:r>
          <w:rPr>
            <w:rStyle w:val="a5"/>
            <w:rFonts w:ascii="Times New Roman" w:eastAsia="宋体" w:hAnsi="Times New Roman"/>
            <w:sz w:val="20"/>
            <w:szCs w:val="20"/>
          </w:rPr>
          <w:t>Table of Contents</w:t>
        </w:r>
      </w:hyperlink>
    </w:p>
    <w:p w14:paraId="518B485E" w14:textId="77777777" w:rsidR="005C332D" w:rsidRDefault="00B93EAE">
      <w:pPr>
        <w:spacing w:before="120"/>
        <w:jc w:val="both"/>
      </w:pPr>
      <w:r>
        <w:rPr>
          <w:rFonts w:ascii="Times New Roman" w:eastAsia="宋体" w:hAnsi="Times New Roman"/>
          <w:color w:val="000000"/>
          <w:sz w:val="20"/>
          <w:szCs w:val="20"/>
        </w:rPr>
        <w:t>then adjusted to reflect risks inherent in the development lifecycle as appropriate. We consider the pricing model for products related to these acquisitions to be standard within the high-technology communications industry, and the applicable discount rat</w:t>
      </w:r>
      <w:r>
        <w:rPr>
          <w:rFonts w:ascii="Times New Roman" w:eastAsia="宋体" w:hAnsi="Times New Roman"/>
          <w:color w:val="000000"/>
          <w:sz w:val="20"/>
          <w:szCs w:val="20"/>
        </w:rPr>
        <w:t xml:space="preserve">es represent the rates that market participants would use for valuation of such intangible assets. </w:t>
      </w:r>
    </w:p>
    <w:p w14:paraId="518B485F" w14:textId="77777777" w:rsidR="005C332D" w:rsidRDefault="00B93EAE">
      <w:pPr>
        <w:spacing w:before="120"/>
        <w:jc w:val="both"/>
      </w:pPr>
      <w:r>
        <w:rPr>
          <w:rFonts w:ascii="Times New Roman" w:eastAsia="宋体" w:hAnsi="Times New Roman"/>
          <w:color w:val="000000"/>
          <w:sz w:val="20"/>
          <w:szCs w:val="20"/>
        </w:rPr>
        <w:t>We make judgments about the recoverability of purchased intangible assets with finite lives whenever events or changes in circumstances indicate that an imp</w:t>
      </w:r>
      <w:r>
        <w:rPr>
          <w:rFonts w:ascii="Times New Roman" w:eastAsia="宋体" w:hAnsi="Times New Roman"/>
          <w:color w:val="000000"/>
          <w:sz w:val="20"/>
          <w:szCs w:val="20"/>
        </w:rPr>
        <w:t>airment may exist. Recoverability of purchased intangible assets with finite lives is measured by comparing the carrying amount of the asset to the future undiscounted cash flows the asset is expected to generate. We review indefinite-lived intangible asse</w:t>
      </w:r>
      <w:r>
        <w:rPr>
          <w:rFonts w:ascii="Times New Roman" w:eastAsia="宋体" w:hAnsi="Times New Roman"/>
          <w:color w:val="000000"/>
          <w:sz w:val="20"/>
          <w:szCs w:val="20"/>
        </w:rPr>
        <w:t>ts for impairment annually or whenever events or changes in circumstances indicate that the asset might be impaired. If the asset is considered to be impaired, the amount of any impairment is measured as the difference between the carrying value and the fa</w:t>
      </w:r>
      <w:r>
        <w:rPr>
          <w:rFonts w:ascii="Times New Roman" w:eastAsia="宋体" w:hAnsi="Times New Roman"/>
          <w:color w:val="000000"/>
          <w:sz w:val="20"/>
          <w:szCs w:val="20"/>
        </w:rPr>
        <w:t>ir value of the impaired asset. Assumptions and estimates about future values and remaining useful lives of our purchased intangible assets are complex and subjective. They can be affected by a variety of factors, including external factors such as industr</w:t>
      </w:r>
      <w:r>
        <w:rPr>
          <w:rFonts w:ascii="Times New Roman" w:eastAsia="宋体" w:hAnsi="Times New Roman"/>
          <w:color w:val="000000"/>
          <w:sz w:val="20"/>
          <w:szCs w:val="20"/>
        </w:rPr>
        <w:t>y and economic trends, and internal factors such as changes in our business strategy and our internal forecasts. Our impairment charges related to purchased intangible assets were $15 million for fiscal 2022.</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Our ongoing consideration of all the factors de</w:t>
      </w:r>
      <w:r>
        <w:rPr>
          <w:rFonts w:ascii="Times New Roman" w:eastAsia="宋体" w:hAnsi="Times New Roman"/>
          <w:color w:val="000000"/>
          <w:sz w:val="20"/>
          <w:szCs w:val="20"/>
        </w:rPr>
        <w:t>scribed previously could result in impairment charges in the future, which could adversely affect our net income. </w:t>
      </w:r>
    </w:p>
    <w:p w14:paraId="518B4860" w14:textId="77777777" w:rsidR="005C332D" w:rsidRDefault="00B93EAE">
      <w:pPr>
        <w:spacing w:before="120"/>
        <w:jc w:val="both"/>
      </w:pPr>
      <w:r>
        <w:rPr>
          <w:rFonts w:ascii="Times New Roman" w:eastAsia="宋体" w:hAnsi="Times New Roman"/>
          <w:b/>
          <w:bCs/>
          <w:color w:val="000000"/>
          <w:sz w:val="20"/>
          <w:szCs w:val="20"/>
        </w:rPr>
        <w:t>Income Taxes</w:t>
      </w:r>
    </w:p>
    <w:p w14:paraId="518B4861" w14:textId="77777777" w:rsidR="005C332D" w:rsidRDefault="00B93EAE">
      <w:pPr>
        <w:spacing w:before="120"/>
        <w:jc w:val="both"/>
      </w:pPr>
      <w:r>
        <w:rPr>
          <w:rFonts w:ascii="Times New Roman" w:eastAsia="宋体" w:hAnsi="Times New Roman"/>
          <w:color w:val="000000"/>
          <w:sz w:val="20"/>
          <w:szCs w:val="20"/>
        </w:rPr>
        <w:t xml:space="preserve">We are subject to income taxes in the United States and numerous foreign jurisdictions. Our effective tax rates differ from the </w:t>
      </w:r>
      <w:r>
        <w:rPr>
          <w:rFonts w:ascii="Times New Roman" w:eastAsia="宋体" w:hAnsi="Times New Roman"/>
          <w:color w:val="000000"/>
          <w:sz w:val="20"/>
          <w:szCs w:val="20"/>
        </w:rPr>
        <w:t>statutory rate, primarily due to the tax impact of state taxes, foreign operations, R&amp;D tax credits, foreign-derived intangible income deductions, global intangible low-taxed income, tax audit settlements, nondeductible compensation, and international real</w:t>
      </w:r>
      <w:r>
        <w:rPr>
          <w:rFonts w:ascii="Times New Roman" w:eastAsia="宋体" w:hAnsi="Times New Roman"/>
          <w:color w:val="000000"/>
          <w:sz w:val="20"/>
          <w:szCs w:val="20"/>
        </w:rPr>
        <w:t>ignments. Our effective tax rate was 18.4%, 20.1%, and 19.7% in fiscal 2022, 2021, and 2020, respectively.</w:t>
      </w:r>
    </w:p>
    <w:p w14:paraId="518B4862" w14:textId="77777777" w:rsidR="005C332D" w:rsidRDefault="00B93EAE">
      <w:pPr>
        <w:spacing w:before="120"/>
        <w:jc w:val="both"/>
      </w:pPr>
      <w:r>
        <w:rPr>
          <w:rFonts w:ascii="Times New Roman" w:eastAsia="宋体" w:hAnsi="Times New Roman"/>
          <w:color w:val="000000"/>
          <w:sz w:val="20"/>
          <w:szCs w:val="20"/>
        </w:rPr>
        <w:t>Significant judgment is required in evaluating our uncertain tax positions and determining our provision for income taxes. Although we believe our re</w:t>
      </w:r>
      <w:r>
        <w:rPr>
          <w:rFonts w:ascii="Times New Roman" w:eastAsia="宋体" w:hAnsi="Times New Roman"/>
          <w:color w:val="000000"/>
          <w:sz w:val="20"/>
          <w:szCs w:val="20"/>
        </w:rPr>
        <w:t>serves are reasonable, no assurance can be given that the final tax outcome of these matters will not be different from that which is reflected in our historical income tax provisions and accruals. We adjust these reserves in light of changing facts and ci</w:t>
      </w:r>
      <w:r>
        <w:rPr>
          <w:rFonts w:ascii="Times New Roman" w:eastAsia="宋体" w:hAnsi="Times New Roman"/>
          <w:color w:val="000000"/>
          <w:sz w:val="20"/>
          <w:szCs w:val="20"/>
        </w:rPr>
        <w:t>rcumstances, such as the closing of a tax audit or the refinement of an estimate. To the extent that the final tax outcome of these matters is different than the amounts recorded, such differences will impact the provision for income taxes in the period in</w:t>
      </w:r>
      <w:r>
        <w:rPr>
          <w:rFonts w:ascii="Times New Roman" w:eastAsia="宋体" w:hAnsi="Times New Roman"/>
          <w:color w:val="000000"/>
          <w:sz w:val="20"/>
          <w:szCs w:val="20"/>
        </w:rPr>
        <w:t xml:space="preserve"> which such determination is made. The provision for income taxes includes the impact of reserve provisions and changes to reserves that are considered appropriate, as well as the related net interest and penalties.</w:t>
      </w:r>
    </w:p>
    <w:p w14:paraId="518B4863" w14:textId="77777777" w:rsidR="005C332D" w:rsidRDefault="00B93EAE">
      <w:pPr>
        <w:spacing w:before="120"/>
        <w:jc w:val="both"/>
      </w:pPr>
      <w:r>
        <w:rPr>
          <w:rFonts w:ascii="Times New Roman" w:eastAsia="宋体" w:hAnsi="Times New Roman"/>
          <w:color w:val="000000"/>
          <w:sz w:val="20"/>
          <w:szCs w:val="20"/>
        </w:rPr>
        <w:t>Significant judgment is also required in</w:t>
      </w:r>
      <w:r>
        <w:rPr>
          <w:rFonts w:ascii="Times New Roman" w:eastAsia="宋体" w:hAnsi="Times New Roman"/>
          <w:color w:val="000000"/>
          <w:sz w:val="20"/>
          <w:szCs w:val="20"/>
        </w:rPr>
        <w:t xml:space="preserve"> determining any valuation allowance recorded against deferred tax assets. In assessing the need for a valuation allowance, we consider all available evidence, including past operating results, estimates of future taxable income, and the feasibility of tax</w:t>
      </w:r>
      <w:r>
        <w:rPr>
          <w:rFonts w:ascii="Times New Roman" w:eastAsia="宋体" w:hAnsi="Times New Roman"/>
          <w:color w:val="000000"/>
          <w:sz w:val="20"/>
          <w:szCs w:val="20"/>
        </w:rPr>
        <w:t xml:space="preserve"> planning strategies. In the event that we change our determination as to the amount of deferred tax assets that can be realized, we will adjust our valuation allowance with a corresponding impact to the provision for income taxes in the period in which su</w:t>
      </w:r>
      <w:r>
        <w:rPr>
          <w:rFonts w:ascii="Times New Roman" w:eastAsia="宋体" w:hAnsi="Times New Roman"/>
          <w:color w:val="000000"/>
          <w:sz w:val="20"/>
          <w:szCs w:val="20"/>
        </w:rPr>
        <w:t>ch determination is made.</w:t>
      </w:r>
    </w:p>
    <w:p w14:paraId="518B4864" w14:textId="77777777" w:rsidR="005C332D" w:rsidRDefault="00B93EAE">
      <w:pPr>
        <w:spacing w:before="120"/>
        <w:jc w:val="both"/>
      </w:pPr>
      <w:r>
        <w:rPr>
          <w:rFonts w:ascii="Times New Roman" w:eastAsia="宋体" w:hAnsi="Times New Roman"/>
          <w:color w:val="000000"/>
          <w:sz w:val="20"/>
          <w:szCs w:val="20"/>
        </w:rPr>
        <w:t xml:space="preserve">Our provision for income taxes is subject to volatility and could be adversely impacted by earnings being lower than anticipated in countries that have lower tax rates and higher than anticipated in countries that have higher tax </w:t>
      </w:r>
      <w:r>
        <w:rPr>
          <w:rFonts w:ascii="Times New Roman" w:eastAsia="宋体" w:hAnsi="Times New Roman"/>
          <w:color w:val="000000"/>
          <w:sz w:val="20"/>
          <w:szCs w:val="20"/>
        </w:rPr>
        <w:t>rates; by changes in the valuation of our deferred tax assets and liabilities; by changes to foreign-derived intangible income deduction, global intangible low-tax income and base erosion and anti-abuse tax laws, regulations, or interpretations thereof; by</w:t>
      </w:r>
      <w:r>
        <w:rPr>
          <w:rFonts w:ascii="Times New Roman" w:eastAsia="宋体" w:hAnsi="Times New Roman"/>
          <w:color w:val="000000"/>
          <w:sz w:val="20"/>
          <w:szCs w:val="20"/>
        </w:rPr>
        <w:t xml:space="preserve"> expiration of or lapses in tax incentives; by transfer pricing adjustments, including the effect of acquisitions on our legal structure; by tax effects of nondeductible compensation; by tax costs related to intercompany realignments; by changes in account</w:t>
      </w:r>
      <w:r>
        <w:rPr>
          <w:rFonts w:ascii="Times New Roman" w:eastAsia="宋体" w:hAnsi="Times New Roman"/>
          <w:color w:val="000000"/>
          <w:sz w:val="20"/>
          <w:szCs w:val="20"/>
        </w:rPr>
        <w:t>ing principles; or by changes in tax laws and regulations, treaties, or interpretations thereof, including changes to the taxation of earnings of our foreign subsidiaries, the deductibility of expenses attributable to foreign income, and the foreign tax cr</w:t>
      </w:r>
      <w:r>
        <w:rPr>
          <w:rFonts w:ascii="Times New Roman" w:eastAsia="宋体" w:hAnsi="Times New Roman"/>
          <w:color w:val="000000"/>
          <w:sz w:val="20"/>
          <w:szCs w:val="20"/>
        </w:rPr>
        <w:t>edit rules. Significant judgment is required to determine the recognition and measurement attributes prescribed in the accounting guidance for uncertainty in income taxes. The OECD, an international association comprised of 38 countries, including the Unit</w:t>
      </w:r>
      <w:r>
        <w:rPr>
          <w:rFonts w:ascii="Times New Roman" w:eastAsia="宋体" w:hAnsi="Times New Roman"/>
          <w:color w:val="000000"/>
          <w:sz w:val="20"/>
          <w:szCs w:val="20"/>
        </w:rPr>
        <w:t>ed States, has made changes and is contemplating additional changes to numerous long-standing tax principles. There can be no assurance that these changes and any contemplated changes if finalized, once adopted by countries, will not have an adverse impact</w:t>
      </w:r>
      <w:r>
        <w:rPr>
          <w:rFonts w:ascii="Times New Roman" w:eastAsia="宋体" w:hAnsi="Times New Roman"/>
          <w:color w:val="000000"/>
          <w:sz w:val="20"/>
          <w:szCs w:val="20"/>
        </w:rPr>
        <w:t xml:space="preserve"> on our provision for income taxes. As a result of certain of our ongoing employment and capital investment actions and commitments, our income in certain countries was subject to reduced tax rates. Our failure to meet these commitments could adversely imp</w:t>
      </w:r>
      <w:r>
        <w:rPr>
          <w:rFonts w:ascii="Times New Roman" w:eastAsia="宋体" w:hAnsi="Times New Roman"/>
          <w:color w:val="000000"/>
          <w:sz w:val="20"/>
          <w:szCs w:val="20"/>
        </w:rPr>
        <w:t>act our provision for income taxes. In addition, we are subject to the continuous examination of our income tax returns by the IRS and other tax authorities. We regularly assess the likelihood of adverse outcomes resulting from these examinations to determ</w:t>
      </w:r>
      <w:r>
        <w:rPr>
          <w:rFonts w:ascii="Times New Roman" w:eastAsia="宋体" w:hAnsi="Times New Roman"/>
          <w:color w:val="000000"/>
          <w:sz w:val="20"/>
          <w:szCs w:val="20"/>
        </w:rPr>
        <w:t xml:space="preserve">ine the adequacy of our provision for income taxes. There can be no assurance that the outcomes from these continuous examinations will not have an adverse impact on our operating results and financial condition. </w:t>
      </w:r>
    </w:p>
    <w:p w14:paraId="518B4865" w14:textId="77777777" w:rsidR="005C332D" w:rsidRDefault="005C332D">
      <w:pPr>
        <w:spacing w:before="60"/>
        <w:jc w:val="both"/>
      </w:pPr>
    </w:p>
    <w:p w14:paraId="518B4866" w14:textId="77777777" w:rsidR="005C332D" w:rsidRDefault="00B93EAE">
      <w:pPr>
        <w:jc w:val="center"/>
      </w:pPr>
      <w:r>
        <w:rPr>
          <w:rFonts w:ascii="Times New Roman" w:eastAsia="宋体" w:hAnsi="Times New Roman"/>
          <w:color w:val="000000"/>
          <w:sz w:val="20"/>
          <w:szCs w:val="20"/>
        </w:rPr>
        <w:t>37</w:t>
      </w:r>
    </w:p>
    <w:p w14:paraId="518B4867" w14:textId="77777777" w:rsidR="005C332D" w:rsidRDefault="00B93EAE">
      <w:r>
        <w:pict w14:anchorId="518B873A">
          <v:rect id="_x0000_i1063" style="width:415.3pt;height:1.5pt" o:hralign="center" o:hrstd="t" o:hr="t" fillcolor="#a0a0a0" stroked="f"/>
        </w:pict>
      </w:r>
    </w:p>
    <w:p w14:paraId="518B4868" w14:textId="77777777" w:rsidR="005C332D" w:rsidRDefault="00B93EAE">
      <w:hyperlink r:id="rId91" w:anchor="i049852cab38845aabd2a79d07dacda86_7" w:history="1">
        <w:r>
          <w:rPr>
            <w:rStyle w:val="a5"/>
            <w:rFonts w:ascii="Times New Roman" w:eastAsia="宋体" w:hAnsi="Times New Roman"/>
            <w:sz w:val="20"/>
            <w:szCs w:val="20"/>
          </w:rPr>
          <w:t>Table of Contents</w:t>
        </w:r>
      </w:hyperlink>
    </w:p>
    <w:p w14:paraId="518B4869" w14:textId="77777777" w:rsidR="005C332D" w:rsidRDefault="00B93EAE">
      <w:pPr>
        <w:spacing w:before="120"/>
        <w:jc w:val="both"/>
      </w:pPr>
      <w:r>
        <w:rPr>
          <w:rFonts w:ascii="Times New Roman" w:eastAsia="宋体" w:hAnsi="Times New Roman"/>
          <w:b/>
          <w:bCs/>
          <w:color w:val="000000"/>
          <w:sz w:val="22"/>
          <w:szCs w:val="22"/>
        </w:rPr>
        <w:t>RESULTS OF OPERATIONS</w:t>
      </w:r>
    </w:p>
    <w:p w14:paraId="518B486A" w14:textId="77777777" w:rsidR="005C332D" w:rsidRDefault="00B93EAE">
      <w:pPr>
        <w:spacing w:before="120"/>
        <w:jc w:val="both"/>
      </w:pPr>
      <w:r>
        <w:rPr>
          <w:rFonts w:ascii="Times New Roman" w:eastAsia="宋体" w:hAnsi="Times New Roman"/>
          <w:color w:val="000000"/>
          <w:sz w:val="20"/>
          <w:szCs w:val="20"/>
        </w:rPr>
        <w:t>A discussion regarding our financial condition and results of opera</w:t>
      </w:r>
      <w:r>
        <w:rPr>
          <w:rFonts w:ascii="Times New Roman" w:eastAsia="宋体" w:hAnsi="Times New Roman"/>
          <w:color w:val="000000"/>
          <w:sz w:val="20"/>
          <w:szCs w:val="20"/>
        </w:rPr>
        <w:t>tions for fiscal 2022 compared to fiscal 2021 is presented below. A discussion regarding our financial condition and results of operations for fiscal 2021 compared to fiscal 2020, with the exception of Product Revenue by Category, for which is discussed he</w:t>
      </w:r>
      <w:r>
        <w:rPr>
          <w:rFonts w:ascii="Times New Roman" w:eastAsia="宋体" w:hAnsi="Times New Roman"/>
          <w:color w:val="000000"/>
          <w:sz w:val="20"/>
          <w:szCs w:val="20"/>
        </w:rPr>
        <w:t xml:space="preserve">rein, can be found under Item 7 in our Annual Report on Form 10-K for the fiscal year ended July 31, 2021, filed with the SEC on September 9, 2021. </w:t>
      </w:r>
    </w:p>
    <w:p w14:paraId="518B486B" w14:textId="77777777" w:rsidR="005C332D" w:rsidRDefault="00B93EAE">
      <w:pPr>
        <w:spacing w:before="120"/>
        <w:jc w:val="both"/>
      </w:pPr>
      <w:r>
        <w:rPr>
          <w:rFonts w:ascii="Times New Roman" w:eastAsia="宋体" w:hAnsi="Times New Roman"/>
          <w:b/>
          <w:bCs/>
          <w:color w:val="000000"/>
          <w:sz w:val="20"/>
          <w:szCs w:val="20"/>
        </w:rPr>
        <w:t>Revenue</w:t>
      </w:r>
    </w:p>
    <w:p w14:paraId="518B486C" w14:textId="77777777" w:rsidR="005C332D" w:rsidRDefault="00B93EAE">
      <w:pPr>
        <w:spacing w:before="120"/>
        <w:jc w:val="both"/>
      </w:pPr>
      <w:r>
        <w:rPr>
          <w:rFonts w:ascii="Times New Roman" w:eastAsia="宋体" w:hAnsi="Times New Roman"/>
          <w:color w:val="000000"/>
          <w:sz w:val="20"/>
          <w:szCs w:val="20"/>
        </w:rPr>
        <w:t>The following table presents the breakdown of revenue between product and service (in millions, exc</w:t>
      </w:r>
      <w:r>
        <w:rPr>
          <w:rFonts w:ascii="Times New Roman" w:eastAsia="宋体" w:hAnsi="Times New Roman"/>
          <w:color w:val="000000"/>
          <w:sz w:val="20"/>
          <w:szCs w:val="20"/>
        </w:rPr>
        <w:t>ept percentages):</w:t>
      </w:r>
    </w:p>
    <w:tbl>
      <w:tblPr>
        <w:tblW w:w="4985" w:type="pct"/>
        <w:tblCellMar>
          <w:top w:w="15" w:type="dxa"/>
          <w:left w:w="15" w:type="dxa"/>
          <w:bottom w:w="15" w:type="dxa"/>
          <w:right w:w="15" w:type="dxa"/>
        </w:tblCellMar>
        <w:tblLook w:val="04A0" w:firstRow="1" w:lastRow="0" w:firstColumn="1" w:lastColumn="0" w:noHBand="0" w:noVBand="1"/>
      </w:tblPr>
      <w:tblGrid>
        <w:gridCol w:w="38"/>
        <w:gridCol w:w="2806"/>
        <w:gridCol w:w="36"/>
        <w:gridCol w:w="36"/>
        <w:gridCol w:w="36"/>
        <w:gridCol w:w="36"/>
        <w:gridCol w:w="120"/>
        <w:gridCol w:w="805"/>
        <w:gridCol w:w="187"/>
        <w:gridCol w:w="36"/>
        <w:gridCol w:w="36"/>
        <w:gridCol w:w="36"/>
        <w:gridCol w:w="120"/>
        <w:gridCol w:w="707"/>
        <w:gridCol w:w="187"/>
        <w:gridCol w:w="36"/>
        <w:gridCol w:w="36"/>
        <w:gridCol w:w="36"/>
        <w:gridCol w:w="120"/>
        <w:gridCol w:w="707"/>
        <w:gridCol w:w="187"/>
        <w:gridCol w:w="36"/>
        <w:gridCol w:w="36"/>
        <w:gridCol w:w="36"/>
        <w:gridCol w:w="121"/>
        <w:gridCol w:w="707"/>
        <w:gridCol w:w="36"/>
        <w:gridCol w:w="36"/>
        <w:gridCol w:w="36"/>
        <w:gridCol w:w="36"/>
        <w:gridCol w:w="59"/>
        <w:gridCol w:w="641"/>
        <w:gridCol w:w="187"/>
      </w:tblGrid>
      <w:tr w:rsidR="005C332D" w14:paraId="518B488E" w14:textId="77777777">
        <w:tc>
          <w:tcPr>
            <w:tcW w:w="50" w:type="pct"/>
            <w:shd w:val="clear" w:color="auto" w:fill="auto"/>
            <w:vAlign w:val="bottom"/>
          </w:tcPr>
          <w:p w14:paraId="518B486D" w14:textId="77777777" w:rsidR="005C332D" w:rsidRDefault="005C332D">
            <w:pPr>
              <w:rPr>
                <w:rFonts w:ascii="宋体"/>
              </w:rPr>
            </w:pPr>
          </w:p>
        </w:tc>
        <w:tc>
          <w:tcPr>
            <w:tcW w:w="1770" w:type="pct"/>
            <w:shd w:val="clear" w:color="auto" w:fill="auto"/>
            <w:vAlign w:val="bottom"/>
          </w:tcPr>
          <w:p w14:paraId="518B486E" w14:textId="77777777" w:rsidR="005C332D" w:rsidRDefault="005C332D">
            <w:pPr>
              <w:rPr>
                <w:rFonts w:ascii="宋体"/>
              </w:rPr>
            </w:pPr>
          </w:p>
        </w:tc>
        <w:tc>
          <w:tcPr>
            <w:tcW w:w="5" w:type="pct"/>
            <w:shd w:val="clear" w:color="auto" w:fill="auto"/>
            <w:vAlign w:val="bottom"/>
          </w:tcPr>
          <w:p w14:paraId="518B486F" w14:textId="77777777" w:rsidR="005C332D" w:rsidRDefault="005C332D">
            <w:pPr>
              <w:rPr>
                <w:rFonts w:ascii="宋体"/>
              </w:rPr>
            </w:pPr>
          </w:p>
        </w:tc>
        <w:tc>
          <w:tcPr>
            <w:tcW w:w="5" w:type="pct"/>
            <w:shd w:val="clear" w:color="auto" w:fill="auto"/>
            <w:vAlign w:val="bottom"/>
          </w:tcPr>
          <w:p w14:paraId="518B4870" w14:textId="77777777" w:rsidR="005C332D" w:rsidRDefault="005C332D">
            <w:pPr>
              <w:rPr>
                <w:rFonts w:ascii="宋体"/>
              </w:rPr>
            </w:pPr>
          </w:p>
        </w:tc>
        <w:tc>
          <w:tcPr>
            <w:tcW w:w="26" w:type="pct"/>
            <w:shd w:val="clear" w:color="auto" w:fill="auto"/>
            <w:vAlign w:val="bottom"/>
          </w:tcPr>
          <w:p w14:paraId="518B4871" w14:textId="77777777" w:rsidR="005C332D" w:rsidRDefault="005C332D">
            <w:pPr>
              <w:rPr>
                <w:rFonts w:ascii="宋体"/>
              </w:rPr>
            </w:pPr>
          </w:p>
        </w:tc>
        <w:tc>
          <w:tcPr>
            <w:tcW w:w="5" w:type="pct"/>
            <w:shd w:val="clear" w:color="auto" w:fill="auto"/>
            <w:vAlign w:val="bottom"/>
          </w:tcPr>
          <w:p w14:paraId="518B4872" w14:textId="77777777" w:rsidR="005C332D" w:rsidRDefault="005C332D">
            <w:pPr>
              <w:rPr>
                <w:rFonts w:ascii="宋体"/>
              </w:rPr>
            </w:pPr>
          </w:p>
        </w:tc>
        <w:tc>
          <w:tcPr>
            <w:tcW w:w="50" w:type="pct"/>
            <w:shd w:val="clear" w:color="auto" w:fill="auto"/>
            <w:vAlign w:val="bottom"/>
          </w:tcPr>
          <w:p w14:paraId="518B4873" w14:textId="77777777" w:rsidR="005C332D" w:rsidRDefault="005C332D">
            <w:pPr>
              <w:rPr>
                <w:rFonts w:ascii="宋体"/>
              </w:rPr>
            </w:pPr>
          </w:p>
        </w:tc>
        <w:tc>
          <w:tcPr>
            <w:tcW w:w="590" w:type="pct"/>
            <w:shd w:val="clear" w:color="auto" w:fill="auto"/>
            <w:vAlign w:val="bottom"/>
          </w:tcPr>
          <w:p w14:paraId="518B4874" w14:textId="77777777" w:rsidR="005C332D" w:rsidRDefault="005C332D">
            <w:pPr>
              <w:rPr>
                <w:rFonts w:ascii="宋体"/>
              </w:rPr>
            </w:pPr>
          </w:p>
        </w:tc>
        <w:tc>
          <w:tcPr>
            <w:tcW w:w="5" w:type="pct"/>
            <w:shd w:val="clear" w:color="auto" w:fill="auto"/>
            <w:vAlign w:val="bottom"/>
          </w:tcPr>
          <w:p w14:paraId="518B4875" w14:textId="77777777" w:rsidR="005C332D" w:rsidRDefault="005C332D">
            <w:pPr>
              <w:rPr>
                <w:rFonts w:ascii="宋体"/>
              </w:rPr>
            </w:pPr>
          </w:p>
        </w:tc>
        <w:tc>
          <w:tcPr>
            <w:tcW w:w="5" w:type="pct"/>
            <w:shd w:val="clear" w:color="auto" w:fill="auto"/>
            <w:vAlign w:val="bottom"/>
          </w:tcPr>
          <w:p w14:paraId="518B4876" w14:textId="77777777" w:rsidR="005C332D" w:rsidRDefault="005C332D">
            <w:pPr>
              <w:rPr>
                <w:rFonts w:ascii="宋体"/>
              </w:rPr>
            </w:pPr>
          </w:p>
        </w:tc>
        <w:tc>
          <w:tcPr>
            <w:tcW w:w="26" w:type="pct"/>
            <w:shd w:val="clear" w:color="auto" w:fill="auto"/>
            <w:vAlign w:val="bottom"/>
          </w:tcPr>
          <w:p w14:paraId="518B4877" w14:textId="77777777" w:rsidR="005C332D" w:rsidRDefault="005C332D">
            <w:pPr>
              <w:rPr>
                <w:rFonts w:ascii="宋体"/>
              </w:rPr>
            </w:pPr>
          </w:p>
        </w:tc>
        <w:tc>
          <w:tcPr>
            <w:tcW w:w="5" w:type="pct"/>
            <w:shd w:val="clear" w:color="auto" w:fill="auto"/>
            <w:vAlign w:val="bottom"/>
          </w:tcPr>
          <w:p w14:paraId="518B4878" w14:textId="77777777" w:rsidR="005C332D" w:rsidRDefault="005C332D">
            <w:pPr>
              <w:rPr>
                <w:rFonts w:ascii="宋体"/>
              </w:rPr>
            </w:pPr>
          </w:p>
        </w:tc>
        <w:tc>
          <w:tcPr>
            <w:tcW w:w="50" w:type="pct"/>
            <w:shd w:val="clear" w:color="auto" w:fill="auto"/>
            <w:vAlign w:val="bottom"/>
          </w:tcPr>
          <w:p w14:paraId="518B4879" w14:textId="77777777" w:rsidR="005C332D" w:rsidRDefault="005C332D">
            <w:pPr>
              <w:rPr>
                <w:rFonts w:ascii="宋体"/>
              </w:rPr>
            </w:pPr>
          </w:p>
        </w:tc>
        <w:tc>
          <w:tcPr>
            <w:tcW w:w="531" w:type="pct"/>
            <w:shd w:val="clear" w:color="auto" w:fill="auto"/>
            <w:vAlign w:val="bottom"/>
          </w:tcPr>
          <w:p w14:paraId="518B487A" w14:textId="77777777" w:rsidR="005C332D" w:rsidRDefault="005C332D">
            <w:pPr>
              <w:rPr>
                <w:rFonts w:ascii="宋体"/>
              </w:rPr>
            </w:pPr>
          </w:p>
        </w:tc>
        <w:tc>
          <w:tcPr>
            <w:tcW w:w="5" w:type="pct"/>
            <w:shd w:val="clear" w:color="auto" w:fill="auto"/>
            <w:vAlign w:val="bottom"/>
          </w:tcPr>
          <w:p w14:paraId="518B487B" w14:textId="77777777" w:rsidR="005C332D" w:rsidRDefault="005C332D">
            <w:pPr>
              <w:rPr>
                <w:rFonts w:ascii="宋体"/>
              </w:rPr>
            </w:pPr>
          </w:p>
        </w:tc>
        <w:tc>
          <w:tcPr>
            <w:tcW w:w="5" w:type="pct"/>
            <w:shd w:val="clear" w:color="auto" w:fill="auto"/>
            <w:vAlign w:val="bottom"/>
          </w:tcPr>
          <w:p w14:paraId="518B487C" w14:textId="77777777" w:rsidR="005C332D" w:rsidRDefault="005C332D">
            <w:pPr>
              <w:rPr>
                <w:rFonts w:ascii="宋体"/>
              </w:rPr>
            </w:pPr>
          </w:p>
        </w:tc>
        <w:tc>
          <w:tcPr>
            <w:tcW w:w="26" w:type="pct"/>
            <w:shd w:val="clear" w:color="auto" w:fill="auto"/>
            <w:vAlign w:val="bottom"/>
          </w:tcPr>
          <w:p w14:paraId="518B487D" w14:textId="77777777" w:rsidR="005C332D" w:rsidRDefault="005C332D">
            <w:pPr>
              <w:rPr>
                <w:rFonts w:ascii="宋体"/>
              </w:rPr>
            </w:pPr>
          </w:p>
        </w:tc>
        <w:tc>
          <w:tcPr>
            <w:tcW w:w="5" w:type="pct"/>
            <w:shd w:val="clear" w:color="auto" w:fill="auto"/>
            <w:vAlign w:val="bottom"/>
          </w:tcPr>
          <w:p w14:paraId="518B487E" w14:textId="77777777" w:rsidR="005C332D" w:rsidRDefault="005C332D">
            <w:pPr>
              <w:rPr>
                <w:rFonts w:ascii="宋体"/>
              </w:rPr>
            </w:pPr>
          </w:p>
        </w:tc>
        <w:tc>
          <w:tcPr>
            <w:tcW w:w="50" w:type="pct"/>
            <w:shd w:val="clear" w:color="auto" w:fill="auto"/>
            <w:vAlign w:val="bottom"/>
          </w:tcPr>
          <w:p w14:paraId="518B487F" w14:textId="77777777" w:rsidR="005C332D" w:rsidRDefault="005C332D">
            <w:pPr>
              <w:rPr>
                <w:rFonts w:ascii="宋体"/>
              </w:rPr>
            </w:pPr>
          </w:p>
        </w:tc>
        <w:tc>
          <w:tcPr>
            <w:tcW w:w="531" w:type="pct"/>
            <w:shd w:val="clear" w:color="auto" w:fill="auto"/>
            <w:vAlign w:val="bottom"/>
          </w:tcPr>
          <w:p w14:paraId="518B4880" w14:textId="77777777" w:rsidR="005C332D" w:rsidRDefault="005C332D">
            <w:pPr>
              <w:rPr>
                <w:rFonts w:ascii="宋体"/>
              </w:rPr>
            </w:pPr>
          </w:p>
        </w:tc>
        <w:tc>
          <w:tcPr>
            <w:tcW w:w="5" w:type="pct"/>
            <w:shd w:val="clear" w:color="auto" w:fill="auto"/>
            <w:vAlign w:val="bottom"/>
          </w:tcPr>
          <w:p w14:paraId="518B4881" w14:textId="77777777" w:rsidR="005C332D" w:rsidRDefault="005C332D">
            <w:pPr>
              <w:rPr>
                <w:rFonts w:ascii="宋体"/>
              </w:rPr>
            </w:pPr>
          </w:p>
        </w:tc>
        <w:tc>
          <w:tcPr>
            <w:tcW w:w="5" w:type="pct"/>
            <w:shd w:val="clear" w:color="auto" w:fill="auto"/>
            <w:vAlign w:val="bottom"/>
          </w:tcPr>
          <w:p w14:paraId="518B4882" w14:textId="77777777" w:rsidR="005C332D" w:rsidRDefault="005C332D">
            <w:pPr>
              <w:rPr>
                <w:rFonts w:ascii="宋体"/>
              </w:rPr>
            </w:pPr>
          </w:p>
        </w:tc>
        <w:tc>
          <w:tcPr>
            <w:tcW w:w="26" w:type="pct"/>
            <w:shd w:val="clear" w:color="auto" w:fill="auto"/>
            <w:vAlign w:val="bottom"/>
          </w:tcPr>
          <w:p w14:paraId="518B4883" w14:textId="77777777" w:rsidR="005C332D" w:rsidRDefault="005C332D">
            <w:pPr>
              <w:rPr>
                <w:rFonts w:ascii="宋体"/>
              </w:rPr>
            </w:pPr>
          </w:p>
        </w:tc>
        <w:tc>
          <w:tcPr>
            <w:tcW w:w="5" w:type="pct"/>
            <w:shd w:val="clear" w:color="auto" w:fill="auto"/>
            <w:vAlign w:val="bottom"/>
          </w:tcPr>
          <w:p w14:paraId="518B4884" w14:textId="77777777" w:rsidR="005C332D" w:rsidRDefault="005C332D">
            <w:pPr>
              <w:rPr>
                <w:rFonts w:ascii="宋体"/>
              </w:rPr>
            </w:pPr>
          </w:p>
        </w:tc>
        <w:tc>
          <w:tcPr>
            <w:tcW w:w="50" w:type="pct"/>
            <w:shd w:val="clear" w:color="auto" w:fill="auto"/>
            <w:vAlign w:val="bottom"/>
          </w:tcPr>
          <w:p w14:paraId="518B4885" w14:textId="77777777" w:rsidR="005C332D" w:rsidRDefault="005C332D">
            <w:pPr>
              <w:rPr>
                <w:rFonts w:ascii="宋体"/>
              </w:rPr>
            </w:pPr>
          </w:p>
        </w:tc>
        <w:tc>
          <w:tcPr>
            <w:tcW w:w="531" w:type="pct"/>
            <w:shd w:val="clear" w:color="auto" w:fill="auto"/>
            <w:vAlign w:val="bottom"/>
          </w:tcPr>
          <w:p w14:paraId="518B4886" w14:textId="77777777" w:rsidR="005C332D" w:rsidRDefault="005C332D">
            <w:pPr>
              <w:rPr>
                <w:rFonts w:ascii="宋体"/>
              </w:rPr>
            </w:pPr>
          </w:p>
        </w:tc>
        <w:tc>
          <w:tcPr>
            <w:tcW w:w="5" w:type="pct"/>
            <w:shd w:val="clear" w:color="auto" w:fill="auto"/>
            <w:vAlign w:val="bottom"/>
          </w:tcPr>
          <w:p w14:paraId="518B4887" w14:textId="77777777" w:rsidR="005C332D" w:rsidRDefault="005C332D">
            <w:pPr>
              <w:rPr>
                <w:rFonts w:ascii="宋体"/>
              </w:rPr>
            </w:pPr>
          </w:p>
        </w:tc>
        <w:tc>
          <w:tcPr>
            <w:tcW w:w="5" w:type="pct"/>
            <w:shd w:val="clear" w:color="auto" w:fill="auto"/>
            <w:vAlign w:val="bottom"/>
          </w:tcPr>
          <w:p w14:paraId="518B4888" w14:textId="77777777" w:rsidR="005C332D" w:rsidRDefault="005C332D">
            <w:pPr>
              <w:rPr>
                <w:rFonts w:ascii="宋体"/>
              </w:rPr>
            </w:pPr>
          </w:p>
        </w:tc>
        <w:tc>
          <w:tcPr>
            <w:tcW w:w="26" w:type="pct"/>
            <w:shd w:val="clear" w:color="auto" w:fill="auto"/>
            <w:vAlign w:val="bottom"/>
          </w:tcPr>
          <w:p w14:paraId="518B4889" w14:textId="77777777" w:rsidR="005C332D" w:rsidRDefault="005C332D">
            <w:pPr>
              <w:rPr>
                <w:rFonts w:ascii="宋体"/>
              </w:rPr>
            </w:pPr>
          </w:p>
        </w:tc>
        <w:tc>
          <w:tcPr>
            <w:tcW w:w="5" w:type="pct"/>
            <w:shd w:val="clear" w:color="auto" w:fill="auto"/>
            <w:vAlign w:val="bottom"/>
          </w:tcPr>
          <w:p w14:paraId="518B488A" w14:textId="77777777" w:rsidR="005C332D" w:rsidRDefault="005C332D">
            <w:pPr>
              <w:rPr>
                <w:rFonts w:ascii="宋体"/>
              </w:rPr>
            </w:pPr>
          </w:p>
        </w:tc>
        <w:tc>
          <w:tcPr>
            <w:tcW w:w="50" w:type="pct"/>
            <w:shd w:val="clear" w:color="auto" w:fill="auto"/>
            <w:vAlign w:val="bottom"/>
          </w:tcPr>
          <w:p w14:paraId="518B488B" w14:textId="77777777" w:rsidR="005C332D" w:rsidRDefault="005C332D">
            <w:pPr>
              <w:rPr>
                <w:rFonts w:ascii="宋体"/>
              </w:rPr>
            </w:pPr>
          </w:p>
        </w:tc>
        <w:tc>
          <w:tcPr>
            <w:tcW w:w="531" w:type="pct"/>
            <w:shd w:val="clear" w:color="auto" w:fill="auto"/>
            <w:vAlign w:val="bottom"/>
          </w:tcPr>
          <w:p w14:paraId="518B488C" w14:textId="77777777" w:rsidR="005C332D" w:rsidRDefault="005C332D">
            <w:pPr>
              <w:rPr>
                <w:rFonts w:ascii="宋体"/>
              </w:rPr>
            </w:pPr>
          </w:p>
        </w:tc>
        <w:tc>
          <w:tcPr>
            <w:tcW w:w="5" w:type="pct"/>
            <w:shd w:val="clear" w:color="auto" w:fill="auto"/>
            <w:vAlign w:val="bottom"/>
          </w:tcPr>
          <w:p w14:paraId="518B488D" w14:textId="77777777" w:rsidR="005C332D" w:rsidRDefault="005C332D">
            <w:pPr>
              <w:rPr>
                <w:rFonts w:ascii="宋体"/>
              </w:rPr>
            </w:pPr>
          </w:p>
        </w:tc>
      </w:tr>
      <w:tr w:rsidR="005C332D" w14:paraId="518B4894" w14:textId="77777777">
        <w:tc>
          <w:tcPr>
            <w:tcW w:w="0" w:type="auto"/>
            <w:gridSpan w:val="3"/>
            <w:shd w:val="clear" w:color="auto" w:fill="auto"/>
            <w:tcMar>
              <w:top w:w="0" w:type="dxa"/>
              <w:left w:w="20" w:type="dxa"/>
              <w:bottom w:w="0" w:type="dxa"/>
              <w:right w:w="20" w:type="dxa"/>
            </w:tcMar>
            <w:vAlign w:val="bottom"/>
          </w:tcPr>
          <w:p w14:paraId="518B488F"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890"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891" w14:textId="77777777" w:rsidR="005C332D" w:rsidRDefault="00B93EAE">
            <w:pPr>
              <w:jc w:val="center"/>
              <w:textAlignment w:val="bottom"/>
            </w:pPr>
            <w:r>
              <w:rPr>
                <w:rFonts w:ascii="Times New Roman" w:eastAsia="宋体" w:hAnsi="Times New Roman"/>
                <w:color w:val="000000"/>
                <w:sz w:val="18"/>
                <w:szCs w:val="18"/>
              </w:rPr>
              <w:t>Years Ended</w:t>
            </w:r>
          </w:p>
        </w:tc>
        <w:tc>
          <w:tcPr>
            <w:tcW w:w="0" w:type="auto"/>
            <w:gridSpan w:val="3"/>
            <w:shd w:val="clear" w:color="auto" w:fill="auto"/>
            <w:tcMar>
              <w:top w:w="0" w:type="dxa"/>
              <w:left w:w="20" w:type="dxa"/>
              <w:bottom w:w="0" w:type="dxa"/>
              <w:right w:w="20" w:type="dxa"/>
            </w:tcMar>
            <w:vAlign w:val="bottom"/>
          </w:tcPr>
          <w:p w14:paraId="518B4892"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4893" w14:textId="77777777" w:rsidR="005C332D" w:rsidRDefault="00B93EAE">
            <w:pPr>
              <w:jc w:val="center"/>
              <w:textAlignment w:val="bottom"/>
            </w:pPr>
            <w:r>
              <w:rPr>
                <w:rFonts w:ascii="Times New Roman" w:eastAsia="宋体" w:hAnsi="Times New Roman"/>
                <w:color w:val="000000"/>
                <w:sz w:val="18"/>
                <w:szCs w:val="18"/>
              </w:rPr>
              <w:t>2022 vs. 2021</w:t>
            </w:r>
          </w:p>
        </w:tc>
      </w:tr>
      <w:tr w:rsidR="005C332D" w14:paraId="518B48A0" w14:textId="77777777">
        <w:tc>
          <w:tcPr>
            <w:tcW w:w="0" w:type="auto"/>
            <w:gridSpan w:val="3"/>
            <w:shd w:val="clear" w:color="auto" w:fill="auto"/>
            <w:tcMar>
              <w:top w:w="0" w:type="dxa"/>
              <w:left w:w="20" w:type="dxa"/>
              <w:bottom w:w="0" w:type="dxa"/>
              <w:right w:w="20" w:type="dxa"/>
            </w:tcMar>
            <w:vAlign w:val="bottom"/>
          </w:tcPr>
          <w:p w14:paraId="518B4895"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89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897"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89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899"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89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89B"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auto"/>
            <w:tcMar>
              <w:top w:w="0" w:type="dxa"/>
              <w:left w:w="20" w:type="dxa"/>
              <w:bottom w:w="0" w:type="dxa"/>
              <w:right w:w="20" w:type="dxa"/>
            </w:tcMar>
            <w:vAlign w:val="bottom"/>
          </w:tcPr>
          <w:p w14:paraId="518B489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89D" w14:textId="77777777" w:rsidR="005C332D" w:rsidRDefault="00B93EAE">
            <w:pPr>
              <w:jc w:val="center"/>
              <w:textAlignment w:val="bottom"/>
            </w:pPr>
            <w:r>
              <w:rPr>
                <w:rFonts w:ascii="Times New Roman" w:eastAsia="宋体" w:hAnsi="Times New Roman"/>
                <w:color w:val="000000"/>
                <w:sz w:val="18"/>
                <w:szCs w:val="18"/>
              </w:rPr>
              <w:t>Variance 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89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89F" w14:textId="77777777" w:rsidR="005C332D" w:rsidRDefault="00B93EAE">
            <w:pPr>
              <w:jc w:val="center"/>
              <w:textAlignment w:val="bottom"/>
            </w:pPr>
            <w:r>
              <w:rPr>
                <w:rFonts w:ascii="Times New Roman" w:eastAsia="宋体" w:hAnsi="Times New Roman"/>
                <w:color w:val="000000"/>
                <w:sz w:val="18"/>
                <w:szCs w:val="18"/>
              </w:rPr>
              <w:t>Variance in Percent</w:t>
            </w:r>
          </w:p>
        </w:tc>
      </w:tr>
      <w:tr w:rsidR="005C332D" w14:paraId="518B48AC" w14:textId="77777777">
        <w:tc>
          <w:tcPr>
            <w:tcW w:w="0" w:type="auto"/>
            <w:gridSpan w:val="3"/>
            <w:shd w:val="clear" w:color="auto" w:fill="FFFFFF"/>
            <w:tcMar>
              <w:top w:w="40" w:type="dxa"/>
              <w:left w:w="20" w:type="dxa"/>
              <w:bottom w:w="40" w:type="dxa"/>
              <w:right w:w="20" w:type="dxa"/>
            </w:tcMar>
            <w:vAlign w:val="bottom"/>
          </w:tcPr>
          <w:p w14:paraId="518B48A1" w14:textId="77777777" w:rsidR="005C332D" w:rsidRDefault="00B93EAE">
            <w:pPr>
              <w:textAlignment w:val="bottom"/>
            </w:pPr>
            <w:r>
              <w:rPr>
                <w:rFonts w:ascii="Times New Roman" w:eastAsia="宋体" w:hAnsi="Times New Roman"/>
                <w:color w:val="000000"/>
                <w:sz w:val="20"/>
                <w:szCs w:val="20"/>
              </w:rPr>
              <w:t>Revenue:</w:t>
            </w:r>
          </w:p>
        </w:tc>
        <w:tc>
          <w:tcPr>
            <w:tcW w:w="0" w:type="auto"/>
            <w:gridSpan w:val="3"/>
            <w:shd w:val="clear" w:color="auto" w:fill="FFFFFF"/>
            <w:tcMar>
              <w:top w:w="0" w:type="dxa"/>
              <w:left w:w="20" w:type="dxa"/>
              <w:bottom w:w="0" w:type="dxa"/>
              <w:right w:w="20" w:type="dxa"/>
            </w:tcMar>
            <w:vAlign w:val="bottom"/>
          </w:tcPr>
          <w:p w14:paraId="518B48A2"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8A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8A4"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8A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8A6"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8A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8A8"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8A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8AA"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8AB" w14:textId="77777777" w:rsidR="005C332D" w:rsidRDefault="005C332D">
            <w:pPr>
              <w:rPr>
                <w:rFonts w:ascii="宋体"/>
              </w:rPr>
            </w:pPr>
          </w:p>
        </w:tc>
      </w:tr>
      <w:tr w:rsidR="005C332D" w14:paraId="518B48C1" w14:textId="77777777">
        <w:tc>
          <w:tcPr>
            <w:tcW w:w="0" w:type="auto"/>
            <w:gridSpan w:val="3"/>
            <w:shd w:val="clear" w:color="auto" w:fill="CCEEFF"/>
            <w:tcMar>
              <w:top w:w="40" w:type="dxa"/>
              <w:left w:w="155" w:type="dxa"/>
              <w:bottom w:w="40" w:type="dxa"/>
              <w:right w:w="20" w:type="dxa"/>
            </w:tcMar>
            <w:vAlign w:val="bottom"/>
          </w:tcPr>
          <w:p w14:paraId="518B48AD" w14:textId="77777777" w:rsidR="005C332D" w:rsidRDefault="00B93EAE">
            <w:pPr>
              <w:textAlignment w:val="bottom"/>
            </w:pPr>
            <w:r>
              <w:rPr>
                <w:rFonts w:ascii="Times New Roman" w:eastAsia="宋体" w:hAnsi="Times New Roman"/>
                <w:color w:val="000000"/>
                <w:sz w:val="20"/>
                <w:szCs w:val="20"/>
              </w:rPr>
              <w:t>Product</w:t>
            </w:r>
          </w:p>
        </w:tc>
        <w:tc>
          <w:tcPr>
            <w:tcW w:w="0" w:type="auto"/>
            <w:gridSpan w:val="3"/>
            <w:shd w:val="clear" w:color="auto" w:fill="CCEEFF"/>
            <w:tcMar>
              <w:top w:w="0" w:type="dxa"/>
              <w:left w:w="20" w:type="dxa"/>
              <w:bottom w:w="0" w:type="dxa"/>
              <w:right w:w="20" w:type="dxa"/>
            </w:tcMar>
            <w:vAlign w:val="bottom"/>
          </w:tcPr>
          <w:p w14:paraId="518B48AE"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8AF"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8B0" w14:textId="77777777" w:rsidR="005C332D" w:rsidRDefault="00B93EAE">
            <w:pPr>
              <w:jc w:val="right"/>
              <w:textAlignment w:val="bottom"/>
            </w:pPr>
            <w:r>
              <w:rPr>
                <w:rFonts w:ascii="Times New Roman" w:eastAsia="宋体" w:hAnsi="Times New Roman"/>
                <w:b/>
                <w:bCs/>
                <w:color w:val="000000"/>
                <w:sz w:val="20"/>
                <w:szCs w:val="20"/>
              </w:rPr>
              <w:t>38,018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8B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B2"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8B3"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8B4" w14:textId="77777777" w:rsidR="005C332D" w:rsidRDefault="00B93EAE">
            <w:pPr>
              <w:jc w:val="right"/>
              <w:textAlignment w:val="bottom"/>
            </w:pPr>
            <w:r>
              <w:rPr>
                <w:rFonts w:ascii="Times New Roman" w:eastAsia="宋体" w:hAnsi="Times New Roman"/>
                <w:color w:val="000000"/>
                <w:sz w:val="20"/>
                <w:szCs w:val="20"/>
              </w:rPr>
              <w:t>36,014 </w:t>
            </w:r>
          </w:p>
        </w:tc>
        <w:tc>
          <w:tcPr>
            <w:tcW w:w="0" w:type="auto"/>
            <w:shd w:val="clear" w:color="auto" w:fill="CCEEFF"/>
            <w:tcMar>
              <w:top w:w="40" w:type="dxa"/>
              <w:left w:w="0" w:type="dxa"/>
              <w:bottom w:w="40" w:type="dxa"/>
              <w:right w:w="20" w:type="dxa"/>
            </w:tcMar>
            <w:vAlign w:val="bottom"/>
          </w:tcPr>
          <w:p w14:paraId="518B48B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B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8B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8B8" w14:textId="77777777" w:rsidR="005C332D" w:rsidRDefault="00B93EAE">
            <w:pPr>
              <w:jc w:val="right"/>
              <w:textAlignment w:val="bottom"/>
            </w:pPr>
            <w:r>
              <w:rPr>
                <w:rFonts w:ascii="Times New Roman" w:eastAsia="宋体" w:hAnsi="Times New Roman"/>
                <w:color w:val="000000"/>
                <w:sz w:val="20"/>
                <w:szCs w:val="20"/>
              </w:rPr>
              <w:t>35,978 </w:t>
            </w:r>
          </w:p>
        </w:tc>
        <w:tc>
          <w:tcPr>
            <w:tcW w:w="0" w:type="auto"/>
            <w:shd w:val="clear" w:color="auto" w:fill="CCEEFF"/>
            <w:tcMar>
              <w:top w:w="40" w:type="dxa"/>
              <w:left w:w="0" w:type="dxa"/>
              <w:bottom w:w="40" w:type="dxa"/>
              <w:right w:w="20" w:type="dxa"/>
            </w:tcMar>
            <w:vAlign w:val="bottom"/>
          </w:tcPr>
          <w:p w14:paraId="518B48B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BA"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8B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8BC" w14:textId="77777777" w:rsidR="005C332D" w:rsidRDefault="00B93EAE">
            <w:pPr>
              <w:jc w:val="right"/>
              <w:textAlignment w:val="bottom"/>
            </w:pPr>
            <w:r>
              <w:rPr>
                <w:rFonts w:ascii="Times New Roman" w:eastAsia="宋体" w:hAnsi="Times New Roman"/>
                <w:color w:val="000000"/>
                <w:sz w:val="20"/>
                <w:szCs w:val="20"/>
              </w:rPr>
              <w:t>2,004 </w:t>
            </w:r>
          </w:p>
        </w:tc>
        <w:tc>
          <w:tcPr>
            <w:tcW w:w="0" w:type="auto"/>
            <w:shd w:val="clear" w:color="auto" w:fill="CCEEFF"/>
            <w:tcMar>
              <w:top w:w="40" w:type="dxa"/>
              <w:left w:w="0" w:type="dxa"/>
              <w:bottom w:w="40" w:type="dxa"/>
              <w:right w:w="20" w:type="dxa"/>
            </w:tcMar>
            <w:vAlign w:val="bottom"/>
          </w:tcPr>
          <w:p w14:paraId="518B48B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B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8BF"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518B48C0"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8D0" w14:textId="77777777">
        <w:tc>
          <w:tcPr>
            <w:tcW w:w="0" w:type="auto"/>
            <w:gridSpan w:val="3"/>
            <w:shd w:val="clear" w:color="auto" w:fill="FFFFFF"/>
            <w:tcMar>
              <w:top w:w="40" w:type="dxa"/>
              <w:left w:w="155" w:type="dxa"/>
              <w:bottom w:w="40" w:type="dxa"/>
              <w:right w:w="20" w:type="dxa"/>
            </w:tcMar>
            <w:vAlign w:val="bottom"/>
          </w:tcPr>
          <w:p w14:paraId="518B48C2" w14:textId="77777777" w:rsidR="005C332D" w:rsidRDefault="00B93EAE">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FFFFFF"/>
            <w:tcMar>
              <w:top w:w="0" w:type="dxa"/>
              <w:left w:w="20" w:type="dxa"/>
              <w:bottom w:w="0" w:type="dxa"/>
              <w:right w:w="20" w:type="dxa"/>
            </w:tcMar>
            <w:vAlign w:val="bottom"/>
          </w:tcPr>
          <w:p w14:paraId="518B48C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8C4" w14:textId="77777777" w:rsidR="005C332D" w:rsidRDefault="00B93EAE">
            <w:pPr>
              <w:jc w:val="right"/>
              <w:textAlignment w:val="bottom"/>
            </w:pPr>
            <w:r>
              <w:rPr>
                <w:rFonts w:ascii="Times New Roman" w:eastAsia="宋体" w:hAnsi="Times New Roman"/>
                <w:b/>
                <w:bCs/>
                <w:i/>
                <w:iCs/>
                <w:color w:val="000000"/>
                <w:sz w:val="20"/>
                <w:szCs w:val="20"/>
              </w:rPr>
              <w:t>73.7</w:t>
            </w:r>
            <w:r>
              <w:rPr>
                <w:rFonts w:ascii="Times New Roman" w:eastAsia="宋体" w:hAnsi="Times New Roman"/>
                <w:i/>
                <w:iCs/>
                <w:color w:val="000000"/>
                <w:sz w:val="20"/>
                <w:szCs w:val="20"/>
              </w:rPr>
              <w:t> </w:t>
            </w:r>
          </w:p>
        </w:tc>
        <w:tc>
          <w:tcPr>
            <w:tcW w:w="0" w:type="auto"/>
            <w:shd w:val="clear" w:color="auto" w:fill="FFFFFF"/>
            <w:tcMar>
              <w:top w:w="40" w:type="dxa"/>
              <w:left w:w="0" w:type="dxa"/>
              <w:bottom w:w="40" w:type="dxa"/>
              <w:right w:w="20" w:type="dxa"/>
            </w:tcMar>
            <w:vAlign w:val="bottom"/>
          </w:tcPr>
          <w:p w14:paraId="518B48C5" w14:textId="77777777" w:rsidR="005C332D" w:rsidRDefault="00B93EAE">
            <w:pPr>
              <w:jc w:val="right"/>
              <w:textAlignment w:val="bottom"/>
            </w:pPr>
            <w:r>
              <w:rPr>
                <w:rFonts w:ascii="Times New Roman" w:eastAsia="宋体" w:hAnsi="Times New Roman"/>
                <w:b/>
                <w:bCs/>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8C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8C7" w14:textId="77777777" w:rsidR="005C332D" w:rsidRDefault="00B93EAE">
            <w:pPr>
              <w:jc w:val="right"/>
              <w:textAlignment w:val="bottom"/>
            </w:pPr>
            <w:r>
              <w:rPr>
                <w:rFonts w:ascii="Times New Roman" w:eastAsia="宋体" w:hAnsi="Times New Roman"/>
                <w:i/>
                <w:iCs/>
                <w:color w:val="000000"/>
                <w:sz w:val="20"/>
                <w:szCs w:val="20"/>
              </w:rPr>
              <w:t>72.3 </w:t>
            </w:r>
          </w:p>
        </w:tc>
        <w:tc>
          <w:tcPr>
            <w:tcW w:w="0" w:type="auto"/>
            <w:shd w:val="clear" w:color="auto" w:fill="FFFFFF"/>
            <w:tcMar>
              <w:top w:w="40" w:type="dxa"/>
              <w:left w:w="0" w:type="dxa"/>
              <w:bottom w:w="40" w:type="dxa"/>
              <w:right w:w="20" w:type="dxa"/>
            </w:tcMar>
            <w:vAlign w:val="bottom"/>
          </w:tcPr>
          <w:p w14:paraId="518B48C8"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8C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8CA" w14:textId="77777777" w:rsidR="005C332D" w:rsidRDefault="00B93EAE">
            <w:pPr>
              <w:jc w:val="right"/>
              <w:textAlignment w:val="bottom"/>
            </w:pPr>
            <w:r>
              <w:rPr>
                <w:rFonts w:ascii="Times New Roman" w:eastAsia="宋体" w:hAnsi="Times New Roman"/>
                <w:i/>
                <w:iCs/>
                <w:color w:val="000000"/>
                <w:sz w:val="20"/>
                <w:szCs w:val="20"/>
              </w:rPr>
              <w:t>73.0 </w:t>
            </w:r>
          </w:p>
        </w:tc>
        <w:tc>
          <w:tcPr>
            <w:tcW w:w="0" w:type="auto"/>
            <w:shd w:val="clear" w:color="auto" w:fill="FFFFFF"/>
            <w:tcMar>
              <w:top w:w="40" w:type="dxa"/>
              <w:left w:w="0" w:type="dxa"/>
              <w:bottom w:w="40" w:type="dxa"/>
              <w:right w:w="20" w:type="dxa"/>
            </w:tcMar>
            <w:vAlign w:val="bottom"/>
          </w:tcPr>
          <w:p w14:paraId="518B48CB"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8CC"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8CD" w14:textId="77777777" w:rsidR="005C332D" w:rsidRDefault="00B93EAE">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18B48CE"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8CF" w14:textId="77777777" w:rsidR="005C332D" w:rsidRDefault="00B93EAE">
            <w:pPr>
              <w:jc w:val="right"/>
              <w:textAlignment w:val="bottom"/>
            </w:pPr>
            <w:r>
              <w:rPr>
                <w:rFonts w:ascii="Times New Roman" w:eastAsia="宋体" w:hAnsi="Times New Roman"/>
                <w:color w:val="000000"/>
                <w:sz w:val="20"/>
                <w:szCs w:val="20"/>
              </w:rPr>
              <w:t> </w:t>
            </w:r>
          </w:p>
        </w:tc>
      </w:tr>
      <w:tr w:rsidR="005C332D" w14:paraId="518B48E1" w14:textId="77777777">
        <w:tc>
          <w:tcPr>
            <w:tcW w:w="0" w:type="auto"/>
            <w:gridSpan w:val="3"/>
            <w:shd w:val="clear" w:color="auto" w:fill="CCEEFF"/>
            <w:tcMar>
              <w:top w:w="40" w:type="dxa"/>
              <w:left w:w="155" w:type="dxa"/>
              <w:bottom w:w="40" w:type="dxa"/>
              <w:right w:w="20" w:type="dxa"/>
            </w:tcMar>
            <w:vAlign w:val="bottom"/>
          </w:tcPr>
          <w:p w14:paraId="518B48D1" w14:textId="77777777" w:rsidR="005C332D" w:rsidRDefault="00B93EAE">
            <w:pPr>
              <w:textAlignment w:val="bottom"/>
            </w:pPr>
            <w:r>
              <w:rPr>
                <w:rFonts w:ascii="Times New Roman" w:eastAsia="宋体" w:hAnsi="Times New Roman"/>
                <w:color w:val="000000"/>
                <w:sz w:val="20"/>
                <w:szCs w:val="20"/>
              </w:rPr>
              <w:t>Service</w:t>
            </w:r>
          </w:p>
        </w:tc>
        <w:tc>
          <w:tcPr>
            <w:tcW w:w="0" w:type="auto"/>
            <w:gridSpan w:val="3"/>
            <w:shd w:val="clear" w:color="auto" w:fill="CCEEFF"/>
            <w:tcMar>
              <w:top w:w="0" w:type="dxa"/>
              <w:left w:w="20" w:type="dxa"/>
              <w:bottom w:w="0" w:type="dxa"/>
              <w:right w:w="20" w:type="dxa"/>
            </w:tcMar>
            <w:vAlign w:val="bottom"/>
          </w:tcPr>
          <w:p w14:paraId="518B48D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8D3" w14:textId="77777777" w:rsidR="005C332D" w:rsidRDefault="00B93EAE">
            <w:pPr>
              <w:jc w:val="right"/>
              <w:textAlignment w:val="bottom"/>
            </w:pPr>
            <w:r>
              <w:rPr>
                <w:rFonts w:ascii="Times New Roman" w:eastAsia="宋体" w:hAnsi="Times New Roman"/>
                <w:b/>
                <w:bCs/>
                <w:color w:val="000000"/>
                <w:sz w:val="20"/>
                <w:szCs w:val="20"/>
              </w:rPr>
              <w:t>13,539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8D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D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8D6" w14:textId="77777777" w:rsidR="005C332D" w:rsidRDefault="00B93EAE">
            <w:pPr>
              <w:jc w:val="right"/>
              <w:textAlignment w:val="bottom"/>
            </w:pPr>
            <w:r>
              <w:rPr>
                <w:rFonts w:ascii="Times New Roman" w:eastAsia="宋体" w:hAnsi="Times New Roman"/>
                <w:color w:val="000000"/>
                <w:sz w:val="20"/>
                <w:szCs w:val="20"/>
              </w:rPr>
              <w:t>13,804 </w:t>
            </w:r>
          </w:p>
        </w:tc>
        <w:tc>
          <w:tcPr>
            <w:tcW w:w="0" w:type="auto"/>
            <w:shd w:val="clear" w:color="auto" w:fill="CCEEFF"/>
            <w:tcMar>
              <w:top w:w="40" w:type="dxa"/>
              <w:left w:w="0" w:type="dxa"/>
              <w:bottom w:w="40" w:type="dxa"/>
              <w:right w:w="20" w:type="dxa"/>
            </w:tcMar>
            <w:vAlign w:val="bottom"/>
          </w:tcPr>
          <w:p w14:paraId="518B48D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D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8D9" w14:textId="77777777" w:rsidR="005C332D" w:rsidRDefault="00B93EAE">
            <w:pPr>
              <w:jc w:val="right"/>
              <w:textAlignment w:val="bottom"/>
            </w:pPr>
            <w:r>
              <w:rPr>
                <w:rFonts w:ascii="Times New Roman" w:eastAsia="宋体" w:hAnsi="Times New Roman"/>
                <w:color w:val="000000"/>
                <w:sz w:val="20"/>
                <w:szCs w:val="20"/>
              </w:rPr>
              <w:t>13,323 </w:t>
            </w:r>
          </w:p>
        </w:tc>
        <w:tc>
          <w:tcPr>
            <w:tcW w:w="0" w:type="auto"/>
            <w:shd w:val="clear" w:color="auto" w:fill="CCEEFF"/>
            <w:tcMar>
              <w:top w:w="40" w:type="dxa"/>
              <w:left w:w="0" w:type="dxa"/>
              <w:bottom w:w="40" w:type="dxa"/>
              <w:right w:w="20" w:type="dxa"/>
            </w:tcMar>
            <w:vAlign w:val="bottom"/>
          </w:tcPr>
          <w:p w14:paraId="518B48D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D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8DC" w14:textId="77777777" w:rsidR="005C332D" w:rsidRDefault="00B93EAE">
            <w:pPr>
              <w:jc w:val="right"/>
              <w:textAlignment w:val="bottom"/>
            </w:pPr>
            <w:r>
              <w:rPr>
                <w:rFonts w:ascii="Times New Roman" w:eastAsia="宋体" w:hAnsi="Times New Roman"/>
                <w:color w:val="000000"/>
                <w:sz w:val="20"/>
                <w:szCs w:val="20"/>
              </w:rPr>
              <w:t>(265)</w:t>
            </w:r>
          </w:p>
        </w:tc>
        <w:tc>
          <w:tcPr>
            <w:tcW w:w="0" w:type="auto"/>
            <w:shd w:val="clear" w:color="auto" w:fill="CCEEFF"/>
            <w:tcMar>
              <w:top w:w="40" w:type="dxa"/>
              <w:left w:w="0" w:type="dxa"/>
              <w:bottom w:w="40" w:type="dxa"/>
              <w:right w:w="20" w:type="dxa"/>
            </w:tcMar>
            <w:vAlign w:val="bottom"/>
          </w:tcPr>
          <w:p w14:paraId="518B48D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D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8DF"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518B48E0"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8F0" w14:textId="77777777">
        <w:tc>
          <w:tcPr>
            <w:tcW w:w="0" w:type="auto"/>
            <w:gridSpan w:val="3"/>
            <w:shd w:val="clear" w:color="auto" w:fill="FFFFFF"/>
            <w:tcMar>
              <w:top w:w="40" w:type="dxa"/>
              <w:left w:w="155" w:type="dxa"/>
              <w:bottom w:w="40" w:type="dxa"/>
              <w:right w:w="20" w:type="dxa"/>
            </w:tcMar>
            <w:vAlign w:val="bottom"/>
          </w:tcPr>
          <w:p w14:paraId="518B48E2" w14:textId="77777777" w:rsidR="005C332D" w:rsidRDefault="00B93EAE">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FFFFFF"/>
            <w:tcMar>
              <w:top w:w="0" w:type="dxa"/>
              <w:left w:w="20" w:type="dxa"/>
              <w:bottom w:w="0" w:type="dxa"/>
              <w:right w:w="20" w:type="dxa"/>
            </w:tcMar>
            <w:vAlign w:val="bottom"/>
          </w:tcPr>
          <w:p w14:paraId="518B48E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8E4" w14:textId="77777777" w:rsidR="005C332D" w:rsidRDefault="00B93EAE">
            <w:pPr>
              <w:jc w:val="right"/>
              <w:textAlignment w:val="bottom"/>
            </w:pPr>
            <w:r>
              <w:rPr>
                <w:rFonts w:ascii="Times New Roman" w:eastAsia="宋体" w:hAnsi="Times New Roman"/>
                <w:b/>
                <w:bCs/>
                <w:i/>
                <w:iCs/>
                <w:color w:val="000000"/>
                <w:sz w:val="20"/>
                <w:szCs w:val="20"/>
              </w:rPr>
              <w:t>26.3</w:t>
            </w:r>
            <w:r>
              <w:rPr>
                <w:rFonts w:ascii="Times New Roman" w:eastAsia="宋体" w:hAnsi="Times New Roman"/>
                <w:i/>
                <w:iCs/>
                <w:color w:val="000000"/>
                <w:sz w:val="20"/>
                <w:szCs w:val="20"/>
              </w:rPr>
              <w:t> </w:t>
            </w:r>
          </w:p>
        </w:tc>
        <w:tc>
          <w:tcPr>
            <w:tcW w:w="0" w:type="auto"/>
            <w:shd w:val="clear" w:color="auto" w:fill="FFFFFF"/>
            <w:tcMar>
              <w:top w:w="40" w:type="dxa"/>
              <w:left w:w="0" w:type="dxa"/>
              <w:bottom w:w="40" w:type="dxa"/>
              <w:right w:w="20" w:type="dxa"/>
            </w:tcMar>
            <w:vAlign w:val="bottom"/>
          </w:tcPr>
          <w:p w14:paraId="518B48E5" w14:textId="77777777" w:rsidR="005C332D" w:rsidRDefault="00B93EAE">
            <w:pPr>
              <w:jc w:val="right"/>
              <w:textAlignment w:val="bottom"/>
            </w:pPr>
            <w:r>
              <w:rPr>
                <w:rFonts w:ascii="Times New Roman" w:eastAsia="宋体" w:hAnsi="Times New Roman"/>
                <w:b/>
                <w:bCs/>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8E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8E7" w14:textId="77777777" w:rsidR="005C332D" w:rsidRDefault="00B93EAE">
            <w:pPr>
              <w:jc w:val="right"/>
              <w:textAlignment w:val="bottom"/>
            </w:pPr>
            <w:r>
              <w:rPr>
                <w:rFonts w:ascii="Times New Roman" w:eastAsia="宋体" w:hAnsi="Times New Roman"/>
                <w:i/>
                <w:iCs/>
                <w:color w:val="000000"/>
                <w:sz w:val="20"/>
                <w:szCs w:val="20"/>
              </w:rPr>
              <w:t>27.7 </w:t>
            </w:r>
          </w:p>
        </w:tc>
        <w:tc>
          <w:tcPr>
            <w:tcW w:w="0" w:type="auto"/>
            <w:shd w:val="clear" w:color="auto" w:fill="FFFFFF"/>
            <w:tcMar>
              <w:top w:w="40" w:type="dxa"/>
              <w:left w:w="0" w:type="dxa"/>
              <w:bottom w:w="40" w:type="dxa"/>
              <w:right w:w="20" w:type="dxa"/>
            </w:tcMar>
            <w:vAlign w:val="bottom"/>
          </w:tcPr>
          <w:p w14:paraId="518B48E8"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8E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8EA" w14:textId="77777777" w:rsidR="005C332D" w:rsidRDefault="00B93EAE">
            <w:pPr>
              <w:jc w:val="right"/>
              <w:textAlignment w:val="bottom"/>
            </w:pPr>
            <w:r>
              <w:rPr>
                <w:rFonts w:ascii="Times New Roman" w:eastAsia="宋体" w:hAnsi="Times New Roman"/>
                <w:i/>
                <w:iCs/>
                <w:color w:val="000000"/>
                <w:sz w:val="20"/>
                <w:szCs w:val="20"/>
              </w:rPr>
              <w:t>27.0 </w:t>
            </w:r>
          </w:p>
        </w:tc>
        <w:tc>
          <w:tcPr>
            <w:tcW w:w="0" w:type="auto"/>
            <w:shd w:val="clear" w:color="auto" w:fill="FFFFFF"/>
            <w:tcMar>
              <w:top w:w="40" w:type="dxa"/>
              <w:left w:w="0" w:type="dxa"/>
              <w:bottom w:w="40" w:type="dxa"/>
              <w:right w:w="20" w:type="dxa"/>
            </w:tcMar>
            <w:vAlign w:val="bottom"/>
          </w:tcPr>
          <w:p w14:paraId="518B48EB"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8EC"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8ED" w14:textId="77777777" w:rsidR="005C332D" w:rsidRDefault="00B93EAE">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18B48EE"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8EF" w14:textId="77777777" w:rsidR="005C332D" w:rsidRDefault="00B93EAE">
            <w:pPr>
              <w:jc w:val="right"/>
              <w:textAlignment w:val="bottom"/>
            </w:pPr>
            <w:r>
              <w:rPr>
                <w:rFonts w:ascii="Times New Roman" w:eastAsia="宋体" w:hAnsi="Times New Roman"/>
                <w:color w:val="000000"/>
                <w:sz w:val="20"/>
                <w:szCs w:val="20"/>
              </w:rPr>
              <w:t> </w:t>
            </w:r>
          </w:p>
        </w:tc>
      </w:tr>
      <w:tr w:rsidR="005C332D" w14:paraId="518B4905" w14:textId="77777777">
        <w:tc>
          <w:tcPr>
            <w:tcW w:w="0" w:type="auto"/>
            <w:gridSpan w:val="3"/>
            <w:shd w:val="clear" w:color="auto" w:fill="CCEEFF"/>
            <w:tcMar>
              <w:top w:w="40" w:type="dxa"/>
              <w:left w:w="515" w:type="dxa"/>
              <w:bottom w:w="40" w:type="dxa"/>
              <w:right w:w="20" w:type="dxa"/>
            </w:tcMar>
            <w:vAlign w:val="bottom"/>
          </w:tcPr>
          <w:p w14:paraId="518B48F1" w14:textId="77777777" w:rsidR="005C332D" w:rsidRDefault="00B93EAE">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48F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8F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8F4" w14:textId="77777777" w:rsidR="005C332D" w:rsidRDefault="00B93EAE">
            <w:pPr>
              <w:jc w:val="right"/>
              <w:textAlignment w:val="bottom"/>
            </w:pPr>
            <w:r>
              <w:rPr>
                <w:rFonts w:ascii="Times New Roman" w:eastAsia="宋体" w:hAnsi="Times New Roman"/>
                <w:b/>
                <w:bCs/>
                <w:color w:val="000000"/>
                <w:sz w:val="20"/>
                <w:szCs w:val="20"/>
              </w:rPr>
              <w:t>51,557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8F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F6"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8F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8F8" w14:textId="77777777" w:rsidR="005C332D" w:rsidRDefault="00B93EAE">
            <w:pPr>
              <w:jc w:val="right"/>
              <w:textAlignment w:val="bottom"/>
            </w:pPr>
            <w:r>
              <w:rPr>
                <w:rFonts w:ascii="Times New Roman" w:eastAsia="宋体" w:hAnsi="Times New Roman"/>
                <w:color w:val="000000"/>
                <w:sz w:val="20"/>
                <w:szCs w:val="20"/>
              </w:rPr>
              <w:t>49,818 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8F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FA"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8F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8FC" w14:textId="77777777" w:rsidR="005C332D" w:rsidRDefault="00B93EAE">
            <w:pPr>
              <w:jc w:val="right"/>
              <w:textAlignment w:val="bottom"/>
            </w:pPr>
            <w:r>
              <w:rPr>
                <w:rFonts w:ascii="Times New Roman" w:eastAsia="宋体" w:hAnsi="Times New Roman"/>
                <w:color w:val="000000"/>
                <w:sz w:val="20"/>
                <w:szCs w:val="20"/>
              </w:rPr>
              <w:t>49,301 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8F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8FE"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8F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900" w14:textId="77777777" w:rsidR="005C332D" w:rsidRDefault="00B93EAE">
            <w:pPr>
              <w:jc w:val="right"/>
              <w:textAlignment w:val="bottom"/>
            </w:pPr>
            <w:r>
              <w:rPr>
                <w:rFonts w:ascii="Times New Roman" w:eastAsia="宋体" w:hAnsi="Times New Roman"/>
                <w:color w:val="000000"/>
                <w:sz w:val="20"/>
                <w:szCs w:val="20"/>
              </w:rPr>
              <w:t>1,739 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90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0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03"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518B4904" w14:textId="77777777" w:rsidR="005C332D" w:rsidRDefault="00B93EAE">
            <w:pPr>
              <w:jc w:val="right"/>
              <w:textAlignment w:val="bottom"/>
            </w:pPr>
            <w:r>
              <w:rPr>
                <w:rFonts w:ascii="Times New Roman" w:eastAsia="宋体" w:hAnsi="Times New Roman"/>
                <w:color w:val="000000"/>
                <w:sz w:val="20"/>
                <w:szCs w:val="20"/>
              </w:rPr>
              <w:t>%</w:t>
            </w:r>
          </w:p>
        </w:tc>
      </w:tr>
    </w:tbl>
    <w:p w14:paraId="518B4906" w14:textId="77777777" w:rsidR="005C332D" w:rsidRDefault="00B93EAE">
      <w:pPr>
        <w:spacing w:before="120"/>
        <w:jc w:val="both"/>
      </w:pPr>
      <w:r>
        <w:rPr>
          <w:rFonts w:ascii="Times New Roman" w:eastAsia="宋体" w:hAnsi="Times New Roman"/>
          <w:color w:val="000000"/>
          <w:sz w:val="20"/>
          <w:szCs w:val="20"/>
        </w:rPr>
        <w:t>We manage our business primar</w:t>
      </w:r>
      <w:r>
        <w:rPr>
          <w:rFonts w:ascii="Times New Roman" w:eastAsia="宋体" w:hAnsi="Times New Roman"/>
          <w:color w:val="000000"/>
          <w:sz w:val="20"/>
          <w:szCs w:val="20"/>
        </w:rPr>
        <w:t>ily on a geographic basis, organized into three geographic segments. Our revenue, which includes product and service for each segment, is summarized in the following table (in millions, except percentages):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2928"/>
        <w:gridCol w:w="36"/>
        <w:gridCol w:w="36"/>
        <w:gridCol w:w="36"/>
        <w:gridCol w:w="36"/>
        <w:gridCol w:w="120"/>
        <w:gridCol w:w="707"/>
        <w:gridCol w:w="187"/>
        <w:gridCol w:w="36"/>
        <w:gridCol w:w="36"/>
        <w:gridCol w:w="36"/>
        <w:gridCol w:w="120"/>
        <w:gridCol w:w="707"/>
        <w:gridCol w:w="187"/>
        <w:gridCol w:w="36"/>
        <w:gridCol w:w="36"/>
        <w:gridCol w:w="36"/>
        <w:gridCol w:w="120"/>
        <w:gridCol w:w="695"/>
        <w:gridCol w:w="187"/>
        <w:gridCol w:w="36"/>
        <w:gridCol w:w="36"/>
        <w:gridCol w:w="36"/>
        <w:gridCol w:w="121"/>
        <w:gridCol w:w="707"/>
        <w:gridCol w:w="36"/>
        <w:gridCol w:w="36"/>
        <w:gridCol w:w="36"/>
        <w:gridCol w:w="36"/>
        <w:gridCol w:w="59"/>
        <w:gridCol w:w="641"/>
        <w:gridCol w:w="187"/>
      </w:tblGrid>
      <w:tr w:rsidR="005C332D" w14:paraId="518B4928" w14:textId="77777777">
        <w:trPr>
          <w:jc w:val="center"/>
        </w:trPr>
        <w:tc>
          <w:tcPr>
            <w:tcW w:w="50" w:type="pct"/>
            <w:shd w:val="clear" w:color="auto" w:fill="auto"/>
            <w:vAlign w:val="bottom"/>
          </w:tcPr>
          <w:p w14:paraId="518B4907" w14:textId="77777777" w:rsidR="005C332D" w:rsidRDefault="005C332D">
            <w:pPr>
              <w:rPr>
                <w:rFonts w:ascii="宋体"/>
              </w:rPr>
            </w:pPr>
          </w:p>
        </w:tc>
        <w:tc>
          <w:tcPr>
            <w:tcW w:w="1841" w:type="pct"/>
            <w:shd w:val="clear" w:color="auto" w:fill="auto"/>
            <w:vAlign w:val="bottom"/>
          </w:tcPr>
          <w:p w14:paraId="518B4908" w14:textId="77777777" w:rsidR="005C332D" w:rsidRDefault="005C332D">
            <w:pPr>
              <w:rPr>
                <w:rFonts w:ascii="宋体"/>
              </w:rPr>
            </w:pPr>
          </w:p>
        </w:tc>
        <w:tc>
          <w:tcPr>
            <w:tcW w:w="5" w:type="pct"/>
            <w:shd w:val="clear" w:color="auto" w:fill="auto"/>
            <w:vAlign w:val="bottom"/>
          </w:tcPr>
          <w:p w14:paraId="518B4909" w14:textId="77777777" w:rsidR="005C332D" w:rsidRDefault="005C332D">
            <w:pPr>
              <w:rPr>
                <w:rFonts w:ascii="宋体"/>
              </w:rPr>
            </w:pPr>
          </w:p>
        </w:tc>
        <w:tc>
          <w:tcPr>
            <w:tcW w:w="5" w:type="pct"/>
            <w:shd w:val="clear" w:color="auto" w:fill="auto"/>
            <w:vAlign w:val="bottom"/>
          </w:tcPr>
          <w:p w14:paraId="518B490A" w14:textId="77777777" w:rsidR="005C332D" w:rsidRDefault="005C332D">
            <w:pPr>
              <w:rPr>
                <w:rFonts w:ascii="宋体"/>
              </w:rPr>
            </w:pPr>
          </w:p>
        </w:tc>
        <w:tc>
          <w:tcPr>
            <w:tcW w:w="26" w:type="pct"/>
            <w:shd w:val="clear" w:color="auto" w:fill="auto"/>
            <w:vAlign w:val="bottom"/>
          </w:tcPr>
          <w:p w14:paraId="518B490B" w14:textId="77777777" w:rsidR="005C332D" w:rsidRDefault="005C332D">
            <w:pPr>
              <w:rPr>
                <w:rFonts w:ascii="宋体"/>
              </w:rPr>
            </w:pPr>
          </w:p>
        </w:tc>
        <w:tc>
          <w:tcPr>
            <w:tcW w:w="5" w:type="pct"/>
            <w:shd w:val="clear" w:color="auto" w:fill="auto"/>
            <w:vAlign w:val="bottom"/>
          </w:tcPr>
          <w:p w14:paraId="518B490C" w14:textId="77777777" w:rsidR="005C332D" w:rsidRDefault="005C332D">
            <w:pPr>
              <w:rPr>
                <w:rFonts w:ascii="宋体"/>
              </w:rPr>
            </w:pPr>
          </w:p>
        </w:tc>
        <w:tc>
          <w:tcPr>
            <w:tcW w:w="50" w:type="pct"/>
            <w:shd w:val="clear" w:color="auto" w:fill="auto"/>
            <w:vAlign w:val="bottom"/>
          </w:tcPr>
          <w:p w14:paraId="518B490D" w14:textId="77777777" w:rsidR="005C332D" w:rsidRDefault="005C332D">
            <w:pPr>
              <w:rPr>
                <w:rFonts w:ascii="宋体"/>
              </w:rPr>
            </w:pPr>
          </w:p>
        </w:tc>
        <w:tc>
          <w:tcPr>
            <w:tcW w:w="530" w:type="pct"/>
            <w:shd w:val="clear" w:color="auto" w:fill="auto"/>
            <w:vAlign w:val="bottom"/>
          </w:tcPr>
          <w:p w14:paraId="518B490E" w14:textId="77777777" w:rsidR="005C332D" w:rsidRDefault="005C332D">
            <w:pPr>
              <w:rPr>
                <w:rFonts w:ascii="宋体"/>
              </w:rPr>
            </w:pPr>
          </w:p>
        </w:tc>
        <w:tc>
          <w:tcPr>
            <w:tcW w:w="5" w:type="pct"/>
            <w:shd w:val="clear" w:color="auto" w:fill="auto"/>
            <w:vAlign w:val="bottom"/>
          </w:tcPr>
          <w:p w14:paraId="518B490F" w14:textId="77777777" w:rsidR="005C332D" w:rsidRDefault="005C332D">
            <w:pPr>
              <w:rPr>
                <w:rFonts w:ascii="宋体"/>
              </w:rPr>
            </w:pPr>
          </w:p>
        </w:tc>
        <w:tc>
          <w:tcPr>
            <w:tcW w:w="5" w:type="pct"/>
            <w:shd w:val="clear" w:color="auto" w:fill="auto"/>
            <w:vAlign w:val="bottom"/>
          </w:tcPr>
          <w:p w14:paraId="518B4910" w14:textId="77777777" w:rsidR="005C332D" w:rsidRDefault="005C332D">
            <w:pPr>
              <w:rPr>
                <w:rFonts w:ascii="宋体"/>
              </w:rPr>
            </w:pPr>
          </w:p>
        </w:tc>
        <w:tc>
          <w:tcPr>
            <w:tcW w:w="26" w:type="pct"/>
            <w:shd w:val="clear" w:color="auto" w:fill="auto"/>
            <w:vAlign w:val="bottom"/>
          </w:tcPr>
          <w:p w14:paraId="518B4911" w14:textId="77777777" w:rsidR="005C332D" w:rsidRDefault="005C332D">
            <w:pPr>
              <w:rPr>
                <w:rFonts w:ascii="宋体"/>
              </w:rPr>
            </w:pPr>
          </w:p>
        </w:tc>
        <w:tc>
          <w:tcPr>
            <w:tcW w:w="5" w:type="pct"/>
            <w:shd w:val="clear" w:color="auto" w:fill="auto"/>
            <w:vAlign w:val="bottom"/>
          </w:tcPr>
          <w:p w14:paraId="518B4912" w14:textId="77777777" w:rsidR="005C332D" w:rsidRDefault="005C332D">
            <w:pPr>
              <w:rPr>
                <w:rFonts w:ascii="宋体"/>
              </w:rPr>
            </w:pPr>
          </w:p>
        </w:tc>
        <w:tc>
          <w:tcPr>
            <w:tcW w:w="50" w:type="pct"/>
            <w:shd w:val="clear" w:color="auto" w:fill="auto"/>
            <w:vAlign w:val="bottom"/>
          </w:tcPr>
          <w:p w14:paraId="518B4913" w14:textId="77777777" w:rsidR="005C332D" w:rsidRDefault="005C332D">
            <w:pPr>
              <w:rPr>
                <w:rFonts w:ascii="宋体"/>
              </w:rPr>
            </w:pPr>
          </w:p>
        </w:tc>
        <w:tc>
          <w:tcPr>
            <w:tcW w:w="530" w:type="pct"/>
            <w:shd w:val="clear" w:color="auto" w:fill="auto"/>
            <w:vAlign w:val="bottom"/>
          </w:tcPr>
          <w:p w14:paraId="518B4914" w14:textId="77777777" w:rsidR="005C332D" w:rsidRDefault="005C332D">
            <w:pPr>
              <w:rPr>
                <w:rFonts w:ascii="宋体"/>
              </w:rPr>
            </w:pPr>
          </w:p>
        </w:tc>
        <w:tc>
          <w:tcPr>
            <w:tcW w:w="5" w:type="pct"/>
            <w:shd w:val="clear" w:color="auto" w:fill="auto"/>
            <w:vAlign w:val="bottom"/>
          </w:tcPr>
          <w:p w14:paraId="518B4915" w14:textId="77777777" w:rsidR="005C332D" w:rsidRDefault="005C332D">
            <w:pPr>
              <w:rPr>
                <w:rFonts w:ascii="宋体"/>
              </w:rPr>
            </w:pPr>
          </w:p>
        </w:tc>
        <w:tc>
          <w:tcPr>
            <w:tcW w:w="5" w:type="pct"/>
            <w:shd w:val="clear" w:color="auto" w:fill="auto"/>
            <w:vAlign w:val="bottom"/>
          </w:tcPr>
          <w:p w14:paraId="518B4916" w14:textId="77777777" w:rsidR="005C332D" w:rsidRDefault="005C332D">
            <w:pPr>
              <w:rPr>
                <w:rFonts w:ascii="宋体"/>
              </w:rPr>
            </w:pPr>
          </w:p>
        </w:tc>
        <w:tc>
          <w:tcPr>
            <w:tcW w:w="26" w:type="pct"/>
            <w:shd w:val="clear" w:color="auto" w:fill="auto"/>
            <w:vAlign w:val="bottom"/>
          </w:tcPr>
          <w:p w14:paraId="518B4917" w14:textId="77777777" w:rsidR="005C332D" w:rsidRDefault="005C332D">
            <w:pPr>
              <w:rPr>
                <w:rFonts w:ascii="宋体"/>
              </w:rPr>
            </w:pPr>
          </w:p>
        </w:tc>
        <w:tc>
          <w:tcPr>
            <w:tcW w:w="5" w:type="pct"/>
            <w:shd w:val="clear" w:color="auto" w:fill="auto"/>
            <w:vAlign w:val="bottom"/>
          </w:tcPr>
          <w:p w14:paraId="518B4918" w14:textId="77777777" w:rsidR="005C332D" w:rsidRDefault="005C332D">
            <w:pPr>
              <w:rPr>
                <w:rFonts w:ascii="宋体"/>
              </w:rPr>
            </w:pPr>
          </w:p>
        </w:tc>
        <w:tc>
          <w:tcPr>
            <w:tcW w:w="50" w:type="pct"/>
            <w:shd w:val="clear" w:color="auto" w:fill="auto"/>
            <w:vAlign w:val="bottom"/>
          </w:tcPr>
          <w:p w14:paraId="518B4919" w14:textId="77777777" w:rsidR="005C332D" w:rsidRDefault="005C332D">
            <w:pPr>
              <w:rPr>
                <w:rFonts w:ascii="宋体"/>
              </w:rPr>
            </w:pPr>
          </w:p>
        </w:tc>
        <w:tc>
          <w:tcPr>
            <w:tcW w:w="523" w:type="pct"/>
            <w:shd w:val="clear" w:color="auto" w:fill="auto"/>
            <w:vAlign w:val="bottom"/>
          </w:tcPr>
          <w:p w14:paraId="518B491A" w14:textId="77777777" w:rsidR="005C332D" w:rsidRDefault="005C332D">
            <w:pPr>
              <w:rPr>
                <w:rFonts w:ascii="宋体"/>
              </w:rPr>
            </w:pPr>
          </w:p>
        </w:tc>
        <w:tc>
          <w:tcPr>
            <w:tcW w:w="5" w:type="pct"/>
            <w:shd w:val="clear" w:color="auto" w:fill="auto"/>
            <w:vAlign w:val="bottom"/>
          </w:tcPr>
          <w:p w14:paraId="518B491B" w14:textId="77777777" w:rsidR="005C332D" w:rsidRDefault="005C332D">
            <w:pPr>
              <w:rPr>
                <w:rFonts w:ascii="宋体"/>
              </w:rPr>
            </w:pPr>
          </w:p>
        </w:tc>
        <w:tc>
          <w:tcPr>
            <w:tcW w:w="5" w:type="pct"/>
            <w:shd w:val="clear" w:color="auto" w:fill="auto"/>
            <w:vAlign w:val="bottom"/>
          </w:tcPr>
          <w:p w14:paraId="518B491C" w14:textId="77777777" w:rsidR="005C332D" w:rsidRDefault="005C332D">
            <w:pPr>
              <w:rPr>
                <w:rFonts w:ascii="宋体"/>
              </w:rPr>
            </w:pPr>
          </w:p>
        </w:tc>
        <w:tc>
          <w:tcPr>
            <w:tcW w:w="26" w:type="pct"/>
            <w:shd w:val="clear" w:color="auto" w:fill="auto"/>
            <w:vAlign w:val="bottom"/>
          </w:tcPr>
          <w:p w14:paraId="518B491D" w14:textId="77777777" w:rsidR="005C332D" w:rsidRDefault="005C332D">
            <w:pPr>
              <w:rPr>
                <w:rFonts w:ascii="宋体"/>
              </w:rPr>
            </w:pPr>
          </w:p>
        </w:tc>
        <w:tc>
          <w:tcPr>
            <w:tcW w:w="5" w:type="pct"/>
            <w:shd w:val="clear" w:color="auto" w:fill="auto"/>
            <w:vAlign w:val="bottom"/>
          </w:tcPr>
          <w:p w14:paraId="518B491E" w14:textId="77777777" w:rsidR="005C332D" w:rsidRDefault="005C332D">
            <w:pPr>
              <w:rPr>
                <w:rFonts w:ascii="宋体"/>
              </w:rPr>
            </w:pPr>
          </w:p>
        </w:tc>
        <w:tc>
          <w:tcPr>
            <w:tcW w:w="50" w:type="pct"/>
            <w:shd w:val="clear" w:color="auto" w:fill="auto"/>
            <w:vAlign w:val="bottom"/>
          </w:tcPr>
          <w:p w14:paraId="518B491F" w14:textId="77777777" w:rsidR="005C332D" w:rsidRDefault="005C332D">
            <w:pPr>
              <w:rPr>
                <w:rFonts w:ascii="宋体"/>
              </w:rPr>
            </w:pPr>
          </w:p>
        </w:tc>
        <w:tc>
          <w:tcPr>
            <w:tcW w:w="530" w:type="pct"/>
            <w:shd w:val="clear" w:color="auto" w:fill="auto"/>
            <w:vAlign w:val="bottom"/>
          </w:tcPr>
          <w:p w14:paraId="518B4920" w14:textId="77777777" w:rsidR="005C332D" w:rsidRDefault="005C332D">
            <w:pPr>
              <w:rPr>
                <w:rFonts w:ascii="宋体"/>
              </w:rPr>
            </w:pPr>
          </w:p>
        </w:tc>
        <w:tc>
          <w:tcPr>
            <w:tcW w:w="5" w:type="pct"/>
            <w:shd w:val="clear" w:color="auto" w:fill="auto"/>
            <w:vAlign w:val="bottom"/>
          </w:tcPr>
          <w:p w14:paraId="518B4921" w14:textId="77777777" w:rsidR="005C332D" w:rsidRDefault="005C332D">
            <w:pPr>
              <w:rPr>
                <w:rFonts w:ascii="宋体"/>
              </w:rPr>
            </w:pPr>
          </w:p>
        </w:tc>
        <w:tc>
          <w:tcPr>
            <w:tcW w:w="5" w:type="pct"/>
            <w:shd w:val="clear" w:color="auto" w:fill="auto"/>
            <w:vAlign w:val="bottom"/>
          </w:tcPr>
          <w:p w14:paraId="518B4922" w14:textId="77777777" w:rsidR="005C332D" w:rsidRDefault="005C332D">
            <w:pPr>
              <w:rPr>
                <w:rFonts w:ascii="宋体"/>
              </w:rPr>
            </w:pPr>
          </w:p>
        </w:tc>
        <w:tc>
          <w:tcPr>
            <w:tcW w:w="26" w:type="pct"/>
            <w:shd w:val="clear" w:color="auto" w:fill="auto"/>
            <w:vAlign w:val="bottom"/>
          </w:tcPr>
          <w:p w14:paraId="518B4923" w14:textId="77777777" w:rsidR="005C332D" w:rsidRDefault="005C332D">
            <w:pPr>
              <w:rPr>
                <w:rFonts w:ascii="宋体"/>
              </w:rPr>
            </w:pPr>
          </w:p>
        </w:tc>
        <w:tc>
          <w:tcPr>
            <w:tcW w:w="5" w:type="pct"/>
            <w:shd w:val="clear" w:color="auto" w:fill="auto"/>
            <w:vAlign w:val="bottom"/>
          </w:tcPr>
          <w:p w14:paraId="518B4924" w14:textId="77777777" w:rsidR="005C332D" w:rsidRDefault="005C332D">
            <w:pPr>
              <w:rPr>
                <w:rFonts w:ascii="宋体"/>
              </w:rPr>
            </w:pPr>
          </w:p>
        </w:tc>
        <w:tc>
          <w:tcPr>
            <w:tcW w:w="50" w:type="pct"/>
            <w:shd w:val="clear" w:color="auto" w:fill="auto"/>
            <w:vAlign w:val="bottom"/>
          </w:tcPr>
          <w:p w14:paraId="518B4925" w14:textId="77777777" w:rsidR="005C332D" w:rsidRDefault="005C332D">
            <w:pPr>
              <w:rPr>
                <w:rFonts w:ascii="宋体"/>
              </w:rPr>
            </w:pPr>
          </w:p>
        </w:tc>
        <w:tc>
          <w:tcPr>
            <w:tcW w:w="530" w:type="pct"/>
            <w:shd w:val="clear" w:color="auto" w:fill="auto"/>
            <w:vAlign w:val="bottom"/>
          </w:tcPr>
          <w:p w14:paraId="518B4926" w14:textId="77777777" w:rsidR="005C332D" w:rsidRDefault="005C332D">
            <w:pPr>
              <w:rPr>
                <w:rFonts w:ascii="宋体"/>
              </w:rPr>
            </w:pPr>
          </w:p>
        </w:tc>
        <w:tc>
          <w:tcPr>
            <w:tcW w:w="5" w:type="pct"/>
            <w:shd w:val="clear" w:color="auto" w:fill="auto"/>
            <w:vAlign w:val="bottom"/>
          </w:tcPr>
          <w:p w14:paraId="518B4927" w14:textId="77777777" w:rsidR="005C332D" w:rsidRDefault="005C332D">
            <w:pPr>
              <w:rPr>
                <w:rFonts w:ascii="宋体"/>
              </w:rPr>
            </w:pPr>
          </w:p>
        </w:tc>
      </w:tr>
      <w:tr w:rsidR="005C332D" w14:paraId="518B492E" w14:textId="77777777">
        <w:trPr>
          <w:jc w:val="center"/>
        </w:trPr>
        <w:tc>
          <w:tcPr>
            <w:tcW w:w="0" w:type="auto"/>
            <w:gridSpan w:val="3"/>
            <w:shd w:val="clear" w:color="auto" w:fill="auto"/>
            <w:tcMar>
              <w:top w:w="0" w:type="dxa"/>
              <w:left w:w="20" w:type="dxa"/>
              <w:bottom w:w="0" w:type="dxa"/>
              <w:right w:w="20" w:type="dxa"/>
            </w:tcMar>
            <w:vAlign w:val="bottom"/>
          </w:tcPr>
          <w:p w14:paraId="518B4929"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92A"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92B" w14:textId="77777777" w:rsidR="005C332D" w:rsidRDefault="00B93EAE">
            <w:pPr>
              <w:jc w:val="center"/>
              <w:textAlignment w:val="bottom"/>
            </w:pPr>
            <w:r>
              <w:rPr>
                <w:rFonts w:ascii="Times New Roman" w:eastAsia="宋体" w:hAnsi="Times New Roman"/>
                <w:color w:val="000000"/>
                <w:sz w:val="18"/>
                <w:szCs w:val="18"/>
              </w:rPr>
              <w:t>Years Ended</w:t>
            </w:r>
          </w:p>
        </w:tc>
        <w:tc>
          <w:tcPr>
            <w:tcW w:w="0" w:type="auto"/>
            <w:gridSpan w:val="3"/>
            <w:shd w:val="clear" w:color="auto" w:fill="auto"/>
            <w:tcMar>
              <w:top w:w="0" w:type="dxa"/>
              <w:left w:w="20" w:type="dxa"/>
              <w:bottom w:w="0" w:type="dxa"/>
              <w:right w:w="20" w:type="dxa"/>
            </w:tcMar>
            <w:vAlign w:val="bottom"/>
          </w:tcPr>
          <w:p w14:paraId="518B492C"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492D" w14:textId="77777777" w:rsidR="005C332D" w:rsidRDefault="00B93EAE">
            <w:pPr>
              <w:jc w:val="center"/>
              <w:textAlignment w:val="bottom"/>
            </w:pPr>
            <w:r>
              <w:rPr>
                <w:rFonts w:ascii="Times New Roman" w:eastAsia="宋体" w:hAnsi="Times New Roman"/>
                <w:color w:val="000000"/>
                <w:sz w:val="18"/>
                <w:szCs w:val="18"/>
              </w:rPr>
              <w:t>2022 vs. 2021</w:t>
            </w:r>
          </w:p>
        </w:tc>
      </w:tr>
      <w:tr w:rsidR="005C332D" w14:paraId="518B493A" w14:textId="77777777">
        <w:trPr>
          <w:jc w:val="center"/>
        </w:trPr>
        <w:tc>
          <w:tcPr>
            <w:tcW w:w="0" w:type="auto"/>
            <w:gridSpan w:val="3"/>
            <w:shd w:val="clear" w:color="auto" w:fill="auto"/>
            <w:tcMar>
              <w:top w:w="0" w:type="dxa"/>
              <w:left w:w="20" w:type="dxa"/>
              <w:bottom w:w="0" w:type="dxa"/>
              <w:right w:w="20" w:type="dxa"/>
            </w:tcMar>
            <w:vAlign w:val="bottom"/>
          </w:tcPr>
          <w:p w14:paraId="518B492F"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93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931"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93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933"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93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935"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auto"/>
            <w:tcMar>
              <w:top w:w="0" w:type="dxa"/>
              <w:left w:w="20" w:type="dxa"/>
              <w:bottom w:w="0" w:type="dxa"/>
              <w:right w:w="20" w:type="dxa"/>
            </w:tcMar>
            <w:vAlign w:val="bottom"/>
          </w:tcPr>
          <w:p w14:paraId="518B493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937" w14:textId="77777777" w:rsidR="005C332D" w:rsidRDefault="00B93EAE">
            <w:pPr>
              <w:jc w:val="center"/>
              <w:textAlignment w:val="bottom"/>
            </w:pPr>
            <w:r>
              <w:rPr>
                <w:rFonts w:ascii="Times New Roman" w:eastAsia="宋体" w:hAnsi="Times New Roman"/>
                <w:color w:val="000000"/>
                <w:sz w:val="18"/>
                <w:szCs w:val="18"/>
              </w:rPr>
              <w:t>Variance 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93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939" w14:textId="77777777" w:rsidR="005C332D" w:rsidRDefault="00B93EAE">
            <w:pPr>
              <w:jc w:val="center"/>
              <w:textAlignment w:val="bottom"/>
            </w:pPr>
            <w:r>
              <w:rPr>
                <w:rFonts w:ascii="Times New Roman" w:eastAsia="宋体" w:hAnsi="Times New Roman"/>
                <w:color w:val="000000"/>
                <w:sz w:val="18"/>
                <w:szCs w:val="18"/>
              </w:rPr>
              <w:t>Variance in Percent</w:t>
            </w:r>
          </w:p>
        </w:tc>
      </w:tr>
      <w:tr w:rsidR="005C332D" w14:paraId="518B4946" w14:textId="77777777">
        <w:trPr>
          <w:jc w:val="center"/>
        </w:trPr>
        <w:tc>
          <w:tcPr>
            <w:tcW w:w="0" w:type="auto"/>
            <w:gridSpan w:val="3"/>
            <w:shd w:val="clear" w:color="auto" w:fill="FFFFFF"/>
            <w:tcMar>
              <w:top w:w="40" w:type="dxa"/>
              <w:left w:w="20" w:type="dxa"/>
              <w:bottom w:w="40" w:type="dxa"/>
              <w:right w:w="20" w:type="dxa"/>
            </w:tcMar>
            <w:vAlign w:val="bottom"/>
          </w:tcPr>
          <w:p w14:paraId="518B493B" w14:textId="77777777" w:rsidR="005C332D" w:rsidRDefault="00B93EAE">
            <w:pPr>
              <w:textAlignment w:val="bottom"/>
            </w:pPr>
            <w:r>
              <w:rPr>
                <w:rFonts w:ascii="Times New Roman" w:eastAsia="宋体" w:hAnsi="Times New Roman"/>
                <w:color w:val="000000"/>
                <w:sz w:val="20"/>
                <w:szCs w:val="20"/>
              </w:rPr>
              <w:t>Revenue:</w:t>
            </w:r>
          </w:p>
        </w:tc>
        <w:tc>
          <w:tcPr>
            <w:tcW w:w="0" w:type="auto"/>
            <w:gridSpan w:val="3"/>
            <w:shd w:val="clear" w:color="auto" w:fill="FFFFFF"/>
            <w:tcMar>
              <w:top w:w="0" w:type="dxa"/>
              <w:left w:w="20" w:type="dxa"/>
              <w:bottom w:w="0" w:type="dxa"/>
              <w:right w:w="20" w:type="dxa"/>
            </w:tcMar>
            <w:vAlign w:val="bottom"/>
          </w:tcPr>
          <w:p w14:paraId="518B493C"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93D"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93E"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93F"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940"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94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942"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943"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944"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945" w14:textId="77777777" w:rsidR="005C332D" w:rsidRDefault="00B93EAE">
            <w:pPr>
              <w:textAlignment w:val="bottom"/>
            </w:pPr>
            <w:r>
              <w:rPr>
                <w:rFonts w:ascii="Times New Roman" w:eastAsia="宋体" w:hAnsi="Times New Roman"/>
                <w:color w:val="000000"/>
                <w:sz w:val="22"/>
                <w:szCs w:val="22"/>
              </w:rPr>
              <w:t> </w:t>
            </w:r>
          </w:p>
        </w:tc>
      </w:tr>
      <w:tr w:rsidR="005C332D" w14:paraId="518B495B" w14:textId="77777777">
        <w:trPr>
          <w:jc w:val="center"/>
        </w:trPr>
        <w:tc>
          <w:tcPr>
            <w:tcW w:w="0" w:type="auto"/>
            <w:gridSpan w:val="3"/>
            <w:shd w:val="clear" w:color="auto" w:fill="CCEEFF"/>
            <w:tcMar>
              <w:top w:w="40" w:type="dxa"/>
              <w:left w:w="155" w:type="dxa"/>
              <w:bottom w:w="40" w:type="dxa"/>
              <w:right w:w="20" w:type="dxa"/>
            </w:tcMar>
            <w:vAlign w:val="bottom"/>
          </w:tcPr>
          <w:p w14:paraId="518B4947" w14:textId="77777777" w:rsidR="005C332D" w:rsidRDefault="00B93EAE">
            <w:pPr>
              <w:textAlignment w:val="bottom"/>
            </w:pPr>
            <w:r>
              <w:rPr>
                <w:rFonts w:ascii="Times New Roman" w:eastAsia="宋体" w:hAnsi="Times New Roman"/>
                <w:color w:val="000000"/>
                <w:sz w:val="20"/>
                <w:szCs w:val="20"/>
              </w:rPr>
              <w:t>Americas</w:t>
            </w:r>
          </w:p>
        </w:tc>
        <w:tc>
          <w:tcPr>
            <w:tcW w:w="0" w:type="auto"/>
            <w:gridSpan w:val="3"/>
            <w:shd w:val="clear" w:color="auto" w:fill="CCEEFF"/>
            <w:tcMar>
              <w:top w:w="0" w:type="dxa"/>
              <w:left w:w="20" w:type="dxa"/>
              <w:bottom w:w="0" w:type="dxa"/>
              <w:right w:w="20" w:type="dxa"/>
            </w:tcMar>
            <w:vAlign w:val="bottom"/>
          </w:tcPr>
          <w:p w14:paraId="518B4948"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949"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94A" w14:textId="77777777" w:rsidR="005C332D" w:rsidRDefault="00B93EAE">
            <w:pPr>
              <w:jc w:val="right"/>
              <w:textAlignment w:val="bottom"/>
            </w:pPr>
            <w:r>
              <w:rPr>
                <w:rFonts w:ascii="Times New Roman" w:eastAsia="宋体" w:hAnsi="Times New Roman"/>
                <w:b/>
                <w:bCs/>
                <w:color w:val="000000"/>
                <w:sz w:val="20"/>
                <w:szCs w:val="20"/>
              </w:rPr>
              <w:t>29,814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94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4C"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94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94E" w14:textId="77777777" w:rsidR="005C332D" w:rsidRDefault="00B93EAE">
            <w:pPr>
              <w:jc w:val="right"/>
              <w:textAlignment w:val="bottom"/>
            </w:pPr>
            <w:r>
              <w:rPr>
                <w:rFonts w:ascii="Times New Roman" w:eastAsia="宋体" w:hAnsi="Times New Roman"/>
                <w:color w:val="000000"/>
                <w:sz w:val="20"/>
                <w:szCs w:val="20"/>
              </w:rPr>
              <w:t>29,161 </w:t>
            </w:r>
          </w:p>
        </w:tc>
        <w:tc>
          <w:tcPr>
            <w:tcW w:w="0" w:type="auto"/>
            <w:shd w:val="clear" w:color="auto" w:fill="CCEEFF"/>
            <w:tcMar>
              <w:top w:w="40" w:type="dxa"/>
              <w:left w:w="0" w:type="dxa"/>
              <w:bottom w:w="40" w:type="dxa"/>
              <w:right w:w="20" w:type="dxa"/>
            </w:tcMar>
            <w:vAlign w:val="bottom"/>
          </w:tcPr>
          <w:p w14:paraId="518B494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50"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95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952" w14:textId="77777777" w:rsidR="005C332D" w:rsidRDefault="00B93EAE">
            <w:pPr>
              <w:jc w:val="right"/>
              <w:textAlignment w:val="bottom"/>
            </w:pPr>
            <w:r>
              <w:rPr>
                <w:rFonts w:ascii="Times New Roman" w:eastAsia="宋体" w:hAnsi="Times New Roman"/>
                <w:color w:val="000000"/>
                <w:sz w:val="20"/>
                <w:szCs w:val="20"/>
              </w:rPr>
              <w:t>29,291 </w:t>
            </w:r>
          </w:p>
        </w:tc>
        <w:tc>
          <w:tcPr>
            <w:tcW w:w="0" w:type="auto"/>
            <w:shd w:val="clear" w:color="auto" w:fill="CCEEFF"/>
            <w:tcMar>
              <w:top w:w="40" w:type="dxa"/>
              <w:left w:w="0" w:type="dxa"/>
              <w:bottom w:w="40" w:type="dxa"/>
              <w:right w:w="20" w:type="dxa"/>
            </w:tcMar>
            <w:vAlign w:val="bottom"/>
          </w:tcPr>
          <w:p w14:paraId="518B495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54"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955"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956" w14:textId="77777777" w:rsidR="005C332D" w:rsidRDefault="00B93EAE">
            <w:pPr>
              <w:jc w:val="right"/>
              <w:textAlignment w:val="bottom"/>
            </w:pPr>
            <w:r>
              <w:rPr>
                <w:rFonts w:ascii="Times New Roman" w:eastAsia="宋体" w:hAnsi="Times New Roman"/>
                <w:color w:val="000000"/>
                <w:sz w:val="20"/>
                <w:szCs w:val="20"/>
              </w:rPr>
              <w:t>653 </w:t>
            </w:r>
          </w:p>
        </w:tc>
        <w:tc>
          <w:tcPr>
            <w:tcW w:w="0" w:type="auto"/>
            <w:shd w:val="clear" w:color="auto" w:fill="CCEEFF"/>
            <w:tcMar>
              <w:top w:w="40" w:type="dxa"/>
              <w:left w:w="0" w:type="dxa"/>
              <w:bottom w:w="40" w:type="dxa"/>
              <w:right w:w="20" w:type="dxa"/>
            </w:tcMar>
            <w:vAlign w:val="bottom"/>
          </w:tcPr>
          <w:p w14:paraId="518B495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5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59" w14:textId="77777777" w:rsidR="005C332D" w:rsidRDefault="00B93EAE">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518B495A"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96A" w14:textId="77777777">
        <w:trPr>
          <w:jc w:val="center"/>
        </w:trPr>
        <w:tc>
          <w:tcPr>
            <w:tcW w:w="0" w:type="auto"/>
            <w:gridSpan w:val="3"/>
            <w:shd w:val="clear" w:color="auto" w:fill="FFFFFF"/>
            <w:tcMar>
              <w:top w:w="40" w:type="dxa"/>
              <w:left w:w="155" w:type="dxa"/>
              <w:bottom w:w="40" w:type="dxa"/>
              <w:right w:w="20" w:type="dxa"/>
            </w:tcMar>
            <w:vAlign w:val="bottom"/>
          </w:tcPr>
          <w:p w14:paraId="518B495C" w14:textId="77777777" w:rsidR="005C332D" w:rsidRDefault="00B93EAE">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FFFFFF"/>
            <w:tcMar>
              <w:top w:w="0" w:type="dxa"/>
              <w:left w:w="20" w:type="dxa"/>
              <w:bottom w:w="0" w:type="dxa"/>
              <w:right w:w="20" w:type="dxa"/>
            </w:tcMar>
            <w:vAlign w:val="bottom"/>
          </w:tcPr>
          <w:p w14:paraId="518B495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95E" w14:textId="77777777" w:rsidR="005C332D" w:rsidRDefault="00B93EAE">
            <w:pPr>
              <w:jc w:val="right"/>
              <w:textAlignment w:val="bottom"/>
            </w:pPr>
            <w:r>
              <w:rPr>
                <w:rFonts w:ascii="Times New Roman" w:eastAsia="宋体" w:hAnsi="Times New Roman"/>
                <w:b/>
                <w:bCs/>
                <w:i/>
                <w:iCs/>
                <w:color w:val="000000"/>
                <w:sz w:val="20"/>
                <w:szCs w:val="20"/>
              </w:rPr>
              <w:t>57.8</w:t>
            </w:r>
            <w:r>
              <w:rPr>
                <w:rFonts w:ascii="Times New Roman" w:eastAsia="宋体" w:hAnsi="Times New Roman"/>
                <w:i/>
                <w:iCs/>
                <w:color w:val="000000"/>
                <w:sz w:val="20"/>
                <w:szCs w:val="20"/>
              </w:rPr>
              <w:t> </w:t>
            </w:r>
          </w:p>
        </w:tc>
        <w:tc>
          <w:tcPr>
            <w:tcW w:w="0" w:type="auto"/>
            <w:shd w:val="clear" w:color="auto" w:fill="FFFFFF"/>
            <w:tcMar>
              <w:top w:w="40" w:type="dxa"/>
              <w:left w:w="0" w:type="dxa"/>
              <w:bottom w:w="40" w:type="dxa"/>
              <w:right w:w="20" w:type="dxa"/>
            </w:tcMar>
            <w:vAlign w:val="bottom"/>
          </w:tcPr>
          <w:p w14:paraId="518B495F" w14:textId="77777777" w:rsidR="005C332D" w:rsidRDefault="00B93EAE">
            <w:pPr>
              <w:jc w:val="right"/>
              <w:textAlignment w:val="bottom"/>
            </w:pPr>
            <w:r>
              <w:rPr>
                <w:rFonts w:ascii="Times New Roman" w:eastAsia="宋体" w:hAnsi="Times New Roman"/>
                <w:b/>
                <w:bCs/>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96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961" w14:textId="77777777" w:rsidR="005C332D" w:rsidRDefault="00B93EAE">
            <w:pPr>
              <w:jc w:val="right"/>
              <w:textAlignment w:val="bottom"/>
            </w:pPr>
            <w:r>
              <w:rPr>
                <w:rFonts w:ascii="Times New Roman" w:eastAsia="宋体" w:hAnsi="Times New Roman"/>
                <w:i/>
                <w:iCs/>
                <w:color w:val="000000"/>
                <w:sz w:val="20"/>
                <w:szCs w:val="20"/>
              </w:rPr>
              <w:t>58.5 </w:t>
            </w:r>
          </w:p>
        </w:tc>
        <w:tc>
          <w:tcPr>
            <w:tcW w:w="0" w:type="auto"/>
            <w:shd w:val="clear" w:color="auto" w:fill="FFFFFF"/>
            <w:tcMar>
              <w:top w:w="40" w:type="dxa"/>
              <w:left w:w="0" w:type="dxa"/>
              <w:bottom w:w="40" w:type="dxa"/>
              <w:right w:w="20" w:type="dxa"/>
            </w:tcMar>
            <w:vAlign w:val="bottom"/>
          </w:tcPr>
          <w:p w14:paraId="518B4962"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96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964" w14:textId="77777777" w:rsidR="005C332D" w:rsidRDefault="00B93EAE">
            <w:pPr>
              <w:jc w:val="right"/>
              <w:textAlignment w:val="bottom"/>
            </w:pPr>
            <w:r>
              <w:rPr>
                <w:rFonts w:ascii="Times New Roman" w:eastAsia="宋体" w:hAnsi="Times New Roman"/>
                <w:i/>
                <w:iCs/>
                <w:color w:val="000000"/>
                <w:sz w:val="20"/>
                <w:szCs w:val="20"/>
              </w:rPr>
              <w:t>59.4 </w:t>
            </w:r>
          </w:p>
        </w:tc>
        <w:tc>
          <w:tcPr>
            <w:tcW w:w="0" w:type="auto"/>
            <w:shd w:val="clear" w:color="auto" w:fill="FFFFFF"/>
            <w:tcMar>
              <w:top w:w="40" w:type="dxa"/>
              <w:left w:w="0" w:type="dxa"/>
              <w:bottom w:w="40" w:type="dxa"/>
              <w:right w:w="20" w:type="dxa"/>
            </w:tcMar>
            <w:vAlign w:val="bottom"/>
          </w:tcPr>
          <w:p w14:paraId="518B4965"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966"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967" w14:textId="77777777" w:rsidR="005C332D" w:rsidRDefault="00B93EAE">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18B4968"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969" w14:textId="77777777" w:rsidR="005C332D" w:rsidRDefault="00B93EAE">
            <w:pPr>
              <w:textAlignment w:val="bottom"/>
            </w:pPr>
            <w:r>
              <w:rPr>
                <w:rFonts w:ascii="Times New Roman" w:eastAsia="宋体" w:hAnsi="Times New Roman"/>
                <w:color w:val="000000"/>
                <w:sz w:val="20"/>
                <w:szCs w:val="20"/>
              </w:rPr>
              <w:t> </w:t>
            </w:r>
          </w:p>
        </w:tc>
      </w:tr>
      <w:tr w:rsidR="005C332D" w14:paraId="518B497B" w14:textId="77777777">
        <w:trPr>
          <w:jc w:val="center"/>
        </w:trPr>
        <w:tc>
          <w:tcPr>
            <w:tcW w:w="0" w:type="auto"/>
            <w:gridSpan w:val="3"/>
            <w:shd w:val="clear" w:color="auto" w:fill="CCEEFF"/>
            <w:tcMar>
              <w:top w:w="40" w:type="dxa"/>
              <w:left w:w="155" w:type="dxa"/>
              <w:bottom w:w="40" w:type="dxa"/>
              <w:right w:w="20" w:type="dxa"/>
            </w:tcMar>
            <w:vAlign w:val="bottom"/>
          </w:tcPr>
          <w:p w14:paraId="518B496B" w14:textId="77777777" w:rsidR="005C332D" w:rsidRDefault="00B93EAE">
            <w:pPr>
              <w:textAlignment w:val="bottom"/>
            </w:pPr>
            <w:r>
              <w:rPr>
                <w:rFonts w:ascii="Times New Roman" w:eastAsia="宋体" w:hAnsi="Times New Roman"/>
                <w:color w:val="000000"/>
                <w:sz w:val="20"/>
                <w:szCs w:val="20"/>
              </w:rPr>
              <w:t>EMEA</w:t>
            </w:r>
          </w:p>
        </w:tc>
        <w:tc>
          <w:tcPr>
            <w:tcW w:w="0" w:type="auto"/>
            <w:gridSpan w:val="3"/>
            <w:shd w:val="clear" w:color="auto" w:fill="CCEEFF"/>
            <w:tcMar>
              <w:top w:w="0" w:type="dxa"/>
              <w:left w:w="20" w:type="dxa"/>
              <w:bottom w:w="0" w:type="dxa"/>
              <w:right w:w="20" w:type="dxa"/>
            </w:tcMar>
            <w:vAlign w:val="bottom"/>
          </w:tcPr>
          <w:p w14:paraId="518B496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6D" w14:textId="77777777" w:rsidR="005C332D" w:rsidRDefault="00B93EAE">
            <w:pPr>
              <w:jc w:val="right"/>
              <w:textAlignment w:val="bottom"/>
            </w:pPr>
            <w:r>
              <w:rPr>
                <w:rFonts w:ascii="Times New Roman" w:eastAsia="宋体" w:hAnsi="Times New Roman"/>
                <w:b/>
                <w:bCs/>
                <w:color w:val="000000"/>
                <w:sz w:val="20"/>
                <w:szCs w:val="20"/>
              </w:rPr>
              <w:t>13,715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96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6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70" w14:textId="77777777" w:rsidR="005C332D" w:rsidRDefault="00B93EAE">
            <w:pPr>
              <w:jc w:val="right"/>
              <w:textAlignment w:val="bottom"/>
            </w:pPr>
            <w:r>
              <w:rPr>
                <w:rFonts w:ascii="Times New Roman" w:eastAsia="宋体" w:hAnsi="Times New Roman"/>
                <w:color w:val="000000"/>
                <w:sz w:val="20"/>
                <w:szCs w:val="20"/>
              </w:rPr>
              <w:t>12,951 </w:t>
            </w:r>
          </w:p>
        </w:tc>
        <w:tc>
          <w:tcPr>
            <w:tcW w:w="0" w:type="auto"/>
            <w:shd w:val="clear" w:color="auto" w:fill="CCEEFF"/>
            <w:tcMar>
              <w:top w:w="40" w:type="dxa"/>
              <w:left w:w="0" w:type="dxa"/>
              <w:bottom w:w="40" w:type="dxa"/>
              <w:right w:w="20" w:type="dxa"/>
            </w:tcMar>
            <w:vAlign w:val="bottom"/>
          </w:tcPr>
          <w:p w14:paraId="518B497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7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73" w14:textId="77777777" w:rsidR="005C332D" w:rsidRDefault="00B93EAE">
            <w:pPr>
              <w:jc w:val="right"/>
              <w:textAlignment w:val="bottom"/>
            </w:pPr>
            <w:r>
              <w:rPr>
                <w:rFonts w:ascii="Times New Roman" w:eastAsia="宋体" w:hAnsi="Times New Roman"/>
                <w:color w:val="000000"/>
                <w:sz w:val="20"/>
                <w:szCs w:val="20"/>
              </w:rPr>
              <w:t>12,659 </w:t>
            </w:r>
          </w:p>
        </w:tc>
        <w:tc>
          <w:tcPr>
            <w:tcW w:w="0" w:type="auto"/>
            <w:shd w:val="clear" w:color="auto" w:fill="CCEEFF"/>
            <w:tcMar>
              <w:top w:w="40" w:type="dxa"/>
              <w:left w:w="0" w:type="dxa"/>
              <w:bottom w:w="40" w:type="dxa"/>
              <w:right w:w="20" w:type="dxa"/>
            </w:tcMar>
            <w:vAlign w:val="bottom"/>
          </w:tcPr>
          <w:p w14:paraId="518B497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7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76" w14:textId="77777777" w:rsidR="005C332D" w:rsidRDefault="00B93EAE">
            <w:pPr>
              <w:jc w:val="right"/>
              <w:textAlignment w:val="bottom"/>
            </w:pPr>
            <w:r>
              <w:rPr>
                <w:rFonts w:ascii="Times New Roman" w:eastAsia="宋体" w:hAnsi="Times New Roman"/>
                <w:color w:val="000000"/>
                <w:sz w:val="20"/>
                <w:szCs w:val="20"/>
              </w:rPr>
              <w:t>764 </w:t>
            </w:r>
          </w:p>
        </w:tc>
        <w:tc>
          <w:tcPr>
            <w:tcW w:w="0" w:type="auto"/>
            <w:shd w:val="clear" w:color="auto" w:fill="CCEEFF"/>
            <w:tcMar>
              <w:top w:w="40" w:type="dxa"/>
              <w:left w:w="0" w:type="dxa"/>
              <w:bottom w:w="40" w:type="dxa"/>
              <w:right w:w="20" w:type="dxa"/>
            </w:tcMar>
            <w:vAlign w:val="bottom"/>
          </w:tcPr>
          <w:p w14:paraId="518B497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7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79"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518B497A"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98A" w14:textId="77777777">
        <w:trPr>
          <w:jc w:val="center"/>
        </w:trPr>
        <w:tc>
          <w:tcPr>
            <w:tcW w:w="0" w:type="auto"/>
            <w:gridSpan w:val="3"/>
            <w:shd w:val="clear" w:color="auto" w:fill="FFFFFF"/>
            <w:tcMar>
              <w:top w:w="40" w:type="dxa"/>
              <w:left w:w="155" w:type="dxa"/>
              <w:bottom w:w="40" w:type="dxa"/>
              <w:right w:w="20" w:type="dxa"/>
            </w:tcMar>
            <w:vAlign w:val="bottom"/>
          </w:tcPr>
          <w:p w14:paraId="518B497C" w14:textId="77777777" w:rsidR="005C332D" w:rsidRDefault="00B93EAE">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FFFFFF"/>
            <w:tcMar>
              <w:top w:w="0" w:type="dxa"/>
              <w:left w:w="20" w:type="dxa"/>
              <w:bottom w:w="0" w:type="dxa"/>
              <w:right w:w="20" w:type="dxa"/>
            </w:tcMar>
            <w:vAlign w:val="bottom"/>
          </w:tcPr>
          <w:p w14:paraId="518B497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97E" w14:textId="77777777" w:rsidR="005C332D" w:rsidRDefault="00B93EAE">
            <w:pPr>
              <w:jc w:val="right"/>
              <w:textAlignment w:val="bottom"/>
            </w:pPr>
            <w:r>
              <w:rPr>
                <w:rFonts w:ascii="Times New Roman" w:eastAsia="宋体" w:hAnsi="Times New Roman"/>
                <w:b/>
                <w:bCs/>
                <w:i/>
                <w:iCs/>
                <w:color w:val="000000"/>
                <w:sz w:val="20"/>
                <w:szCs w:val="20"/>
              </w:rPr>
              <w:t>26.6</w:t>
            </w:r>
            <w:r>
              <w:rPr>
                <w:rFonts w:ascii="Times New Roman" w:eastAsia="宋体" w:hAnsi="Times New Roman"/>
                <w:i/>
                <w:iCs/>
                <w:color w:val="000000"/>
                <w:sz w:val="20"/>
                <w:szCs w:val="20"/>
              </w:rPr>
              <w:t> </w:t>
            </w:r>
          </w:p>
        </w:tc>
        <w:tc>
          <w:tcPr>
            <w:tcW w:w="0" w:type="auto"/>
            <w:shd w:val="clear" w:color="auto" w:fill="FFFFFF"/>
            <w:tcMar>
              <w:top w:w="40" w:type="dxa"/>
              <w:left w:w="0" w:type="dxa"/>
              <w:bottom w:w="40" w:type="dxa"/>
              <w:right w:w="20" w:type="dxa"/>
            </w:tcMar>
            <w:vAlign w:val="bottom"/>
          </w:tcPr>
          <w:p w14:paraId="518B497F" w14:textId="77777777" w:rsidR="005C332D" w:rsidRDefault="00B93EAE">
            <w:pPr>
              <w:jc w:val="right"/>
              <w:textAlignment w:val="bottom"/>
            </w:pPr>
            <w:r>
              <w:rPr>
                <w:rFonts w:ascii="Times New Roman" w:eastAsia="宋体" w:hAnsi="Times New Roman"/>
                <w:b/>
                <w:bCs/>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98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981" w14:textId="77777777" w:rsidR="005C332D" w:rsidRDefault="00B93EAE">
            <w:pPr>
              <w:jc w:val="right"/>
              <w:textAlignment w:val="bottom"/>
            </w:pPr>
            <w:r>
              <w:rPr>
                <w:rFonts w:ascii="Times New Roman" w:eastAsia="宋体" w:hAnsi="Times New Roman"/>
                <w:i/>
                <w:iCs/>
                <w:color w:val="000000"/>
                <w:sz w:val="20"/>
                <w:szCs w:val="20"/>
              </w:rPr>
              <w:t>26.0 </w:t>
            </w:r>
          </w:p>
        </w:tc>
        <w:tc>
          <w:tcPr>
            <w:tcW w:w="0" w:type="auto"/>
            <w:shd w:val="clear" w:color="auto" w:fill="FFFFFF"/>
            <w:tcMar>
              <w:top w:w="40" w:type="dxa"/>
              <w:left w:w="0" w:type="dxa"/>
              <w:bottom w:w="40" w:type="dxa"/>
              <w:right w:w="20" w:type="dxa"/>
            </w:tcMar>
            <w:vAlign w:val="bottom"/>
          </w:tcPr>
          <w:p w14:paraId="518B4982"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98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984" w14:textId="77777777" w:rsidR="005C332D" w:rsidRDefault="00B93EAE">
            <w:pPr>
              <w:jc w:val="right"/>
              <w:textAlignment w:val="bottom"/>
            </w:pPr>
            <w:r>
              <w:rPr>
                <w:rFonts w:ascii="Times New Roman" w:eastAsia="宋体" w:hAnsi="Times New Roman"/>
                <w:i/>
                <w:iCs/>
                <w:color w:val="000000"/>
                <w:sz w:val="20"/>
                <w:szCs w:val="20"/>
              </w:rPr>
              <w:t>25.7 </w:t>
            </w:r>
          </w:p>
        </w:tc>
        <w:tc>
          <w:tcPr>
            <w:tcW w:w="0" w:type="auto"/>
            <w:shd w:val="clear" w:color="auto" w:fill="FFFFFF"/>
            <w:tcMar>
              <w:top w:w="40" w:type="dxa"/>
              <w:left w:w="0" w:type="dxa"/>
              <w:bottom w:w="40" w:type="dxa"/>
              <w:right w:w="20" w:type="dxa"/>
            </w:tcMar>
            <w:vAlign w:val="bottom"/>
          </w:tcPr>
          <w:p w14:paraId="518B4985"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986"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987" w14:textId="77777777" w:rsidR="005C332D" w:rsidRDefault="00B93EAE">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18B4988"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989" w14:textId="77777777" w:rsidR="005C332D" w:rsidRDefault="00B93EAE">
            <w:pPr>
              <w:textAlignment w:val="bottom"/>
            </w:pPr>
            <w:r>
              <w:rPr>
                <w:rFonts w:ascii="Times New Roman" w:eastAsia="宋体" w:hAnsi="Times New Roman"/>
                <w:color w:val="000000"/>
                <w:sz w:val="20"/>
                <w:szCs w:val="20"/>
              </w:rPr>
              <w:t> </w:t>
            </w:r>
          </w:p>
        </w:tc>
      </w:tr>
      <w:tr w:rsidR="005C332D" w14:paraId="518B499B" w14:textId="77777777">
        <w:trPr>
          <w:jc w:val="center"/>
        </w:trPr>
        <w:tc>
          <w:tcPr>
            <w:tcW w:w="0" w:type="auto"/>
            <w:gridSpan w:val="3"/>
            <w:shd w:val="clear" w:color="auto" w:fill="CCEEFF"/>
            <w:tcMar>
              <w:top w:w="40" w:type="dxa"/>
              <w:left w:w="155" w:type="dxa"/>
              <w:bottom w:w="40" w:type="dxa"/>
              <w:right w:w="20" w:type="dxa"/>
            </w:tcMar>
            <w:vAlign w:val="bottom"/>
          </w:tcPr>
          <w:p w14:paraId="518B498B" w14:textId="77777777" w:rsidR="005C332D" w:rsidRDefault="00B93EAE">
            <w:pPr>
              <w:textAlignment w:val="bottom"/>
            </w:pPr>
            <w:r>
              <w:rPr>
                <w:rFonts w:ascii="Times New Roman" w:eastAsia="宋体" w:hAnsi="Times New Roman"/>
                <w:color w:val="000000"/>
                <w:sz w:val="20"/>
                <w:szCs w:val="20"/>
              </w:rPr>
              <w:t>APJC</w:t>
            </w:r>
          </w:p>
        </w:tc>
        <w:tc>
          <w:tcPr>
            <w:tcW w:w="0" w:type="auto"/>
            <w:gridSpan w:val="3"/>
            <w:shd w:val="clear" w:color="auto" w:fill="CCEEFF"/>
            <w:tcMar>
              <w:top w:w="0" w:type="dxa"/>
              <w:left w:w="20" w:type="dxa"/>
              <w:bottom w:w="0" w:type="dxa"/>
              <w:right w:w="20" w:type="dxa"/>
            </w:tcMar>
            <w:vAlign w:val="bottom"/>
          </w:tcPr>
          <w:p w14:paraId="518B498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8D" w14:textId="77777777" w:rsidR="005C332D" w:rsidRDefault="00B93EAE">
            <w:pPr>
              <w:jc w:val="right"/>
              <w:textAlignment w:val="bottom"/>
            </w:pPr>
            <w:r>
              <w:rPr>
                <w:rFonts w:ascii="Times New Roman" w:eastAsia="宋体" w:hAnsi="Times New Roman"/>
                <w:b/>
                <w:bCs/>
                <w:color w:val="000000"/>
                <w:sz w:val="20"/>
                <w:szCs w:val="20"/>
              </w:rPr>
              <w:t>8,027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98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8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90" w14:textId="77777777" w:rsidR="005C332D" w:rsidRDefault="00B93EAE">
            <w:pPr>
              <w:jc w:val="right"/>
              <w:textAlignment w:val="bottom"/>
            </w:pPr>
            <w:r>
              <w:rPr>
                <w:rFonts w:ascii="Times New Roman" w:eastAsia="宋体" w:hAnsi="Times New Roman"/>
                <w:color w:val="000000"/>
                <w:sz w:val="20"/>
                <w:szCs w:val="20"/>
              </w:rPr>
              <w:t>7,706 </w:t>
            </w:r>
          </w:p>
        </w:tc>
        <w:tc>
          <w:tcPr>
            <w:tcW w:w="0" w:type="auto"/>
            <w:shd w:val="clear" w:color="auto" w:fill="CCEEFF"/>
            <w:tcMar>
              <w:top w:w="40" w:type="dxa"/>
              <w:left w:w="0" w:type="dxa"/>
              <w:bottom w:w="40" w:type="dxa"/>
              <w:right w:w="20" w:type="dxa"/>
            </w:tcMar>
            <w:vAlign w:val="bottom"/>
          </w:tcPr>
          <w:p w14:paraId="518B499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9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93" w14:textId="77777777" w:rsidR="005C332D" w:rsidRDefault="00B93EAE">
            <w:pPr>
              <w:jc w:val="right"/>
              <w:textAlignment w:val="bottom"/>
            </w:pPr>
            <w:r>
              <w:rPr>
                <w:rFonts w:ascii="Times New Roman" w:eastAsia="宋体" w:hAnsi="Times New Roman"/>
                <w:color w:val="000000"/>
                <w:sz w:val="20"/>
                <w:szCs w:val="20"/>
              </w:rPr>
              <w:t>7,352 </w:t>
            </w:r>
          </w:p>
        </w:tc>
        <w:tc>
          <w:tcPr>
            <w:tcW w:w="0" w:type="auto"/>
            <w:shd w:val="clear" w:color="auto" w:fill="CCEEFF"/>
            <w:tcMar>
              <w:top w:w="40" w:type="dxa"/>
              <w:left w:w="0" w:type="dxa"/>
              <w:bottom w:w="40" w:type="dxa"/>
              <w:right w:w="20" w:type="dxa"/>
            </w:tcMar>
            <w:vAlign w:val="bottom"/>
          </w:tcPr>
          <w:p w14:paraId="518B499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9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96" w14:textId="77777777" w:rsidR="005C332D" w:rsidRDefault="00B93EAE">
            <w:pPr>
              <w:jc w:val="right"/>
              <w:textAlignment w:val="bottom"/>
            </w:pPr>
            <w:r>
              <w:rPr>
                <w:rFonts w:ascii="Times New Roman" w:eastAsia="宋体" w:hAnsi="Times New Roman"/>
                <w:color w:val="000000"/>
                <w:sz w:val="20"/>
                <w:szCs w:val="20"/>
              </w:rPr>
              <w:t>321 </w:t>
            </w:r>
          </w:p>
        </w:tc>
        <w:tc>
          <w:tcPr>
            <w:tcW w:w="0" w:type="auto"/>
            <w:shd w:val="clear" w:color="auto" w:fill="CCEEFF"/>
            <w:tcMar>
              <w:top w:w="40" w:type="dxa"/>
              <w:left w:w="0" w:type="dxa"/>
              <w:bottom w:w="40" w:type="dxa"/>
              <w:right w:w="20" w:type="dxa"/>
            </w:tcMar>
            <w:vAlign w:val="bottom"/>
          </w:tcPr>
          <w:p w14:paraId="518B499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9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99" w14:textId="77777777" w:rsidR="005C332D" w:rsidRDefault="00B93EAE">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518B499A"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9AA" w14:textId="77777777">
        <w:trPr>
          <w:jc w:val="center"/>
        </w:trPr>
        <w:tc>
          <w:tcPr>
            <w:tcW w:w="0" w:type="auto"/>
            <w:gridSpan w:val="3"/>
            <w:shd w:val="clear" w:color="auto" w:fill="FFFFFF"/>
            <w:tcMar>
              <w:top w:w="40" w:type="dxa"/>
              <w:left w:w="155" w:type="dxa"/>
              <w:bottom w:w="40" w:type="dxa"/>
              <w:right w:w="20" w:type="dxa"/>
            </w:tcMar>
            <w:vAlign w:val="bottom"/>
          </w:tcPr>
          <w:p w14:paraId="518B499C" w14:textId="77777777" w:rsidR="005C332D" w:rsidRDefault="00B93EAE">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FFFFFF"/>
            <w:tcMar>
              <w:top w:w="0" w:type="dxa"/>
              <w:left w:w="20" w:type="dxa"/>
              <w:bottom w:w="0" w:type="dxa"/>
              <w:right w:w="20" w:type="dxa"/>
            </w:tcMar>
            <w:vAlign w:val="bottom"/>
          </w:tcPr>
          <w:p w14:paraId="518B499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99E" w14:textId="77777777" w:rsidR="005C332D" w:rsidRDefault="00B93EAE">
            <w:pPr>
              <w:jc w:val="right"/>
              <w:textAlignment w:val="bottom"/>
            </w:pPr>
            <w:r>
              <w:rPr>
                <w:rFonts w:ascii="Times New Roman" w:eastAsia="宋体" w:hAnsi="Times New Roman"/>
                <w:b/>
                <w:bCs/>
                <w:i/>
                <w:iCs/>
                <w:color w:val="000000"/>
                <w:sz w:val="20"/>
                <w:szCs w:val="20"/>
              </w:rPr>
              <w:t>15.6</w:t>
            </w:r>
            <w:r>
              <w:rPr>
                <w:rFonts w:ascii="Times New Roman" w:eastAsia="宋体" w:hAnsi="Times New Roman"/>
                <w:i/>
                <w:iCs/>
                <w:color w:val="000000"/>
                <w:sz w:val="20"/>
                <w:szCs w:val="20"/>
              </w:rPr>
              <w:t> </w:t>
            </w:r>
          </w:p>
        </w:tc>
        <w:tc>
          <w:tcPr>
            <w:tcW w:w="0" w:type="auto"/>
            <w:shd w:val="clear" w:color="auto" w:fill="FFFFFF"/>
            <w:tcMar>
              <w:top w:w="40" w:type="dxa"/>
              <w:left w:w="0" w:type="dxa"/>
              <w:bottom w:w="40" w:type="dxa"/>
              <w:right w:w="20" w:type="dxa"/>
            </w:tcMar>
            <w:vAlign w:val="bottom"/>
          </w:tcPr>
          <w:p w14:paraId="518B499F" w14:textId="77777777" w:rsidR="005C332D" w:rsidRDefault="00B93EAE">
            <w:pPr>
              <w:jc w:val="right"/>
              <w:textAlignment w:val="bottom"/>
            </w:pPr>
            <w:r>
              <w:rPr>
                <w:rFonts w:ascii="Times New Roman" w:eastAsia="宋体" w:hAnsi="Times New Roman"/>
                <w:b/>
                <w:bCs/>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9A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9A1" w14:textId="77777777" w:rsidR="005C332D" w:rsidRDefault="00B93EAE">
            <w:pPr>
              <w:jc w:val="right"/>
              <w:textAlignment w:val="bottom"/>
            </w:pPr>
            <w:r>
              <w:rPr>
                <w:rFonts w:ascii="Times New Roman" w:eastAsia="宋体" w:hAnsi="Times New Roman"/>
                <w:i/>
                <w:iCs/>
                <w:color w:val="000000"/>
                <w:sz w:val="20"/>
                <w:szCs w:val="20"/>
              </w:rPr>
              <w:t>15.5 </w:t>
            </w:r>
          </w:p>
        </w:tc>
        <w:tc>
          <w:tcPr>
            <w:tcW w:w="0" w:type="auto"/>
            <w:shd w:val="clear" w:color="auto" w:fill="FFFFFF"/>
            <w:tcMar>
              <w:top w:w="40" w:type="dxa"/>
              <w:left w:w="0" w:type="dxa"/>
              <w:bottom w:w="40" w:type="dxa"/>
              <w:right w:w="20" w:type="dxa"/>
            </w:tcMar>
            <w:vAlign w:val="bottom"/>
          </w:tcPr>
          <w:p w14:paraId="518B49A2"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9A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9A4" w14:textId="77777777" w:rsidR="005C332D" w:rsidRDefault="00B93EAE">
            <w:pPr>
              <w:jc w:val="right"/>
              <w:textAlignment w:val="bottom"/>
            </w:pPr>
            <w:r>
              <w:rPr>
                <w:rFonts w:ascii="Times New Roman" w:eastAsia="宋体" w:hAnsi="Times New Roman"/>
                <w:i/>
                <w:iCs/>
                <w:color w:val="000000"/>
                <w:sz w:val="20"/>
                <w:szCs w:val="20"/>
              </w:rPr>
              <w:t>14.9 </w:t>
            </w:r>
          </w:p>
        </w:tc>
        <w:tc>
          <w:tcPr>
            <w:tcW w:w="0" w:type="auto"/>
            <w:shd w:val="clear" w:color="auto" w:fill="FFFFFF"/>
            <w:tcMar>
              <w:top w:w="40" w:type="dxa"/>
              <w:left w:w="0" w:type="dxa"/>
              <w:bottom w:w="40" w:type="dxa"/>
              <w:right w:w="20" w:type="dxa"/>
            </w:tcMar>
            <w:vAlign w:val="bottom"/>
          </w:tcPr>
          <w:p w14:paraId="518B49A5"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9A6"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9A7" w14:textId="77777777" w:rsidR="005C332D" w:rsidRDefault="00B93EAE">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18B49A8"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9A9" w14:textId="77777777" w:rsidR="005C332D" w:rsidRDefault="00B93EAE">
            <w:pPr>
              <w:textAlignment w:val="bottom"/>
            </w:pPr>
            <w:r>
              <w:rPr>
                <w:rFonts w:ascii="Times New Roman" w:eastAsia="宋体" w:hAnsi="Times New Roman"/>
                <w:color w:val="000000"/>
                <w:sz w:val="20"/>
                <w:szCs w:val="20"/>
              </w:rPr>
              <w:t> </w:t>
            </w:r>
          </w:p>
        </w:tc>
      </w:tr>
      <w:tr w:rsidR="005C332D" w14:paraId="518B49BF" w14:textId="77777777">
        <w:trPr>
          <w:jc w:val="center"/>
        </w:trPr>
        <w:tc>
          <w:tcPr>
            <w:tcW w:w="0" w:type="auto"/>
            <w:gridSpan w:val="3"/>
            <w:shd w:val="clear" w:color="auto" w:fill="CCEEFF"/>
            <w:tcMar>
              <w:top w:w="40" w:type="dxa"/>
              <w:left w:w="515" w:type="dxa"/>
              <w:bottom w:w="40" w:type="dxa"/>
              <w:right w:w="20" w:type="dxa"/>
            </w:tcMar>
            <w:vAlign w:val="bottom"/>
          </w:tcPr>
          <w:p w14:paraId="518B49AB" w14:textId="77777777" w:rsidR="005C332D" w:rsidRDefault="00B93EAE">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49A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9A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9AE" w14:textId="77777777" w:rsidR="005C332D" w:rsidRDefault="00B93EAE">
            <w:pPr>
              <w:jc w:val="right"/>
              <w:textAlignment w:val="bottom"/>
            </w:pPr>
            <w:r>
              <w:rPr>
                <w:rFonts w:ascii="Times New Roman" w:eastAsia="宋体" w:hAnsi="Times New Roman"/>
                <w:b/>
                <w:bCs/>
                <w:color w:val="000000"/>
                <w:sz w:val="20"/>
                <w:szCs w:val="20"/>
              </w:rPr>
              <w:t>51,557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9A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B0"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9B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9B2" w14:textId="77777777" w:rsidR="005C332D" w:rsidRDefault="00B93EAE">
            <w:pPr>
              <w:jc w:val="right"/>
              <w:textAlignment w:val="bottom"/>
            </w:pPr>
            <w:r>
              <w:rPr>
                <w:rFonts w:ascii="Times New Roman" w:eastAsia="宋体" w:hAnsi="Times New Roman"/>
                <w:color w:val="000000"/>
                <w:sz w:val="20"/>
                <w:szCs w:val="20"/>
              </w:rPr>
              <w:t>49,818 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9B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B4"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9B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9B6" w14:textId="77777777" w:rsidR="005C332D" w:rsidRDefault="00B93EAE">
            <w:pPr>
              <w:jc w:val="right"/>
              <w:textAlignment w:val="bottom"/>
            </w:pPr>
            <w:r>
              <w:rPr>
                <w:rFonts w:ascii="Times New Roman" w:eastAsia="宋体" w:hAnsi="Times New Roman"/>
                <w:color w:val="000000"/>
                <w:sz w:val="20"/>
                <w:szCs w:val="20"/>
              </w:rPr>
              <w:t>49,301 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9B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B8"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9B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9BA" w14:textId="77777777" w:rsidR="005C332D" w:rsidRDefault="00B93EAE">
            <w:pPr>
              <w:jc w:val="right"/>
              <w:textAlignment w:val="bottom"/>
            </w:pPr>
            <w:r>
              <w:rPr>
                <w:rFonts w:ascii="Times New Roman" w:eastAsia="宋体" w:hAnsi="Times New Roman"/>
                <w:color w:val="000000"/>
                <w:sz w:val="20"/>
                <w:szCs w:val="20"/>
              </w:rPr>
              <w:t>1,739 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9B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9B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9BD"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518B49BE" w14:textId="77777777" w:rsidR="005C332D" w:rsidRDefault="00B93EAE">
            <w:pPr>
              <w:jc w:val="right"/>
              <w:textAlignment w:val="bottom"/>
            </w:pPr>
            <w:r>
              <w:rPr>
                <w:rFonts w:ascii="Times New Roman" w:eastAsia="宋体" w:hAnsi="Times New Roman"/>
                <w:color w:val="000000"/>
                <w:sz w:val="20"/>
                <w:szCs w:val="20"/>
              </w:rPr>
              <w:t>%</w:t>
            </w:r>
          </w:p>
        </w:tc>
      </w:tr>
    </w:tbl>
    <w:p w14:paraId="518B49C0" w14:textId="77777777" w:rsidR="005C332D" w:rsidRDefault="00B93EAE">
      <w:pPr>
        <w:spacing w:before="120"/>
        <w:jc w:val="both"/>
      </w:pPr>
      <w:r>
        <w:rPr>
          <w:rFonts w:ascii="Times New Roman" w:eastAsia="宋体" w:hAnsi="Times New Roman"/>
          <w:color w:val="000000"/>
          <w:sz w:val="20"/>
          <w:szCs w:val="20"/>
        </w:rPr>
        <w:t xml:space="preserve">Amounts may not sum and percentages may not recalculate due to rounding. </w:t>
      </w:r>
    </w:p>
    <w:p w14:paraId="518B49C1" w14:textId="77777777" w:rsidR="005C332D" w:rsidRDefault="00B93EAE">
      <w:pPr>
        <w:spacing w:before="120"/>
        <w:jc w:val="both"/>
      </w:pPr>
      <w:r>
        <w:rPr>
          <w:rFonts w:ascii="Times New Roman" w:eastAsia="宋体" w:hAnsi="Times New Roman"/>
          <w:color w:val="000000"/>
          <w:sz w:val="20"/>
          <w:szCs w:val="20"/>
        </w:rPr>
        <w:t>Total revenue in fiscal 2022 increased by 3% compared with fiscal 2021. Product revenue increased by 6% and service revenue decreased by 2%. Our total revenue reflected growth across</w:t>
      </w:r>
      <w:r>
        <w:rPr>
          <w:rFonts w:ascii="Times New Roman" w:eastAsia="宋体" w:hAnsi="Times New Roman"/>
          <w:color w:val="000000"/>
          <w:sz w:val="20"/>
          <w:szCs w:val="20"/>
        </w:rPr>
        <w:t xml:space="preserve"> each of our geographic segments.</w:t>
      </w:r>
    </w:p>
    <w:p w14:paraId="518B49C2" w14:textId="77777777" w:rsidR="005C332D" w:rsidRDefault="00B93EAE">
      <w:pPr>
        <w:spacing w:before="120"/>
        <w:jc w:val="both"/>
      </w:pPr>
      <w:r>
        <w:rPr>
          <w:rFonts w:ascii="Times New Roman" w:eastAsia="宋体" w:hAnsi="Times New Roman"/>
          <w:color w:val="000000"/>
          <w:sz w:val="20"/>
          <w:szCs w:val="20"/>
        </w:rPr>
        <w:t>In addition to the impact of macroeconomic factors, including the IT spending environment and the level of spending by government entities, revenue by segment in a particular period may be significantly impacted by several</w:t>
      </w:r>
      <w:r>
        <w:rPr>
          <w:rFonts w:ascii="Times New Roman" w:eastAsia="宋体" w:hAnsi="Times New Roman"/>
          <w:color w:val="000000"/>
          <w:sz w:val="20"/>
          <w:szCs w:val="20"/>
        </w:rPr>
        <w:t xml:space="preserve"> factors related to revenue recognition, including the complexity of transactions such as multiple performance obligations; the mix of financing arrangements provided to channel partners and customers; and final acceptance of the product, system, or soluti</w:t>
      </w:r>
      <w:r>
        <w:rPr>
          <w:rFonts w:ascii="Times New Roman" w:eastAsia="宋体" w:hAnsi="Times New Roman"/>
          <w:color w:val="000000"/>
          <w:sz w:val="20"/>
          <w:szCs w:val="20"/>
        </w:rPr>
        <w:t>on, among other factors. In addition, certain customers tend to make large and sporadic purchases, and the revenue related to these transactions may also be affected by the timing of revenue recognition, which in turn would impact the revenue of the releva</w:t>
      </w:r>
      <w:r>
        <w:rPr>
          <w:rFonts w:ascii="Times New Roman" w:eastAsia="宋体" w:hAnsi="Times New Roman"/>
          <w:color w:val="000000"/>
          <w:sz w:val="20"/>
          <w:szCs w:val="20"/>
        </w:rPr>
        <w:t xml:space="preserve">nt segment. </w:t>
      </w:r>
    </w:p>
    <w:p w14:paraId="518B49C3" w14:textId="77777777" w:rsidR="005C332D" w:rsidRDefault="005C332D">
      <w:pPr>
        <w:spacing w:before="120"/>
        <w:jc w:val="both"/>
      </w:pPr>
    </w:p>
    <w:p w14:paraId="518B49C4" w14:textId="77777777" w:rsidR="005C332D" w:rsidRDefault="00B93EAE">
      <w:pPr>
        <w:jc w:val="center"/>
      </w:pPr>
      <w:r>
        <w:rPr>
          <w:rFonts w:ascii="Times New Roman" w:eastAsia="宋体" w:hAnsi="Times New Roman"/>
          <w:color w:val="000000"/>
          <w:sz w:val="20"/>
          <w:szCs w:val="20"/>
        </w:rPr>
        <w:t>38</w:t>
      </w:r>
    </w:p>
    <w:p w14:paraId="518B49C5" w14:textId="77777777" w:rsidR="005C332D" w:rsidRDefault="00B93EAE">
      <w:r>
        <w:pict w14:anchorId="518B873B">
          <v:rect id="_x0000_i1064" style="width:415.3pt;height:1.5pt" o:hralign="center" o:hrstd="t" o:hr="t" fillcolor="#a0a0a0" stroked="f"/>
        </w:pict>
      </w:r>
    </w:p>
    <w:p w14:paraId="518B49C6" w14:textId="77777777" w:rsidR="005C332D" w:rsidRDefault="00B93EAE">
      <w:hyperlink r:id="rId92" w:anchor="i049852cab38845aabd2a79d07dacda86_7" w:history="1">
        <w:r>
          <w:rPr>
            <w:rStyle w:val="a5"/>
            <w:rFonts w:ascii="Times New Roman" w:eastAsia="宋体" w:hAnsi="Times New Roman"/>
            <w:sz w:val="20"/>
            <w:szCs w:val="20"/>
          </w:rPr>
          <w:t>Table of Contents</w:t>
        </w:r>
      </w:hyperlink>
    </w:p>
    <w:p w14:paraId="518B49C7" w14:textId="77777777" w:rsidR="005C332D" w:rsidRDefault="00B93EAE">
      <w:pPr>
        <w:spacing w:before="120"/>
        <w:jc w:val="both"/>
      </w:pPr>
      <w:r>
        <w:rPr>
          <w:rFonts w:ascii="Times New Roman" w:eastAsia="宋体" w:hAnsi="Times New Roman"/>
          <w:b/>
          <w:bCs/>
          <w:color w:val="000000"/>
          <w:sz w:val="20"/>
          <w:szCs w:val="20"/>
        </w:rPr>
        <w:t>Product Revenue by Segment</w:t>
      </w:r>
    </w:p>
    <w:p w14:paraId="518B49C8" w14:textId="77777777" w:rsidR="005C332D" w:rsidRDefault="00B93EAE">
      <w:pPr>
        <w:spacing w:before="120"/>
        <w:jc w:val="both"/>
      </w:pPr>
      <w:r>
        <w:rPr>
          <w:rFonts w:ascii="Times New Roman" w:eastAsia="宋体" w:hAnsi="Times New Roman"/>
          <w:color w:val="000000"/>
          <w:sz w:val="20"/>
          <w:szCs w:val="20"/>
        </w:rPr>
        <w:t xml:space="preserve">The following table presents the breakdown </w:t>
      </w:r>
      <w:r>
        <w:rPr>
          <w:rFonts w:ascii="Times New Roman" w:eastAsia="宋体" w:hAnsi="Times New Roman"/>
          <w:color w:val="000000"/>
          <w:sz w:val="20"/>
          <w:szCs w:val="20"/>
        </w:rPr>
        <w:t>of product revenue by segment (in millions, except percentages):</w:t>
      </w:r>
    </w:p>
    <w:tbl>
      <w:tblPr>
        <w:tblW w:w="4993" w:type="pct"/>
        <w:tblCellMar>
          <w:top w:w="15" w:type="dxa"/>
          <w:left w:w="15" w:type="dxa"/>
          <w:bottom w:w="15" w:type="dxa"/>
          <w:right w:w="15" w:type="dxa"/>
        </w:tblCellMar>
        <w:tblLook w:val="04A0" w:firstRow="1" w:lastRow="0" w:firstColumn="1" w:lastColumn="0" w:noHBand="0" w:noVBand="1"/>
      </w:tblPr>
      <w:tblGrid>
        <w:gridCol w:w="39"/>
        <w:gridCol w:w="2952"/>
        <w:gridCol w:w="38"/>
        <w:gridCol w:w="36"/>
        <w:gridCol w:w="36"/>
        <w:gridCol w:w="36"/>
        <w:gridCol w:w="120"/>
        <w:gridCol w:w="695"/>
        <w:gridCol w:w="187"/>
        <w:gridCol w:w="36"/>
        <w:gridCol w:w="36"/>
        <w:gridCol w:w="36"/>
        <w:gridCol w:w="120"/>
        <w:gridCol w:w="695"/>
        <w:gridCol w:w="187"/>
        <w:gridCol w:w="36"/>
        <w:gridCol w:w="36"/>
        <w:gridCol w:w="36"/>
        <w:gridCol w:w="120"/>
        <w:gridCol w:w="695"/>
        <w:gridCol w:w="187"/>
        <w:gridCol w:w="36"/>
        <w:gridCol w:w="36"/>
        <w:gridCol w:w="36"/>
        <w:gridCol w:w="121"/>
        <w:gridCol w:w="707"/>
        <w:gridCol w:w="36"/>
        <w:gridCol w:w="36"/>
        <w:gridCol w:w="36"/>
        <w:gridCol w:w="36"/>
        <w:gridCol w:w="59"/>
        <w:gridCol w:w="639"/>
        <w:gridCol w:w="187"/>
      </w:tblGrid>
      <w:tr w:rsidR="005C332D" w14:paraId="518B49EA" w14:textId="77777777">
        <w:tc>
          <w:tcPr>
            <w:tcW w:w="50" w:type="pct"/>
            <w:shd w:val="clear" w:color="auto" w:fill="auto"/>
            <w:vAlign w:val="bottom"/>
          </w:tcPr>
          <w:p w14:paraId="518B49C9" w14:textId="77777777" w:rsidR="005C332D" w:rsidRDefault="005C332D">
            <w:pPr>
              <w:rPr>
                <w:rFonts w:ascii="宋体"/>
              </w:rPr>
            </w:pPr>
          </w:p>
        </w:tc>
        <w:tc>
          <w:tcPr>
            <w:tcW w:w="1855" w:type="pct"/>
            <w:shd w:val="clear" w:color="auto" w:fill="auto"/>
            <w:vAlign w:val="bottom"/>
          </w:tcPr>
          <w:p w14:paraId="518B49CA" w14:textId="77777777" w:rsidR="005C332D" w:rsidRDefault="005C332D">
            <w:pPr>
              <w:rPr>
                <w:rFonts w:ascii="宋体"/>
              </w:rPr>
            </w:pPr>
          </w:p>
        </w:tc>
        <w:tc>
          <w:tcPr>
            <w:tcW w:w="5" w:type="pct"/>
            <w:shd w:val="clear" w:color="auto" w:fill="auto"/>
            <w:vAlign w:val="bottom"/>
          </w:tcPr>
          <w:p w14:paraId="518B49CB" w14:textId="77777777" w:rsidR="005C332D" w:rsidRDefault="005C332D">
            <w:pPr>
              <w:rPr>
                <w:rFonts w:ascii="宋体"/>
              </w:rPr>
            </w:pPr>
          </w:p>
        </w:tc>
        <w:tc>
          <w:tcPr>
            <w:tcW w:w="5" w:type="pct"/>
            <w:shd w:val="clear" w:color="auto" w:fill="auto"/>
            <w:vAlign w:val="bottom"/>
          </w:tcPr>
          <w:p w14:paraId="518B49CC" w14:textId="77777777" w:rsidR="005C332D" w:rsidRDefault="005C332D">
            <w:pPr>
              <w:rPr>
                <w:rFonts w:ascii="宋体"/>
              </w:rPr>
            </w:pPr>
          </w:p>
        </w:tc>
        <w:tc>
          <w:tcPr>
            <w:tcW w:w="26" w:type="pct"/>
            <w:shd w:val="clear" w:color="auto" w:fill="auto"/>
            <w:vAlign w:val="bottom"/>
          </w:tcPr>
          <w:p w14:paraId="518B49CD" w14:textId="77777777" w:rsidR="005C332D" w:rsidRDefault="005C332D">
            <w:pPr>
              <w:rPr>
                <w:rFonts w:ascii="宋体"/>
              </w:rPr>
            </w:pPr>
          </w:p>
        </w:tc>
        <w:tc>
          <w:tcPr>
            <w:tcW w:w="5" w:type="pct"/>
            <w:shd w:val="clear" w:color="auto" w:fill="auto"/>
            <w:vAlign w:val="bottom"/>
          </w:tcPr>
          <w:p w14:paraId="518B49CE" w14:textId="77777777" w:rsidR="005C332D" w:rsidRDefault="005C332D">
            <w:pPr>
              <w:rPr>
                <w:rFonts w:ascii="宋体"/>
              </w:rPr>
            </w:pPr>
          </w:p>
        </w:tc>
        <w:tc>
          <w:tcPr>
            <w:tcW w:w="50" w:type="pct"/>
            <w:shd w:val="clear" w:color="auto" w:fill="auto"/>
            <w:vAlign w:val="bottom"/>
          </w:tcPr>
          <w:p w14:paraId="518B49CF" w14:textId="77777777" w:rsidR="005C332D" w:rsidRDefault="005C332D">
            <w:pPr>
              <w:rPr>
                <w:rFonts w:ascii="宋体"/>
              </w:rPr>
            </w:pPr>
          </w:p>
        </w:tc>
        <w:tc>
          <w:tcPr>
            <w:tcW w:w="523" w:type="pct"/>
            <w:shd w:val="clear" w:color="auto" w:fill="auto"/>
            <w:vAlign w:val="bottom"/>
          </w:tcPr>
          <w:p w14:paraId="518B49D0" w14:textId="77777777" w:rsidR="005C332D" w:rsidRDefault="005C332D">
            <w:pPr>
              <w:rPr>
                <w:rFonts w:ascii="宋体"/>
              </w:rPr>
            </w:pPr>
          </w:p>
        </w:tc>
        <w:tc>
          <w:tcPr>
            <w:tcW w:w="5" w:type="pct"/>
            <w:shd w:val="clear" w:color="auto" w:fill="auto"/>
            <w:vAlign w:val="bottom"/>
          </w:tcPr>
          <w:p w14:paraId="518B49D1" w14:textId="77777777" w:rsidR="005C332D" w:rsidRDefault="005C332D">
            <w:pPr>
              <w:rPr>
                <w:rFonts w:ascii="宋体"/>
              </w:rPr>
            </w:pPr>
          </w:p>
        </w:tc>
        <w:tc>
          <w:tcPr>
            <w:tcW w:w="5" w:type="pct"/>
            <w:shd w:val="clear" w:color="auto" w:fill="auto"/>
            <w:vAlign w:val="bottom"/>
          </w:tcPr>
          <w:p w14:paraId="518B49D2" w14:textId="77777777" w:rsidR="005C332D" w:rsidRDefault="005C332D">
            <w:pPr>
              <w:rPr>
                <w:rFonts w:ascii="宋体"/>
              </w:rPr>
            </w:pPr>
          </w:p>
        </w:tc>
        <w:tc>
          <w:tcPr>
            <w:tcW w:w="26" w:type="pct"/>
            <w:shd w:val="clear" w:color="auto" w:fill="auto"/>
            <w:vAlign w:val="bottom"/>
          </w:tcPr>
          <w:p w14:paraId="518B49D3" w14:textId="77777777" w:rsidR="005C332D" w:rsidRDefault="005C332D">
            <w:pPr>
              <w:rPr>
                <w:rFonts w:ascii="宋体"/>
              </w:rPr>
            </w:pPr>
          </w:p>
        </w:tc>
        <w:tc>
          <w:tcPr>
            <w:tcW w:w="5" w:type="pct"/>
            <w:shd w:val="clear" w:color="auto" w:fill="auto"/>
            <w:vAlign w:val="bottom"/>
          </w:tcPr>
          <w:p w14:paraId="518B49D4" w14:textId="77777777" w:rsidR="005C332D" w:rsidRDefault="005C332D">
            <w:pPr>
              <w:rPr>
                <w:rFonts w:ascii="宋体"/>
              </w:rPr>
            </w:pPr>
          </w:p>
        </w:tc>
        <w:tc>
          <w:tcPr>
            <w:tcW w:w="50" w:type="pct"/>
            <w:shd w:val="clear" w:color="auto" w:fill="auto"/>
            <w:vAlign w:val="bottom"/>
          </w:tcPr>
          <w:p w14:paraId="518B49D5" w14:textId="77777777" w:rsidR="005C332D" w:rsidRDefault="005C332D">
            <w:pPr>
              <w:rPr>
                <w:rFonts w:ascii="宋体"/>
              </w:rPr>
            </w:pPr>
          </w:p>
        </w:tc>
        <w:tc>
          <w:tcPr>
            <w:tcW w:w="523" w:type="pct"/>
            <w:shd w:val="clear" w:color="auto" w:fill="auto"/>
            <w:vAlign w:val="bottom"/>
          </w:tcPr>
          <w:p w14:paraId="518B49D6" w14:textId="77777777" w:rsidR="005C332D" w:rsidRDefault="005C332D">
            <w:pPr>
              <w:rPr>
                <w:rFonts w:ascii="宋体"/>
              </w:rPr>
            </w:pPr>
          </w:p>
        </w:tc>
        <w:tc>
          <w:tcPr>
            <w:tcW w:w="5" w:type="pct"/>
            <w:shd w:val="clear" w:color="auto" w:fill="auto"/>
            <w:vAlign w:val="bottom"/>
          </w:tcPr>
          <w:p w14:paraId="518B49D7" w14:textId="77777777" w:rsidR="005C332D" w:rsidRDefault="005C332D">
            <w:pPr>
              <w:rPr>
                <w:rFonts w:ascii="宋体"/>
              </w:rPr>
            </w:pPr>
          </w:p>
        </w:tc>
        <w:tc>
          <w:tcPr>
            <w:tcW w:w="5" w:type="pct"/>
            <w:shd w:val="clear" w:color="auto" w:fill="auto"/>
            <w:vAlign w:val="bottom"/>
          </w:tcPr>
          <w:p w14:paraId="518B49D8" w14:textId="77777777" w:rsidR="005C332D" w:rsidRDefault="005C332D">
            <w:pPr>
              <w:rPr>
                <w:rFonts w:ascii="宋体"/>
              </w:rPr>
            </w:pPr>
          </w:p>
        </w:tc>
        <w:tc>
          <w:tcPr>
            <w:tcW w:w="26" w:type="pct"/>
            <w:shd w:val="clear" w:color="auto" w:fill="auto"/>
            <w:vAlign w:val="bottom"/>
          </w:tcPr>
          <w:p w14:paraId="518B49D9" w14:textId="77777777" w:rsidR="005C332D" w:rsidRDefault="005C332D">
            <w:pPr>
              <w:rPr>
                <w:rFonts w:ascii="宋体"/>
              </w:rPr>
            </w:pPr>
          </w:p>
        </w:tc>
        <w:tc>
          <w:tcPr>
            <w:tcW w:w="5" w:type="pct"/>
            <w:shd w:val="clear" w:color="auto" w:fill="auto"/>
            <w:vAlign w:val="bottom"/>
          </w:tcPr>
          <w:p w14:paraId="518B49DA" w14:textId="77777777" w:rsidR="005C332D" w:rsidRDefault="005C332D">
            <w:pPr>
              <w:rPr>
                <w:rFonts w:ascii="宋体"/>
              </w:rPr>
            </w:pPr>
          </w:p>
        </w:tc>
        <w:tc>
          <w:tcPr>
            <w:tcW w:w="50" w:type="pct"/>
            <w:shd w:val="clear" w:color="auto" w:fill="auto"/>
            <w:vAlign w:val="bottom"/>
          </w:tcPr>
          <w:p w14:paraId="518B49DB" w14:textId="77777777" w:rsidR="005C332D" w:rsidRDefault="005C332D">
            <w:pPr>
              <w:rPr>
                <w:rFonts w:ascii="宋体"/>
              </w:rPr>
            </w:pPr>
          </w:p>
        </w:tc>
        <w:tc>
          <w:tcPr>
            <w:tcW w:w="523" w:type="pct"/>
            <w:shd w:val="clear" w:color="auto" w:fill="auto"/>
            <w:vAlign w:val="bottom"/>
          </w:tcPr>
          <w:p w14:paraId="518B49DC" w14:textId="77777777" w:rsidR="005C332D" w:rsidRDefault="005C332D">
            <w:pPr>
              <w:rPr>
                <w:rFonts w:ascii="宋体"/>
              </w:rPr>
            </w:pPr>
          </w:p>
        </w:tc>
        <w:tc>
          <w:tcPr>
            <w:tcW w:w="5" w:type="pct"/>
            <w:shd w:val="clear" w:color="auto" w:fill="auto"/>
            <w:vAlign w:val="bottom"/>
          </w:tcPr>
          <w:p w14:paraId="518B49DD" w14:textId="77777777" w:rsidR="005C332D" w:rsidRDefault="005C332D">
            <w:pPr>
              <w:rPr>
                <w:rFonts w:ascii="宋体"/>
              </w:rPr>
            </w:pPr>
          </w:p>
        </w:tc>
        <w:tc>
          <w:tcPr>
            <w:tcW w:w="5" w:type="pct"/>
            <w:shd w:val="clear" w:color="auto" w:fill="auto"/>
            <w:vAlign w:val="bottom"/>
          </w:tcPr>
          <w:p w14:paraId="518B49DE" w14:textId="77777777" w:rsidR="005C332D" w:rsidRDefault="005C332D">
            <w:pPr>
              <w:rPr>
                <w:rFonts w:ascii="宋体"/>
              </w:rPr>
            </w:pPr>
          </w:p>
        </w:tc>
        <w:tc>
          <w:tcPr>
            <w:tcW w:w="26" w:type="pct"/>
            <w:shd w:val="clear" w:color="auto" w:fill="auto"/>
            <w:vAlign w:val="bottom"/>
          </w:tcPr>
          <w:p w14:paraId="518B49DF" w14:textId="77777777" w:rsidR="005C332D" w:rsidRDefault="005C332D">
            <w:pPr>
              <w:rPr>
                <w:rFonts w:ascii="宋体"/>
              </w:rPr>
            </w:pPr>
          </w:p>
        </w:tc>
        <w:tc>
          <w:tcPr>
            <w:tcW w:w="5" w:type="pct"/>
            <w:shd w:val="clear" w:color="auto" w:fill="auto"/>
            <w:vAlign w:val="bottom"/>
          </w:tcPr>
          <w:p w14:paraId="518B49E0" w14:textId="77777777" w:rsidR="005C332D" w:rsidRDefault="005C332D">
            <w:pPr>
              <w:rPr>
                <w:rFonts w:ascii="宋体"/>
              </w:rPr>
            </w:pPr>
          </w:p>
        </w:tc>
        <w:tc>
          <w:tcPr>
            <w:tcW w:w="50" w:type="pct"/>
            <w:shd w:val="clear" w:color="auto" w:fill="auto"/>
            <w:vAlign w:val="bottom"/>
          </w:tcPr>
          <w:p w14:paraId="518B49E1" w14:textId="77777777" w:rsidR="005C332D" w:rsidRDefault="005C332D">
            <w:pPr>
              <w:rPr>
                <w:rFonts w:ascii="宋体"/>
              </w:rPr>
            </w:pPr>
          </w:p>
        </w:tc>
        <w:tc>
          <w:tcPr>
            <w:tcW w:w="530" w:type="pct"/>
            <w:shd w:val="clear" w:color="auto" w:fill="auto"/>
            <w:vAlign w:val="bottom"/>
          </w:tcPr>
          <w:p w14:paraId="518B49E2" w14:textId="77777777" w:rsidR="005C332D" w:rsidRDefault="005C332D">
            <w:pPr>
              <w:rPr>
                <w:rFonts w:ascii="宋体"/>
              </w:rPr>
            </w:pPr>
          </w:p>
        </w:tc>
        <w:tc>
          <w:tcPr>
            <w:tcW w:w="5" w:type="pct"/>
            <w:shd w:val="clear" w:color="auto" w:fill="auto"/>
            <w:vAlign w:val="bottom"/>
          </w:tcPr>
          <w:p w14:paraId="518B49E3" w14:textId="77777777" w:rsidR="005C332D" w:rsidRDefault="005C332D">
            <w:pPr>
              <w:rPr>
                <w:rFonts w:ascii="宋体"/>
              </w:rPr>
            </w:pPr>
          </w:p>
        </w:tc>
        <w:tc>
          <w:tcPr>
            <w:tcW w:w="5" w:type="pct"/>
            <w:shd w:val="clear" w:color="auto" w:fill="auto"/>
            <w:vAlign w:val="bottom"/>
          </w:tcPr>
          <w:p w14:paraId="518B49E4" w14:textId="77777777" w:rsidR="005C332D" w:rsidRDefault="005C332D">
            <w:pPr>
              <w:rPr>
                <w:rFonts w:ascii="宋体"/>
              </w:rPr>
            </w:pPr>
          </w:p>
        </w:tc>
        <w:tc>
          <w:tcPr>
            <w:tcW w:w="26" w:type="pct"/>
            <w:shd w:val="clear" w:color="auto" w:fill="auto"/>
            <w:vAlign w:val="bottom"/>
          </w:tcPr>
          <w:p w14:paraId="518B49E5" w14:textId="77777777" w:rsidR="005C332D" w:rsidRDefault="005C332D">
            <w:pPr>
              <w:rPr>
                <w:rFonts w:ascii="宋体"/>
              </w:rPr>
            </w:pPr>
          </w:p>
        </w:tc>
        <w:tc>
          <w:tcPr>
            <w:tcW w:w="5" w:type="pct"/>
            <w:shd w:val="clear" w:color="auto" w:fill="auto"/>
            <w:vAlign w:val="bottom"/>
          </w:tcPr>
          <w:p w14:paraId="518B49E6" w14:textId="77777777" w:rsidR="005C332D" w:rsidRDefault="005C332D">
            <w:pPr>
              <w:rPr>
                <w:rFonts w:ascii="宋体"/>
              </w:rPr>
            </w:pPr>
          </w:p>
        </w:tc>
        <w:tc>
          <w:tcPr>
            <w:tcW w:w="50" w:type="pct"/>
            <w:shd w:val="clear" w:color="auto" w:fill="auto"/>
            <w:vAlign w:val="bottom"/>
          </w:tcPr>
          <w:p w14:paraId="518B49E7" w14:textId="77777777" w:rsidR="005C332D" w:rsidRDefault="005C332D">
            <w:pPr>
              <w:rPr>
                <w:rFonts w:ascii="宋体"/>
              </w:rPr>
            </w:pPr>
          </w:p>
        </w:tc>
        <w:tc>
          <w:tcPr>
            <w:tcW w:w="530" w:type="pct"/>
            <w:shd w:val="clear" w:color="auto" w:fill="auto"/>
            <w:vAlign w:val="bottom"/>
          </w:tcPr>
          <w:p w14:paraId="518B49E8" w14:textId="77777777" w:rsidR="005C332D" w:rsidRDefault="005C332D">
            <w:pPr>
              <w:rPr>
                <w:rFonts w:ascii="宋体"/>
              </w:rPr>
            </w:pPr>
          </w:p>
        </w:tc>
        <w:tc>
          <w:tcPr>
            <w:tcW w:w="5" w:type="pct"/>
            <w:shd w:val="clear" w:color="auto" w:fill="auto"/>
            <w:vAlign w:val="bottom"/>
          </w:tcPr>
          <w:p w14:paraId="518B49E9" w14:textId="77777777" w:rsidR="005C332D" w:rsidRDefault="005C332D">
            <w:pPr>
              <w:rPr>
                <w:rFonts w:ascii="宋体"/>
              </w:rPr>
            </w:pPr>
          </w:p>
        </w:tc>
      </w:tr>
      <w:tr w:rsidR="005C332D" w14:paraId="518B49F0" w14:textId="77777777">
        <w:tc>
          <w:tcPr>
            <w:tcW w:w="0" w:type="auto"/>
            <w:gridSpan w:val="3"/>
            <w:shd w:val="clear" w:color="auto" w:fill="auto"/>
            <w:tcMar>
              <w:top w:w="0" w:type="dxa"/>
              <w:left w:w="20" w:type="dxa"/>
              <w:bottom w:w="0" w:type="dxa"/>
              <w:right w:w="20" w:type="dxa"/>
            </w:tcMar>
            <w:vAlign w:val="bottom"/>
          </w:tcPr>
          <w:p w14:paraId="518B49E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9EC" w14:textId="77777777" w:rsidR="005C332D" w:rsidRDefault="005C332D">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518B49ED" w14:textId="77777777" w:rsidR="005C332D" w:rsidRDefault="00B93EAE">
            <w:pPr>
              <w:jc w:val="center"/>
              <w:textAlignment w:val="bottom"/>
            </w:pPr>
            <w:r>
              <w:rPr>
                <w:rFonts w:ascii="Times New Roman" w:eastAsia="宋体" w:hAnsi="Times New Roman"/>
                <w:color w:val="000000"/>
                <w:sz w:val="18"/>
                <w:szCs w:val="18"/>
              </w:rPr>
              <w:t>Years Ended</w:t>
            </w:r>
          </w:p>
        </w:tc>
        <w:tc>
          <w:tcPr>
            <w:tcW w:w="0" w:type="auto"/>
            <w:gridSpan w:val="3"/>
            <w:shd w:val="clear" w:color="auto" w:fill="auto"/>
            <w:tcMar>
              <w:top w:w="0" w:type="dxa"/>
              <w:left w:w="20" w:type="dxa"/>
              <w:bottom w:w="0" w:type="dxa"/>
              <w:right w:w="20" w:type="dxa"/>
            </w:tcMar>
            <w:vAlign w:val="bottom"/>
          </w:tcPr>
          <w:p w14:paraId="518B49EE" w14:textId="77777777" w:rsidR="005C332D" w:rsidRDefault="005C332D">
            <w:pPr>
              <w:rPr>
                <w:rFonts w:ascii="宋体"/>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518B49EF" w14:textId="77777777" w:rsidR="005C332D" w:rsidRDefault="00B93EAE">
            <w:pPr>
              <w:jc w:val="center"/>
              <w:textAlignment w:val="bottom"/>
            </w:pPr>
            <w:r>
              <w:rPr>
                <w:rFonts w:ascii="Times New Roman" w:eastAsia="宋体" w:hAnsi="Times New Roman"/>
                <w:color w:val="000000"/>
                <w:sz w:val="18"/>
                <w:szCs w:val="18"/>
              </w:rPr>
              <w:t>2022 vs. 2021</w:t>
            </w:r>
          </w:p>
        </w:tc>
      </w:tr>
      <w:tr w:rsidR="005C332D" w14:paraId="518B49FC" w14:textId="77777777">
        <w:tc>
          <w:tcPr>
            <w:tcW w:w="0" w:type="auto"/>
            <w:gridSpan w:val="3"/>
            <w:shd w:val="clear" w:color="auto" w:fill="auto"/>
            <w:tcMar>
              <w:top w:w="0" w:type="dxa"/>
              <w:left w:w="20" w:type="dxa"/>
              <w:bottom w:w="0" w:type="dxa"/>
              <w:right w:w="20" w:type="dxa"/>
            </w:tcMar>
            <w:vAlign w:val="bottom"/>
          </w:tcPr>
          <w:p w14:paraId="518B49F1"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9F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9F3"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9F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9F5"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9F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9F7"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auto"/>
            <w:tcMar>
              <w:top w:w="0" w:type="dxa"/>
              <w:left w:w="20" w:type="dxa"/>
              <w:bottom w:w="0" w:type="dxa"/>
              <w:right w:w="20" w:type="dxa"/>
            </w:tcMar>
            <w:vAlign w:val="bottom"/>
          </w:tcPr>
          <w:p w14:paraId="518B49F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9F9" w14:textId="77777777" w:rsidR="005C332D" w:rsidRDefault="00B93EAE">
            <w:pPr>
              <w:jc w:val="center"/>
              <w:textAlignment w:val="bottom"/>
            </w:pPr>
            <w:r>
              <w:rPr>
                <w:rFonts w:ascii="Times New Roman" w:eastAsia="宋体" w:hAnsi="Times New Roman"/>
                <w:color w:val="000000"/>
                <w:sz w:val="18"/>
                <w:szCs w:val="18"/>
              </w:rPr>
              <w:t>Variance 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9F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9FB" w14:textId="77777777" w:rsidR="005C332D" w:rsidRDefault="00B93EAE">
            <w:pPr>
              <w:jc w:val="center"/>
              <w:textAlignment w:val="bottom"/>
            </w:pPr>
            <w:r>
              <w:rPr>
                <w:rFonts w:ascii="Times New Roman" w:eastAsia="宋体" w:hAnsi="Times New Roman"/>
                <w:color w:val="000000"/>
                <w:sz w:val="18"/>
                <w:szCs w:val="18"/>
              </w:rPr>
              <w:t>Variance in Percent</w:t>
            </w:r>
          </w:p>
        </w:tc>
      </w:tr>
      <w:tr w:rsidR="005C332D" w14:paraId="518B4A08" w14:textId="77777777">
        <w:tc>
          <w:tcPr>
            <w:tcW w:w="0" w:type="auto"/>
            <w:gridSpan w:val="3"/>
            <w:shd w:val="clear" w:color="auto" w:fill="FFFFFF"/>
            <w:tcMar>
              <w:top w:w="40" w:type="dxa"/>
              <w:left w:w="20" w:type="dxa"/>
              <w:bottom w:w="40" w:type="dxa"/>
              <w:right w:w="20" w:type="dxa"/>
            </w:tcMar>
            <w:vAlign w:val="bottom"/>
          </w:tcPr>
          <w:p w14:paraId="518B49FD" w14:textId="77777777" w:rsidR="005C332D" w:rsidRDefault="00B93EAE">
            <w:pPr>
              <w:textAlignment w:val="bottom"/>
            </w:pPr>
            <w:r>
              <w:rPr>
                <w:rFonts w:ascii="Times New Roman" w:eastAsia="宋体" w:hAnsi="Times New Roman"/>
                <w:color w:val="000000"/>
                <w:sz w:val="20"/>
                <w:szCs w:val="20"/>
              </w:rPr>
              <w:t xml:space="preserve">Product </w:t>
            </w:r>
            <w:r>
              <w:rPr>
                <w:rFonts w:ascii="Times New Roman" w:eastAsia="宋体" w:hAnsi="Times New Roman"/>
                <w:color w:val="000000"/>
                <w:sz w:val="20"/>
                <w:szCs w:val="20"/>
              </w:rPr>
              <w:t>revenue:</w:t>
            </w:r>
          </w:p>
        </w:tc>
        <w:tc>
          <w:tcPr>
            <w:tcW w:w="0" w:type="auto"/>
            <w:gridSpan w:val="3"/>
            <w:shd w:val="clear" w:color="auto" w:fill="FFFFFF"/>
            <w:tcMar>
              <w:top w:w="0" w:type="dxa"/>
              <w:left w:w="20" w:type="dxa"/>
              <w:bottom w:w="0" w:type="dxa"/>
              <w:right w:w="20" w:type="dxa"/>
            </w:tcMar>
            <w:vAlign w:val="bottom"/>
          </w:tcPr>
          <w:p w14:paraId="518B49FE"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9FF"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A00"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A01"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A02"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A03"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A04"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A05"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A06"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A07" w14:textId="77777777" w:rsidR="005C332D" w:rsidRDefault="00B93EAE">
            <w:pPr>
              <w:textAlignment w:val="bottom"/>
            </w:pPr>
            <w:r>
              <w:rPr>
                <w:rFonts w:ascii="Times New Roman" w:eastAsia="宋体" w:hAnsi="Times New Roman"/>
                <w:color w:val="000000"/>
                <w:sz w:val="22"/>
                <w:szCs w:val="22"/>
              </w:rPr>
              <w:t> </w:t>
            </w:r>
          </w:p>
        </w:tc>
      </w:tr>
      <w:tr w:rsidR="005C332D" w14:paraId="518B4A1D" w14:textId="77777777">
        <w:tc>
          <w:tcPr>
            <w:tcW w:w="0" w:type="auto"/>
            <w:gridSpan w:val="3"/>
            <w:shd w:val="clear" w:color="auto" w:fill="CCEEFF"/>
            <w:tcMar>
              <w:top w:w="40" w:type="dxa"/>
              <w:left w:w="155" w:type="dxa"/>
              <w:bottom w:w="40" w:type="dxa"/>
              <w:right w:w="20" w:type="dxa"/>
            </w:tcMar>
            <w:vAlign w:val="bottom"/>
          </w:tcPr>
          <w:p w14:paraId="518B4A09" w14:textId="77777777" w:rsidR="005C332D" w:rsidRDefault="00B93EAE">
            <w:pPr>
              <w:textAlignment w:val="bottom"/>
            </w:pPr>
            <w:r>
              <w:rPr>
                <w:rFonts w:ascii="Times New Roman" w:eastAsia="宋体" w:hAnsi="Times New Roman"/>
                <w:color w:val="000000"/>
                <w:sz w:val="20"/>
                <w:szCs w:val="20"/>
              </w:rPr>
              <w:t>Americas</w:t>
            </w:r>
          </w:p>
        </w:tc>
        <w:tc>
          <w:tcPr>
            <w:tcW w:w="0" w:type="auto"/>
            <w:gridSpan w:val="3"/>
            <w:shd w:val="clear" w:color="auto" w:fill="CCEEFF"/>
            <w:tcMar>
              <w:top w:w="0" w:type="dxa"/>
              <w:left w:w="20" w:type="dxa"/>
              <w:bottom w:w="0" w:type="dxa"/>
              <w:right w:w="20" w:type="dxa"/>
            </w:tcMar>
            <w:vAlign w:val="bottom"/>
          </w:tcPr>
          <w:p w14:paraId="518B4A0A"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A0B"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A0C" w14:textId="77777777" w:rsidR="005C332D" w:rsidRDefault="00B93EAE">
            <w:pPr>
              <w:jc w:val="right"/>
              <w:textAlignment w:val="bottom"/>
            </w:pPr>
            <w:r>
              <w:rPr>
                <w:rFonts w:ascii="Times New Roman" w:eastAsia="宋体" w:hAnsi="Times New Roman"/>
                <w:b/>
                <w:bCs/>
                <w:color w:val="000000"/>
                <w:sz w:val="20"/>
                <w:szCs w:val="20"/>
              </w:rPr>
              <w:t>21,620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A0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0E"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A0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A10" w14:textId="77777777" w:rsidR="005C332D" w:rsidRDefault="00B93EAE">
            <w:pPr>
              <w:jc w:val="right"/>
              <w:textAlignment w:val="bottom"/>
            </w:pPr>
            <w:r>
              <w:rPr>
                <w:rFonts w:ascii="Times New Roman" w:eastAsia="宋体" w:hAnsi="Times New Roman"/>
                <w:color w:val="000000"/>
                <w:sz w:val="20"/>
                <w:szCs w:val="20"/>
              </w:rPr>
              <w:t>20,688 </w:t>
            </w:r>
          </w:p>
        </w:tc>
        <w:tc>
          <w:tcPr>
            <w:tcW w:w="0" w:type="auto"/>
            <w:shd w:val="clear" w:color="auto" w:fill="CCEEFF"/>
            <w:tcMar>
              <w:top w:w="40" w:type="dxa"/>
              <w:left w:w="0" w:type="dxa"/>
              <w:bottom w:w="40" w:type="dxa"/>
              <w:right w:w="20" w:type="dxa"/>
            </w:tcMar>
            <w:vAlign w:val="bottom"/>
          </w:tcPr>
          <w:p w14:paraId="518B4A1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12"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A13"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A14" w14:textId="77777777" w:rsidR="005C332D" w:rsidRDefault="00B93EAE">
            <w:pPr>
              <w:jc w:val="right"/>
              <w:textAlignment w:val="bottom"/>
            </w:pPr>
            <w:r>
              <w:rPr>
                <w:rFonts w:ascii="Times New Roman" w:eastAsia="宋体" w:hAnsi="Times New Roman"/>
                <w:color w:val="000000"/>
                <w:sz w:val="20"/>
                <w:szCs w:val="20"/>
              </w:rPr>
              <w:t>21,006 </w:t>
            </w:r>
          </w:p>
        </w:tc>
        <w:tc>
          <w:tcPr>
            <w:tcW w:w="0" w:type="auto"/>
            <w:shd w:val="clear" w:color="auto" w:fill="CCEEFF"/>
            <w:tcMar>
              <w:top w:w="40" w:type="dxa"/>
              <w:left w:w="0" w:type="dxa"/>
              <w:bottom w:w="40" w:type="dxa"/>
              <w:right w:w="20" w:type="dxa"/>
            </w:tcMar>
            <w:vAlign w:val="bottom"/>
          </w:tcPr>
          <w:p w14:paraId="518B4A1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1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A1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A18" w14:textId="77777777" w:rsidR="005C332D" w:rsidRDefault="00B93EAE">
            <w:pPr>
              <w:jc w:val="right"/>
              <w:textAlignment w:val="bottom"/>
            </w:pPr>
            <w:r>
              <w:rPr>
                <w:rFonts w:ascii="Times New Roman" w:eastAsia="宋体" w:hAnsi="Times New Roman"/>
                <w:color w:val="000000"/>
                <w:sz w:val="20"/>
                <w:szCs w:val="20"/>
              </w:rPr>
              <w:t>932 </w:t>
            </w:r>
          </w:p>
        </w:tc>
        <w:tc>
          <w:tcPr>
            <w:tcW w:w="0" w:type="auto"/>
            <w:shd w:val="clear" w:color="auto" w:fill="CCEEFF"/>
            <w:tcMar>
              <w:top w:w="40" w:type="dxa"/>
              <w:left w:w="0" w:type="dxa"/>
              <w:bottom w:w="40" w:type="dxa"/>
              <w:right w:w="20" w:type="dxa"/>
            </w:tcMar>
            <w:vAlign w:val="bottom"/>
          </w:tcPr>
          <w:p w14:paraId="518B4A1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1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1B" w14:textId="77777777" w:rsidR="005C332D" w:rsidRDefault="00B93EAE">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518B4A1C"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A2C" w14:textId="77777777">
        <w:tc>
          <w:tcPr>
            <w:tcW w:w="0" w:type="auto"/>
            <w:gridSpan w:val="3"/>
            <w:shd w:val="clear" w:color="auto" w:fill="FFFFFF"/>
            <w:tcMar>
              <w:top w:w="40" w:type="dxa"/>
              <w:left w:w="155" w:type="dxa"/>
              <w:bottom w:w="40" w:type="dxa"/>
              <w:right w:w="20" w:type="dxa"/>
            </w:tcMar>
            <w:vAlign w:val="bottom"/>
          </w:tcPr>
          <w:p w14:paraId="518B4A1E" w14:textId="77777777" w:rsidR="005C332D" w:rsidRDefault="00B93EAE">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FFFFFF"/>
            <w:tcMar>
              <w:top w:w="0" w:type="dxa"/>
              <w:left w:w="20" w:type="dxa"/>
              <w:bottom w:w="0" w:type="dxa"/>
              <w:right w:w="20" w:type="dxa"/>
            </w:tcMar>
            <w:vAlign w:val="bottom"/>
          </w:tcPr>
          <w:p w14:paraId="518B4A1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A20" w14:textId="77777777" w:rsidR="005C332D" w:rsidRDefault="00B93EAE">
            <w:pPr>
              <w:jc w:val="right"/>
              <w:textAlignment w:val="bottom"/>
            </w:pPr>
            <w:r>
              <w:rPr>
                <w:rFonts w:ascii="Times New Roman" w:eastAsia="宋体" w:hAnsi="Times New Roman"/>
                <w:b/>
                <w:bCs/>
                <w:i/>
                <w:iCs/>
                <w:color w:val="000000"/>
                <w:sz w:val="20"/>
                <w:szCs w:val="20"/>
              </w:rPr>
              <w:t>56.9</w:t>
            </w:r>
            <w:r>
              <w:rPr>
                <w:rFonts w:ascii="Times New Roman" w:eastAsia="宋体" w:hAnsi="Times New Roman"/>
                <w:i/>
                <w:iCs/>
                <w:color w:val="000000"/>
                <w:sz w:val="20"/>
                <w:szCs w:val="20"/>
              </w:rPr>
              <w:t> </w:t>
            </w:r>
          </w:p>
        </w:tc>
        <w:tc>
          <w:tcPr>
            <w:tcW w:w="0" w:type="auto"/>
            <w:shd w:val="clear" w:color="auto" w:fill="FFFFFF"/>
            <w:tcMar>
              <w:top w:w="40" w:type="dxa"/>
              <w:left w:w="0" w:type="dxa"/>
              <w:bottom w:w="40" w:type="dxa"/>
              <w:right w:w="20" w:type="dxa"/>
            </w:tcMar>
            <w:vAlign w:val="bottom"/>
          </w:tcPr>
          <w:p w14:paraId="518B4A21" w14:textId="77777777" w:rsidR="005C332D" w:rsidRDefault="00B93EAE">
            <w:pPr>
              <w:jc w:val="right"/>
              <w:textAlignment w:val="bottom"/>
            </w:pPr>
            <w:r>
              <w:rPr>
                <w:rFonts w:ascii="Times New Roman" w:eastAsia="宋体" w:hAnsi="Times New Roman"/>
                <w:b/>
                <w:bCs/>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A2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A23" w14:textId="77777777" w:rsidR="005C332D" w:rsidRDefault="00B93EAE">
            <w:pPr>
              <w:jc w:val="right"/>
              <w:textAlignment w:val="bottom"/>
            </w:pPr>
            <w:r>
              <w:rPr>
                <w:rFonts w:ascii="Times New Roman" w:eastAsia="宋体" w:hAnsi="Times New Roman"/>
                <w:i/>
                <w:iCs/>
                <w:color w:val="000000"/>
                <w:sz w:val="20"/>
                <w:szCs w:val="20"/>
              </w:rPr>
              <w:t>57.5 </w:t>
            </w:r>
          </w:p>
        </w:tc>
        <w:tc>
          <w:tcPr>
            <w:tcW w:w="0" w:type="auto"/>
            <w:shd w:val="clear" w:color="auto" w:fill="FFFFFF"/>
            <w:tcMar>
              <w:top w:w="40" w:type="dxa"/>
              <w:left w:w="0" w:type="dxa"/>
              <w:bottom w:w="40" w:type="dxa"/>
              <w:right w:w="20" w:type="dxa"/>
            </w:tcMar>
            <w:vAlign w:val="bottom"/>
          </w:tcPr>
          <w:p w14:paraId="518B4A24"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A2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A26" w14:textId="77777777" w:rsidR="005C332D" w:rsidRDefault="00B93EAE">
            <w:pPr>
              <w:jc w:val="right"/>
              <w:textAlignment w:val="bottom"/>
            </w:pPr>
            <w:r>
              <w:rPr>
                <w:rFonts w:ascii="Times New Roman" w:eastAsia="宋体" w:hAnsi="Times New Roman"/>
                <w:i/>
                <w:iCs/>
                <w:color w:val="000000"/>
                <w:sz w:val="20"/>
                <w:szCs w:val="20"/>
              </w:rPr>
              <w:t>58.4 </w:t>
            </w:r>
          </w:p>
        </w:tc>
        <w:tc>
          <w:tcPr>
            <w:tcW w:w="0" w:type="auto"/>
            <w:shd w:val="clear" w:color="auto" w:fill="FFFFFF"/>
            <w:tcMar>
              <w:top w:w="40" w:type="dxa"/>
              <w:left w:w="0" w:type="dxa"/>
              <w:bottom w:w="40" w:type="dxa"/>
              <w:right w:w="20" w:type="dxa"/>
            </w:tcMar>
            <w:vAlign w:val="bottom"/>
          </w:tcPr>
          <w:p w14:paraId="518B4A27"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A28"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A29"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A2A"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A2B" w14:textId="77777777" w:rsidR="005C332D" w:rsidRDefault="00B93EAE">
            <w:pPr>
              <w:textAlignment w:val="bottom"/>
            </w:pPr>
            <w:r>
              <w:rPr>
                <w:rFonts w:ascii="Times New Roman" w:eastAsia="宋体" w:hAnsi="Times New Roman"/>
                <w:color w:val="000000"/>
                <w:sz w:val="22"/>
                <w:szCs w:val="22"/>
              </w:rPr>
              <w:t> </w:t>
            </w:r>
          </w:p>
        </w:tc>
      </w:tr>
      <w:tr w:rsidR="005C332D" w14:paraId="518B4A3D" w14:textId="77777777">
        <w:tc>
          <w:tcPr>
            <w:tcW w:w="0" w:type="auto"/>
            <w:gridSpan w:val="3"/>
            <w:shd w:val="clear" w:color="auto" w:fill="CCEEFF"/>
            <w:tcMar>
              <w:top w:w="40" w:type="dxa"/>
              <w:left w:w="155" w:type="dxa"/>
              <w:bottom w:w="40" w:type="dxa"/>
              <w:right w:w="20" w:type="dxa"/>
            </w:tcMar>
            <w:vAlign w:val="bottom"/>
          </w:tcPr>
          <w:p w14:paraId="518B4A2D" w14:textId="77777777" w:rsidR="005C332D" w:rsidRDefault="00B93EAE">
            <w:pPr>
              <w:textAlignment w:val="bottom"/>
            </w:pPr>
            <w:r>
              <w:rPr>
                <w:rFonts w:ascii="Times New Roman" w:eastAsia="宋体" w:hAnsi="Times New Roman"/>
                <w:color w:val="000000"/>
                <w:sz w:val="20"/>
                <w:szCs w:val="20"/>
              </w:rPr>
              <w:t>EMEA</w:t>
            </w:r>
          </w:p>
        </w:tc>
        <w:tc>
          <w:tcPr>
            <w:tcW w:w="0" w:type="auto"/>
            <w:gridSpan w:val="3"/>
            <w:shd w:val="clear" w:color="auto" w:fill="CCEEFF"/>
            <w:tcMar>
              <w:top w:w="0" w:type="dxa"/>
              <w:left w:w="20" w:type="dxa"/>
              <w:bottom w:w="0" w:type="dxa"/>
              <w:right w:w="20" w:type="dxa"/>
            </w:tcMar>
            <w:vAlign w:val="bottom"/>
          </w:tcPr>
          <w:p w14:paraId="518B4A2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2F" w14:textId="77777777" w:rsidR="005C332D" w:rsidRDefault="00B93EAE">
            <w:pPr>
              <w:jc w:val="right"/>
              <w:textAlignment w:val="bottom"/>
            </w:pPr>
            <w:r>
              <w:rPr>
                <w:rFonts w:ascii="Times New Roman" w:eastAsia="宋体" w:hAnsi="Times New Roman"/>
                <w:b/>
                <w:bCs/>
                <w:color w:val="000000"/>
                <w:sz w:val="20"/>
                <w:szCs w:val="20"/>
              </w:rPr>
              <w:t>10,545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A3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3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32" w14:textId="77777777" w:rsidR="005C332D" w:rsidRDefault="00B93EAE">
            <w:pPr>
              <w:jc w:val="right"/>
              <w:textAlignment w:val="bottom"/>
            </w:pPr>
            <w:r>
              <w:rPr>
                <w:rFonts w:ascii="Times New Roman" w:eastAsia="宋体" w:hAnsi="Times New Roman"/>
                <w:color w:val="000000"/>
                <w:sz w:val="20"/>
                <w:szCs w:val="20"/>
              </w:rPr>
              <w:t>9,805 </w:t>
            </w:r>
          </w:p>
        </w:tc>
        <w:tc>
          <w:tcPr>
            <w:tcW w:w="0" w:type="auto"/>
            <w:shd w:val="clear" w:color="auto" w:fill="CCEEFF"/>
            <w:tcMar>
              <w:top w:w="40" w:type="dxa"/>
              <w:left w:w="0" w:type="dxa"/>
              <w:bottom w:w="40" w:type="dxa"/>
              <w:right w:w="20" w:type="dxa"/>
            </w:tcMar>
            <w:vAlign w:val="bottom"/>
          </w:tcPr>
          <w:p w14:paraId="518B4A3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3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35" w14:textId="77777777" w:rsidR="005C332D" w:rsidRDefault="00B93EAE">
            <w:pPr>
              <w:jc w:val="right"/>
              <w:textAlignment w:val="bottom"/>
            </w:pPr>
            <w:r>
              <w:rPr>
                <w:rFonts w:ascii="Times New Roman" w:eastAsia="宋体" w:hAnsi="Times New Roman"/>
                <w:color w:val="000000"/>
                <w:sz w:val="20"/>
                <w:szCs w:val="20"/>
              </w:rPr>
              <w:t>9,647 </w:t>
            </w:r>
          </w:p>
        </w:tc>
        <w:tc>
          <w:tcPr>
            <w:tcW w:w="0" w:type="auto"/>
            <w:shd w:val="clear" w:color="auto" w:fill="CCEEFF"/>
            <w:tcMar>
              <w:top w:w="40" w:type="dxa"/>
              <w:left w:w="0" w:type="dxa"/>
              <w:bottom w:w="40" w:type="dxa"/>
              <w:right w:w="20" w:type="dxa"/>
            </w:tcMar>
            <w:vAlign w:val="bottom"/>
          </w:tcPr>
          <w:p w14:paraId="518B4A3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3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38" w14:textId="77777777" w:rsidR="005C332D" w:rsidRDefault="00B93EAE">
            <w:pPr>
              <w:jc w:val="right"/>
              <w:textAlignment w:val="bottom"/>
            </w:pPr>
            <w:r>
              <w:rPr>
                <w:rFonts w:ascii="Times New Roman" w:eastAsia="宋体" w:hAnsi="Times New Roman"/>
                <w:color w:val="000000"/>
                <w:sz w:val="20"/>
                <w:szCs w:val="20"/>
              </w:rPr>
              <w:t>740 </w:t>
            </w:r>
          </w:p>
        </w:tc>
        <w:tc>
          <w:tcPr>
            <w:tcW w:w="0" w:type="auto"/>
            <w:shd w:val="clear" w:color="auto" w:fill="CCEEFF"/>
            <w:tcMar>
              <w:top w:w="40" w:type="dxa"/>
              <w:left w:w="0" w:type="dxa"/>
              <w:bottom w:w="40" w:type="dxa"/>
              <w:right w:w="20" w:type="dxa"/>
            </w:tcMar>
            <w:vAlign w:val="bottom"/>
          </w:tcPr>
          <w:p w14:paraId="518B4A3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3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3B" w14:textId="77777777" w:rsidR="005C332D" w:rsidRDefault="00B93EAE">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518B4A3C"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A4C" w14:textId="77777777">
        <w:tc>
          <w:tcPr>
            <w:tcW w:w="0" w:type="auto"/>
            <w:gridSpan w:val="3"/>
            <w:shd w:val="clear" w:color="auto" w:fill="FFFFFF"/>
            <w:tcMar>
              <w:top w:w="40" w:type="dxa"/>
              <w:left w:w="155" w:type="dxa"/>
              <w:bottom w:w="40" w:type="dxa"/>
              <w:right w:w="20" w:type="dxa"/>
            </w:tcMar>
            <w:vAlign w:val="bottom"/>
          </w:tcPr>
          <w:p w14:paraId="518B4A3E" w14:textId="77777777" w:rsidR="005C332D" w:rsidRDefault="00B93EAE">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FFFFFF"/>
            <w:tcMar>
              <w:top w:w="0" w:type="dxa"/>
              <w:left w:w="20" w:type="dxa"/>
              <w:bottom w:w="0" w:type="dxa"/>
              <w:right w:w="20" w:type="dxa"/>
            </w:tcMar>
            <w:vAlign w:val="bottom"/>
          </w:tcPr>
          <w:p w14:paraId="518B4A3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A40" w14:textId="77777777" w:rsidR="005C332D" w:rsidRDefault="00B93EAE">
            <w:pPr>
              <w:jc w:val="right"/>
              <w:textAlignment w:val="bottom"/>
            </w:pPr>
            <w:r>
              <w:rPr>
                <w:rFonts w:ascii="Times New Roman" w:eastAsia="宋体" w:hAnsi="Times New Roman"/>
                <w:b/>
                <w:bCs/>
                <w:i/>
                <w:iCs/>
                <w:color w:val="000000"/>
                <w:sz w:val="20"/>
                <w:szCs w:val="20"/>
              </w:rPr>
              <w:t>27.7</w:t>
            </w:r>
            <w:r>
              <w:rPr>
                <w:rFonts w:ascii="Times New Roman" w:eastAsia="宋体" w:hAnsi="Times New Roman"/>
                <w:i/>
                <w:iCs/>
                <w:color w:val="000000"/>
                <w:sz w:val="20"/>
                <w:szCs w:val="20"/>
              </w:rPr>
              <w:t> </w:t>
            </w:r>
          </w:p>
        </w:tc>
        <w:tc>
          <w:tcPr>
            <w:tcW w:w="0" w:type="auto"/>
            <w:shd w:val="clear" w:color="auto" w:fill="FFFFFF"/>
            <w:tcMar>
              <w:top w:w="40" w:type="dxa"/>
              <w:left w:w="0" w:type="dxa"/>
              <w:bottom w:w="40" w:type="dxa"/>
              <w:right w:w="20" w:type="dxa"/>
            </w:tcMar>
            <w:vAlign w:val="bottom"/>
          </w:tcPr>
          <w:p w14:paraId="518B4A41" w14:textId="77777777" w:rsidR="005C332D" w:rsidRDefault="00B93EAE">
            <w:pPr>
              <w:jc w:val="right"/>
              <w:textAlignment w:val="bottom"/>
            </w:pPr>
            <w:r>
              <w:rPr>
                <w:rFonts w:ascii="Times New Roman" w:eastAsia="宋体" w:hAnsi="Times New Roman"/>
                <w:b/>
                <w:bCs/>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A4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A43" w14:textId="77777777" w:rsidR="005C332D" w:rsidRDefault="00B93EAE">
            <w:pPr>
              <w:jc w:val="right"/>
              <w:textAlignment w:val="bottom"/>
            </w:pPr>
            <w:r>
              <w:rPr>
                <w:rFonts w:ascii="Times New Roman" w:eastAsia="宋体" w:hAnsi="Times New Roman"/>
                <w:i/>
                <w:iCs/>
                <w:color w:val="000000"/>
                <w:sz w:val="20"/>
                <w:szCs w:val="20"/>
              </w:rPr>
              <w:t>27.2 </w:t>
            </w:r>
          </w:p>
        </w:tc>
        <w:tc>
          <w:tcPr>
            <w:tcW w:w="0" w:type="auto"/>
            <w:shd w:val="clear" w:color="auto" w:fill="FFFFFF"/>
            <w:tcMar>
              <w:top w:w="40" w:type="dxa"/>
              <w:left w:w="0" w:type="dxa"/>
              <w:bottom w:w="40" w:type="dxa"/>
              <w:right w:w="20" w:type="dxa"/>
            </w:tcMar>
            <w:vAlign w:val="bottom"/>
          </w:tcPr>
          <w:p w14:paraId="518B4A44"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A4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A46" w14:textId="77777777" w:rsidR="005C332D" w:rsidRDefault="00B93EAE">
            <w:pPr>
              <w:jc w:val="right"/>
              <w:textAlignment w:val="bottom"/>
            </w:pPr>
            <w:r>
              <w:rPr>
                <w:rFonts w:ascii="Times New Roman" w:eastAsia="宋体" w:hAnsi="Times New Roman"/>
                <w:i/>
                <w:iCs/>
                <w:color w:val="000000"/>
                <w:sz w:val="20"/>
                <w:szCs w:val="20"/>
              </w:rPr>
              <w:t>26.8 </w:t>
            </w:r>
          </w:p>
        </w:tc>
        <w:tc>
          <w:tcPr>
            <w:tcW w:w="0" w:type="auto"/>
            <w:shd w:val="clear" w:color="auto" w:fill="FFFFFF"/>
            <w:tcMar>
              <w:top w:w="40" w:type="dxa"/>
              <w:left w:w="0" w:type="dxa"/>
              <w:bottom w:w="40" w:type="dxa"/>
              <w:right w:w="20" w:type="dxa"/>
            </w:tcMar>
            <w:vAlign w:val="bottom"/>
          </w:tcPr>
          <w:p w14:paraId="518B4A47"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A48"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A49"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A4A"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A4B" w14:textId="77777777" w:rsidR="005C332D" w:rsidRDefault="00B93EAE">
            <w:pPr>
              <w:textAlignment w:val="bottom"/>
            </w:pPr>
            <w:r>
              <w:rPr>
                <w:rFonts w:ascii="Times New Roman" w:eastAsia="宋体" w:hAnsi="Times New Roman"/>
                <w:color w:val="000000"/>
                <w:sz w:val="22"/>
                <w:szCs w:val="22"/>
              </w:rPr>
              <w:t> </w:t>
            </w:r>
          </w:p>
        </w:tc>
      </w:tr>
      <w:tr w:rsidR="005C332D" w14:paraId="518B4A5D" w14:textId="77777777">
        <w:tc>
          <w:tcPr>
            <w:tcW w:w="0" w:type="auto"/>
            <w:gridSpan w:val="3"/>
            <w:shd w:val="clear" w:color="auto" w:fill="CCEEFF"/>
            <w:tcMar>
              <w:top w:w="40" w:type="dxa"/>
              <w:left w:w="155" w:type="dxa"/>
              <w:bottom w:w="40" w:type="dxa"/>
              <w:right w:w="20" w:type="dxa"/>
            </w:tcMar>
            <w:vAlign w:val="bottom"/>
          </w:tcPr>
          <w:p w14:paraId="518B4A4D" w14:textId="77777777" w:rsidR="005C332D" w:rsidRDefault="00B93EAE">
            <w:pPr>
              <w:textAlignment w:val="bottom"/>
            </w:pPr>
            <w:r>
              <w:rPr>
                <w:rFonts w:ascii="Times New Roman" w:eastAsia="宋体" w:hAnsi="Times New Roman"/>
                <w:color w:val="000000"/>
                <w:sz w:val="20"/>
                <w:szCs w:val="20"/>
              </w:rPr>
              <w:t>APJC</w:t>
            </w:r>
          </w:p>
        </w:tc>
        <w:tc>
          <w:tcPr>
            <w:tcW w:w="0" w:type="auto"/>
            <w:gridSpan w:val="3"/>
            <w:shd w:val="clear" w:color="auto" w:fill="CCEEFF"/>
            <w:tcMar>
              <w:top w:w="0" w:type="dxa"/>
              <w:left w:w="20" w:type="dxa"/>
              <w:bottom w:w="0" w:type="dxa"/>
              <w:right w:w="20" w:type="dxa"/>
            </w:tcMar>
            <w:vAlign w:val="bottom"/>
          </w:tcPr>
          <w:p w14:paraId="518B4A4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4F" w14:textId="77777777" w:rsidR="005C332D" w:rsidRDefault="00B93EAE">
            <w:pPr>
              <w:jc w:val="right"/>
              <w:textAlignment w:val="bottom"/>
            </w:pPr>
            <w:r>
              <w:rPr>
                <w:rFonts w:ascii="Times New Roman" w:eastAsia="宋体" w:hAnsi="Times New Roman"/>
                <w:b/>
                <w:bCs/>
                <w:color w:val="000000"/>
                <w:sz w:val="20"/>
                <w:szCs w:val="20"/>
              </w:rPr>
              <w:t>5,854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A5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5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52" w14:textId="77777777" w:rsidR="005C332D" w:rsidRDefault="00B93EAE">
            <w:pPr>
              <w:jc w:val="right"/>
              <w:textAlignment w:val="bottom"/>
            </w:pPr>
            <w:r>
              <w:rPr>
                <w:rFonts w:ascii="Times New Roman" w:eastAsia="宋体" w:hAnsi="Times New Roman"/>
                <w:color w:val="000000"/>
                <w:sz w:val="20"/>
                <w:szCs w:val="20"/>
              </w:rPr>
              <w:t>5,521 </w:t>
            </w:r>
          </w:p>
        </w:tc>
        <w:tc>
          <w:tcPr>
            <w:tcW w:w="0" w:type="auto"/>
            <w:shd w:val="clear" w:color="auto" w:fill="CCEEFF"/>
            <w:tcMar>
              <w:top w:w="40" w:type="dxa"/>
              <w:left w:w="0" w:type="dxa"/>
              <w:bottom w:w="40" w:type="dxa"/>
              <w:right w:w="20" w:type="dxa"/>
            </w:tcMar>
            <w:vAlign w:val="bottom"/>
          </w:tcPr>
          <w:p w14:paraId="518B4A5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5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55" w14:textId="77777777" w:rsidR="005C332D" w:rsidRDefault="00B93EAE">
            <w:pPr>
              <w:jc w:val="right"/>
              <w:textAlignment w:val="bottom"/>
            </w:pPr>
            <w:r>
              <w:rPr>
                <w:rFonts w:ascii="Times New Roman" w:eastAsia="宋体" w:hAnsi="Times New Roman"/>
                <w:color w:val="000000"/>
                <w:sz w:val="20"/>
                <w:szCs w:val="20"/>
              </w:rPr>
              <w:t>5,326 </w:t>
            </w:r>
          </w:p>
        </w:tc>
        <w:tc>
          <w:tcPr>
            <w:tcW w:w="0" w:type="auto"/>
            <w:shd w:val="clear" w:color="auto" w:fill="CCEEFF"/>
            <w:tcMar>
              <w:top w:w="40" w:type="dxa"/>
              <w:left w:w="0" w:type="dxa"/>
              <w:bottom w:w="40" w:type="dxa"/>
              <w:right w:w="20" w:type="dxa"/>
            </w:tcMar>
            <w:vAlign w:val="bottom"/>
          </w:tcPr>
          <w:p w14:paraId="518B4A5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5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58" w14:textId="77777777" w:rsidR="005C332D" w:rsidRDefault="00B93EAE">
            <w:pPr>
              <w:jc w:val="right"/>
              <w:textAlignment w:val="bottom"/>
            </w:pPr>
            <w:r>
              <w:rPr>
                <w:rFonts w:ascii="Times New Roman" w:eastAsia="宋体" w:hAnsi="Times New Roman"/>
                <w:color w:val="000000"/>
                <w:sz w:val="20"/>
                <w:szCs w:val="20"/>
              </w:rPr>
              <w:t>333 </w:t>
            </w:r>
          </w:p>
        </w:tc>
        <w:tc>
          <w:tcPr>
            <w:tcW w:w="0" w:type="auto"/>
            <w:shd w:val="clear" w:color="auto" w:fill="CCEEFF"/>
            <w:tcMar>
              <w:top w:w="40" w:type="dxa"/>
              <w:left w:w="0" w:type="dxa"/>
              <w:bottom w:w="40" w:type="dxa"/>
              <w:right w:w="20" w:type="dxa"/>
            </w:tcMar>
            <w:vAlign w:val="bottom"/>
          </w:tcPr>
          <w:p w14:paraId="518B4A5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5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5B"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518B4A5C"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A6C" w14:textId="77777777">
        <w:tc>
          <w:tcPr>
            <w:tcW w:w="0" w:type="auto"/>
            <w:gridSpan w:val="3"/>
            <w:shd w:val="clear" w:color="auto" w:fill="FFFFFF"/>
            <w:tcMar>
              <w:top w:w="40" w:type="dxa"/>
              <w:left w:w="155" w:type="dxa"/>
              <w:bottom w:w="40" w:type="dxa"/>
              <w:right w:w="20" w:type="dxa"/>
            </w:tcMar>
            <w:vAlign w:val="bottom"/>
          </w:tcPr>
          <w:p w14:paraId="518B4A5E" w14:textId="77777777" w:rsidR="005C332D" w:rsidRDefault="00B93EAE">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FFFFFF"/>
            <w:tcMar>
              <w:top w:w="0" w:type="dxa"/>
              <w:left w:w="20" w:type="dxa"/>
              <w:bottom w:w="0" w:type="dxa"/>
              <w:right w:w="20" w:type="dxa"/>
            </w:tcMar>
            <w:vAlign w:val="bottom"/>
          </w:tcPr>
          <w:p w14:paraId="518B4A5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A60" w14:textId="77777777" w:rsidR="005C332D" w:rsidRDefault="00B93EAE">
            <w:pPr>
              <w:jc w:val="right"/>
              <w:textAlignment w:val="bottom"/>
            </w:pPr>
            <w:r>
              <w:rPr>
                <w:rFonts w:ascii="Times New Roman" w:eastAsia="宋体" w:hAnsi="Times New Roman"/>
                <w:b/>
                <w:bCs/>
                <w:i/>
                <w:iCs/>
                <w:color w:val="000000"/>
                <w:sz w:val="20"/>
                <w:szCs w:val="20"/>
              </w:rPr>
              <w:t>15.4</w:t>
            </w:r>
            <w:r>
              <w:rPr>
                <w:rFonts w:ascii="Times New Roman" w:eastAsia="宋体" w:hAnsi="Times New Roman"/>
                <w:i/>
                <w:iCs/>
                <w:color w:val="000000"/>
                <w:sz w:val="20"/>
                <w:szCs w:val="20"/>
              </w:rPr>
              <w:t> </w:t>
            </w:r>
          </w:p>
        </w:tc>
        <w:tc>
          <w:tcPr>
            <w:tcW w:w="0" w:type="auto"/>
            <w:shd w:val="clear" w:color="auto" w:fill="FFFFFF"/>
            <w:tcMar>
              <w:top w:w="40" w:type="dxa"/>
              <w:left w:w="0" w:type="dxa"/>
              <w:bottom w:w="40" w:type="dxa"/>
              <w:right w:w="20" w:type="dxa"/>
            </w:tcMar>
            <w:vAlign w:val="bottom"/>
          </w:tcPr>
          <w:p w14:paraId="518B4A61" w14:textId="77777777" w:rsidR="005C332D" w:rsidRDefault="00B93EAE">
            <w:pPr>
              <w:jc w:val="right"/>
              <w:textAlignment w:val="bottom"/>
            </w:pPr>
            <w:r>
              <w:rPr>
                <w:rFonts w:ascii="Times New Roman" w:eastAsia="宋体" w:hAnsi="Times New Roman"/>
                <w:b/>
                <w:bCs/>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A6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A63" w14:textId="77777777" w:rsidR="005C332D" w:rsidRDefault="00B93EAE">
            <w:pPr>
              <w:jc w:val="right"/>
              <w:textAlignment w:val="bottom"/>
            </w:pPr>
            <w:r>
              <w:rPr>
                <w:rFonts w:ascii="Times New Roman" w:eastAsia="宋体" w:hAnsi="Times New Roman"/>
                <w:i/>
                <w:iCs/>
                <w:color w:val="000000"/>
                <w:sz w:val="20"/>
                <w:szCs w:val="20"/>
              </w:rPr>
              <w:t>15.3 </w:t>
            </w:r>
          </w:p>
        </w:tc>
        <w:tc>
          <w:tcPr>
            <w:tcW w:w="0" w:type="auto"/>
            <w:shd w:val="clear" w:color="auto" w:fill="FFFFFF"/>
            <w:tcMar>
              <w:top w:w="40" w:type="dxa"/>
              <w:left w:w="0" w:type="dxa"/>
              <w:bottom w:w="40" w:type="dxa"/>
              <w:right w:w="20" w:type="dxa"/>
            </w:tcMar>
            <w:vAlign w:val="bottom"/>
          </w:tcPr>
          <w:p w14:paraId="518B4A64"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A6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A66" w14:textId="77777777" w:rsidR="005C332D" w:rsidRDefault="00B93EAE">
            <w:pPr>
              <w:jc w:val="right"/>
              <w:textAlignment w:val="bottom"/>
            </w:pPr>
            <w:r>
              <w:rPr>
                <w:rFonts w:ascii="Times New Roman" w:eastAsia="宋体" w:hAnsi="Times New Roman"/>
                <w:i/>
                <w:iCs/>
                <w:color w:val="000000"/>
                <w:sz w:val="20"/>
                <w:szCs w:val="20"/>
              </w:rPr>
              <w:t>14.8 </w:t>
            </w:r>
          </w:p>
        </w:tc>
        <w:tc>
          <w:tcPr>
            <w:tcW w:w="0" w:type="auto"/>
            <w:shd w:val="clear" w:color="auto" w:fill="FFFFFF"/>
            <w:tcMar>
              <w:top w:w="40" w:type="dxa"/>
              <w:left w:w="0" w:type="dxa"/>
              <w:bottom w:w="40" w:type="dxa"/>
              <w:right w:w="20" w:type="dxa"/>
            </w:tcMar>
            <w:vAlign w:val="bottom"/>
          </w:tcPr>
          <w:p w14:paraId="518B4A67" w14:textId="77777777" w:rsidR="005C332D" w:rsidRDefault="00B93EAE">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A68"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A69"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A6A"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4A6B" w14:textId="77777777" w:rsidR="005C332D" w:rsidRDefault="00B93EAE">
            <w:pPr>
              <w:textAlignment w:val="bottom"/>
            </w:pPr>
            <w:r>
              <w:rPr>
                <w:rFonts w:ascii="Times New Roman" w:eastAsia="宋体" w:hAnsi="Times New Roman"/>
                <w:color w:val="000000"/>
                <w:sz w:val="22"/>
                <w:szCs w:val="22"/>
              </w:rPr>
              <w:t> </w:t>
            </w:r>
          </w:p>
        </w:tc>
      </w:tr>
      <w:tr w:rsidR="005C332D" w14:paraId="518B4A81" w14:textId="77777777">
        <w:tc>
          <w:tcPr>
            <w:tcW w:w="0" w:type="auto"/>
            <w:gridSpan w:val="3"/>
            <w:shd w:val="clear" w:color="auto" w:fill="CCEEFF"/>
            <w:tcMar>
              <w:top w:w="40" w:type="dxa"/>
              <w:left w:w="380" w:type="dxa"/>
              <w:bottom w:w="40" w:type="dxa"/>
              <w:right w:w="20" w:type="dxa"/>
            </w:tcMar>
            <w:vAlign w:val="bottom"/>
          </w:tcPr>
          <w:p w14:paraId="518B4A6D" w14:textId="77777777" w:rsidR="005C332D" w:rsidRDefault="00B93EAE">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4A6E"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A6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A70" w14:textId="77777777" w:rsidR="005C332D" w:rsidRDefault="00B93EAE">
            <w:pPr>
              <w:jc w:val="right"/>
              <w:textAlignment w:val="bottom"/>
            </w:pPr>
            <w:r>
              <w:rPr>
                <w:rFonts w:ascii="Times New Roman" w:eastAsia="宋体" w:hAnsi="Times New Roman"/>
                <w:b/>
                <w:bCs/>
                <w:color w:val="000000"/>
                <w:sz w:val="20"/>
                <w:szCs w:val="20"/>
              </w:rPr>
              <w:t>38,018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A7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7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A7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A74" w14:textId="77777777" w:rsidR="005C332D" w:rsidRDefault="00B93EAE">
            <w:pPr>
              <w:jc w:val="right"/>
              <w:textAlignment w:val="bottom"/>
            </w:pPr>
            <w:r>
              <w:rPr>
                <w:rFonts w:ascii="Times New Roman" w:eastAsia="宋体" w:hAnsi="Times New Roman"/>
                <w:color w:val="000000"/>
                <w:sz w:val="20"/>
                <w:szCs w:val="20"/>
              </w:rPr>
              <w:t>36,014 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A7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76"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A7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A78" w14:textId="77777777" w:rsidR="005C332D" w:rsidRDefault="00B93EAE">
            <w:pPr>
              <w:jc w:val="right"/>
              <w:textAlignment w:val="bottom"/>
            </w:pPr>
            <w:r>
              <w:rPr>
                <w:rFonts w:ascii="Times New Roman" w:eastAsia="宋体" w:hAnsi="Times New Roman"/>
                <w:color w:val="000000"/>
                <w:sz w:val="20"/>
                <w:szCs w:val="20"/>
              </w:rPr>
              <w:t>35,978 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A7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7A"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A7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A7C" w14:textId="77777777" w:rsidR="005C332D" w:rsidRDefault="00B93EAE">
            <w:pPr>
              <w:jc w:val="right"/>
              <w:textAlignment w:val="bottom"/>
            </w:pPr>
            <w:r>
              <w:rPr>
                <w:rFonts w:ascii="Times New Roman" w:eastAsia="宋体" w:hAnsi="Times New Roman"/>
                <w:color w:val="000000"/>
                <w:sz w:val="20"/>
                <w:szCs w:val="20"/>
              </w:rPr>
              <w:t>2,004 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A7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7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7F"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518B4A80" w14:textId="77777777" w:rsidR="005C332D" w:rsidRDefault="00B93EAE">
            <w:pPr>
              <w:jc w:val="right"/>
              <w:textAlignment w:val="bottom"/>
            </w:pPr>
            <w:r>
              <w:rPr>
                <w:rFonts w:ascii="Times New Roman" w:eastAsia="宋体" w:hAnsi="Times New Roman"/>
                <w:color w:val="000000"/>
                <w:sz w:val="20"/>
                <w:szCs w:val="20"/>
              </w:rPr>
              <w:t>%</w:t>
            </w:r>
          </w:p>
        </w:tc>
      </w:tr>
    </w:tbl>
    <w:p w14:paraId="518B4A82" w14:textId="77777777" w:rsidR="005C332D" w:rsidRDefault="00B93EAE">
      <w:pPr>
        <w:spacing w:before="120"/>
        <w:jc w:val="both"/>
      </w:pPr>
      <w:r>
        <w:rPr>
          <w:rFonts w:ascii="Times New Roman" w:eastAsia="宋体" w:hAnsi="Times New Roman"/>
          <w:color w:val="000000"/>
          <w:sz w:val="20"/>
          <w:szCs w:val="20"/>
        </w:rPr>
        <w:t xml:space="preserve">Amounts may not sum and percentages may not recalculate due to rounding. </w:t>
      </w:r>
    </w:p>
    <w:p w14:paraId="518B4A83" w14:textId="77777777" w:rsidR="005C332D" w:rsidRDefault="00B93EAE">
      <w:pPr>
        <w:spacing w:before="120"/>
        <w:jc w:val="both"/>
      </w:pPr>
      <w:r>
        <w:rPr>
          <w:rFonts w:ascii="Times New Roman" w:eastAsia="宋体" w:hAnsi="Times New Roman"/>
          <w:color w:val="000000"/>
          <w:sz w:val="20"/>
          <w:szCs w:val="20"/>
          <w:u w:val="single"/>
        </w:rPr>
        <w:t>Americas</w:t>
      </w:r>
    </w:p>
    <w:p w14:paraId="518B4A84" w14:textId="77777777" w:rsidR="005C332D" w:rsidRDefault="00B93EAE">
      <w:pPr>
        <w:spacing w:before="120"/>
        <w:jc w:val="both"/>
      </w:pPr>
      <w:r>
        <w:rPr>
          <w:rFonts w:ascii="Times New Roman" w:eastAsia="宋体" w:hAnsi="Times New Roman"/>
          <w:color w:val="000000"/>
          <w:sz w:val="20"/>
          <w:szCs w:val="20"/>
        </w:rPr>
        <w:t>Product revenue in the Americas segment increased by 5%. The product revenue increase was driven by growth in the service provider, commercial and enterprise markets, partia</w:t>
      </w:r>
      <w:r>
        <w:rPr>
          <w:rFonts w:ascii="Times New Roman" w:eastAsia="宋体" w:hAnsi="Times New Roman"/>
          <w:color w:val="000000"/>
          <w:sz w:val="20"/>
          <w:szCs w:val="20"/>
        </w:rPr>
        <w:t xml:space="preserve">lly offset by a decline in the public sector market. From a country perspective, product revenue increased by 5% in the United States, 5% in Canada and 7% in Mexico, partially offset by a product revenue decrease of 1% in Brazil. </w:t>
      </w:r>
    </w:p>
    <w:p w14:paraId="518B4A85" w14:textId="77777777" w:rsidR="005C332D" w:rsidRDefault="00B93EAE">
      <w:pPr>
        <w:spacing w:before="120"/>
        <w:jc w:val="both"/>
      </w:pPr>
      <w:r>
        <w:rPr>
          <w:rFonts w:ascii="Times New Roman" w:eastAsia="宋体" w:hAnsi="Times New Roman"/>
          <w:color w:val="000000"/>
          <w:sz w:val="20"/>
          <w:szCs w:val="20"/>
          <w:u w:val="single"/>
        </w:rPr>
        <w:t>EMEA</w:t>
      </w:r>
    </w:p>
    <w:p w14:paraId="518B4A86" w14:textId="77777777" w:rsidR="005C332D" w:rsidRDefault="00B93EAE">
      <w:pPr>
        <w:spacing w:before="120"/>
        <w:jc w:val="both"/>
      </w:pPr>
      <w:r>
        <w:rPr>
          <w:rFonts w:ascii="Times New Roman" w:eastAsia="宋体" w:hAnsi="Times New Roman"/>
          <w:color w:val="000000"/>
          <w:sz w:val="20"/>
          <w:szCs w:val="20"/>
        </w:rPr>
        <w:t>The increase in prod</w:t>
      </w:r>
      <w:r>
        <w:rPr>
          <w:rFonts w:ascii="Times New Roman" w:eastAsia="宋体" w:hAnsi="Times New Roman"/>
          <w:color w:val="000000"/>
          <w:sz w:val="20"/>
          <w:szCs w:val="20"/>
        </w:rPr>
        <w:t>uct revenue in the EMEA segment of 8% was driven by growth in the commercial, enterprise and service provider markets The public sector market was flat. From a country perspective, product revenue increased by 14% in the United Kingdom and 9% in Germany, p</w:t>
      </w:r>
      <w:r>
        <w:rPr>
          <w:rFonts w:ascii="Times New Roman" w:eastAsia="宋体" w:hAnsi="Times New Roman"/>
          <w:color w:val="000000"/>
          <w:sz w:val="20"/>
          <w:szCs w:val="20"/>
        </w:rPr>
        <w:t>artially offset by a decline of 3% in France.</w:t>
      </w:r>
    </w:p>
    <w:p w14:paraId="518B4A87" w14:textId="77777777" w:rsidR="005C332D" w:rsidRDefault="00B93EAE">
      <w:pPr>
        <w:spacing w:before="120"/>
        <w:jc w:val="both"/>
      </w:pPr>
      <w:r>
        <w:rPr>
          <w:rFonts w:ascii="Times New Roman" w:eastAsia="宋体" w:hAnsi="Times New Roman"/>
          <w:color w:val="000000"/>
          <w:sz w:val="20"/>
          <w:szCs w:val="20"/>
          <w:u w:val="single"/>
        </w:rPr>
        <w:t>APJC</w:t>
      </w:r>
    </w:p>
    <w:p w14:paraId="518B4A88" w14:textId="77777777" w:rsidR="005C332D" w:rsidRDefault="00B93EAE">
      <w:pPr>
        <w:spacing w:before="120"/>
        <w:jc w:val="both"/>
      </w:pPr>
      <w:r>
        <w:rPr>
          <w:rFonts w:ascii="Times New Roman" w:eastAsia="宋体" w:hAnsi="Times New Roman"/>
          <w:color w:val="000000"/>
          <w:sz w:val="20"/>
          <w:szCs w:val="20"/>
        </w:rPr>
        <w:t>Product revenue in the APJC segment increased by 6%, driven by growth in the commercial and enterprise markets, partially offset by declines in the service provider and public sector markets. From a countr</w:t>
      </w:r>
      <w:r>
        <w:rPr>
          <w:rFonts w:ascii="Times New Roman" w:eastAsia="宋体" w:hAnsi="Times New Roman"/>
          <w:color w:val="000000"/>
          <w:sz w:val="20"/>
          <w:szCs w:val="20"/>
        </w:rPr>
        <w:t>y perspective, product revenue increased by 18% in China and 10% in Australia, partially offset by declines of 9% in Japan and 1% in India.</w:t>
      </w:r>
    </w:p>
    <w:p w14:paraId="518B4A89" w14:textId="77777777" w:rsidR="005C332D" w:rsidRDefault="005C332D">
      <w:pPr>
        <w:jc w:val="both"/>
      </w:pPr>
    </w:p>
    <w:p w14:paraId="518B4A8A" w14:textId="77777777" w:rsidR="005C332D" w:rsidRDefault="00B93EAE">
      <w:pPr>
        <w:jc w:val="center"/>
      </w:pPr>
      <w:r>
        <w:rPr>
          <w:rFonts w:ascii="Times New Roman" w:eastAsia="宋体" w:hAnsi="Times New Roman"/>
          <w:color w:val="000000"/>
          <w:sz w:val="20"/>
          <w:szCs w:val="20"/>
        </w:rPr>
        <w:t>39</w:t>
      </w:r>
    </w:p>
    <w:p w14:paraId="518B4A8B" w14:textId="77777777" w:rsidR="005C332D" w:rsidRDefault="00B93EAE">
      <w:r>
        <w:pict w14:anchorId="518B873C">
          <v:rect id="_x0000_i1065" style="width:415.3pt;height:1.5pt" o:hralign="center" o:hrstd="t" o:hr="t" fillcolor="#a0a0a0" stroked="f"/>
        </w:pict>
      </w:r>
    </w:p>
    <w:p w14:paraId="518B4A8C" w14:textId="77777777" w:rsidR="005C332D" w:rsidRDefault="00B93EAE">
      <w:hyperlink r:id="rId93" w:anchor="i049852cab38845aabd2a79d07dacda86_7" w:history="1">
        <w:r>
          <w:rPr>
            <w:rStyle w:val="a5"/>
            <w:rFonts w:ascii="Times New Roman" w:eastAsia="宋体" w:hAnsi="Times New Roman"/>
            <w:sz w:val="20"/>
            <w:szCs w:val="20"/>
          </w:rPr>
          <w:t>Table of Contents</w:t>
        </w:r>
      </w:hyperlink>
    </w:p>
    <w:p w14:paraId="518B4A8D" w14:textId="77777777" w:rsidR="005C332D" w:rsidRDefault="00B93EAE">
      <w:pPr>
        <w:jc w:val="both"/>
      </w:pPr>
      <w:r>
        <w:rPr>
          <w:rFonts w:ascii="Times New Roman" w:eastAsia="宋体" w:hAnsi="Times New Roman"/>
          <w:b/>
          <w:bCs/>
          <w:color w:val="000000"/>
          <w:sz w:val="20"/>
          <w:szCs w:val="20"/>
        </w:rPr>
        <w:t>Product Revenue by Category</w:t>
      </w:r>
    </w:p>
    <w:p w14:paraId="518B4A8E" w14:textId="77777777" w:rsidR="005C332D" w:rsidRDefault="00B93EAE">
      <w:pPr>
        <w:spacing w:before="120"/>
        <w:jc w:val="both"/>
      </w:pPr>
      <w:r>
        <w:rPr>
          <w:rFonts w:ascii="Times New Roman" w:eastAsia="宋体" w:hAnsi="Times New Roman"/>
          <w:color w:val="000000"/>
          <w:sz w:val="20"/>
          <w:szCs w:val="20"/>
        </w:rPr>
        <w:t xml:space="preserve">In addition to the primary view on a geographic basis, we also prepare financial information related to product categories and customer markets for various </w:t>
      </w:r>
      <w:r>
        <w:rPr>
          <w:rFonts w:ascii="Times New Roman" w:eastAsia="宋体" w:hAnsi="Times New Roman"/>
          <w:color w:val="000000"/>
          <w:sz w:val="20"/>
          <w:szCs w:val="20"/>
        </w:rPr>
        <w:t>purposes. Effective fiscal 2022, we began reporting our product revenue in the following categories: Secure, Agile Networks; Internet for the Future; Collaboration; End-to-End Security; Optimized Application Experiences; and Other Products. This change wil</w:t>
      </w:r>
      <w:r>
        <w:rPr>
          <w:rFonts w:ascii="Times New Roman" w:eastAsia="宋体" w:hAnsi="Times New Roman"/>
          <w:color w:val="000000"/>
          <w:sz w:val="20"/>
          <w:szCs w:val="20"/>
        </w:rPr>
        <w:t>l better align our product categories with our strategic priorities.</w:t>
      </w:r>
    </w:p>
    <w:p w14:paraId="518B4A8F" w14:textId="77777777" w:rsidR="005C332D" w:rsidRDefault="00B93EAE">
      <w:pPr>
        <w:spacing w:before="120"/>
        <w:jc w:val="both"/>
      </w:pPr>
      <w:r>
        <w:rPr>
          <w:rFonts w:ascii="Times New Roman" w:eastAsia="宋体" w:hAnsi="Times New Roman"/>
          <w:color w:val="000000"/>
          <w:sz w:val="20"/>
          <w:szCs w:val="20"/>
        </w:rPr>
        <w:t>The following table presents product revenue by category (in millions, except percentages):</w:t>
      </w:r>
    </w:p>
    <w:tbl>
      <w:tblPr>
        <w:tblW w:w="4978" w:type="pct"/>
        <w:tblCellMar>
          <w:top w:w="15" w:type="dxa"/>
          <w:left w:w="15" w:type="dxa"/>
          <w:bottom w:w="15" w:type="dxa"/>
          <w:right w:w="15" w:type="dxa"/>
        </w:tblCellMar>
        <w:tblLook w:val="04A0" w:firstRow="1" w:lastRow="0" w:firstColumn="1" w:lastColumn="0" w:noHBand="0" w:noVBand="1"/>
      </w:tblPr>
      <w:tblGrid>
        <w:gridCol w:w="57"/>
        <w:gridCol w:w="1628"/>
        <w:gridCol w:w="38"/>
        <w:gridCol w:w="36"/>
        <w:gridCol w:w="36"/>
        <w:gridCol w:w="36"/>
        <w:gridCol w:w="120"/>
        <w:gridCol w:w="693"/>
        <w:gridCol w:w="36"/>
        <w:gridCol w:w="36"/>
        <w:gridCol w:w="36"/>
        <w:gridCol w:w="36"/>
        <w:gridCol w:w="120"/>
        <w:gridCol w:w="693"/>
        <w:gridCol w:w="36"/>
        <w:gridCol w:w="36"/>
        <w:gridCol w:w="36"/>
        <w:gridCol w:w="36"/>
        <w:gridCol w:w="120"/>
        <w:gridCol w:w="694"/>
        <w:gridCol w:w="36"/>
        <w:gridCol w:w="36"/>
        <w:gridCol w:w="36"/>
        <w:gridCol w:w="36"/>
        <w:gridCol w:w="121"/>
        <w:gridCol w:w="609"/>
        <w:gridCol w:w="36"/>
        <w:gridCol w:w="36"/>
        <w:gridCol w:w="36"/>
        <w:gridCol w:w="36"/>
        <w:gridCol w:w="74"/>
        <w:gridCol w:w="609"/>
        <w:gridCol w:w="187"/>
        <w:gridCol w:w="36"/>
        <w:gridCol w:w="36"/>
        <w:gridCol w:w="36"/>
        <w:gridCol w:w="121"/>
        <w:gridCol w:w="609"/>
        <w:gridCol w:w="36"/>
        <w:gridCol w:w="36"/>
        <w:gridCol w:w="36"/>
        <w:gridCol w:w="36"/>
        <w:gridCol w:w="78"/>
        <w:gridCol w:w="605"/>
        <w:gridCol w:w="187"/>
      </w:tblGrid>
      <w:tr w:rsidR="005C332D" w14:paraId="518B4ABD" w14:textId="77777777">
        <w:tc>
          <w:tcPr>
            <w:tcW w:w="50" w:type="pct"/>
            <w:shd w:val="clear" w:color="auto" w:fill="auto"/>
            <w:vAlign w:val="bottom"/>
          </w:tcPr>
          <w:p w14:paraId="518B4A90" w14:textId="77777777" w:rsidR="005C332D" w:rsidRDefault="005C332D">
            <w:pPr>
              <w:rPr>
                <w:rFonts w:ascii="宋体"/>
              </w:rPr>
            </w:pPr>
          </w:p>
        </w:tc>
        <w:tc>
          <w:tcPr>
            <w:tcW w:w="1083" w:type="pct"/>
            <w:shd w:val="clear" w:color="auto" w:fill="auto"/>
            <w:vAlign w:val="bottom"/>
          </w:tcPr>
          <w:p w14:paraId="518B4A91" w14:textId="77777777" w:rsidR="005C332D" w:rsidRDefault="005C332D">
            <w:pPr>
              <w:rPr>
                <w:rFonts w:ascii="宋体"/>
              </w:rPr>
            </w:pPr>
          </w:p>
        </w:tc>
        <w:tc>
          <w:tcPr>
            <w:tcW w:w="5" w:type="pct"/>
            <w:shd w:val="clear" w:color="auto" w:fill="auto"/>
            <w:vAlign w:val="bottom"/>
          </w:tcPr>
          <w:p w14:paraId="518B4A92" w14:textId="77777777" w:rsidR="005C332D" w:rsidRDefault="005C332D">
            <w:pPr>
              <w:rPr>
                <w:rFonts w:ascii="宋体"/>
              </w:rPr>
            </w:pPr>
          </w:p>
        </w:tc>
        <w:tc>
          <w:tcPr>
            <w:tcW w:w="5" w:type="pct"/>
            <w:shd w:val="clear" w:color="auto" w:fill="auto"/>
            <w:vAlign w:val="bottom"/>
          </w:tcPr>
          <w:p w14:paraId="518B4A93" w14:textId="77777777" w:rsidR="005C332D" w:rsidRDefault="005C332D">
            <w:pPr>
              <w:rPr>
                <w:rFonts w:ascii="宋体"/>
              </w:rPr>
            </w:pPr>
          </w:p>
        </w:tc>
        <w:tc>
          <w:tcPr>
            <w:tcW w:w="26" w:type="pct"/>
            <w:shd w:val="clear" w:color="auto" w:fill="auto"/>
            <w:vAlign w:val="bottom"/>
          </w:tcPr>
          <w:p w14:paraId="518B4A94" w14:textId="77777777" w:rsidR="005C332D" w:rsidRDefault="005C332D">
            <w:pPr>
              <w:rPr>
                <w:rFonts w:ascii="宋体"/>
              </w:rPr>
            </w:pPr>
          </w:p>
        </w:tc>
        <w:tc>
          <w:tcPr>
            <w:tcW w:w="5" w:type="pct"/>
            <w:shd w:val="clear" w:color="auto" w:fill="auto"/>
            <w:vAlign w:val="bottom"/>
          </w:tcPr>
          <w:p w14:paraId="518B4A95" w14:textId="77777777" w:rsidR="005C332D" w:rsidRDefault="005C332D">
            <w:pPr>
              <w:rPr>
                <w:rFonts w:ascii="宋体"/>
              </w:rPr>
            </w:pPr>
          </w:p>
        </w:tc>
        <w:tc>
          <w:tcPr>
            <w:tcW w:w="50" w:type="pct"/>
            <w:shd w:val="clear" w:color="auto" w:fill="auto"/>
            <w:vAlign w:val="bottom"/>
          </w:tcPr>
          <w:p w14:paraId="518B4A96" w14:textId="77777777" w:rsidR="005C332D" w:rsidRDefault="005C332D">
            <w:pPr>
              <w:rPr>
                <w:rFonts w:ascii="宋体"/>
              </w:rPr>
            </w:pPr>
          </w:p>
        </w:tc>
        <w:tc>
          <w:tcPr>
            <w:tcW w:w="532" w:type="pct"/>
            <w:shd w:val="clear" w:color="auto" w:fill="auto"/>
            <w:vAlign w:val="bottom"/>
          </w:tcPr>
          <w:p w14:paraId="518B4A97" w14:textId="77777777" w:rsidR="005C332D" w:rsidRDefault="005C332D">
            <w:pPr>
              <w:rPr>
                <w:rFonts w:ascii="宋体"/>
              </w:rPr>
            </w:pPr>
          </w:p>
        </w:tc>
        <w:tc>
          <w:tcPr>
            <w:tcW w:w="5" w:type="pct"/>
            <w:shd w:val="clear" w:color="auto" w:fill="auto"/>
            <w:vAlign w:val="bottom"/>
          </w:tcPr>
          <w:p w14:paraId="518B4A98" w14:textId="77777777" w:rsidR="005C332D" w:rsidRDefault="005C332D">
            <w:pPr>
              <w:rPr>
                <w:rFonts w:ascii="宋体"/>
              </w:rPr>
            </w:pPr>
          </w:p>
        </w:tc>
        <w:tc>
          <w:tcPr>
            <w:tcW w:w="5" w:type="pct"/>
            <w:shd w:val="clear" w:color="auto" w:fill="auto"/>
            <w:vAlign w:val="bottom"/>
          </w:tcPr>
          <w:p w14:paraId="518B4A99" w14:textId="77777777" w:rsidR="005C332D" w:rsidRDefault="005C332D">
            <w:pPr>
              <w:rPr>
                <w:rFonts w:ascii="宋体"/>
              </w:rPr>
            </w:pPr>
          </w:p>
        </w:tc>
        <w:tc>
          <w:tcPr>
            <w:tcW w:w="26" w:type="pct"/>
            <w:shd w:val="clear" w:color="auto" w:fill="auto"/>
            <w:vAlign w:val="bottom"/>
          </w:tcPr>
          <w:p w14:paraId="518B4A9A" w14:textId="77777777" w:rsidR="005C332D" w:rsidRDefault="005C332D">
            <w:pPr>
              <w:rPr>
                <w:rFonts w:ascii="宋体"/>
              </w:rPr>
            </w:pPr>
          </w:p>
        </w:tc>
        <w:tc>
          <w:tcPr>
            <w:tcW w:w="5" w:type="pct"/>
            <w:shd w:val="clear" w:color="auto" w:fill="auto"/>
            <w:vAlign w:val="bottom"/>
          </w:tcPr>
          <w:p w14:paraId="518B4A9B" w14:textId="77777777" w:rsidR="005C332D" w:rsidRDefault="005C332D">
            <w:pPr>
              <w:rPr>
                <w:rFonts w:ascii="宋体"/>
              </w:rPr>
            </w:pPr>
          </w:p>
        </w:tc>
        <w:tc>
          <w:tcPr>
            <w:tcW w:w="50" w:type="pct"/>
            <w:shd w:val="clear" w:color="auto" w:fill="auto"/>
            <w:vAlign w:val="bottom"/>
          </w:tcPr>
          <w:p w14:paraId="518B4A9C" w14:textId="77777777" w:rsidR="005C332D" w:rsidRDefault="005C332D">
            <w:pPr>
              <w:rPr>
                <w:rFonts w:ascii="宋体"/>
              </w:rPr>
            </w:pPr>
          </w:p>
        </w:tc>
        <w:tc>
          <w:tcPr>
            <w:tcW w:w="532" w:type="pct"/>
            <w:shd w:val="clear" w:color="auto" w:fill="auto"/>
            <w:vAlign w:val="bottom"/>
          </w:tcPr>
          <w:p w14:paraId="518B4A9D" w14:textId="77777777" w:rsidR="005C332D" w:rsidRDefault="005C332D">
            <w:pPr>
              <w:rPr>
                <w:rFonts w:ascii="宋体"/>
              </w:rPr>
            </w:pPr>
          </w:p>
        </w:tc>
        <w:tc>
          <w:tcPr>
            <w:tcW w:w="5" w:type="pct"/>
            <w:shd w:val="clear" w:color="auto" w:fill="auto"/>
            <w:vAlign w:val="bottom"/>
          </w:tcPr>
          <w:p w14:paraId="518B4A9E" w14:textId="77777777" w:rsidR="005C332D" w:rsidRDefault="005C332D">
            <w:pPr>
              <w:rPr>
                <w:rFonts w:ascii="宋体"/>
              </w:rPr>
            </w:pPr>
          </w:p>
        </w:tc>
        <w:tc>
          <w:tcPr>
            <w:tcW w:w="5" w:type="pct"/>
            <w:shd w:val="clear" w:color="auto" w:fill="auto"/>
            <w:vAlign w:val="bottom"/>
          </w:tcPr>
          <w:p w14:paraId="518B4A9F" w14:textId="77777777" w:rsidR="005C332D" w:rsidRDefault="005C332D">
            <w:pPr>
              <w:rPr>
                <w:rFonts w:ascii="宋体"/>
              </w:rPr>
            </w:pPr>
          </w:p>
        </w:tc>
        <w:tc>
          <w:tcPr>
            <w:tcW w:w="26" w:type="pct"/>
            <w:shd w:val="clear" w:color="auto" w:fill="auto"/>
            <w:vAlign w:val="bottom"/>
          </w:tcPr>
          <w:p w14:paraId="518B4AA0" w14:textId="77777777" w:rsidR="005C332D" w:rsidRDefault="005C332D">
            <w:pPr>
              <w:rPr>
                <w:rFonts w:ascii="宋体"/>
              </w:rPr>
            </w:pPr>
          </w:p>
        </w:tc>
        <w:tc>
          <w:tcPr>
            <w:tcW w:w="5" w:type="pct"/>
            <w:shd w:val="clear" w:color="auto" w:fill="auto"/>
            <w:vAlign w:val="bottom"/>
          </w:tcPr>
          <w:p w14:paraId="518B4AA1" w14:textId="77777777" w:rsidR="005C332D" w:rsidRDefault="005C332D">
            <w:pPr>
              <w:rPr>
                <w:rFonts w:ascii="宋体"/>
              </w:rPr>
            </w:pPr>
          </w:p>
        </w:tc>
        <w:tc>
          <w:tcPr>
            <w:tcW w:w="50" w:type="pct"/>
            <w:shd w:val="clear" w:color="auto" w:fill="auto"/>
            <w:vAlign w:val="bottom"/>
          </w:tcPr>
          <w:p w14:paraId="518B4AA2" w14:textId="77777777" w:rsidR="005C332D" w:rsidRDefault="005C332D">
            <w:pPr>
              <w:rPr>
                <w:rFonts w:ascii="宋体"/>
              </w:rPr>
            </w:pPr>
          </w:p>
        </w:tc>
        <w:tc>
          <w:tcPr>
            <w:tcW w:w="532" w:type="pct"/>
            <w:shd w:val="clear" w:color="auto" w:fill="auto"/>
            <w:vAlign w:val="bottom"/>
          </w:tcPr>
          <w:p w14:paraId="518B4AA3" w14:textId="77777777" w:rsidR="005C332D" w:rsidRDefault="005C332D">
            <w:pPr>
              <w:rPr>
                <w:rFonts w:ascii="宋体"/>
              </w:rPr>
            </w:pPr>
          </w:p>
        </w:tc>
        <w:tc>
          <w:tcPr>
            <w:tcW w:w="5" w:type="pct"/>
            <w:shd w:val="clear" w:color="auto" w:fill="auto"/>
            <w:vAlign w:val="bottom"/>
          </w:tcPr>
          <w:p w14:paraId="518B4AA4" w14:textId="77777777" w:rsidR="005C332D" w:rsidRDefault="005C332D">
            <w:pPr>
              <w:rPr>
                <w:rFonts w:ascii="宋体"/>
              </w:rPr>
            </w:pPr>
          </w:p>
        </w:tc>
        <w:tc>
          <w:tcPr>
            <w:tcW w:w="5" w:type="pct"/>
            <w:shd w:val="clear" w:color="auto" w:fill="auto"/>
            <w:vAlign w:val="bottom"/>
          </w:tcPr>
          <w:p w14:paraId="518B4AA5" w14:textId="77777777" w:rsidR="005C332D" w:rsidRDefault="005C332D">
            <w:pPr>
              <w:rPr>
                <w:rFonts w:ascii="宋体"/>
              </w:rPr>
            </w:pPr>
          </w:p>
        </w:tc>
        <w:tc>
          <w:tcPr>
            <w:tcW w:w="26" w:type="pct"/>
            <w:shd w:val="clear" w:color="auto" w:fill="auto"/>
            <w:vAlign w:val="bottom"/>
          </w:tcPr>
          <w:p w14:paraId="518B4AA6" w14:textId="77777777" w:rsidR="005C332D" w:rsidRDefault="005C332D">
            <w:pPr>
              <w:rPr>
                <w:rFonts w:ascii="宋体"/>
              </w:rPr>
            </w:pPr>
          </w:p>
        </w:tc>
        <w:tc>
          <w:tcPr>
            <w:tcW w:w="5" w:type="pct"/>
            <w:shd w:val="clear" w:color="auto" w:fill="auto"/>
            <w:vAlign w:val="bottom"/>
          </w:tcPr>
          <w:p w14:paraId="518B4AA7" w14:textId="77777777" w:rsidR="005C332D" w:rsidRDefault="005C332D">
            <w:pPr>
              <w:rPr>
                <w:rFonts w:ascii="宋体"/>
              </w:rPr>
            </w:pPr>
          </w:p>
        </w:tc>
        <w:tc>
          <w:tcPr>
            <w:tcW w:w="50" w:type="pct"/>
            <w:shd w:val="clear" w:color="auto" w:fill="auto"/>
            <w:vAlign w:val="bottom"/>
          </w:tcPr>
          <w:p w14:paraId="518B4AA8" w14:textId="77777777" w:rsidR="005C332D" w:rsidRDefault="005C332D">
            <w:pPr>
              <w:rPr>
                <w:rFonts w:ascii="宋体"/>
              </w:rPr>
            </w:pPr>
          </w:p>
        </w:tc>
        <w:tc>
          <w:tcPr>
            <w:tcW w:w="414" w:type="pct"/>
            <w:shd w:val="clear" w:color="auto" w:fill="auto"/>
            <w:vAlign w:val="bottom"/>
          </w:tcPr>
          <w:p w14:paraId="518B4AA9" w14:textId="77777777" w:rsidR="005C332D" w:rsidRDefault="005C332D">
            <w:pPr>
              <w:rPr>
                <w:rFonts w:ascii="宋体"/>
              </w:rPr>
            </w:pPr>
          </w:p>
        </w:tc>
        <w:tc>
          <w:tcPr>
            <w:tcW w:w="5" w:type="pct"/>
            <w:shd w:val="clear" w:color="auto" w:fill="auto"/>
            <w:vAlign w:val="bottom"/>
          </w:tcPr>
          <w:p w14:paraId="518B4AAA" w14:textId="77777777" w:rsidR="005C332D" w:rsidRDefault="005C332D">
            <w:pPr>
              <w:rPr>
                <w:rFonts w:ascii="宋体"/>
              </w:rPr>
            </w:pPr>
          </w:p>
        </w:tc>
        <w:tc>
          <w:tcPr>
            <w:tcW w:w="5" w:type="pct"/>
            <w:shd w:val="clear" w:color="auto" w:fill="auto"/>
            <w:vAlign w:val="bottom"/>
          </w:tcPr>
          <w:p w14:paraId="518B4AAB" w14:textId="77777777" w:rsidR="005C332D" w:rsidRDefault="005C332D">
            <w:pPr>
              <w:rPr>
                <w:rFonts w:ascii="宋体"/>
              </w:rPr>
            </w:pPr>
          </w:p>
        </w:tc>
        <w:tc>
          <w:tcPr>
            <w:tcW w:w="26" w:type="pct"/>
            <w:shd w:val="clear" w:color="auto" w:fill="auto"/>
            <w:vAlign w:val="bottom"/>
          </w:tcPr>
          <w:p w14:paraId="518B4AAC" w14:textId="77777777" w:rsidR="005C332D" w:rsidRDefault="005C332D">
            <w:pPr>
              <w:rPr>
                <w:rFonts w:ascii="宋体"/>
              </w:rPr>
            </w:pPr>
          </w:p>
        </w:tc>
        <w:tc>
          <w:tcPr>
            <w:tcW w:w="5" w:type="pct"/>
            <w:shd w:val="clear" w:color="auto" w:fill="auto"/>
            <w:vAlign w:val="bottom"/>
          </w:tcPr>
          <w:p w14:paraId="518B4AAD" w14:textId="77777777" w:rsidR="005C332D" w:rsidRDefault="005C332D">
            <w:pPr>
              <w:rPr>
                <w:rFonts w:ascii="宋体"/>
              </w:rPr>
            </w:pPr>
          </w:p>
        </w:tc>
        <w:tc>
          <w:tcPr>
            <w:tcW w:w="50" w:type="pct"/>
            <w:shd w:val="clear" w:color="auto" w:fill="auto"/>
            <w:vAlign w:val="bottom"/>
          </w:tcPr>
          <w:p w14:paraId="518B4AAE" w14:textId="77777777" w:rsidR="005C332D" w:rsidRDefault="005C332D">
            <w:pPr>
              <w:rPr>
                <w:rFonts w:ascii="宋体"/>
              </w:rPr>
            </w:pPr>
          </w:p>
        </w:tc>
        <w:tc>
          <w:tcPr>
            <w:tcW w:w="414" w:type="pct"/>
            <w:shd w:val="clear" w:color="auto" w:fill="auto"/>
            <w:vAlign w:val="bottom"/>
          </w:tcPr>
          <w:p w14:paraId="518B4AAF" w14:textId="77777777" w:rsidR="005C332D" w:rsidRDefault="005C332D">
            <w:pPr>
              <w:rPr>
                <w:rFonts w:ascii="宋体"/>
              </w:rPr>
            </w:pPr>
          </w:p>
        </w:tc>
        <w:tc>
          <w:tcPr>
            <w:tcW w:w="5" w:type="pct"/>
            <w:shd w:val="clear" w:color="auto" w:fill="auto"/>
            <w:vAlign w:val="bottom"/>
          </w:tcPr>
          <w:p w14:paraId="518B4AB0" w14:textId="77777777" w:rsidR="005C332D" w:rsidRDefault="005C332D">
            <w:pPr>
              <w:rPr>
                <w:rFonts w:ascii="宋体"/>
              </w:rPr>
            </w:pPr>
          </w:p>
        </w:tc>
        <w:tc>
          <w:tcPr>
            <w:tcW w:w="5" w:type="pct"/>
            <w:shd w:val="clear" w:color="auto" w:fill="auto"/>
            <w:vAlign w:val="bottom"/>
          </w:tcPr>
          <w:p w14:paraId="518B4AB1" w14:textId="77777777" w:rsidR="005C332D" w:rsidRDefault="005C332D">
            <w:pPr>
              <w:rPr>
                <w:rFonts w:ascii="宋体"/>
              </w:rPr>
            </w:pPr>
          </w:p>
        </w:tc>
        <w:tc>
          <w:tcPr>
            <w:tcW w:w="19" w:type="pct"/>
            <w:shd w:val="clear" w:color="auto" w:fill="auto"/>
            <w:vAlign w:val="bottom"/>
          </w:tcPr>
          <w:p w14:paraId="518B4AB2" w14:textId="77777777" w:rsidR="005C332D" w:rsidRDefault="005C332D">
            <w:pPr>
              <w:rPr>
                <w:rFonts w:ascii="宋体"/>
              </w:rPr>
            </w:pPr>
          </w:p>
        </w:tc>
        <w:tc>
          <w:tcPr>
            <w:tcW w:w="5" w:type="pct"/>
            <w:shd w:val="clear" w:color="auto" w:fill="auto"/>
            <w:vAlign w:val="bottom"/>
          </w:tcPr>
          <w:p w14:paraId="518B4AB3" w14:textId="77777777" w:rsidR="005C332D" w:rsidRDefault="005C332D">
            <w:pPr>
              <w:rPr>
                <w:rFonts w:ascii="宋体"/>
              </w:rPr>
            </w:pPr>
          </w:p>
        </w:tc>
        <w:tc>
          <w:tcPr>
            <w:tcW w:w="50" w:type="pct"/>
            <w:shd w:val="clear" w:color="auto" w:fill="auto"/>
            <w:vAlign w:val="bottom"/>
          </w:tcPr>
          <w:p w14:paraId="518B4AB4" w14:textId="77777777" w:rsidR="005C332D" w:rsidRDefault="005C332D">
            <w:pPr>
              <w:rPr>
                <w:rFonts w:ascii="宋体"/>
              </w:rPr>
            </w:pPr>
          </w:p>
        </w:tc>
        <w:tc>
          <w:tcPr>
            <w:tcW w:w="414" w:type="pct"/>
            <w:shd w:val="clear" w:color="auto" w:fill="auto"/>
            <w:vAlign w:val="bottom"/>
          </w:tcPr>
          <w:p w14:paraId="518B4AB5" w14:textId="77777777" w:rsidR="005C332D" w:rsidRDefault="005C332D">
            <w:pPr>
              <w:rPr>
                <w:rFonts w:ascii="宋体"/>
              </w:rPr>
            </w:pPr>
          </w:p>
        </w:tc>
        <w:tc>
          <w:tcPr>
            <w:tcW w:w="5" w:type="pct"/>
            <w:shd w:val="clear" w:color="auto" w:fill="auto"/>
            <w:vAlign w:val="bottom"/>
          </w:tcPr>
          <w:p w14:paraId="518B4AB6" w14:textId="77777777" w:rsidR="005C332D" w:rsidRDefault="005C332D">
            <w:pPr>
              <w:rPr>
                <w:rFonts w:ascii="宋体"/>
              </w:rPr>
            </w:pPr>
          </w:p>
        </w:tc>
        <w:tc>
          <w:tcPr>
            <w:tcW w:w="5" w:type="pct"/>
            <w:shd w:val="clear" w:color="auto" w:fill="auto"/>
            <w:vAlign w:val="bottom"/>
          </w:tcPr>
          <w:p w14:paraId="518B4AB7" w14:textId="77777777" w:rsidR="005C332D" w:rsidRDefault="005C332D">
            <w:pPr>
              <w:rPr>
                <w:rFonts w:ascii="宋体"/>
              </w:rPr>
            </w:pPr>
          </w:p>
        </w:tc>
        <w:tc>
          <w:tcPr>
            <w:tcW w:w="19" w:type="pct"/>
            <w:shd w:val="clear" w:color="auto" w:fill="auto"/>
            <w:vAlign w:val="bottom"/>
          </w:tcPr>
          <w:p w14:paraId="518B4AB8" w14:textId="77777777" w:rsidR="005C332D" w:rsidRDefault="005C332D">
            <w:pPr>
              <w:rPr>
                <w:rFonts w:ascii="宋体"/>
              </w:rPr>
            </w:pPr>
          </w:p>
        </w:tc>
        <w:tc>
          <w:tcPr>
            <w:tcW w:w="5" w:type="pct"/>
            <w:shd w:val="clear" w:color="auto" w:fill="auto"/>
            <w:vAlign w:val="bottom"/>
          </w:tcPr>
          <w:p w14:paraId="518B4AB9" w14:textId="77777777" w:rsidR="005C332D" w:rsidRDefault="005C332D">
            <w:pPr>
              <w:rPr>
                <w:rFonts w:ascii="宋体"/>
              </w:rPr>
            </w:pPr>
          </w:p>
        </w:tc>
        <w:tc>
          <w:tcPr>
            <w:tcW w:w="50" w:type="pct"/>
            <w:shd w:val="clear" w:color="auto" w:fill="auto"/>
            <w:vAlign w:val="bottom"/>
          </w:tcPr>
          <w:p w14:paraId="518B4ABA" w14:textId="77777777" w:rsidR="005C332D" w:rsidRDefault="005C332D">
            <w:pPr>
              <w:rPr>
                <w:rFonts w:ascii="宋体"/>
              </w:rPr>
            </w:pPr>
          </w:p>
        </w:tc>
        <w:tc>
          <w:tcPr>
            <w:tcW w:w="393" w:type="pct"/>
            <w:shd w:val="clear" w:color="auto" w:fill="auto"/>
            <w:vAlign w:val="bottom"/>
          </w:tcPr>
          <w:p w14:paraId="518B4ABB" w14:textId="77777777" w:rsidR="005C332D" w:rsidRDefault="005C332D">
            <w:pPr>
              <w:rPr>
                <w:rFonts w:ascii="宋体"/>
              </w:rPr>
            </w:pPr>
          </w:p>
        </w:tc>
        <w:tc>
          <w:tcPr>
            <w:tcW w:w="5" w:type="pct"/>
            <w:shd w:val="clear" w:color="auto" w:fill="auto"/>
            <w:vAlign w:val="bottom"/>
          </w:tcPr>
          <w:p w14:paraId="518B4ABC" w14:textId="77777777" w:rsidR="005C332D" w:rsidRDefault="005C332D">
            <w:pPr>
              <w:rPr>
                <w:rFonts w:ascii="宋体"/>
              </w:rPr>
            </w:pPr>
          </w:p>
        </w:tc>
      </w:tr>
      <w:tr w:rsidR="005C332D" w14:paraId="518B4AC5" w14:textId="77777777">
        <w:tc>
          <w:tcPr>
            <w:tcW w:w="0" w:type="auto"/>
            <w:gridSpan w:val="3"/>
            <w:shd w:val="clear" w:color="auto" w:fill="auto"/>
            <w:tcMar>
              <w:top w:w="0" w:type="dxa"/>
              <w:left w:w="20" w:type="dxa"/>
              <w:bottom w:w="0" w:type="dxa"/>
              <w:right w:w="20" w:type="dxa"/>
            </w:tcMar>
            <w:vAlign w:val="bottom"/>
          </w:tcPr>
          <w:p w14:paraId="518B4ABE"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ABF"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AC0" w14:textId="77777777" w:rsidR="005C332D" w:rsidRDefault="00B93EAE">
            <w:pPr>
              <w:jc w:val="center"/>
              <w:textAlignment w:val="bottom"/>
            </w:pPr>
            <w:r>
              <w:rPr>
                <w:rFonts w:ascii="Times New Roman" w:eastAsia="宋体" w:hAnsi="Times New Roman"/>
                <w:color w:val="000000"/>
                <w:sz w:val="18"/>
                <w:szCs w:val="18"/>
              </w:rPr>
              <w:t>Years Ended</w:t>
            </w:r>
          </w:p>
        </w:tc>
        <w:tc>
          <w:tcPr>
            <w:tcW w:w="0" w:type="auto"/>
            <w:gridSpan w:val="3"/>
            <w:shd w:val="clear" w:color="auto" w:fill="auto"/>
            <w:tcMar>
              <w:top w:w="0" w:type="dxa"/>
              <w:left w:w="20" w:type="dxa"/>
              <w:bottom w:w="0" w:type="dxa"/>
              <w:right w:w="20" w:type="dxa"/>
            </w:tcMar>
            <w:vAlign w:val="bottom"/>
          </w:tcPr>
          <w:p w14:paraId="518B4AC1"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4AC2" w14:textId="77777777" w:rsidR="005C332D" w:rsidRDefault="00B93EAE">
            <w:pPr>
              <w:jc w:val="center"/>
              <w:textAlignment w:val="bottom"/>
            </w:pPr>
            <w:r>
              <w:rPr>
                <w:rFonts w:ascii="Times New Roman" w:eastAsia="宋体" w:hAnsi="Times New Roman"/>
                <w:color w:val="000000"/>
                <w:sz w:val="18"/>
                <w:szCs w:val="18"/>
              </w:rPr>
              <w:t>2022 v</w:t>
            </w:r>
            <w:r>
              <w:rPr>
                <w:rFonts w:ascii="Times New Roman" w:eastAsia="宋体" w:hAnsi="Times New Roman"/>
                <w:color w:val="000000"/>
                <w:sz w:val="18"/>
                <w:szCs w:val="18"/>
              </w:rPr>
              <w:t>s. 2021</w:t>
            </w:r>
          </w:p>
        </w:tc>
        <w:tc>
          <w:tcPr>
            <w:tcW w:w="0" w:type="auto"/>
            <w:gridSpan w:val="3"/>
            <w:shd w:val="clear" w:color="auto" w:fill="auto"/>
            <w:tcMar>
              <w:top w:w="0" w:type="dxa"/>
              <w:left w:w="20" w:type="dxa"/>
              <w:bottom w:w="0" w:type="dxa"/>
              <w:right w:w="20" w:type="dxa"/>
            </w:tcMar>
            <w:vAlign w:val="bottom"/>
          </w:tcPr>
          <w:p w14:paraId="518B4AC3"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4AC4" w14:textId="77777777" w:rsidR="005C332D" w:rsidRDefault="00B93EAE">
            <w:pPr>
              <w:jc w:val="center"/>
              <w:textAlignment w:val="bottom"/>
            </w:pPr>
            <w:r>
              <w:rPr>
                <w:rFonts w:ascii="Times New Roman" w:eastAsia="宋体" w:hAnsi="Times New Roman"/>
                <w:color w:val="000000"/>
                <w:sz w:val="18"/>
                <w:szCs w:val="18"/>
              </w:rPr>
              <w:t>2021 vs. 2020</w:t>
            </w:r>
          </w:p>
        </w:tc>
      </w:tr>
      <w:tr w:rsidR="005C332D" w14:paraId="518B4AD5" w14:textId="77777777">
        <w:tc>
          <w:tcPr>
            <w:tcW w:w="0" w:type="auto"/>
            <w:gridSpan w:val="3"/>
            <w:shd w:val="clear" w:color="auto" w:fill="auto"/>
            <w:tcMar>
              <w:top w:w="0" w:type="dxa"/>
              <w:left w:w="20" w:type="dxa"/>
              <w:bottom w:w="0" w:type="dxa"/>
              <w:right w:w="20" w:type="dxa"/>
            </w:tcMar>
            <w:vAlign w:val="bottom"/>
          </w:tcPr>
          <w:p w14:paraId="518B4AC6"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AC7"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AC8"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AC9"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ACA"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ACB"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ACC"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auto"/>
            <w:tcMar>
              <w:top w:w="0" w:type="dxa"/>
              <w:left w:w="20" w:type="dxa"/>
              <w:bottom w:w="0" w:type="dxa"/>
              <w:right w:w="20" w:type="dxa"/>
            </w:tcMar>
            <w:vAlign w:val="bottom"/>
          </w:tcPr>
          <w:p w14:paraId="518B4ACD"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ACE" w14:textId="77777777" w:rsidR="005C332D" w:rsidRDefault="00B93EAE">
            <w:pPr>
              <w:jc w:val="center"/>
              <w:textAlignment w:val="bottom"/>
            </w:pPr>
            <w:r>
              <w:rPr>
                <w:rFonts w:ascii="Times New Roman" w:eastAsia="宋体" w:hAnsi="Times New Roman"/>
                <w:color w:val="000000"/>
                <w:sz w:val="18"/>
                <w:szCs w:val="18"/>
              </w:rPr>
              <w:t>Variance 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ACF"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AD0" w14:textId="77777777" w:rsidR="005C332D" w:rsidRDefault="00B93EAE">
            <w:pPr>
              <w:jc w:val="center"/>
              <w:textAlignment w:val="bottom"/>
            </w:pPr>
            <w:r>
              <w:rPr>
                <w:rFonts w:ascii="Times New Roman" w:eastAsia="宋体" w:hAnsi="Times New Roman"/>
                <w:color w:val="000000"/>
                <w:sz w:val="18"/>
                <w:szCs w:val="18"/>
              </w:rPr>
              <w:t>Variance in Percent</w:t>
            </w:r>
          </w:p>
        </w:tc>
        <w:tc>
          <w:tcPr>
            <w:tcW w:w="0" w:type="auto"/>
            <w:gridSpan w:val="3"/>
            <w:shd w:val="clear" w:color="auto" w:fill="auto"/>
            <w:tcMar>
              <w:top w:w="0" w:type="dxa"/>
              <w:left w:w="20" w:type="dxa"/>
              <w:bottom w:w="0" w:type="dxa"/>
              <w:right w:w="20" w:type="dxa"/>
            </w:tcMar>
            <w:vAlign w:val="bottom"/>
          </w:tcPr>
          <w:p w14:paraId="518B4AD1"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AD2" w14:textId="77777777" w:rsidR="005C332D" w:rsidRDefault="00B93EAE">
            <w:pPr>
              <w:jc w:val="center"/>
              <w:textAlignment w:val="bottom"/>
            </w:pPr>
            <w:r>
              <w:rPr>
                <w:rFonts w:ascii="Times New Roman" w:eastAsia="宋体" w:hAnsi="Times New Roman"/>
                <w:color w:val="000000"/>
                <w:sz w:val="18"/>
                <w:szCs w:val="18"/>
              </w:rPr>
              <w:t>Variance 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AD3"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AD4" w14:textId="77777777" w:rsidR="005C332D" w:rsidRDefault="00B93EAE">
            <w:pPr>
              <w:jc w:val="center"/>
              <w:textAlignment w:val="bottom"/>
            </w:pPr>
            <w:r>
              <w:rPr>
                <w:rFonts w:ascii="Times New Roman" w:eastAsia="宋体" w:hAnsi="Times New Roman"/>
                <w:color w:val="000000"/>
                <w:sz w:val="18"/>
                <w:szCs w:val="18"/>
              </w:rPr>
              <w:t>Variance in Percent</w:t>
            </w:r>
          </w:p>
        </w:tc>
      </w:tr>
      <w:tr w:rsidR="005C332D" w14:paraId="518B4AE5" w14:textId="77777777">
        <w:tc>
          <w:tcPr>
            <w:tcW w:w="0" w:type="auto"/>
            <w:gridSpan w:val="3"/>
            <w:shd w:val="clear" w:color="auto" w:fill="FFFFFF"/>
            <w:tcMar>
              <w:top w:w="40" w:type="dxa"/>
              <w:left w:w="20" w:type="dxa"/>
              <w:bottom w:w="40" w:type="dxa"/>
              <w:right w:w="20" w:type="dxa"/>
            </w:tcMar>
            <w:vAlign w:val="bottom"/>
          </w:tcPr>
          <w:p w14:paraId="518B4AD6" w14:textId="77777777" w:rsidR="005C332D" w:rsidRDefault="00B93EAE">
            <w:pPr>
              <w:textAlignment w:val="bottom"/>
            </w:pPr>
            <w:r>
              <w:rPr>
                <w:rFonts w:ascii="Times New Roman" w:eastAsia="宋体" w:hAnsi="Times New Roman"/>
                <w:color w:val="000000"/>
                <w:sz w:val="20"/>
                <w:szCs w:val="20"/>
              </w:rPr>
              <w:t>Product revenue:</w:t>
            </w:r>
          </w:p>
        </w:tc>
        <w:tc>
          <w:tcPr>
            <w:tcW w:w="0" w:type="auto"/>
            <w:gridSpan w:val="3"/>
            <w:shd w:val="clear" w:color="auto" w:fill="FFFFFF"/>
            <w:tcMar>
              <w:top w:w="0" w:type="dxa"/>
              <w:left w:w="20" w:type="dxa"/>
              <w:bottom w:w="0" w:type="dxa"/>
              <w:right w:w="20" w:type="dxa"/>
            </w:tcMar>
            <w:vAlign w:val="bottom"/>
          </w:tcPr>
          <w:p w14:paraId="518B4AD7"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AD8" w14:textId="77777777" w:rsidR="005C332D" w:rsidRDefault="00B93EAE">
            <w:pPr>
              <w:textAlignment w:val="bottom"/>
            </w:pPr>
            <w:r>
              <w:rPr>
                <w:rFonts w:ascii="Times New Roman" w:eastAsia="宋体" w:hAnsi="Times New Roman"/>
                <w:b/>
                <w:bCs/>
                <w:color w:val="000000"/>
                <w:sz w:val="20"/>
                <w:szCs w:val="20"/>
              </w:rPr>
              <w:t> </w:t>
            </w:r>
          </w:p>
        </w:tc>
        <w:tc>
          <w:tcPr>
            <w:tcW w:w="0" w:type="auto"/>
            <w:gridSpan w:val="3"/>
            <w:shd w:val="clear" w:color="auto" w:fill="FFFFFF"/>
            <w:tcMar>
              <w:top w:w="0" w:type="dxa"/>
              <w:left w:w="20" w:type="dxa"/>
              <w:bottom w:w="0" w:type="dxa"/>
              <w:right w:w="20" w:type="dxa"/>
            </w:tcMar>
            <w:vAlign w:val="bottom"/>
          </w:tcPr>
          <w:p w14:paraId="518B4AD9"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ADA" w14:textId="77777777" w:rsidR="005C332D" w:rsidRDefault="00B93EAE">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18B4ADB"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ADC" w14:textId="77777777" w:rsidR="005C332D" w:rsidRDefault="00B93EAE">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18B4ADD"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ADE" w14:textId="77777777" w:rsidR="005C332D" w:rsidRDefault="00B93EAE">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18B4ADF"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AE0" w14:textId="77777777" w:rsidR="005C332D" w:rsidRDefault="00B93EAE">
            <w:pPr>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518B4AE1"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AE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AE3"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AE4" w14:textId="77777777" w:rsidR="005C332D" w:rsidRDefault="005C332D">
            <w:pPr>
              <w:rPr>
                <w:rFonts w:ascii="宋体"/>
              </w:rPr>
            </w:pPr>
          </w:p>
        </w:tc>
      </w:tr>
      <w:tr w:rsidR="005C332D" w14:paraId="518B4B01" w14:textId="77777777">
        <w:tc>
          <w:tcPr>
            <w:tcW w:w="0" w:type="auto"/>
            <w:gridSpan w:val="3"/>
            <w:shd w:val="clear" w:color="auto" w:fill="CCEEFF"/>
            <w:tcMar>
              <w:top w:w="40" w:type="dxa"/>
              <w:left w:w="155" w:type="dxa"/>
              <w:bottom w:w="40" w:type="dxa"/>
              <w:right w:w="20" w:type="dxa"/>
            </w:tcMar>
            <w:vAlign w:val="bottom"/>
          </w:tcPr>
          <w:p w14:paraId="518B4AE6" w14:textId="77777777" w:rsidR="005C332D" w:rsidRDefault="00B93EAE">
            <w:pPr>
              <w:textAlignment w:val="bottom"/>
            </w:pPr>
            <w:r>
              <w:rPr>
                <w:rFonts w:ascii="Times New Roman" w:eastAsia="宋体" w:hAnsi="Times New Roman"/>
                <w:color w:val="000000"/>
                <w:sz w:val="20"/>
                <w:szCs w:val="20"/>
              </w:rPr>
              <w:t>Secure, Agile Networks</w:t>
            </w:r>
          </w:p>
        </w:tc>
        <w:tc>
          <w:tcPr>
            <w:tcW w:w="0" w:type="auto"/>
            <w:gridSpan w:val="3"/>
            <w:shd w:val="clear" w:color="auto" w:fill="CCEEFF"/>
            <w:tcMar>
              <w:top w:w="0" w:type="dxa"/>
              <w:left w:w="20" w:type="dxa"/>
              <w:bottom w:w="0" w:type="dxa"/>
              <w:right w:w="20" w:type="dxa"/>
            </w:tcMar>
            <w:vAlign w:val="bottom"/>
          </w:tcPr>
          <w:p w14:paraId="518B4AE7"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AE8"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AE9" w14:textId="77777777" w:rsidR="005C332D" w:rsidRDefault="00B93EAE">
            <w:pPr>
              <w:jc w:val="right"/>
              <w:textAlignment w:val="bottom"/>
            </w:pPr>
            <w:r>
              <w:rPr>
                <w:rFonts w:ascii="Times New Roman" w:eastAsia="宋体" w:hAnsi="Times New Roman"/>
                <w:b/>
                <w:bCs/>
                <w:color w:val="000000"/>
                <w:sz w:val="20"/>
                <w:szCs w:val="20"/>
              </w:rPr>
              <w:t>23,829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AE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EB"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AEC"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AED" w14:textId="77777777" w:rsidR="005C332D" w:rsidRDefault="00B93EAE">
            <w:pPr>
              <w:jc w:val="right"/>
              <w:textAlignment w:val="bottom"/>
            </w:pPr>
            <w:r>
              <w:rPr>
                <w:rFonts w:ascii="Times New Roman" w:eastAsia="宋体" w:hAnsi="Times New Roman"/>
                <w:color w:val="000000"/>
                <w:sz w:val="20"/>
                <w:szCs w:val="20"/>
              </w:rPr>
              <w:t>22,722 </w:t>
            </w:r>
          </w:p>
        </w:tc>
        <w:tc>
          <w:tcPr>
            <w:tcW w:w="0" w:type="auto"/>
            <w:shd w:val="clear" w:color="auto" w:fill="CCEEFF"/>
            <w:tcMar>
              <w:top w:w="40" w:type="dxa"/>
              <w:left w:w="0" w:type="dxa"/>
              <w:bottom w:w="40" w:type="dxa"/>
              <w:right w:w="20" w:type="dxa"/>
            </w:tcMar>
            <w:vAlign w:val="bottom"/>
          </w:tcPr>
          <w:p w14:paraId="518B4AE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EF"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AF0"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AF1" w14:textId="77777777" w:rsidR="005C332D" w:rsidRDefault="00B93EAE">
            <w:pPr>
              <w:jc w:val="right"/>
              <w:textAlignment w:val="bottom"/>
            </w:pPr>
            <w:r>
              <w:rPr>
                <w:rFonts w:ascii="Times New Roman" w:eastAsia="宋体" w:hAnsi="Times New Roman"/>
                <w:color w:val="000000"/>
                <w:sz w:val="20"/>
                <w:szCs w:val="20"/>
              </w:rPr>
              <w:t>23,265 </w:t>
            </w:r>
          </w:p>
        </w:tc>
        <w:tc>
          <w:tcPr>
            <w:tcW w:w="0" w:type="auto"/>
            <w:shd w:val="clear" w:color="auto" w:fill="CCEEFF"/>
            <w:tcMar>
              <w:top w:w="40" w:type="dxa"/>
              <w:left w:w="0" w:type="dxa"/>
              <w:bottom w:w="40" w:type="dxa"/>
              <w:right w:w="20" w:type="dxa"/>
            </w:tcMar>
            <w:vAlign w:val="bottom"/>
          </w:tcPr>
          <w:p w14:paraId="518B4AF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F3"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AF4"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AF5" w14:textId="77777777" w:rsidR="005C332D" w:rsidRDefault="00B93EAE">
            <w:pPr>
              <w:jc w:val="right"/>
              <w:textAlignment w:val="bottom"/>
            </w:pPr>
            <w:r>
              <w:rPr>
                <w:rFonts w:ascii="Times New Roman" w:eastAsia="宋体" w:hAnsi="Times New Roman"/>
                <w:color w:val="000000"/>
                <w:sz w:val="20"/>
                <w:szCs w:val="20"/>
              </w:rPr>
              <w:t>1,107 </w:t>
            </w:r>
          </w:p>
        </w:tc>
        <w:tc>
          <w:tcPr>
            <w:tcW w:w="0" w:type="auto"/>
            <w:shd w:val="clear" w:color="auto" w:fill="CCEEFF"/>
            <w:tcMar>
              <w:top w:w="40" w:type="dxa"/>
              <w:left w:w="0" w:type="dxa"/>
              <w:bottom w:w="40" w:type="dxa"/>
              <w:right w:w="20" w:type="dxa"/>
            </w:tcMar>
            <w:vAlign w:val="bottom"/>
          </w:tcPr>
          <w:p w14:paraId="518B4AF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F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F8" w14:textId="77777777" w:rsidR="005C332D" w:rsidRDefault="00B93EAE">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518B4AF9"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AFA"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AF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AFC" w14:textId="77777777" w:rsidR="005C332D" w:rsidRDefault="00B93EAE">
            <w:pPr>
              <w:jc w:val="right"/>
              <w:textAlignment w:val="bottom"/>
            </w:pPr>
            <w:r>
              <w:rPr>
                <w:rFonts w:ascii="Times New Roman" w:eastAsia="宋体" w:hAnsi="Times New Roman"/>
                <w:color w:val="000000"/>
                <w:sz w:val="20"/>
                <w:szCs w:val="20"/>
              </w:rPr>
              <w:t>(543)</w:t>
            </w:r>
          </w:p>
        </w:tc>
        <w:tc>
          <w:tcPr>
            <w:tcW w:w="0" w:type="auto"/>
            <w:shd w:val="clear" w:color="auto" w:fill="CCEEFF"/>
            <w:tcMar>
              <w:top w:w="40" w:type="dxa"/>
              <w:left w:w="0" w:type="dxa"/>
              <w:bottom w:w="40" w:type="dxa"/>
              <w:right w:w="20" w:type="dxa"/>
            </w:tcMar>
            <w:vAlign w:val="bottom"/>
          </w:tcPr>
          <w:p w14:paraId="518B4AF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AF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AFF"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518B4B00"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B18" w14:textId="77777777">
        <w:tc>
          <w:tcPr>
            <w:tcW w:w="0" w:type="auto"/>
            <w:gridSpan w:val="3"/>
            <w:shd w:val="clear" w:color="auto" w:fill="FFFFFF"/>
            <w:tcMar>
              <w:top w:w="40" w:type="dxa"/>
              <w:left w:w="155" w:type="dxa"/>
              <w:bottom w:w="40" w:type="dxa"/>
              <w:right w:w="20" w:type="dxa"/>
            </w:tcMar>
            <w:vAlign w:val="bottom"/>
          </w:tcPr>
          <w:p w14:paraId="518B4B02" w14:textId="77777777" w:rsidR="005C332D" w:rsidRDefault="00B93EAE">
            <w:pPr>
              <w:textAlignment w:val="bottom"/>
            </w:pPr>
            <w:r>
              <w:rPr>
                <w:rFonts w:ascii="Times New Roman" w:eastAsia="宋体" w:hAnsi="Times New Roman"/>
                <w:color w:val="000000"/>
                <w:sz w:val="20"/>
                <w:szCs w:val="20"/>
              </w:rPr>
              <w:t>Internet for the Future</w:t>
            </w:r>
          </w:p>
        </w:tc>
        <w:tc>
          <w:tcPr>
            <w:tcW w:w="0" w:type="auto"/>
            <w:gridSpan w:val="3"/>
            <w:shd w:val="clear" w:color="auto" w:fill="FFFFFF"/>
            <w:tcMar>
              <w:top w:w="0" w:type="dxa"/>
              <w:left w:w="20" w:type="dxa"/>
              <w:bottom w:w="0" w:type="dxa"/>
              <w:right w:w="20" w:type="dxa"/>
            </w:tcMar>
            <w:vAlign w:val="bottom"/>
          </w:tcPr>
          <w:p w14:paraId="518B4B0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04" w14:textId="77777777" w:rsidR="005C332D" w:rsidRDefault="00B93EAE">
            <w:pPr>
              <w:jc w:val="right"/>
              <w:textAlignment w:val="bottom"/>
            </w:pPr>
            <w:r>
              <w:rPr>
                <w:rFonts w:ascii="Times New Roman" w:eastAsia="宋体" w:hAnsi="Times New Roman"/>
                <w:b/>
                <w:bCs/>
                <w:color w:val="000000"/>
                <w:sz w:val="20"/>
                <w:szCs w:val="20"/>
              </w:rPr>
              <w:t>5,278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B0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0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07" w14:textId="77777777" w:rsidR="005C332D" w:rsidRDefault="00B93EAE">
            <w:pPr>
              <w:jc w:val="right"/>
              <w:textAlignment w:val="bottom"/>
            </w:pPr>
            <w:r>
              <w:rPr>
                <w:rFonts w:ascii="Times New Roman" w:eastAsia="宋体" w:hAnsi="Times New Roman"/>
                <w:color w:val="000000"/>
                <w:sz w:val="20"/>
                <w:szCs w:val="20"/>
              </w:rPr>
              <w:t>4,514 </w:t>
            </w:r>
          </w:p>
        </w:tc>
        <w:tc>
          <w:tcPr>
            <w:tcW w:w="0" w:type="auto"/>
            <w:shd w:val="clear" w:color="auto" w:fill="FFFFFF"/>
            <w:tcMar>
              <w:top w:w="40" w:type="dxa"/>
              <w:left w:w="0" w:type="dxa"/>
              <w:bottom w:w="40" w:type="dxa"/>
              <w:right w:w="20" w:type="dxa"/>
            </w:tcMar>
            <w:vAlign w:val="bottom"/>
          </w:tcPr>
          <w:p w14:paraId="518B4B0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0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0A" w14:textId="77777777" w:rsidR="005C332D" w:rsidRDefault="00B93EAE">
            <w:pPr>
              <w:jc w:val="right"/>
              <w:textAlignment w:val="bottom"/>
            </w:pPr>
            <w:r>
              <w:rPr>
                <w:rFonts w:ascii="Times New Roman" w:eastAsia="宋体" w:hAnsi="Times New Roman"/>
                <w:color w:val="000000"/>
                <w:sz w:val="20"/>
                <w:szCs w:val="20"/>
              </w:rPr>
              <w:t>4,180 </w:t>
            </w:r>
          </w:p>
        </w:tc>
        <w:tc>
          <w:tcPr>
            <w:tcW w:w="0" w:type="auto"/>
            <w:shd w:val="clear" w:color="auto" w:fill="FFFFFF"/>
            <w:tcMar>
              <w:top w:w="40" w:type="dxa"/>
              <w:left w:w="0" w:type="dxa"/>
              <w:bottom w:w="40" w:type="dxa"/>
              <w:right w:w="20" w:type="dxa"/>
            </w:tcMar>
            <w:vAlign w:val="bottom"/>
          </w:tcPr>
          <w:p w14:paraId="518B4B0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0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0D" w14:textId="77777777" w:rsidR="005C332D" w:rsidRDefault="00B93EAE">
            <w:pPr>
              <w:jc w:val="right"/>
              <w:textAlignment w:val="bottom"/>
            </w:pPr>
            <w:r>
              <w:rPr>
                <w:rFonts w:ascii="Times New Roman" w:eastAsia="宋体" w:hAnsi="Times New Roman"/>
                <w:color w:val="000000"/>
                <w:sz w:val="20"/>
                <w:szCs w:val="20"/>
              </w:rPr>
              <w:t>764 </w:t>
            </w:r>
          </w:p>
        </w:tc>
        <w:tc>
          <w:tcPr>
            <w:tcW w:w="0" w:type="auto"/>
            <w:shd w:val="clear" w:color="auto" w:fill="FFFFFF"/>
            <w:tcMar>
              <w:top w:w="40" w:type="dxa"/>
              <w:left w:w="0" w:type="dxa"/>
              <w:bottom w:w="40" w:type="dxa"/>
              <w:right w:w="20" w:type="dxa"/>
            </w:tcMar>
            <w:vAlign w:val="bottom"/>
          </w:tcPr>
          <w:p w14:paraId="518B4B0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0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10" w14:textId="77777777" w:rsidR="005C332D" w:rsidRDefault="00B93EAE">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518B4B11"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B1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13" w14:textId="77777777" w:rsidR="005C332D" w:rsidRDefault="00B93EAE">
            <w:pPr>
              <w:jc w:val="right"/>
              <w:textAlignment w:val="bottom"/>
            </w:pPr>
            <w:r>
              <w:rPr>
                <w:rFonts w:ascii="Times New Roman" w:eastAsia="宋体" w:hAnsi="Times New Roman"/>
                <w:color w:val="000000"/>
                <w:sz w:val="20"/>
                <w:szCs w:val="20"/>
              </w:rPr>
              <w:t>334 </w:t>
            </w:r>
          </w:p>
        </w:tc>
        <w:tc>
          <w:tcPr>
            <w:tcW w:w="0" w:type="auto"/>
            <w:shd w:val="clear" w:color="auto" w:fill="FFFFFF"/>
            <w:tcMar>
              <w:top w:w="40" w:type="dxa"/>
              <w:left w:w="0" w:type="dxa"/>
              <w:bottom w:w="40" w:type="dxa"/>
              <w:right w:w="20" w:type="dxa"/>
            </w:tcMar>
            <w:vAlign w:val="bottom"/>
          </w:tcPr>
          <w:p w14:paraId="518B4B1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1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16" w14:textId="77777777" w:rsidR="005C332D" w:rsidRDefault="00B93EAE">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518B4B17"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B2F" w14:textId="77777777">
        <w:tc>
          <w:tcPr>
            <w:tcW w:w="0" w:type="auto"/>
            <w:gridSpan w:val="3"/>
            <w:shd w:val="clear" w:color="auto" w:fill="CCEEFF"/>
            <w:tcMar>
              <w:top w:w="40" w:type="dxa"/>
              <w:left w:w="155" w:type="dxa"/>
              <w:bottom w:w="40" w:type="dxa"/>
              <w:right w:w="20" w:type="dxa"/>
            </w:tcMar>
            <w:vAlign w:val="bottom"/>
          </w:tcPr>
          <w:p w14:paraId="518B4B19" w14:textId="77777777" w:rsidR="005C332D" w:rsidRDefault="00B93EAE">
            <w:pPr>
              <w:textAlignment w:val="bottom"/>
            </w:pPr>
            <w:r>
              <w:rPr>
                <w:rFonts w:ascii="Times New Roman" w:eastAsia="宋体" w:hAnsi="Times New Roman"/>
                <w:color w:val="000000"/>
                <w:sz w:val="20"/>
                <w:szCs w:val="20"/>
              </w:rPr>
              <w:t>Collaboration</w:t>
            </w:r>
          </w:p>
        </w:tc>
        <w:tc>
          <w:tcPr>
            <w:tcW w:w="0" w:type="auto"/>
            <w:gridSpan w:val="3"/>
            <w:shd w:val="clear" w:color="auto" w:fill="CCEEFF"/>
            <w:tcMar>
              <w:top w:w="0" w:type="dxa"/>
              <w:left w:w="20" w:type="dxa"/>
              <w:bottom w:w="0" w:type="dxa"/>
              <w:right w:w="20" w:type="dxa"/>
            </w:tcMar>
            <w:vAlign w:val="bottom"/>
          </w:tcPr>
          <w:p w14:paraId="518B4B1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1B" w14:textId="77777777" w:rsidR="005C332D" w:rsidRDefault="00B93EAE">
            <w:pPr>
              <w:jc w:val="right"/>
              <w:textAlignment w:val="bottom"/>
            </w:pPr>
            <w:r>
              <w:rPr>
                <w:rFonts w:ascii="Times New Roman" w:eastAsia="宋体" w:hAnsi="Times New Roman"/>
                <w:b/>
                <w:bCs/>
                <w:color w:val="000000"/>
                <w:sz w:val="20"/>
                <w:szCs w:val="20"/>
              </w:rPr>
              <w:t>4,472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B1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1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1E" w14:textId="77777777" w:rsidR="005C332D" w:rsidRDefault="00B93EAE">
            <w:pPr>
              <w:jc w:val="right"/>
              <w:textAlignment w:val="bottom"/>
            </w:pPr>
            <w:r>
              <w:rPr>
                <w:rFonts w:ascii="Times New Roman" w:eastAsia="宋体" w:hAnsi="Times New Roman"/>
                <w:color w:val="000000"/>
                <w:sz w:val="20"/>
                <w:szCs w:val="20"/>
              </w:rPr>
              <w:t>4,727 </w:t>
            </w:r>
          </w:p>
        </w:tc>
        <w:tc>
          <w:tcPr>
            <w:tcW w:w="0" w:type="auto"/>
            <w:shd w:val="clear" w:color="auto" w:fill="CCEEFF"/>
            <w:tcMar>
              <w:top w:w="40" w:type="dxa"/>
              <w:left w:w="0" w:type="dxa"/>
              <w:bottom w:w="40" w:type="dxa"/>
              <w:right w:w="20" w:type="dxa"/>
            </w:tcMar>
            <w:vAlign w:val="bottom"/>
          </w:tcPr>
          <w:p w14:paraId="518B4B1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2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21" w14:textId="77777777" w:rsidR="005C332D" w:rsidRDefault="00B93EAE">
            <w:pPr>
              <w:jc w:val="right"/>
              <w:textAlignment w:val="bottom"/>
            </w:pPr>
            <w:r>
              <w:rPr>
                <w:rFonts w:ascii="Times New Roman" w:eastAsia="宋体" w:hAnsi="Times New Roman"/>
                <w:color w:val="000000"/>
                <w:sz w:val="20"/>
                <w:szCs w:val="20"/>
              </w:rPr>
              <w:t>4,823 </w:t>
            </w:r>
          </w:p>
        </w:tc>
        <w:tc>
          <w:tcPr>
            <w:tcW w:w="0" w:type="auto"/>
            <w:shd w:val="clear" w:color="auto" w:fill="CCEEFF"/>
            <w:tcMar>
              <w:top w:w="40" w:type="dxa"/>
              <w:left w:w="0" w:type="dxa"/>
              <w:bottom w:w="40" w:type="dxa"/>
              <w:right w:w="20" w:type="dxa"/>
            </w:tcMar>
            <w:vAlign w:val="bottom"/>
          </w:tcPr>
          <w:p w14:paraId="518B4B2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2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24" w14:textId="77777777" w:rsidR="005C332D" w:rsidRDefault="00B93EAE">
            <w:pPr>
              <w:jc w:val="right"/>
              <w:textAlignment w:val="bottom"/>
            </w:pPr>
            <w:r>
              <w:rPr>
                <w:rFonts w:ascii="Times New Roman" w:eastAsia="宋体" w:hAnsi="Times New Roman"/>
                <w:color w:val="000000"/>
                <w:sz w:val="20"/>
                <w:szCs w:val="20"/>
              </w:rPr>
              <w:t>(255)</w:t>
            </w:r>
          </w:p>
        </w:tc>
        <w:tc>
          <w:tcPr>
            <w:tcW w:w="0" w:type="auto"/>
            <w:shd w:val="clear" w:color="auto" w:fill="CCEEFF"/>
            <w:tcMar>
              <w:top w:w="40" w:type="dxa"/>
              <w:left w:w="0" w:type="dxa"/>
              <w:bottom w:w="40" w:type="dxa"/>
              <w:right w:w="20" w:type="dxa"/>
            </w:tcMar>
            <w:vAlign w:val="bottom"/>
          </w:tcPr>
          <w:p w14:paraId="518B4B2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2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27" w14:textId="77777777" w:rsidR="005C332D" w:rsidRDefault="00B93EAE">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518B4B28"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B2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2A" w14:textId="77777777" w:rsidR="005C332D" w:rsidRDefault="00B93EAE">
            <w:pPr>
              <w:jc w:val="right"/>
              <w:textAlignment w:val="bottom"/>
            </w:pPr>
            <w:r>
              <w:rPr>
                <w:rFonts w:ascii="Times New Roman" w:eastAsia="宋体" w:hAnsi="Times New Roman"/>
                <w:color w:val="000000"/>
                <w:sz w:val="20"/>
                <w:szCs w:val="20"/>
              </w:rPr>
              <w:t>(96)</w:t>
            </w:r>
          </w:p>
        </w:tc>
        <w:tc>
          <w:tcPr>
            <w:tcW w:w="0" w:type="auto"/>
            <w:shd w:val="clear" w:color="auto" w:fill="CCEEFF"/>
            <w:tcMar>
              <w:top w:w="40" w:type="dxa"/>
              <w:left w:w="0" w:type="dxa"/>
              <w:bottom w:w="40" w:type="dxa"/>
              <w:right w:w="20" w:type="dxa"/>
            </w:tcMar>
            <w:vAlign w:val="bottom"/>
          </w:tcPr>
          <w:p w14:paraId="518B4B2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2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2D"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518B4B2E"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B46" w14:textId="77777777">
        <w:tc>
          <w:tcPr>
            <w:tcW w:w="0" w:type="auto"/>
            <w:gridSpan w:val="3"/>
            <w:shd w:val="clear" w:color="auto" w:fill="FFFFFF"/>
            <w:tcMar>
              <w:top w:w="40" w:type="dxa"/>
              <w:left w:w="155" w:type="dxa"/>
              <w:bottom w:w="40" w:type="dxa"/>
              <w:right w:w="20" w:type="dxa"/>
            </w:tcMar>
            <w:vAlign w:val="bottom"/>
          </w:tcPr>
          <w:p w14:paraId="518B4B30" w14:textId="77777777" w:rsidR="005C332D" w:rsidRDefault="00B93EAE">
            <w:pPr>
              <w:textAlignment w:val="bottom"/>
            </w:pPr>
            <w:r>
              <w:rPr>
                <w:rFonts w:ascii="Times New Roman" w:eastAsia="宋体" w:hAnsi="Times New Roman"/>
                <w:color w:val="000000"/>
                <w:sz w:val="20"/>
                <w:szCs w:val="20"/>
              </w:rPr>
              <w:t>End-to-End Security</w:t>
            </w:r>
          </w:p>
        </w:tc>
        <w:tc>
          <w:tcPr>
            <w:tcW w:w="0" w:type="auto"/>
            <w:gridSpan w:val="3"/>
            <w:shd w:val="clear" w:color="auto" w:fill="FFFFFF"/>
            <w:tcMar>
              <w:top w:w="0" w:type="dxa"/>
              <w:left w:w="20" w:type="dxa"/>
              <w:bottom w:w="0" w:type="dxa"/>
              <w:right w:w="20" w:type="dxa"/>
            </w:tcMar>
            <w:vAlign w:val="bottom"/>
          </w:tcPr>
          <w:p w14:paraId="518B4B3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32" w14:textId="77777777" w:rsidR="005C332D" w:rsidRDefault="00B93EAE">
            <w:pPr>
              <w:jc w:val="right"/>
              <w:textAlignment w:val="bottom"/>
            </w:pPr>
            <w:r>
              <w:rPr>
                <w:rFonts w:ascii="Times New Roman" w:eastAsia="宋体" w:hAnsi="Times New Roman"/>
                <w:b/>
                <w:bCs/>
                <w:color w:val="000000"/>
                <w:sz w:val="20"/>
                <w:szCs w:val="20"/>
              </w:rPr>
              <w:t>3,699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B3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3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35" w14:textId="77777777" w:rsidR="005C332D" w:rsidRDefault="00B93EAE">
            <w:pPr>
              <w:jc w:val="right"/>
              <w:textAlignment w:val="bottom"/>
            </w:pPr>
            <w:r>
              <w:rPr>
                <w:rFonts w:ascii="Times New Roman" w:eastAsia="宋体" w:hAnsi="Times New Roman"/>
                <w:color w:val="000000"/>
                <w:sz w:val="20"/>
                <w:szCs w:val="20"/>
              </w:rPr>
              <w:t>3,3</w:t>
            </w:r>
            <w:r>
              <w:rPr>
                <w:rFonts w:ascii="Times New Roman" w:eastAsia="宋体" w:hAnsi="Times New Roman"/>
                <w:color w:val="000000"/>
                <w:sz w:val="20"/>
                <w:szCs w:val="20"/>
              </w:rPr>
              <w:t>82 </w:t>
            </w:r>
          </w:p>
        </w:tc>
        <w:tc>
          <w:tcPr>
            <w:tcW w:w="0" w:type="auto"/>
            <w:shd w:val="clear" w:color="auto" w:fill="FFFFFF"/>
            <w:tcMar>
              <w:top w:w="40" w:type="dxa"/>
              <w:left w:w="0" w:type="dxa"/>
              <w:bottom w:w="40" w:type="dxa"/>
              <w:right w:w="20" w:type="dxa"/>
            </w:tcMar>
            <w:vAlign w:val="bottom"/>
          </w:tcPr>
          <w:p w14:paraId="518B4B3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3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38" w14:textId="77777777" w:rsidR="005C332D" w:rsidRDefault="00B93EAE">
            <w:pPr>
              <w:jc w:val="right"/>
              <w:textAlignment w:val="bottom"/>
            </w:pPr>
            <w:r>
              <w:rPr>
                <w:rFonts w:ascii="Times New Roman" w:eastAsia="宋体" w:hAnsi="Times New Roman"/>
                <w:color w:val="000000"/>
                <w:sz w:val="20"/>
                <w:szCs w:val="20"/>
              </w:rPr>
              <w:t>3,158 </w:t>
            </w:r>
          </w:p>
        </w:tc>
        <w:tc>
          <w:tcPr>
            <w:tcW w:w="0" w:type="auto"/>
            <w:shd w:val="clear" w:color="auto" w:fill="FFFFFF"/>
            <w:tcMar>
              <w:top w:w="40" w:type="dxa"/>
              <w:left w:w="0" w:type="dxa"/>
              <w:bottom w:w="40" w:type="dxa"/>
              <w:right w:w="20" w:type="dxa"/>
            </w:tcMar>
            <w:vAlign w:val="bottom"/>
          </w:tcPr>
          <w:p w14:paraId="518B4B3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3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3B" w14:textId="77777777" w:rsidR="005C332D" w:rsidRDefault="00B93EAE">
            <w:pPr>
              <w:jc w:val="right"/>
              <w:textAlignment w:val="bottom"/>
            </w:pPr>
            <w:r>
              <w:rPr>
                <w:rFonts w:ascii="Times New Roman" w:eastAsia="宋体" w:hAnsi="Times New Roman"/>
                <w:color w:val="000000"/>
                <w:sz w:val="20"/>
                <w:szCs w:val="20"/>
              </w:rPr>
              <w:t>317 </w:t>
            </w:r>
          </w:p>
        </w:tc>
        <w:tc>
          <w:tcPr>
            <w:tcW w:w="0" w:type="auto"/>
            <w:shd w:val="clear" w:color="auto" w:fill="FFFFFF"/>
            <w:tcMar>
              <w:top w:w="40" w:type="dxa"/>
              <w:left w:w="0" w:type="dxa"/>
              <w:bottom w:w="40" w:type="dxa"/>
              <w:right w:w="20" w:type="dxa"/>
            </w:tcMar>
            <w:vAlign w:val="bottom"/>
          </w:tcPr>
          <w:p w14:paraId="518B4B3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3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3E" w14:textId="77777777" w:rsidR="005C332D" w:rsidRDefault="00B93EAE">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518B4B3F"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B4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41" w14:textId="77777777" w:rsidR="005C332D" w:rsidRDefault="00B93EAE">
            <w:pPr>
              <w:jc w:val="right"/>
              <w:textAlignment w:val="bottom"/>
            </w:pPr>
            <w:r>
              <w:rPr>
                <w:rFonts w:ascii="Times New Roman" w:eastAsia="宋体" w:hAnsi="Times New Roman"/>
                <w:color w:val="000000"/>
                <w:sz w:val="20"/>
                <w:szCs w:val="20"/>
              </w:rPr>
              <w:t>224 </w:t>
            </w:r>
          </w:p>
        </w:tc>
        <w:tc>
          <w:tcPr>
            <w:tcW w:w="0" w:type="auto"/>
            <w:shd w:val="clear" w:color="auto" w:fill="FFFFFF"/>
            <w:tcMar>
              <w:top w:w="40" w:type="dxa"/>
              <w:left w:w="0" w:type="dxa"/>
              <w:bottom w:w="40" w:type="dxa"/>
              <w:right w:w="20" w:type="dxa"/>
            </w:tcMar>
            <w:vAlign w:val="bottom"/>
          </w:tcPr>
          <w:p w14:paraId="518B4B4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4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44" w14:textId="77777777" w:rsidR="005C332D" w:rsidRDefault="00B93EAE">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518B4B45"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B5D" w14:textId="77777777">
        <w:tc>
          <w:tcPr>
            <w:tcW w:w="0" w:type="auto"/>
            <w:gridSpan w:val="3"/>
            <w:shd w:val="clear" w:color="auto" w:fill="CCEEFF"/>
            <w:tcMar>
              <w:top w:w="40" w:type="dxa"/>
              <w:left w:w="155" w:type="dxa"/>
              <w:bottom w:w="40" w:type="dxa"/>
              <w:right w:w="20" w:type="dxa"/>
            </w:tcMar>
            <w:vAlign w:val="bottom"/>
          </w:tcPr>
          <w:p w14:paraId="518B4B47" w14:textId="77777777" w:rsidR="005C332D" w:rsidRDefault="00B93EAE">
            <w:pPr>
              <w:textAlignment w:val="bottom"/>
            </w:pPr>
            <w:r>
              <w:rPr>
                <w:rFonts w:ascii="Times New Roman" w:eastAsia="宋体" w:hAnsi="Times New Roman"/>
                <w:color w:val="000000"/>
                <w:sz w:val="20"/>
                <w:szCs w:val="20"/>
              </w:rPr>
              <w:t>Optimized Application Experiences</w:t>
            </w:r>
          </w:p>
        </w:tc>
        <w:tc>
          <w:tcPr>
            <w:tcW w:w="0" w:type="auto"/>
            <w:gridSpan w:val="3"/>
            <w:shd w:val="clear" w:color="auto" w:fill="CCEEFF"/>
            <w:tcMar>
              <w:top w:w="0" w:type="dxa"/>
              <w:left w:w="20" w:type="dxa"/>
              <w:bottom w:w="0" w:type="dxa"/>
              <w:right w:w="20" w:type="dxa"/>
            </w:tcMar>
            <w:vAlign w:val="bottom"/>
          </w:tcPr>
          <w:p w14:paraId="518B4B4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49" w14:textId="77777777" w:rsidR="005C332D" w:rsidRDefault="00B93EAE">
            <w:pPr>
              <w:jc w:val="right"/>
              <w:textAlignment w:val="bottom"/>
            </w:pPr>
            <w:r>
              <w:rPr>
                <w:rFonts w:ascii="Times New Roman" w:eastAsia="宋体" w:hAnsi="Times New Roman"/>
                <w:b/>
                <w:bCs/>
                <w:color w:val="000000"/>
                <w:sz w:val="20"/>
                <w:szCs w:val="20"/>
              </w:rPr>
              <w:t>729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B4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4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4C" w14:textId="77777777" w:rsidR="005C332D" w:rsidRDefault="00B93EAE">
            <w:pPr>
              <w:jc w:val="right"/>
              <w:textAlignment w:val="bottom"/>
            </w:pPr>
            <w:r>
              <w:rPr>
                <w:rFonts w:ascii="Times New Roman" w:eastAsia="宋体" w:hAnsi="Times New Roman"/>
                <w:color w:val="000000"/>
                <w:sz w:val="20"/>
                <w:szCs w:val="20"/>
              </w:rPr>
              <w:t>654 </w:t>
            </w:r>
          </w:p>
        </w:tc>
        <w:tc>
          <w:tcPr>
            <w:tcW w:w="0" w:type="auto"/>
            <w:shd w:val="clear" w:color="auto" w:fill="CCEEFF"/>
            <w:tcMar>
              <w:top w:w="40" w:type="dxa"/>
              <w:left w:w="0" w:type="dxa"/>
              <w:bottom w:w="40" w:type="dxa"/>
              <w:right w:w="20" w:type="dxa"/>
            </w:tcMar>
            <w:vAlign w:val="bottom"/>
          </w:tcPr>
          <w:p w14:paraId="518B4B4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4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4F" w14:textId="77777777" w:rsidR="005C332D" w:rsidRDefault="00B93EAE">
            <w:pPr>
              <w:jc w:val="right"/>
              <w:textAlignment w:val="bottom"/>
            </w:pPr>
            <w:r>
              <w:rPr>
                <w:rFonts w:ascii="Times New Roman" w:eastAsia="宋体" w:hAnsi="Times New Roman"/>
                <w:color w:val="000000"/>
                <w:sz w:val="20"/>
                <w:szCs w:val="20"/>
              </w:rPr>
              <w:t>524 </w:t>
            </w:r>
          </w:p>
        </w:tc>
        <w:tc>
          <w:tcPr>
            <w:tcW w:w="0" w:type="auto"/>
            <w:shd w:val="clear" w:color="auto" w:fill="CCEEFF"/>
            <w:tcMar>
              <w:top w:w="40" w:type="dxa"/>
              <w:left w:w="0" w:type="dxa"/>
              <w:bottom w:w="40" w:type="dxa"/>
              <w:right w:w="20" w:type="dxa"/>
            </w:tcMar>
            <w:vAlign w:val="bottom"/>
          </w:tcPr>
          <w:p w14:paraId="518B4B5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5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52" w14:textId="77777777" w:rsidR="005C332D" w:rsidRDefault="00B93EAE">
            <w:pPr>
              <w:jc w:val="right"/>
              <w:textAlignment w:val="bottom"/>
            </w:pPr>
            <w:r>
              <w:rPr>
                <w:rFonts w:ascii="Times New Roman" w:eastAsia="宋体" w:hAnsi="Times New Roman"/>
                <w:color w:val="000000"/>
                <w:sz w:val="20"/>
                <w:szCs w:val="20"/>
              </w:rPr>
              <w:t>75 </w:t>
            </w:r>
          </w:p>
        </w:tc>
        <w:tc>
          <w:tcPr>
            <w:tcW w:w="0" w:type="auto"/>
            <w:shd w:val="clear" w:color="auto" w:fill="CCEEFF"/>
            <w:tcMar>
              <w:top w:w="40" w:type="dxa"/>
              <w:left w:w="0" w:type="dxa"/>
              <w:bottom w:w="40" w:type="dxa"/>
              <w:right w:w="20" w:type="dxa"/>
            </w:tcMar>
            <w:vAlign w:val="bottom"/>
          </w:tcPr>
          <w:p w14:paraId="518B4B5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5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55" w14:textId="77777777" w:rsidR="005C332D" w:rsidRDefault="00B93EAE">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518B4B56"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B5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58" w14:textId="77777777" w:rsidR="005C332D" w:rsidRDefault="00B93EAE">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518B4B5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5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5B" w14:textId="77777777" w:rsidR="005C332D" w:rsidRDefault="00B93EAE">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518B4B5C"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B74" w14:textId="77777777">
        <w:tc>
          <w:tcPr>
            <w:tcW w:w="0" w:type="auto"/>
            <w:gridSpan w:val="3"/>
            <w:shd w:val="clear" w:color="auto" w:fill="FFFFFF"/>
            <w:tcMar>
              <w:top w:w="40" w:type="dxa"/>
              <w:left w:w="155" w:type="dxa"/>
              <w:bottom w:w="40" w:type="dxa"/>
              <w:right w:w="20" w:type="dxa"/>
            </w:tcMar>
            <w:vAlign w:val="bottom"/>
          </w:tcPr>
          <w:p w14:paraId="518B4B5E" w14:textId="77777777" w:rsidR="005C332D" w:rsidRDefault="00B93EAE">
            <w:pPr>
              <w:textAlignment w:val="bottom"/>
            </w:pPr>
            <w:r>
              <w:rPr>
                <w:rFonts w:ascii="Times New Roman" w:eastAsia="宋体" w:hAnsi="Times New Roman"/>
                <w:color w:val="000000"/>
                <w:sz w:val="20"/>
                <w:szCs w:val="20"/>
              </w:rPr>
              <w:t>Other Products</w:t>
            </w:r>
          </w:p>
        </w:tc>
        <w:tc>
          <w:tcPr>
            <w:tcW w:w="0" w:type="auto"/>
            <w:gridSpan w:val="3"/>
            <w:shd w:val="clear" w:color="auto" w:fill="FFFFFF"/>
            <w:tcMar>
              <w:top w:w="0" w:type="dxa"/>
              <w:left w:w="20" w:type="dxa"/>
              <w:bottom w:w="0" w:type="dxa"/>
              <w:right w:w="20" w:type="dxa"/>
            </w:tcMar>
            <w:vAlign w:val="bottom"/>
          </w:tcPr>
          <w:p w14:paraId="518B4B5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60" w14:textId="77777777" w:rsidR="005C332D" w:rsidRDefault="00B93EAE">
            <w:pPr>
              <w:jc w:val="right"/>
              <w:textAlignment w:val="bottom"/>
            </w:pPr>
            <w:r>
              <w:rPr>
                <w:rFonts w:ascii="Times New Roman" w:eastAsia="宋体" w:hAnsi="Times New Roman"/>
                <w:b/>
                <w:bCs/>
                <w:color w:val="000000"/>
                <w:sz w:val="20"/>
                <w:szCs w:val="20"/>
              </w:rPr>
              <w:t>11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B6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6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63" w14:textId="77777777" w:rsidR="005C332D" w:rsidRDefault="00B93EAE">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518B4B6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6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66" w14:textId="77777777" w:rsidR="005C332D" w:rsidRDefault="00B93EAE">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518B4B6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6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69" w14:textId="77777777" w:rsidR="005C332D" w:rsidRDefault="00B93EAE">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518B4B6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6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6C" w14:textId="77777777" w:rsidR="005C332D" w:rsidRDefault="00B93EAE">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518B4B6D"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B6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6F" w14:textId="77777777" w:rsidR="005C332D" w:rsidRDefault="00B93EAE">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518B4B7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B7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B72" w14:textId="77777777" w:rsidR="005C332D" w:rsidRDefault="00B93EAE">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518B4B73"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B90" w14:textId="77777777">
        <w:tc>
          <w:tcPr>
            <w:tcW w:w="0" w:type="auto"/>
            <w:gridSpan w:val="3"/>
            <w:shd w:val="clear" w:color="auto" w:fill="CCEEFF"/>
            <w:tcMar>
              <w:top w:w="40" w:type="dxa"/>
              <w:left w:w="380" w:type="dxa"/>
              <w:bottom w:w="40" w:type="dxa"/>
              <w:right w:w="20" w:type="dxa"/>
            </w:tcMar>
            <w:vAlign w:val="bottom"/>
          </w:tcPr>
          <w:p w14:paraId="518B4B75" w14:textId="77777777" w:rsidR="005C332D" w:rsidRDefault="00B93EAE">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4B76"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B7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B78" w14:textId="77777777" w:rsidR="005C332D" w:rsidRDefault="00B93EAE">
            <w:pPr>
              <w:jc w:val="right"/>
              <w:textAlignment w:val="bottom"/>
            </w:pPr>
            <w:r>
              <w:rPr>
                <w:rFonts w:ascii="Times New Roman" w:eastAsia="宋体" w:hAnsi="Times New Roman"/>
                <w:b/>
                <w:bCs/>
                <w:color w:val="000000"/>
                <w:sz w:val="20"/>
                <w:szCs w:val="20"/>
              </w:rPr>
              <w:t>38,018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B7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7A"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B7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B7C" w14:textId="77777777" w:rsidR="005C332D" w:rsidRDefault="00B93EAE">
            <w:pPr>
              <w:jc w:val="right"/>
              <w:textAlignment w:val="bottom"/>
            </w:pPr>
            <w:r>
              <w:rPr>
                <w:rFonts w:ascii="Times New Roman" w:eastAsia="宋体" w:hAnsi="Times New Roman"/>
                <w:color w:val="000000"/>
                <w:sz w:val="20"/>
                <w:szCs w:val="20"/>
              </w:rPr>
              <w:t>36,014 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B7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7E"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B7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B80" w14:textId="77777777" w:rsidR="005C332D" w:rsidRDefault="00B93EAE">
            <w:pPr>
              <w:jc w:val="right"/>
              <w:textAlignment w:val="bottom"/>
            </w:pPr>
            <w:r>
              <w:rPr>
                <w:rFonts w:ascii="Times New Roman" w:eastAsia="宋体" w:hAnsi="Times New Roman"/>
                <w:color w:val="000000"/>
                <w:sz w:val="20"/>
                <w:szCs w:val="20"/>
              </w:rPr>
              <w:t>35,978 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B8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8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B8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B84" w14:textId="77777777" w:rsidR="005C332D" w:rsidRDefault="00B93EAE">
            <w:pPr>
              <w:jc w:val="right"/>
              <w:textAlignment w:val="bottom"/>
            </w:pPr>
            <w:r>
              <w:rPr>
                <w:rFonts w:ascii="Times New Roman" w:eastAsia="宋体" w:hAnsi="Times New Roman"/>
                <w:color w:val="000000"/>
                <w:sz w:val="20"/>
                <w:szCs w:val="20"/>
              </w:rPr>
              <w:t>2,004 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B8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8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87"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518B4B88"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B89"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B8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B8B" w14:textId="77777777" w:rsidR="005C332D" w:rsidRDefault="00B93EAE">
            <w:pPr>
              <w:jc w:val="right"/>
              <w:textAlignment w:val="bottom"/>
            </w:pPr>
            <w:r>
              <w:rPr>
                <w:rFonts w:ascii="Times New Roman" w:eastAsia="宋体" w:hAnsi="Times New Roman"/>
                <w:color w:val="000000"/>
                <w:sz w:val="20"/>
                <w:szCs w:val="20"/>
              </w:rPr>
              <w:t>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B8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8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8E"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B8F" w14:textId="77777777" w:rsidR="005C332D" w:rsidRDefault="00B93EAE">
            <w:pPr>
              <w:jc w:val="right"/>
              <w:textAlignment w:val="bottom"/>
            </w:pPr>
            <w:r>
              <w:rPr>
                <w:rFonts w:ascii="Times New Roman" w:eastAsia="宋体" w:hAnsi="Times New Roman"/>
                <w:color w:val="000000"/>
                <w:sz w:val="20"/>
                <w:szCs w:val="20"/>
              </w:rPr>
              <w:t>%</w:t>
            </w:r>
          </w:p>
        </w:tc>
      </w:tr>
    </w:tbl>
    <w:p w14:paraId="518B4B91" w14:textId="77777777" w:rsidR="005C332D" w:rsidRDefault="00B93EAE">
      <w:pPr>
        <w:spacing w:before="120"/>
        <w:jc w:val="both"/>
      </w:pPr>
      <w:r>
        <w:rPr>
          <w:rFonts w:ascii="Times New Roman" w:eastAsia="宋体" w:hAnsi="Times New Roman"/>
          <w:color w:val="000000"/>
          <w:sz w:val="20"/>
          <w:szCs w:val="20"/>
        </w:rPr>
        <w:t xml:space="preserve">Amounts may not sum and percentages may not recalculate due to rounding. </w:t>
      </w:r>
    </w:p>
    <w:p w14:paraId="518B4B92" w14:textId="77777777" w:rsidR="005C332D" w:rsidRDefault="00B93EAE">
      <w:pPr>
        <w:spacing w:before="120"/>
        <w:jc w:val="both"/>
      </w:pPr>
      <w:r>
        <w:rPr>
          <w:rFonts w:ascii="Times New Roman" w:eastAsia="宋体" w:hAnsi="Times New Roman"/>
          <w:color w:val="000000"/>
          <w:sz w:val="20"/>
          <w:szCs w:val="20"/>
          <w:u w:val="single"/>
        </w:rPr>
        <w:t>Secure, Agile Netw</w:t>
      </w:r>
      <w:r>
        <w:rPr>
          <w:rFonts w:ascii="Times New Roman" w:eastAsia="宋体" w:hAnsi="Times New Roman"/>
          <w:color w:val="000000"/>
          <w:sz w:val="20"/>
          <w:szCs w:val="20"/>
          <w:u w:val="single"/>
        </w:rPr>
        <w:t>orks</w:t>
      </w:r>
    </w:p>
    <w:p w14:paraId="518B4B93" w14:textId="77777777" w:rsidR="005C332D" w:rsidRDefault="00B93EAE">
      <w:pPr>
        <w:spacing w:before="120"/>
        <w:jc w:val="both"/>
      </w:pPr>
      <w:r>
        <w:rPr>
          <w:rFonts w:ascii="Times New Roman" w:eastAsia="宋体" w:hAnsi="Times New Roman"/>
          <w:i/>
          <w:iCs/>
          <w:color w:val="000000"/>
          <w:sz w:val="20"/>
          <w:szCs w:val="20"/>
          <w:u w:val="single"/>
        </w:rPr>
        <w:t>Fiscal 2022 Compared with Fiscal 2021</w:t>
      </w:r>
    </w:p>
    <w:p w14:paraId="518B4B94" w14:textId="77777777" w:rsidR="005C332D" w:rsidRDefault="00B93EAE">
      <w:pPr>
        <w:spacing w:before="120"/>
        <w:jc w:val="both"/>
      </w:pPr>
      <w:r>
        <w:rPr>
          <w:rFonts w:ascii="Times New Roman" w:eastAsia="宋体" w:hAnsi="Times New Roman"/>
          <w:color w:val="000000"/>
          <w:sz w:val="20"/>
          <w:szCs w:val="20"/>
        </w:rPr>
        <w:t>The Secure, Agile Networks product category represents our core networking offerings related to switching, enterprise routing, wireless, and compute. Secure, Agile Networks revenue increased by 5%, or $1.1 billion</w:t>
      </w:r>
      <w:r>
        <w:rPr>
          <w:rFonts w:ascii="Times New Roman" w:eastAsia="宋体" w:hAnsi="Times New Roman"/>
          <w:color w:val="000000"/>
          <w:sz w:val="20"/>
          <w:szCs w:val="20"/>
        </w:rPr>
        <w:t>, with growth across the portfolio except enterprise routing. Revenue grew in both campus switching and data center switching, primarily driven by growth in our Catalyst 9000 series, Nexus 9000 series and Meraki switching offerings. The decrease in enterpr</w:t>
      </w:r>
      <w:r>
        <w:rPr>
          <w:rFonts w:ascii="Times New Roman" w:eastAsia="宋体" w:hAnsi="Times New Roman"/>
          <w:color w:val="000000"/>
          <w:sz w:val="20"/>
          <w:szCs w:val="20"/>
        </w:rPr>
        <w:t>ise routing was primarily driven by declines in our Access and Edge offerings. Wireless had double-digit growth driven by our WiFi-6 products and Meraki offerings. Revenue from compute grew primarily driven by our servers.</w:t>
      </w:r>
    </w:p>
    <w:p w14:paraId="518B4B95" w14:textId="77777777" w:rsidR="005C332D" w:rsidRDefault="00B93EAE">
      <w:pPr>
        <w:spacing w:before="120"/>
        <w:jc w:val="both"/>
      </w:pPr>
      <w:r>
        <w:rPr>
          <w:rFonts w:ascii="Times New Roman" w:eastAsia="宋体" w:hAnsi="Times New Roman"/>
          <w:i/>
          <w:iCs/>
          <w:color w:val="000000"/>
          <w:sz w:val="20"/>
          <w:szCs w:val="20"/>
          <w:u w:val="single"/>
        </w:rPr>
        <w:t xml:space="preserve">Fiscal 2021 Compared with </w:t>
      </w:r>
      <w:r>
        <w:rPr>
          <w:rFonts w:ascii="Times New Roman" w:eastAsia="宋体" w:hAnsi="Times New Roman"/>
          <w:i/>
          <w:iCs/>
          <w:color w:val="000000"/>
          <w:sz w:val="20"/>
          <w:szCs w:val="20"/>
          <w:u w:val="single"/>
        </w:rPr>
        <w:t>Fiscal 2020</w:t>
      </w:r>
    </w:p>
    <w:p w14:paraId="518B4B96" w14:textId="77777777" w:rsidR="005C332D" w:rsidRDefault="00B93EAE">
      <w:pPr>
        <w:spacing w:before="120"/>
        <w:jc w:val="both"/>
      </w:pPr>
      <w:r>
        <w:rPr>
          <w:rFonts w:ascii="Times New Roman" w:eastAsia="宋体" w:hAnsi="Times New Roman"/>
          <w:color w:val="000000"/>
          <w:sz w:val="20"/>
          <w:szCs w:val="20"/>
        </w:rPr>
        <w:t>Revenue from the Secure, Agile Networks product category decreased by 2%, or $543 million, driven by declines across the portfolio with the exception of Wireless. Switching revenue declined in both campus switching and data center switching, al</w:t>
      </w:r>
      <w:r>
        <w:rPr>
          <w:rFonts w:ascii="Times New Roman" w:eastAsia="宋体" w:hAnsi="Times New Roman"/>
          <w:color w:val="000000"/>
          <w:sz w:val="20"/>
          <w:szCs w:val="20"/>
        </w:rPr>
        <w:t>though we had double-digit growth in our Catalyst 9000 series and Meraki switching offerings and growth in our Nexus 9000 series. The decrease in enterprise routing was primarily driven by declines in our Access offerings, partially offset by growth in our</w:t>
      </w:r>
      <w:r>
        <w:rPr>
          <w:rFonts w:ascii="Times New Roman" w:eastAsia="宋体" w:hAnsi="Times New Roman"/>
          <w:color w:val="000000"/>
          <w:sz w:val="20"/>
          <w:szCs w:val="20"/>
        </w:rPr>
        <w:t xml:space="preserve"> SD-WAN and Edge offerings. Wireless had solid growth driven by our Meraki offerings and the ramp of our WiFi-6 products. Revenue from compute declined primarily driven by our servers.</w:t>
      </w:r>
    </w:p>
    <w:p w14:paraId="518B4B97" w14:textId="77777777" w:rsidR="005C332D" w:rsidRDefault="00B93EAE">
      <w:pPr>
        <w:spacing w:before="120"/>
      </w:pPr>
      <w:r>
        <w:rPr>
          <w:rFonts w:ascii="Times New Roman" w:eastAsia="宋体" w:hAnsi="Times New Roman"/>
          <w:color w:val="000000"/>
          <w:sz w:val="20"/>
          <w:szCs w:val="20"/>
          <w:u w:val="single"/>
        </w:rPr>
        <w:t>Internet for the Future</w:t>
      </w:r>
    </w:p>
    <w:p w14:paraId="518B4B98" w14:textId="77777777" w:rsidR="005C332D" w:rsidRDefault="00B93EAE">
      <w:pPr>
        <w:spacing w:before="120"/>
        <w:jc w:val="both"/>
      </w:pPr>
      <w:r>
        <w:rPr>
          <w:rFonts w:ascii="Times New Roman" w:eastAsia="宋体" w:hAnsi="Times New Roman"/>
          <w:i/>
          <w:iCs/>
          <w:color w:val="000000"/>
          <w:sz w:val="20"/>
          <w:szCs w:val="20"/>
          <w:u w:val="single"/>
        </w:rPr>
        <w:t>Fiscal 2022 Compared with Fiscal 2021</w:t>
      </w:r>
    </w:p>
    <w:p w14:paraId="518B4B99" w14:textId="77777777" w:rsidR="005C332D" w:rsidRDefault="00B93EAE">
      <w:pPr>
        <w:spacing w:before="120"/>
        <w:jc w:val="both"/>
      </w:pPr>
      <w:r>
        <w:rPr>
          <w:rFonts w:ascii="Times New Roman" w:eastAsia="宋体" w:hAnsi="Times New Roman"/>
          <w:color w:val="000000"/>
          <w:sz w:val="20"/>
          <w:szCs w:val="20"/>
        </w:rPr>
        <w:t>The Inter</w:t>
      </w:r>
      <w:r>
        <w:rPr>
          <w:rFonts w:ascii="Times New Roman" w:eastAsia="宋体" w:hAnsi="Times New Roman"/>
          <w:color w:val="000000"/>
          <w:sz w:val="20"/>
          <w:szCs w:val="20"/>
        </w:rPr>
        <w:t>net for the Future product category includes our routed optical networking, 5G, silicon and optics solutions. Revenue in our Internet for the Future product category increased by 17%, or $764 million, driven by growth in the webscale provider market. We sa</w:t>
      </w:r>
      <w:r>
        <w:rPr>
          <w:rFonts w:ascii="Times New Roman" w:eastAsia="宋体" w:hAnsi="Times New Roman"/>
          <w:color w:val="000000"/>
          <w:sz w:val="20"/>
          <w:szCs w:val="20"/>
        </w:rPr>
        <w:t>w growth in our Cisco 8000, NCS 5500 and ASR 9000 series offerings, and also saw a benefit from our acquisition of Acacia in the third quarter of fiscal 2021.</w:t>
      </w:r>
    </w:p>
    <w:p w14:paraId="518B4B9A" w14:textId="77777777" w:rsidR="005C332D" w:rsidRDefault="00B93EAE">
      <w:pPr>
        <w:spacing w:before="120"/>
        <w:jc w:val="both"/>
      </w:pPr>
      <w:r>
        <w:rPr>
          <w:rFonts w:ascii="Times New Roman" w:eastAsia="宋体" w:hAnsi="Times New Roman"/>
          <w:i/>
          <w:iCs/>
          <w:color w:val="000000"/>
          <w:sz w:val="20"/>
          <w:szCs w:val="20"/>
          <w:u w:val="single"/>
        </w:rPr>
        <w:t>Fiscal 2021 Compared with Fiscal 2020</w:t>
      </w:r>
    </w:p>
    <w:p w14:paraId="518B4B9B" w14:textId="77777777" w:rsidR="005C332D" w:rsidRDefault="00B93EAE">
      <w:pPr>
        <w:spacing w:before="120"/>
        <w:jc w:val="both"/>
      </w:pPr>
      <w:r>
        <w:rPr>
          <w:rFonts w:ascii="Times New Roman" w:eastAsia="宋体" w:hAnsi="Times New Roman"/>
          <w:color w:val="000000"/>
          <w:sz w:val="20"/>
          <w:szCs w:val="20"/>
        </w:rPr>
        <w:t>Revenue in our Internet for the Future product category inc</w:t>
      </w:r>
      <w:r>
        <w:rPr>
          <w:rFonts w:ascii="Times New Roman" w:eastAsia="宋体" w:hAnsi="Times New Roman"/>
          <w:color w:val="000000"/>
          <w:sz w:val="20"/>
          <w:szCs w:val="20"/>
        </w:rPr>
        <w:t>reased 8%, or $334 million, driven by growth in our NCS 5500 series offerings and the ramp of our Cisco 8000 series offerings.</w:t>
      </w:r>
    </w:p>
    <w:p w14:paraId="518B4B9C" w14:textId="77777777" w:rsidR="005C332D" w:rsidRDefault="005C332D">
      <w:pPr>
        <w:spacing w:before="120"/>
        <w:jc w:val="both"/>
      </w:pPr>
    </w:p>
    <w:p w14:paraId="518B4B9D" w14:textId="77777777" w:rsidR="005C332D" w:rsidRDefault="00B93EAE">
      <w:pPr>
        <w:jc w:val="center"/>
      </w:pPr>
      <w:r>
        <w:rPr>
          <w:rFonts w:ascii="Times New Roman" w:eastAsia="宋体" w:hAnsi="Times New Roman"/>
          <w:color w:val="000000"/>
          <w:sz w:val="20"/>
          <w:szCs w:val="20"/>
        </w:rPr>
        <w:t>40</w:t>
      </w:r>
    </w:p>
    <w:p w14:paraId="518B4B9E" w14:textId="77777777" w:rsidR="005C332D" w:rsidRDefault="00B93EAE">
      <w:r>
        <w:pict w14:anchorId="518B873D">
          <v:rect id="_x0000_i1066" style="width:415.3pt;height:1.5pt" o:hralign="center" o:hrstd="t" o:hr="t" fillcolor="#a0a0a0" stroked="f"/>
        </w:pict>
      </w:r>
    </w:p>
    <w:p w14:paraId="518B4B9F" w14:textId="77777777" w:rsidR="005C332D" w:rsidRDefault="00B93EAE">
      <w:hyperlink r:id="rId94" w:anchor="i049852cab38845aabd2a79d07dacda86_7" w:history="1">
        <w:r>
          <w:rPr>
            <w:rStyle w:val="a5"/>
            <w:rFonts w:ascii="Times New Roman" w:eastAsia="宋体" w:hAnsi="Times New Roman"/>
            <w:sz w:val="20"/>
            <w:szCs w:val="20"/>
          </w:rPr>
          <w:t>Table of Contents</w:t>
        </w:r>
      </w:hyperlink>
    </w:p>
    <w:p w14:paraId="518B4BA0" w14:textId="77777777" w:rsidR="005C332D" w:rsidRDefault="00B93EAE">
      <w:pPr>
        <w:spacing w:before="120"/>
        <w:jc w:val="both"/>
      </w:pPr>
      <w:r>
        <w:rPr>
          <w:rFonts w:ascii="Times New Roman" w:eastAsia="宋体" w:hAnsi="Times New Roman"/>
          <w:color w:val="000000"/>
          <w:sz w:val="20"/>
          <w:szCs w:val="20"/>
          <w:u w:val="single"/>
        </w:rPr>
        <w:t>Collaboration</w:t>
      </w:r>
    </w:p>
    <w:p w14:paraId="518B4BA1" w14:textId="77777777" w:rsidR="005C332D" w:rsidRDefault="00B93EAE">
      <w:pPr>
        <w:spacing w:before="120"/>
        <w:jc w:val="both"/>
      </w:pPr>
      <w:r>
        <w:rPr>
          <w:rFonts w:ascii="Times New Roman" w:eastAsia="宋体" w:hAnsi="Times New Roman"/>
          <w:i/>
          <w:iCs/>
          <w:color w:val="000000"/>
          <w:sz w:val="20"/>
          <w:szCs w:val="20"/>
          <w:u w:val="single"/>
        </w:rPr>
        <w:t>Fiscal 2022 Compared with Fiscal 2021</w:t>
      </w:r>
    </w:p>
    <w:p w14:paraId="518B4BA2" w14:textId="77777777" w:rsidR="005C332D" w:rsidRDefault="00B93EAE">
      <w:pPr>
        <w:spacing w:before="120"/>
        <w:jc w:val="both"/>
      </w:pPr>
      <w:r>
        <w:rPr>
          <w:rFonts w:ascii="Times New Roman" w:eastAsia="宋体" w:hAnsi="Times New Roman"/>
          <w:color w:val="000000"/>
          <w:sz w:val="20"/>
          <w:szCs w:val="20"/>
        </w:rPr>
        <w:t>The Collaboration product category consists of our Meetings, Collaboration Devices, Calling, Contact Center and CPaaS offerings. Revenue in our Collaboration pr</w:t>
      </w:r>
      <w:r>
        <w:rPr>
          <w:rFonts w:ascii="Times New Roman" w:eastAsia="宋体" w:hAnsi="Times New Roman"/>
          <w:color w:val="000000"/>
          <w:sz w:val="20"/>
          <w:szCs w:val="20"/>
        </w:rPr>
        <w:t>oduct category decreased 5%, or $255 million, with declines in our Meetings, Calling and Contact Center offerings, partially offset by the ramp in our CPaaS offerings.</w:t>
      </w:r>
    </w:p>
    <w:p w14:paraId="518B4BA3" w14:textId="77777777" w:rsidR="005C332D" w:rsidRDefault="00B93EAE">
      <w:pPr>
        <w:spacing w:before="120"/>
        <w:jc w:val="both"/>
      </w:pPr>
      <w:r>
        <w:rPr>
          <w:rFonts w:ascii="Times New Roman" w:eastAsia="宋体" w:hAnsi="Times New Roman"/>
          <w:i/>
          <w:iCs/>
          <w:color w:val="000000"/>
          <w:sz w:val="20"/>
          <w:szCs w:val="20"/>
          <w:u w:val="single"/>
        </w:rPr>
        <w:t>Fiscal 2021 Compared with Fiscal 2020</w:t>
      </w:r>
    </w:p>
    <w:p w14:paraId="518B4BA4" w14:textId="77777777" w:rsidR="005C332D" w:rsidRDefault="00B93EAE">
      <w:pPr>
        <w:spacing w:before="120"/>
        <w:jc w:val="both"/>
      </w:pPr>
      <w:r>
        <w:rPr>
          <w:rFonts w:ascii="Times New Roman" w:eastAsia="宋体" w:hAnsi="Times New Roman"/>
          <w:color w:val="000000"/>
          <w:sz w:val="20"/>
          <w:szCs w:val="20"/>
        </w:rPr>
        <w:t>Revenue in our Collaboration product category decr</w:t>
      </w:r>
      <w:r>
        <w:rPr>
          <w:rFonts w:ascii="Times New Roman" w:eastAsia="宋体" w:hAnsi="Times New Roman"/>
          <w:color w:val="000000"/>
          <w:sz w:val="20"/>
          <w:szCs w:val="20"/>
        </w:rPr>
        <w:t>eased by 2%, or $96 million, with declines in our Collaboration Devices, partially offset by growth in our Meetings, Calling and Contact Center offerings.</w:t>
      </w:r>
    </w:p>
    <w:p w14:paraId="518B4BA5" w14:textId="77777777" w:rsidR="005C332D" w:rsidRDefault="00B93EAE">
      <w:pPr>
        <w:spacing w:before="120"/>
        <w:jc w:val="both"/>
      </w:pPr>
      <w:r>
        <w:rPr>
          <w:rFonts w:ascii="Times New Roman" w:eastAsia="宋体" w:hAnsi="Times New Roman"/>
          <w:color w:val="000000"/>
          <w:sz w:val="20"/>
          <w:szCs w:val="20"/>
          <w:u w:val="single"/>
        </w:rPr>
        <w:t>End-to-End Security</w:t>
      </w:r>
    </w:p>
    <w:p w14:paraId="518B4BA6" w14:textId="77777777" w:rsidR="005C332D" w:rsidRDefault="00B93EAE">
      <w:pPr>
        <w:spacing w:before="120"/>
        <w:jc w:val="both"/>
      </w:pPr>
      <w:r>
        <w:rPr>
          <w:rFonts w:ascii="Times New Roman" w:eastAsia="宋体" w:hAnsi="Times New Roman"/>
          <w:i/>
          <w:iCs/>
          <w:color w:val="000000"/>
          <w:sz w:val="20"/>
          <w:szCs w:val="20"/>
          <w:u w:val="single"/>
        </w:rPr>
        <w:t>Fiscal 2022 Compared with Fiscal 2021</w:t>
      </w:r>
    </w:p>
    <w:p w14:paraId="518B4BA7" w14:textId="77777777" w:rsidR="005C332D" w:rsidRDefault="00B93EAE">
      <w:pPr>
        <w:spacing w:before="120"/>
        <w:jc w:val="both"/>
      </w:pPr>
      <w:r>
        <w:rPr>
          <w:rFonts w:ascii="Times New Roman" w:eastAsia="宋体" w:hAnsi="Times New Roman"/>
          <w:color w:val="000000"/>
          <w:sz w:val="20"/>
          <w:szCs w:val="20"/>
        </w:rPr>
        <w:t>The End-to-End Security product category co</w:t>
      </w:r>
      <w:r>
        <w:rPr>
          <w:rFonts w:ascii="Times New Roman" w:eastAsia="宋体" w:hAnsi="Times New Roman"/>
          <w:color w:val="000000"/>
          <w:sz w:val="20"/>
          <w:szCs w:val="20"/>
        </w:rPr>
        <w:t>nsists of our Network Security, Cloud Security, Security Endpoints, Unified Threat Management and Zero Trust offerings. Revenue in our End-to-End Security product category increased by 9%, or $317 million, primarily driven by growth in our Zero Trust portf</w:t>
      </w:r>
      <w:r>
        <w:rPr>
          <w:rFonts w:ascii="Times New Roman" w:eastAsia="宋体" w:hAnsi="Times New Roman"/>
          <w:color w:val="000000"/>
          <w:sz w:val="20"/>
          <w:szCs w:val="20"/>
        </w:rPr>
        <w:t>olio, Network Security, Unified Threat Management and Security Endpoint offerings. Our Zero Trust portfolio reflected double-digit growth driven by continued momentum with our Duo offerings.</w:t>
      </w:r>
    </w:p>
    <w:p w14:paraId="518B4BA8" w14:textId="77777777" w:rsidR="005C332D" w:rsidRDefault="00B93EAE">
      <w:pPr>
        <w:spacing w:before="120"/>
        <w:jc w:val="both"/>
      </w:pPr>
      <w:r>
        <w:rPr>
          <w:rFonts w:ascii="Times New Roman" w:eastAsia="宋体" w:hAnsi="Times New Roman"/>
          <w:i/>
          <w:iCs/>
          <w:color w:val="000000"/>
          <w:sz w:val="20"/>
          <w:szCs w:val="20"/>
          <w:u w:val="single"/>
        </w:rPr>
        <w:t>Fiscal 2021 Compared with Fiscal 2020</w:t>
      </w:r>
    </w:p>
    <w:p w14:paraId="518B4BA9" w14:textId="77777777" w:rsidR="005C332D" w:rsidRDefault="00B93EAE">
      <w:pPr>
        <w:spacing w:before="120"/>
        <w:jc w:val="both"/>
      </w:pPr>
      <w:r>
        <w:rPr>
          <w:rFonts w:ascii="Times New Roman" w:eastAsia="宋体" w:hAnsi="Times New Roman"/>
          <w:color w:val="000000"/>
          <w:sz w:val="20"/>
          <w:szCs w:val="20"/>
        </w:rPr>
        <w:t>Revenue in our End-to-End S</w:t>
      </w:r>
      <w:r>
        <w:rPr>
          <w:rFonts w:ascii="Times New Roman" w:eastAsia="宋体" w:hAnsi="Times New Roman"/>
          <w:color w:val="000000"/>
          <w:sz w:val="20"/>
          <w:szCs w:val="20"/>
        </w:rPr>
        <w:t>ecurity product category increased by 7%, or $224 million, primarily driven by growth in our cloud-based solutions and Unified Threat Management offerings, partially offset by declines in our Network Security offerings. Our Zero Trust portfolio reflected g</w:t>
      </w:r>
      <w:r>
        <w:rPr>
          <w:rFonts w:ascii="Times New Roman" w:eastAsia="宋体" w:hAnsi="Times New Roman"/>
          <w:color w:val="000000"/>
          <w:sz w:val="20"/>
          <w:szCs w:val="20"/>
        </w:rPr>
        <w:t>rowth driven by our Duo offerings.</w:t>
      </w:r>
    </w:p>
    <w:p w14:paraId="518B4BAA" w14:textId="77777777" w:rsidR="005C332D" w:rsidRDefault="00B93EAE">
      <w:pPr>
        <w:spacing w:before="120"/>
        <w:jc w:val="both"/>
      </w:pPr>
      <w:r>
        <w:rPr>
          <w:rFonts w:ascii="Times New Roman" w:eastAsia="宋体" w:hAnsi="Times New Roman"/>
          <w:color w:val="000000"/>
          <w:sz w:val="20"/>
          <w:szCs w:val="20"/>
          <w:u w:val="single"/>
        </w:rPr>
        <w:t>Optimized Application Experiences</w:t>
      </w:r>
    </w:p>
    <w:p w14:paraId="518B4BAB" w14:textId="77777777" w:rsidR="005C332D" w:rsidRDefault="00B93EAE">
      <w:pPr>
        <w:spacing w:before="120"/>
        <w:jc w:val="both"/>
      </w:pPr>
      <w:r>
        <w:rPr>
          <w:rFonts w:ascii="Times New Roman" w:eastAsia="宋体" w:hAnsi="Times New Roman"/>
          <w:i/>
          <w:iCs/>
          <w:color w:val="000000"/>
          <w:sz w:val="20"/>
          <w:szCs w:val="20"/>
          <w:u w:val="single"/>
        </w:rPr>
        <w:t>Fiscal 2022 Compared with Fiscal 2021</w:t>
      </w:r>
    </w:p>
    <w:p w14:paraId="518B4BAC" w14:textId="77777777" w:rsidR="005C332D" w:rsidRDefault="00B93EAE">
      <w:pPr>
        <w:spacing w:before="120"/>
        <w:jc w:val="both"/>
      </w:pPr>
      <w:r>
        <w:rPr>
          <w:rFonts w:ascii="Times New Roman" w:eastAsia="宋体" w:hAnsi="Times New Roman"/>
          <w:color w:val="000000"/>
          <w:sz w:val="20"/>
          <w:szCs w:val="20"/>
        </w:rPr>
        <w:t xml:space="preserve">The Optimized Application Experiences product category includes our full stack observability and cloud-native platforms offerings. Revenue in our </w:t>
      </w:r>
      <w:r>
        <w:rPr>
          <w:rFonts w:ascii="Times New Roman" w:eastAsia="宋体" w:hAnsi="Times New Roman"/>
          <w:color w:val="000000"/>
          <w:sz w:val="20"/>
          <w:szCs w:val="20"/>
        </w:rPr>
        <w:t>Optimized Application Experiences product category increased 11%, or $75 million, driven by growth in our ThousandEyes and Intersight offerings, partially offset by a decline in our AppDynamics offerings.</w:t>
      </w:r>
    </w:p>
    <w:p w14:paraId="518B4BAD" w14:textId="77777777" w:rsidR="005C332D" w:rsidRDefault="00B93EAE">
      <w:pPr>
        <w:spacing w:before="120"/>
        <w:jc w:val="both"/>
      </w:pPr>
      <w:r>
        <w:rPr>
          <w:rFonts w:ascii="Times New Roman" w:eastAsia="宋体" w:hAnsi="Times New Roman"/>
          <w:i/>
          <w:iCs/>
          <w:color w:val="000000"/>
          <w:sz w:val="20"/>
          <w:szCs w:val="20"/>
          <w:u w:val="single"/>
        </w:rPr>
        <w:t>Fiscal 2021 Compared with Fiscal 2020</w:t>
      </w:r>
    </w:p>
    <w:p w14:paraId="518B4BAE" w14:textId="77777777" w:rsidR="005C332D" w:rsidRDefault="00B93EAE">
      <w:pPr>
        <w:spacing w:before="120"/>
        <w:jc w:val="both"/>
      </w:pPr>
      <w:r>
        <w:rPr>
          <w:rFonts w:ascii="Times New Roman" w:eastAsia="宋体" w:hAnsi="Times New Roman"/>
          <w:color w:val="000000"/>
          <w:sz w:val="20"/>
          <w:szCs w:val="20"/>
        </w:rPr>
        <w:t>Revenue in ou</w:t>
      </w:r>
      <w:r>
        <w:rPr>
          <w:rFonts w:ascii="Times New Roman" w:eastAsia="宋体" w:hAnsi="Times New Roman"/>
          <w:color w:val="000000"/>
          <w:sz w:val="20"/>
          <w:szCs w:val="20"/>
        </w:rPr>
        <w:t>r Optimized Application Experiences product category increased by 25%, or $130 million, driven by growth in our Intersight offerings. We also had a benefit from our acquisition of ThousandEyes.</w:t>
      </w:r>
    </w:p>
    <w:p w14:paraId="518B4BAF" w14:textId="77777777" w:rsidR="005C332D" w:rsidRDefault="005C332D">
      <w:pPr>
        <w:spacing w:before="60"/>
        <w:jc w:val="both"/>
      </w:pPr>
    </w:p>
    <w:p w14:paraId="518B4BB0" w14:textId="77777777" w:rsidR="005C332D" w:rsidRDefault="00B93EAE">
      <w:r>
        <w:rPr>
          <w:rFonts w:ascii="Times New Roman" w:eastAsia="宋体" w:hAnsi="Times New Roman"/>
          <w:b/>
          <w:bCs/>
          <w:color w:val="000000"/>
          <w:sz w:val="20"/>
          <w:szCs w:val="20"/>
        </w:rPr>
        <w:t>Service Revenue by Segment</w:t>
      </w:r>
    </w:p>
    <w:p w14:paraId="518B4BB1" w14:textId="77777777" w:rsidR="005C332D" w:rsidRDefault="00B93EAE">
      <w:pPr>
        <w:spacing w:before="120"/>
      </w:pPr>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presents the breakdown of service revenue by segment (in millions, except percentages):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2979"/>
        <w:gridCol w:w="38"/>
        <w:gridCol w:w="120"/>
        <w:gridCol w:w="793"/>
        <w:gridCol w:w="170"/>
        <w:gridCol w:w="36"/>
        <w:gridCol w:w="36"/>
        <w:gridCol w:w="36"/>
        <w:gridCol w:w="120"/>
        <w:gridCol w:w="709"/>
        <w:gridCol w:w="170"/>
        <w:gridCol w:w="36"/>
        <w:gridCol w:w="36"/>
        <w:gridCol w:w="36"/>
        <w:gridCol w:w="120"/>
        <w:gridCol w:w="709"/>
        <w:gridCol w:w="170"/>
        <w:gridCol w:w="36"/>
        <w:gridCol w:w="36"/>
        <w:gridCol w:w="36"/>
        <w:gridCol w:w="121"/>
        <w:gridCol w:w="709"/>
        <w:gridCol w:w="36"/>
        <w:gridCol w:w="36"/>
        <w:gridCol w:w="36"/>
        <w:gridCol w:w="36"/>
        <w:gridCol w:w="59"/>
        <w:gridCol w:w="643"/>
        <w:gridCol w:w="187"/>
      </w:tblGrid>
      <w:tr w:rsidR="005C332D" w14:paraId="518B4BD0" w14:textId="77777777">
        <w:trPr>
          <w:jc w:val="center"/>
        </w:trPr>
        <w:tc>
          <w:tcPr>
            <w:tcW w:w="50" w:type="pct"/>
            <w:shd w:val="clear" w:color="auto" w:fill="auto"/>
            <w:vAlign w:val="bottom"/>
          </w:tcPr>
          <w:p w14:paraId="518B4BB2" w14:textId="77777777" w:rsidR="005C332D" w:rsidRDefault="005C332D">
            <w:pPr>
              <w:rPr>
                <w:rFonts w:ascii="宋体"/>
              </w:rPr>
            </w:pPr>
          </w:p>
        </w:tc>
        <w:tc>
          <w:tcPr>
            <w:tcW w:w="1870" w:type="pct"/>
            <w:shd w:val="clear" w:color="auto" w:fill="auto"/>
            <w:vAlign w:val="bottom"/>
          </w:tcPr>
          <w:p w14:paraId="518B4BB3" w14:textId="77777777" w:rsidR="005C332D" w:rsidRDefault="005C332D">
            <w:pPr>
              <w:rPr>
                <w:rFonts w:ascii="宋体"/>
              </w:rPr>
            </w:pPr>
          </w:p>
        </w:tc>
        <w:tc>
          <w:tcPr>
            <w:tcW w:w="5" w:type="pct"/>
            <w:shd w:val="clear" w:color="auto" w:fill="auto"/>
            <w:vAlign w:val="bottom"/>
          </w:tcPr>
          <w:p w14:paraId="518B4BB4" w14:textId="77777777" w:rsidR="005C332D" w:rsidRDefault="005C332D">
            <w:pPr>
              <w:rPr>
                <w:rFonts w:ascii="宋体"/>
              </w:rPr>
            </w:pPr>
          </w:p>
        </w:tc>
        <w:tc>
          <w:tcPr>
            <w:tcW w:w="50" w:type="pct"/>
            <w:shd w:val="clear" w:color="auto" w:fill="auto"/>
            <w:vAlign w:val="bottom"/>
          </w:tcPr>
          <w:p w14:paraId="518B4BB5" w14:textId="77777777" w:rsidR="005C332D" w:rsidRDefault="005C332D">
            <w:pPr>
              <w:rPr>
                <w:rFonts w:ascii="宋体"/>
              </w:rPr>
            </w:pPr>
          </w:p>
        </w:tc>
        <w:tc>
          <w:tcPr>
            <w:tcW w:w="530" w:type="pct"/>
            <w:shd w:val="clear" w:color="auto" w:fill="auto"/>
            <w:vAlign w:val="bottom"/>
          </w:tcPr>
          <w:p w14:paraId="518B4BB6" w14:textId="77777777" w:rsidR="005C332D" w:rsidRDefault="005C332D">
            <w:pPr>
              <w:rPr>
                <w:rFonts w:ascii="宋体"/>
              </w:rPr>
            </w:pPr>
          </w:p>
        </w:tc>
        <w:tc>
          <w:tcPr>
            <w:tcW w:w="5" w:type="pct"/>
            <w:shd w:val="clear" w:color="auto" w:fill="auto"/>
            <w:vAlign w:val="bottom"/>
          </w:tcPr>
          <w:p w14:paraId="518B4BB7" w14:textId="77777777" w:rsidR="005C332D" w:rsidRDefault="005C332D">
            <w:pPr>
              <w:rPr>
                <w:rFonts w:ascii="宋体"/>
              </w:rPr>
            </w:pPr>
          </w:p>
        </w:tc>
        <w:tc>
          <w:tcPr>
            <w:tcW w:w="5" w:type="pct"/>
            <w:shd w:val="clear" w:color="auto" w:fill="auto"/>
            <w:vAlign w:val="bottom"/>
          </w:tcPr>
          <w:p w14:paraId="518B4BB8" w14:textId="77777777" w:rsidR="005C332D" w:rsidRDefault="005C332D">
            <w:pPr>
              <w:rPr>
                <w:rFonts w:ascii="宋体"/>
              </w:rPr>
            </w:pPr>
          </w:p>
        </w:tc>
        <w:tc>
          <w:tcPr>
            <w:tcW w:w="26" w:type="pct"/>
            <w:shd w:val="clear" w:color="auto" w:fill="auto"/>
            <w:vAlign w:val="bottom"/>
          </w:tcPr>
          <w:p w14:paraId="518B4BB9" w14:textId="77777777" w:rsidR="005C332D" w:rsidRDefault="005C332D">
            <w:pPr>
              <w:rPr>
                <w:rFonts w:ascii="宋体"/>
              </w:rPr>
            </w:pPr>
          </w:p>
        </w:tc>
        <w:tc>
          <w:tcPr>
            <w:tcW w:w="5" w:type="pct"/>
            <w:shd w:val="clear" w:color="auto" w:fill="auto"/>
            <w:vAlign w:val="bottom"/>
          </w:tcPr>
          <w:p w14:paraId="518B4BBA" w14:textId="77777777" w:rsidR="005C332D" w:rsidRDefault="005C332D">
            <w:pPr>
              <w:rPr>
                <w:rFonts w:ascii="宋体"/>
              </w:rPr>
            </w:pPr>
          </w:p>
        </w:tc>
        <w:tc>
          <w:tcPr>
            <w:tcW w:w="50" w:type="pct"/>
            <w:shd w:val="clear" w:color="auto" w:fill="auto"/>
            <w:vAlign w:val="bottom"/>
          </w:tcPr>
          <w:p w14:paraId="518B4BBB" w14:textId="77777777" w:rsidR="005C332D" w:rsidRDefault="005C332D">
            <w:pPr>
              <w:rPr>
                <w:rFonts w:ascii="宋体"/>
              </w:rPr>
            </w:pPr>
          </w:p>
        </w:tc>
        <w:tc>
          <w:tcPr>
            <w:tcW w:w="530" w:type="pct"/>
            <w:shd w:val="clear" w:color="auto" w:fill="auto"/>
            <w:vAlign w:val="bottom"/>
          </w:tcPr>
          <w:p w14:paraId="518B4BBC" w14:textId="77777777" w:rsidR="005C332D" w:rsidRDefault="005C332D">
            <w:pPr>
              <w:rPr>
                <w:rFonts w:ascii="宋体"/>
              </w:rPr>
            </w:pPr>
          </w:p>
        </w:tc>
        <w:tc>
          <w:tcPr>
            <w:tcW w:w="5" w:type="pct"/>
            <w:shd w:val="clear" w:color="auto" w:fill="auto"/>
            <w:vAlign w:val="bottom"/>
          </w:tcPr>
          <w:p w14:paraId="518B4BBD" w14:textId="77777777" w:rsidR="005C332D" w:rsidRDefault="005C332D">
            <w:pPr>
              <w:rPr>
                <w:rFonts w:ascii="宋体"/>
              </w:rPr>
            </w:pPr>
          </w:p>
        </w:tc>
        <w:tc>
          <w:tcPr>
            <w:tcW w:w="5" w:type="pct"/>
            <w:shd w:val="clear" w:color="auto" w:fill="auto"/>
            <w:vAlign w:val="bottom"/>
          </w:tcPr>
          <w:p w14:paraId="518B4BBE" w14:textId="77777777" w:rsidR="005C332D" w:rsidRDefault="005C332D">
            <w:pPr>
              <w:rPr>
                <w:rFonts w:ascii="宋体"/>
              </w:rPr>
            </w:pPr>
          </w:p>
        </w:tc>
        <w:tc>
          <w:tcPr>
            <w:tcW w:w="26" w:type="pct"/>
            <w:shd w:val="clear" w:color="auto" w:fill="auto"/>
            <w:vAlign w:val="bottom"/>
          </w:tcPr>
          <w:p w14:paraId="518B4BBF" w14:textId="77777777" w:rsidR="005C332D" w:rsidRDefault="005C332D">
            <w:pPr>
              <w:rPr>
                <w:rFonts w:ascii="宋体"/>
              </w:rPr>
            </w:pPr>
          </w:p>
        </w:tc>
        <w:tc>
          <w:tcPr>
            <w:tcW w:w="5" w:type="pct"/>
            <w:shd w:val="clear" w:color="auto" w:fill="auto"/>
            <w:vAlign w:val="bottom"/>
          </w:tcPr>
          <w:p w14:paraId="518B4BC0" w14:textId="77777777" w:rsidR="005C332D" w:rsidRDefault="005C332D">
            <w:pPr>
              <w:rPr>
                <w:rFonts w:ascii="宋体"/>
              </w:rPr>
            </w:pPr>
          </w:p>
        </w:tc>
        <w:tc>
          <w:tcPr>
            <w:tcW w:w="50" w:type="pct"/>
            <w:shd w:val="clear" w:color="auto" w:fill="auto"/>
            <w:vAlign w:val="bottom"/>
          </w:tcPr>
          <w:p w14:paraId="518B4BC1" w14:textId="77777777" w:rsidR="005C332D" w:rsidRDefault="005C332D">
            <w:pPr>
              <w:rPr>
                <w:rFonts w:ascii="宋体"/>
              </w:rPr>
            </w:pPr>
          </w:p>
        </w:tc>
        <w:tc>
          <w:tcPr>
            <w:tcW w:w="530" w:type="pct"/>
            <w:shd w:val="clear" w:color="auto" w:fill="auto"/>
            <w:vAlign w:val="bottom"/>
          </w:tcPr>
          <w:p w14:paraId="518B4BC2" w14:textId="77777777" w:rsidR="005C332D" w:rsidRDefault="005C332D">
            <w:pPr>
              <w:rPr>
                <w:rFonts w:ascii="宋体"/>
              </w:rPr>
            </w:pPr>
          </w:p>
        </w:tc>
        <w:tc>
          <w:tcPr>
            <w:tcW w:w="5" w:type="pct"/>
            <w:shd w:val="clear" w:color="auto" w:fill="auto"/>
            <w:vAlign w:val="bottom"/>
          </w:tcPr>
          <w:p w14:paraId="518B4BC3" w14:textId="77777777" w:rsidR="005C332D" w:rsidRDefault="005C332D">
            <w:pPr>
              <w:rPr>
                <w:rFonts w:ascii="宋体"/>
              </w:rPr>
            </w:pPr>
          </w:p>
        </w:tc>
        <w:tc>
          <w:tcPr>
            <w:tcW w:w="5" w:type="pct"/>
            <w:shd w:val="clear" w:color="auto" w:fill="auto"/>
            <w:vAlign w:val="bottom"/>
          </w:tcPr>
          <w:p w14:paraId="518B4BC4" w14:textId="77777777" w:rsidR="005C332D" w:rsidRDefault="005C332D">
            <w:pPr>
              <w:rPr>
                <w:rFonts w:ascii="宋体"/>
              </w:rPr>
            </w:pPr>
          </w:p>
        </w:tc>
        <w:tc>
          <w:tcPr>
            <w:tcW w:w="26" w:type="pct"/>
            <w:shd w:val="clear" w:color="auto" w:fill="auto"/>
            <w:vAlign w:val="bottom"/>
          </w:tcPr>
          <w:p w14:paraId="518B4BC5" w14:textId="77777777" w:rsidR="005C332D" w:rsidRDefault="005C332D">
            <w:pPr>
              <w:rPr>
                <w:rFonts w:ascii="宋体"/>
              </w:rPr>
            </w:pPr>
          </w:p>
        </w:tc>
        <w:tc>
          <w:tcPr>
            <w:tcW w:w="5" w:type="pct"/>
            <w:shd w:val="clear" w:color="auto" w:fill="auto"/>
            <w:vAlign w:val="bottom"/>
          </w:tcPr>
          <w:p w14:paraId="518B4BC6" w14:textId="77777777" w:rsidR="005C332D" w:rsidRDefault="005C332D">
            <w:pPr>
              <w:rPr>
                <w:rFonts w:ascii="宋体"/>
              </w:rPr>
            </w:pPr>
          </w:p>
        </w:tc>
        <w:tc>
          <w:tcPr>
            <w:tcW w:w="50" w:type="pct"/>
            <w:shd w:val="clear" w:color="auto" w:fill="auto"/>
            <w:vAlign w:val="bottom"/>
          </w:tcPr>
          <w:p w14:paraId="518B4BC7" w14:textId="77777777" w:rsidR="005C332D" w:rsidRDefault="005C332D">
            <w:pPr>
              <w:rPr>
                <w:rFonts w:ascii="宋体"/>
              </w:rPr>
            </w:pPr>
          </w:p>
        </w:tc>
        <w:tc>
          <w:tcPr>
            <w:tcW w:w="530" w:type="pct"/>
            <w:shd w:val="clear" w:color="auto" w:fill="auto"/>
            <w:vAlign w:val="bottom"/>
          </w:tcPr>
          <w:p w14:paraId="518B4BC8" w14:textId="77777777" w:rsidR="005C332D" w:rsidRDefault="005C332D">
            <w:pPr>
              <w:rPr>
                <w:rFonts w:ascii="宋体"/>
              </w:rPr>
            </w:pPr>
          </w:p>
        </w:tc>
        <w:tc>
          <w:tcPr>
            <w:tcW w:w="5" w:type="pct"/>
            <w:shd w:val="clear" w:color="auto" w:fill="auto"/>
            <w:vAlign w:val="bottom"/>
          </w:tcPr>
          <w:p w14:paraId="518B4BC9" w14:textId="77777777" w:rsidR="005C332D" w:rsidRDefault="005C332D">
            <w:pPr>
              <w:rPr>
                <w:rFonts w:ascii="宋体"/>
              </w:rPr>
            </w:pPr>
          </w:p>
        </w:tc>
        <w:tc>
          <w:tcPr>
            <w:tcW w:w="5" w:type="pct"/>
            <w:shd w:val="clear" w:color="auto" w:fill="auto"/>
            <w:vAlign w:val="bottom"/>
          </w:tcPr>
          <w:p w14:paraId="518B4BCA" w14:textId="77777777" w:rsidR="005C332D" w:rsidRDefault="005C332D">
            <w:pPr>
              <w:rPr>
                <w:rFonts w:ascii="宋体"/>
              </w:rPr>
            </w:pPr>
          </w:p>
        </w:tc>
        <w:tc>
          <w:tcPr>
            <w:tcW w:w="26" w:type="pct"/>
            <w:shd w:val="clear" w:color="auto" w:fill="auto"/>
            <w:vAlign w:val="bottom"/>
          </w:tcPr>
          <w:p w14:paraId="518B4BCB" w14:textId="77777777" w:rsidR="005C332D" w:rsidRDefault="005C332D">
            <w:pPr>
              <w:rPr>
                <w:rFonts w:ascii="宋体"/>
              </w:rPr>
            </w:pPr>
          </w:p>
        </w:tc>
        <w:tc>
          <w:tcPr>
            <w:tcW w:w="5" w:type="pct"/>
            <w:shd w:val="clear" w:color="auto" w:fill="auto"/>
            <w:vAlign w:val="bottom"/>
          </w:tcPr>
          <w:p w14:paraId="518B4BCC" w14:textId="77777777" w:rsidR="005C332D" w:rsidRDefault="005C332D">
            <w:pPr>
              <w:rPr>
                <w:rFonts w:ascii="宋体"/>
              </w:rPr>
            </w:pPr>
          </w:p>
        </w:tc>
        <w:tc>
          <w:tcPr>
            <w:tcW w:w="50" w:type="pct"/>
            <w:shd w:val="clear" w:color="auto" w:fill="auto"/>
            <w:vAlign w:val="bottom"/>
          </w:tcPr>
          <w:p w14:paraId="518B4BCD" w14:textId="77777777" w:rsidR="005C332D" w:rsidRDefault="005C332D">
            <w:pPr>
              <w:rPr>
                <w:rFonts w:ascii="宋体"/>
              </w:rPr>
            </w:pPr>
          </w:p>
        </w:tc>
        <w:tc>
          <w:tcPr>
            <w:tcW w:w="530" w:type="pct"/>
            <w:shd w:val="clear" w:color="auto" w:fill="auto"/>
            <w:vAlign w:val="bottom"/>
          </w:tcPr>
          <w:p w14:paraId="518B4BCE" w14:textId="77777777" w:rsidR="005C332D" w:rsidRDefault="005C332D">
            <w:pPr>
              <w:rPr>
                <w:rFonts w:ascii="宋体"/>
              </w:rPr>
            </w:pPr>
          </w:p>
        </w:tc>
        <w:tc>
          <w:tcPr>
            <w:tcW w:w="5" w:type="pct"/>
            <w:shd w:val="clear" w:color="auto" w:fill="auto"/>
            <w:vAlign w:val="bottom"/>
          </w:tcPr>
          <w:p w14:paraId="518B4BCF" w14:textId="77777777" w:rsidR="005C332D" w:rsidRDefault="005C332D">
            <w:pPr>
              <w:rPr>
                <w:rFonts w:ascii="宋体"/>
              </w:rPr>
            </w:pPr>
          </w:p>
        </w:tc>
      </w:tr>
      <w:tr w:rsidR="005C332D" w14:paraId="518B4BD5" w14:textId="77777777">
        <w:trPr>
          <w:jc w:val="center"/>
        </w:trPr>
        <w:tc>
          <w:tcPr>
            <w:tcW w:w="0" w:type="auto"/>
            <w:gridSpan w:val="3"/>
            <w:shd w:val="clear" w:color="auto" w:fill="auto"/>
            <w:tcMar>
              <w:top w:w="0" w:type="dxa"/>
              <w:left w:w="20" w:type="dxa"/>
              <w:bottom w:w="0" w:type="dxa"/>
              <w:right w:w="20" w:type="dxa"/>
            </w:tcMar>
            <w:vAlign w:val="bottom"/>
          </w:tcPr>
          <w:p w14:paraId="518B4BD1"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BD2" w14:textId="77777777" w:rsidR="005C332D" w:rsidRDefault="00B93EAE">
            <w:pPr>
              <w:jc w:val="center"/>
              <w:textAlignment w:val="bottom"/>
            </w:pPr>
            <w:r>
              <w:rPr>
                <w:rFonts w:ascii="Times New Roman" w:eastAsia="宋体" w:hAnsi="Times New Roman"/>
                <w:color w:val="000000"/>
                <w:sz w:val="18"/>
                <w:szCs w:val="18"/>
              </w:rPr>
              <w:t>Years Ended</w:t>
            </w:r>
          </w:p>
        </w:tc>
        <w:tc>
          <w:tcPr>
            <w:tcW w:w="0" w:type="auto"/>
            <w:gridSpan w:val="3"/>
            <w:shd w:val="clear" w:color="auto" w:fill="auto"/>
            <w:tcMar>
              <w:top w:w="0" w:type="dxa"/>
              <w:left w:w="20" w:type="dxa"/>
              <w:bottom w:w="0" w:type="dxa"/>
              <w:right w:w="20" w:type="dxa"/>
            </w:tcMar>
            <w:vAlign w:val="bottom"/>
          </w:tcPr>
          <w:p w14:paraId="518B4BD3"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4BD4" w14:textId="77777777" w:rsidR="005C332D" w:rsidRDefault="00B93EAE">
            <w:pPr>
              <w:jc w:val="center"/>
              <w:textAlignment w:val="bottom"/>
            </w:pPr>
            <w:r>
              <w:rPr>
                <w:rFonts w:ascii="Times New Roman" w:eastAsia="宋体" w:hAnsi="Times New Roman"/>
                <w:color w:val="000000"/>
                <w:sz w:val="18"/>
                <w:szCs w:val="18"/>
              </w:rPr>
              <w:t>2022 vs. 2021</w:t>
            </w:r>
          </w:p>
        </w:tc>
      </w:tr>
      <w:tr w:rsidR="005C332D" w14:paraId="518B4BE0" w14:textId="77777777">
        <w:trPr>
          <w:jc w:val="center"/>
        </w:trPr>
        <w:tc>
          <w:tcPr>
            <w:tcW w:w="0" w:type="auto"/>
            <w:gridSpan w:val="3"/>
            <w:shd w:val="clear" w:color="auto" w:fill="auto"/>
            <w:tcMar>
              <w:top w:w="0" w:type="dxa"/>
              <w:left w:w="20" w:type="dxa"/>
              <w:bottom w:w="0" w:type="dxa"/>
              <w:right w:w="20" w:type="dxa"/>
            </w:tcMar>
            <w:vAlign w:val="bottom"/>
          </w:tcPr>
          <w:p w14:paraId="518B4BD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BD7"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BD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BD9"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BD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BDB"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auto"/>
            <w:tcMar>
              <w:top w:w="0" w:type="dxa"/>
              <w:left w:w="20" w:type="dxa"/>
              <w:bottom w:w="0" w:type="dxa"/>
              <w:right w:w="20" w:type="dxa"/>
            </w:tcMar>
            <w:vAlign w:val="bottom"/>
          </w:tcPr>
          <w:p w14:paraId="518B4BD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BDD" w14:textId="77777777" w:rsidR="005C332D" w:rsidRDefault="00B93EAE">
            <w:pPr>
              <w:jc w:val="center"/>
              <w:textAlignment w:val="bottom"/>
            </w:pPr>
            <w:r>
              <w:rPr>
                <w:rFonts w:ascii="Times New Roman" w:eastAsia="宋体" w:hAnsi="Times New Roman"/>
                <w:color w:val="000000"/>
                <w:sz w:val="18"/>
                <w:szCs w:val="18"/>
              </w:rPr>
              <w:t>Variance 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BD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BDF" w14:textId="77777777" w:rsidR="005C332D" w:rsidRDefault="00B93EAE">
            <w:pPr>
              <w:jc w:val="center"/>
              <w:textAlignment w:val="bottom"/>
            </w:pPr>
            <w:r>
              <w:rPr>
                <w:rFonts w:ascii="Times New Roman" w:eastAsia="宋体" w:hAnsi="Times New Roman"/>
                <w:color w:val="000000"/>
                <w:sz w:val="18"/>
                <w:szCs w:val="18"/>
              </w:rPr>
              <w:t>Variance in Percent</w:t>
            </w:r>
          </w:p>
        </w:tc>
      </w:tr>
      <w:tr w:rsidR="005C332D" w14:paraId="518B4BEB" w14:textId="77777777">
        <w:trPr>
          <w:jc w:val="center"/>
        </w:trPr>
        <w:tc>
          <w:tcPr>
            <w:tcW w:w="0" w:type="auto"/>
            <w:gridSpan w:val="3"/>
            <w:shd w:val="clear" w:color="auto" w:fill="FFFFFF"/>
            <w:tcMar>
              <w:top w:w="40" w:type="dxa"/>
              <w:left w:w="20" w:type="dxa"/>
              <w:bottom w:w="40" w:type="dxa"/>
              <w:right w:w="20" w:type="dxa"/>
            </w:tcMar>
            <w:vAlign w:val="bottom"/>
          </w:tcPr>
          <w:p w14:paraId="518B4BE1" w14:textId="77777777" w:rsidR="005C332D" w:rsidRDefault="00B93EAE">
            <w:pPr>
              <w:textAlignment w:val="bottom"/>
            </w:pPr>
            <w:r>
              <w:rPr>
                <w:rFonts w:ascii="Times New Roman" w:eastAsia="宋体" w:hAnsi="Times New Roman"/>
                <w:color w:val="000000"/>
                <w:sz w:val="20"/>
                <w:szCs w:val="20"/>
              </w:rPr>
              <w:t>Service revenue:</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BE2"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BE3"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BE4"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BE5"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BE6"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BE7"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BE8" w14:textId="77777777" w:rsidR="005C332D" w:rsidRDefault="00B93EAE">
            <w:pPr>
              <w:textAlignment w:val="bottom"/>
            </w:pPr>
            <w:r>
              <w:rPr>
                <w:rFonts w:ascii="Times New Roman" w:eastAsia="宋体" w:hAnsi="Times New Roman"/>
                <w:color w:val="000000"/>
                <w:sz w:val="22"/>
                <w:szCs w:val="22"/>
              </w:rPr>
              <w:t> </w:t>
            </w:r>
          </w:p>
        </w:tc>
        <w:tc>
          <w:tcPr>
            <w:tcW w:w="0" w:type="auto"/>
            <w:gridSpan w:val="3"/>
            <w:shd w:val="clear" w:color="auto" w:fill="FFFFFF"/>
            <w:tcMar>
              <w:top w:w="0" w:type="dxa"/>
              <w:left w:w="20" w:type="dxa"/>
              <w:bottom w:w="0" w:type="dxa"/>
              <w:right w:w="20" w:type="dxa"/>
            </w:tcMar>
            <w:vAlign w:val="bottom"/>
          </w:tcPr>
          <w:p w14:paraId="518B4BE9"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BEA" w14:textId="77777777" w:rsidR="005C332D" w:rsidRDefault="00B93EAE">
            <w:pPr>
              <w:textAlignment w:val="bottom"/>
            </w:pPr>
            <w:r>
              <w:rPr>
                <w:rFonts w:ascii="Times New Roman" w:eastAsia="宋体" w:hAnsi="Times New Roman"/>
                <w:color w:val="000000"/>
                <w:sz w:val="22"/>
                <w:szCs w:val="22"/>
              </w:rPr>
              <w:t> </w:t>
            </w:r>
          </w:p>
        </w:tc>
      </w:tr>
      <w:tr w:rsidR="005C332D" w14:paraId="518B4BFF" w14:textId="77777777">
        <w:trPr>
          <w:jc w:val="center"/>
        </w:trPr>
        <w:tc>
          <w:tcPr>
            <w:tcW w:w="0" w:type="auto"/>
            <w:gridSpan w:val="3"/>
            <w:shd w:val="clear" w:color="auto" w:fill="CCEEFF"/>
            <w:tcMar>
              <w:top w:w="40" w:type="dxa"/>
              <w:left w:w="155" w:type="dxa"/>
              <w:bottom w:w="40" w:type="dxa"/>
              <w:right w:w="20" w:type="dxa"/>
            </w:tcMar>
            <w:vAlign w:val="bottom"/>
          </w:tcPr>
          <w:p w14:paraId="518B4BEC" w14:textId="77777777" w:rsidR="005C332D" w:rsidRDefault="00B93EAE">
            <w:pPr>
              <w:textAlignment w:val="bottom"/>
            </w:pPr>
            <w:r>
              <w:rPr>
                <w:rFonts w:ascii="Times New Roman" w:eastAsia="宋体" w:hAnsi="Times New Roman"/>
                <w:color w:val="000000"/>
                <w:sz w:val="20"/>
                <w:szCs w:val="20"/>
              </w:rPr>
              <w:t>Americas</w:t>
            </w:r>
          </w:p>
        </w:tc>
        <w:tc>
          <w:tcPr>
            <w:tcW w:w="0" w:type="auto"/>
            <w:shd w:val="clear" w:color="auto" w:fill="CCEEFF"/>
            <w:tcMar>
              <w:top w:w="40" w:type="dxa"/>
              <w:left w:w="20" w:type="dxa"/>
              <w:bottom w:w="40" w:type="dxa"/>
              <w:right w:w="0" w:type="dxa"/>
            </w:tcMar>
            <w:vAlign w:val="bottom"/>
          </w:tcPr>
          <w:p w14:paraId="518B4BED"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BEE" w14:textId="77777777" w:rsidR="005C332D" w:rsidRDefault="00B93EAE">
            <w:pPr>
              <w:jc w:val="right"/>
              <w:textAlignment w:val="bottom"/>
            </w:pPr>
            <w:r>
              <w:rPr>
                <w:rFonts w:ascii="Times New Roman" w:eastAsia="宋体" w:hAnsi="Times New Roman"/>
                <w:b/>
                <w:bCs/>
                <w:color w:val="000000"/>
                <w:sz w:val="20"/>
                <w:szCs w:val="20"/>
              </w:rPr>
              <w:t>8,194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BE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F0"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BF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BF2" w14:textId="77777777" w:rsidR="005C332D" w:rsidRDefault="00B93EAE">
            <w:pPr>
              <w:jc w:val="right"/>
              <w:textAlignment w:val="bottom"/>
            </w:pPr>
            <w:r>
              <w:rPr>
                <w:rFonts w:ascii="Times New Roman" w:eastAsia="宋体" w:hAnsi="Times New Roman"/>
                <w:color w:val="000000"/>
                <w:sz w:val="20"/>
                <w:szCs w:val="20"/>
              </w:rPr>
              <w:t>8,472 </w:t>
            </w:r>
          </w:p>
        </w:tc>
        <w:tc>
          <w:tcPr>
            <w:tcW w:w="0" w:type="auto"/>
            <w:shd w:val="clear" w:color="auto" w:fill="CCEEFF"/>
            <w:tcMar>
              <w:top w:w="40" w:type="dxa"/>
              <w:left w:w="0" w:type="dxa"/>
              <w:bottom w:w="40" w:type="dxa"/>
              <w:right w:w="20" w:type="dxa"/>
            </w:tcMar>
            <w:vAlign w:val="bottom"/>
          </w:tcPr>
          <w:p w14:paraId="518B4BF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F4"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BF5"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BF6" w14:textId="77777777" w:rsidR="005C332D" w:rsidRDefault="00B93EAE">
            <w:pPr>
              <w:jc w:val="right"/>
              <w:textAlignment w:val="bottom"/>
            </w:pPr>
            <w:r>
              <w:rPr>
                <w:rFonts w:ascii="Times New Roman" w:eastAsia="宋体" w:hAnsi="Times New Roman"/>
                <w:color w:val="000000"/>
                <w:sz w:val="20"/>
                <w:szCs w:val="20"/>
              </w:rPr>
              <w:t>8,285 </w:t>
            </w:r>
          </w:p>
        </w:tc>
        <w:tc>
          <w:tcPr>
            <w:tcW w:w="0" w:type="auto"/>
            <w:shd w:val="clear" w:color="auto" w:fill="CCEEFF"/>
            <w:tcMar>
              <w:top w:w="40" w:type="dxa"/>
              <w:left w:w="0" w:type="dxa"/>
              <w:bottom w:w="40" w:type="dxa"/>
              <w:right w:w="20" w:type="dxa"/>
            </w:tcMar>
            <w:vAlign w:val="bottom"/>
          </w:tcPr>
          <w:p w14:paraId="518B4BF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F8"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BF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BFA" w14:textId="77777777" w:rsidR="005C332D" w:rsidRDefault="00B93EAE">
            <w:pPr>
              <w:jc w:val="right"/>
              <w:textAlignment w:val="bottom"/>
            </w:pPr>
            <w:r>
              <w:rPr>
                <w:rFonts w:ascii="Times New Roman" w:eastAsia="宋体" w:hAnsi="Times New Roman"/>
                <w:color w:val="000000"/>
                <w:sz w:val="20"/>
                <w:szCs w:val="20"/>
              </w:rPr>
              <w:t>(278)</w:t>
            </w:r>
          </w:p>
        </w:tc>
        <w:tc>
          <w:tcPr>
            <w:tcW w:w="0" w:type="auto"/>
            <w:shd w:val="clear" w:color="auto" w:fill="CCEEFF"/>
            <w:tcMar>
              <w:top w:w="40" w:type="dxa"/>
              <w:left w:w="0" w:type="dxa"/>
              <w:bottom w:w="40" w:type="dxa"/>
              <w:right w:w="20" w:type="dxa"/>
            </w:tcMar>
            <w:vAlign w:val="bottom"/>
          </w:tcPr>
          <w:p w14:paraId="518B4BF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BF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BFD" w14:textId="77777777" w:rsidR="005C332D" w:rsidRDefault="00B93EAE">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518B4BFE"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C0D" w14:textId="77777777">
        <w:trPr>
          <w:jc w:val="center"/>
        </w:trPr>
        <w:tc>
          <w:tcPr>
            <w:tcW w:w="0" w:type="auto"/>
            <w:gridSpan w:val="3"/>
            <w:shd w:val="clear" w:color="auto" w:fill="FFFFFF"/>
            <w:tcMar>
              <w:top w:w="40" w:type="dxa"/>
              <w:left w:w="155" w:type="dxa"/>
              <w:bottom w:w="40" w:type="dxa"/>
              <w:right w:w="20" w:type="dxa"/>
            </w:tcMar>
            <w:vAlign w:val="bottom"/>
          </w:tcPr>
          <w:p w14:paraId="518B4C00" w14:textId="77777777" w:rsidR="005C332D" w:rsidRDefault="00B93EAE">
            <w:pPr>
              <w:textAlignment w:val="bottom"/>
            </w:pPr>
            <w:r>
              <w:rPr>
                <w:rFonts w:ascii="Times New Roman" w:eastAsia="宋体" w:hAnsi="Times New Roman"/>
                <w:i/>
                <w:iCs/>
                <w:color w:val="000000"/>
                <w:sz w:val="18"/>
                <w:szCs w:val="18"/>
              </w:rPr>
              <w:t>Percentage of service revenue</w:t>
            </w:r>
          </w:p>
        </w:tc>
        <w:tc>
          <w:tcPr>
            <w:tcW w:w="0" w:type="auto"/>
            <w:gridSpan w:val="2"/>
            <w:shd w:val="clear" w:color="auto" w:fill="FFFFFF"/>
            <w:tcMar>
              <w:top w:w="40" w:type="dxa"/>
              <w:left w:w="20" w:type="dxa"/>
              <w:bottom w:w="40" w:type="dxa"/>
              <w:right w:w="0" w:type="dxa"/>
            </w:tcMar>
            <w:vAlign w:val="bottom"/>
          </w:tcPr>
          <w:p w14:paraId="518B4C01" w14:textId="77777777" w:rsidR="005C332D" w:rsidRDefault="00B93EAE">
            <w:pPr>
              <w:jc w:val="right"/>
              <w:textAlignment w:val="bottom"/>
            </w:pPr>
            <w:r>
              <w:rPr>
                <w:rFonts w:ascii="Times New Roman" w:eastAsia="宋体" w:hAnsi="Times New Roman"/>
                <w:b/>
                <w:bCs/>
                <w:i/>
                <w:iCs/>
                <w:color w:val="000000"/>
                <w:sz w:val="18"/>
                <w:szCs w:val="18"/>
              </w:rPr>
              <w:t>60.5</w:t>
            </w:r>
            <w:r>
              <w:rPr>
                <w:rFonts w:ascii="Times New Roman" w:eastAsia="宋体" w:hAnsi="Times New Roman"/>
                <w:i/>
                <w:iCs/>
                <w:color w:val="000000"/>
                <w:sz w:val="18"/>
                <w:szCs w:val="18"/>
              </w:rPr>
              <w:t> </w:t>
            </w:r>
          </w:p>
        </w:tc>
        <w:tc>
          <w:tcPr>
            <w:tcW w:w="0" w:type="auto"/>
            <w:shd w:val="clear" w:color="auto" w:fill="FFFFFF"/>
            <w:tcMar>
              <w:top w:w="40" w:type="dxa"/>
              <w:left w:w="0" w:type="dxa"/>
              <w:bottom w:w="40" w:type="dxa"/>
              <w:right w:w="20" w:type="dxa"/>
            </w:tcMar>
            <w:vAlign w:val="bottom"/>
          </w:tcPr>
          <w:p w14:paraId="518B4C02" w14:textId="77777777" w:rsidR="005C332D" w:rsidRDefault="00B93EAE">
            <w:pPr>
              <w:jc w:val="right"/>
              <w:textAlignment w:val="bottom"/>
            </w:pPr>
            <w:r>
              <w:rPr>
                <w:rFonts w:ascii="Times New Roman" w:eastAsia="宋体" w:hAnsi="Times New Roman"/>
                <w:b/>
                <w:bCs/>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C0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04" w14:textId="77777777" w:rsidR="005C332D" w:rsidRDefault="00B93EAE">
            <w:pPr>
              <w:jc w:val="right"/>
              <w:textAlignment w:val="bottom"/>
            </w:pPr>
            <w:r>
              <w:rPr>
                <w:rFonts w:ascii="Times New Roman" w:eastAsia="宋体" w:hAnsi="Times New Roman"/>
                <w:i/>
                <w:iCs/>
                <w:color w:val="000000"/>
                <w:sz w:val="18"/>
                <w:szCs w:val="18"/>
              </w:rPr>
              <w:t>61.4 </w:t>
            </w:r>
          </w:p>
        </w:tc>
        <w:tc>
          <w:tcPr>
            <w:tcW w:w="0" w:type="auto"/>
            <w:shd w:val="clear" w:color="auto" w:fill="FFFFFF"/>
            <w:tcMar>
              <w:top w:w="40" w:type="dxa"/>
              <w:left w:w="0" w:type="dxa"/>
              <w:bottom w:w="40" w:type="dxa"/>
              <w:right w:w="20" w:type="dxa"/>
            </w:tcMar>
            <w:vAlign w:val="bottom"/>
          </w:tcPr>
          <w:p w14:paraId="518B4C05"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C0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07" w14:textId="77777777" w:rsidR="005C332D" w:rsidRDefault="00B93EAE">
            <w:pPr>
              <w:jc w:val="right"/>
              <w:textAlignment w:val="bottom"/>
            </w:pPr>
            <w:r>
              <w:rPr>
                <w:rFonts w:ascii="Times New Roman" w:eastAsia="宋体" w:hAnsi="Times New Roman"/>
                <w:i/>
                <w:iCs/>
                <w:color w:val="000000"/>
                <w:sz w:val="18"/>
                <w:szCs w:val="18"/>
              </w:rPr>
              <w:t>62.2 </w:t>
            </w:r>
          </w:p>
        </w:tc>
        <w:tc>
          <w:tcPr>
            <w:tcW w:w="0" w:type="auto"/>
            <w:shd w:val="clear" w:color="auto" w:fill="FFFFFF"/>
            <w:tcMar>
              <w:top w:w="40" w:type="dxa"/>
              <w:left w:w="0" w:type="dxa"/>
              <w:bottom w:w="40" w:type="dxa"/>
              <w:right w:w="20" w:type="dxa"/>
            </w:tcMar>
            <w:vAlign w:val="bottom"/>
          </w:tcPr>
          <w:p w14:paraId="518B4C08"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C0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C0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C0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C0C" w14:textId="77777777" w:rsidR="005C332D" w:rsidRDefault="005C332D">
            <w:pPr>
              <w:rPr>
                <w:rFonts w:ascii="宋体"/>
              </w:rPr>
            </w:pPr>
          </w:p>
        </w:tc>
      </w:tr>
      <w:tr w:rsidR="005C332D" w14:paraId="518B4C1D" w14:textId="77777777">
        <w:trPr>
          <w:jc w:val="center"/>
        </w:trPr>
        <w:tc>
          <w:tcPr>
            <w:tcW w:w="0" w:type="auto"/>
            <w:gridSpan w:val="3"/>
            <w:shd w:val="clear" w:color="auto" w:fill="CCEEFF"/>
            <w:tcMar>
              <w:top w:w="40" w:type="dxa"/>
              <w:left w:w="155" w:type="dxa"/>
              <w:bottom w:w="40" w:type="dxa"/>
              <w:right w:w="20" w:type="dxa"/>
            </w:tcMar>
            <w:vAlign w:val="bottom"/>
          </w:tcPr>
          <w:p w14:paraId="518B4C0E" w14:textId="77777777" w:rsidR="005C332D" w:rsidRDefault="00B93EAE">
            <w:pPr>
              <w:textAlignment w:val="bottom"/>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518B4C0F" w14:textId="77777777" w:rsidR="005C332D" w:rsidRDefault="00B93EAE">
            <w:pPr>
              <w:jc w:val="right"/>
              <w:textAlignment w:val="bottom"/>
            </w:pPr>
            <w:r>
              <w:rPr>
                <w:rFonts w:ascii="Times New Roman" w:eastAsia="宋体" w:hAnsi="Times New Roman"/>
                <w:b/>
                <w:bCs/>
                <w:color w:val="000000"/>
                <w:sz w:val="20"/>
                <w:szCs w:val="20"/>
              </w:rPr>
              <w:t>3,171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C1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1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12" w14:textId="77777777" w:rsidR="005C332D" w:rsidRDefault="00B93EAE">
            <w:pPr>
              <w:jc w:val="right"/>
              <w:textAlignment w:val="bottom"/>
            </w:pPr>
            <w:r>
              <w:rPr>
                <w:rFonts w:ascii="Times New Roman" w:eastAsia="宋体" w:hAnsi="Times New Roman"/>
                <w:color w:val="000000"/>
                <w:sz w:val="20"/>
                <w:szCs w:val="20"/>
              </w:rPr>
              <w:t>3,146 </w:t>
            </w:r>
          </w:p>
        </w:tc>
        <w:tc>
          <w:tcPr>
            <w:tcW w:w="0" w:type="auto"/>
            <w:shd w:val="clear" w:color="auto" w:fill="CCEEFF"/>
            <w:tcMar>
              <w:top w:w="40" w:type="dxa"/>
              <w:left w:w="0" w:type="dxa"/>
              <w:bottom w:w="40" w:type="dxa"/>
              <w:right w:w="20" w:type="dxa"/>
            </w:tcMar>
            <w:vAlign w:val="bottom"/>
          </w:tcPr>
          <w:p w14:paraId="518B4C1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1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15" w14:textId="77777777" w:rsidR="005C332D" w:rsidRDefault="00B93EAE">
            <w:pPr>
              <w:jc w:val="right"/>
              <w:textAlignment w:val="bottom"/>
            </w:pPr>
            <w:r>
              <w:rPr>
                <w:rFonts w:ascii="Times New Roman" w:eastAsia="宋体" w:hAnsi="Times New Roman"/>
                <w:color w:val="000000"/>
                <w:sz w:val="20"/>
                <w:szCs w:val="20"/>
              </w:rPr>
              <w:t>3,012 </w:t>
            </w:r>
          </w:p>
        </w:tc>
        <w:tc>
          <w:tcPr>
            <w:tcW w:w="0" w:type="auto"/>
            <w:shd w:val="clear" w:color="auto" w:fill="CCEEFF"/>
            <w:tcMar>
              <w:top w:w="40" w:type="dxa"/>
              <w:left w:w="0" w:type="dxa"/>
              <w:bottom w:w="40" w:type="dxa"/>
              <w:right w:w="20" w:type="dxa"/>
            </w:tcMar>
            <w:vAlign w:val="bottom"/>
          </w:tcPr>
          <w:p w14:paraId="518B4C1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1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18" w14:textId="77777777" w:rsidR="005C332D" w:rsidRDefault="00B93EAE">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518B4C1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1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1B"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518B4C1C"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C2B" w14:textId="77777777">
        <w:trPr>
          <w:jc w:val="center"/>
        </w:trPr>
        <w:tc>
          <w:tcPr>
            <w:tcW w:w="0" w:type="auto"/>
            <w:gridSpan w:val="3"/>
            <w:shd w:val="clear" w:color="auto" w:fill="FFFFFF"/>
            <w:tcMar>
              <w:top w:w="40" w:type="dxa"/>
              <w:left w:w="155" w:type="dxa"/>
              <w:bottom w:w="40" w:type="dxa"/>
              <w:right w:w="20" w:type="dxa"/>
            </w:tcMar>
            <w:vAlign w:val="bottom"/>
          </w:tcPr>
          <w:p w14:paraId="518B4C1E" w14:textId="77777777" w:rsidR="005C332D" w:rsidRDefault="00B93EAE">
            <w:pPr>
              <w:textAlignment w:val="bottom"/>
            </w:pPr>
            <w:r>
              <w:rPr>
                <w:rFonts w:ascii="Times New Roman" w:eastAsia="宋体" w:hAnsi="Times New Roman"/>
                <w:i/>
                <w:iCs/>
                <w:color w:val="000000"/>
                <w:sz w:val="18"/>
                <w:szCs w:val="18"/>
              </w:rPr>
              <w:t>Percentage of service revenue</w:t>
            </w:r>
          </w:p>
        </w:tc>
        <w:tc>
          <w:tcPr>
            <w:tcW w:w="0" w:type="auto"/>
            <w:gridSpan w:val="2"/>
            <w:shd w:val="clear" w:color="auto" w:fill="FFFFFF"/>
            <w:tcMar>
              <w:top w:w="40" w:type="dxa"/>
              <w:left w:w="20" w:type="dxa"/>
              <w:bottom w:w="40" w:type="dxa"/>
              <w:right w:w="0" w:type="dxa"/>
            </w:tcMar>
            <w:vAlign w:val="bottom"/>
          </w:tcPr>
          <w:p w14:paraId="518B4C1F" w14:textId="77777777" w:rsidR="005C332D" w:rsidRDefault="00B93EAE">
            <w:pPr>
              <w:jc w:val="right"/>
              <w:textAlignment w:val="bottom"/>
            </w:pPr>
            <w:r>
              <w:rPr>
                <w:rFonts w:ascii="Times New Roman" w:eastAsia="宋体" w:hAnsi="Times New Roman"/>
                <w:b/>
                <w:bCs/>
                <w:i/>
                <w:iCs/>
                <w:color w:val="000000"/>
                <w:sz w:val="18"/>
                <w:szCs w:val="18"/>
              </w:rPr>
              <w:t>23.4</w:t>
            </w:r>
            <w:r>
              <w:rPr>
                <w:rFonts w:ascii="Times New Roman" w:eastAsia="宋体" w:hAnsi="Times New Roman"/>
                <w:i/>
                <w:iCs/>
                <w:color w:val="000000"/>
                <w:sz w:val="18"/>
                <w:szCs w:val="18"/>
              </w:rPr>
              <w:t> </w:t>
            </w:r>
          </w:p>
        </w:tc>
        <w:tc>
          <w:tcPr>
            <w:tcW w:w="0" w:type="auto"/>
            <w:shd w:val="clear" w:color="auto" w:fill="FFFFFF"/>
            <w:tcMar>
              <w:top w:w="40" w:type="dxa"/>
              <w:left w:w="0" w:type="dxa"/>
              <w:bottom w:w="40" w:type="dxa"/>
              <w:right w:w="20" w:type="dxa"/>
            </w:tcMar>
            <w:vAlign w:val="bottom"/>
          </w:tcPr>
          <w:p w14:paraId="518B4C20" w14:textId="77777777" w:rsidR="005C332D" w:rsidRDefault="00B93EAE">
            <w:pPr>
              <w:jc w:val="right"/>
              <w:textAlignment w:val="bottom"/>
            </w:pPr>
            <w:r>
              <w:rPr>
                <w:rFonts w:ascii="Times New Roman" w:eastAsia="宋体" w:hAnsi="Times New Roman"/>
                <w:b/>
                <w:bCs/>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C2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22" w14:textId="77777777" w:rsidR="005C332D" w:rsidRDefault="00B93EAE">
            <w:pPr>
              <w:jc w:val="right"/>
              <w:textAlignment w:val="bottom"/>
            </w:pPr>
            <w:r>
              <w:rPr>
                <w:rFonts w:ascii="Times New Roman" w:eastAsia="宋体" w:hAnsi="Times New Roman"/>
                <w:i/>
                <w:iCs/>
                <w:color w:val="000000"/>
                <w:sz w:val="18"/>
                <w:szCs w:val="18"/>
              </w:rPr>
              <w:t>22.8 </w:t>
            </w:r>
          </w:p>
        </w:tc>
        <w:tc>
          <w:tcPr>
            <w:tcW w:w="0" w:type="auto"/>
            <w:shd w:val="clear" w:color="auto" w:fill="FFFFFF"/>
            <w:tcMar>
              <w:top w:w="40" w:type="dxa"/>
              <w:left w:w="0" w:type="dxa"/>
              <w:bottom w:w="40" w:type="dxa"/>
              <w:right w:w="20" w:type="dxa"/>
            </w:tcMar>
            <w:vAlign w:val="bottom"/>
          </w:tcPr>
          <w:p w14:paraId="518B4C23"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C2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25" w14:textId="77777777" w:rsidR="005C332D" w:rsidRDefault="00B93EAE">
            <w:pPr>
              <w:jc w:val="right"/>
              <w:textAlignment w:val="bottom"/>
            </w:pPr>
            <w:r>
              <w:rPr>
                <w:rFonts w:ascii="Times New Roman" w:eastAsia="宋体" w:hAnsi="Times New Roman"/>
                <w:i/>
                <w:iCs/>
                <w:color w:val="000000"/>
                <w:sz w:val="18"/>
                <w:szCs w:val="18"/>
              </w:rPr>
              <w:t>22.6 </w:t>
            </w:r>
          </w:p>
        </w:tc>
        <w:tc>
          <w:tcPr>
            <w:tcW w:w="0" w:type="auto"/>
            <w:shd w:val="clear" w:color="auto" w:fill="FFFFFF"/>
            <w:tcMar>
              <w:top w:w="40" w:type="dxa"/>
              <w:left w:w="0" w:type="dxa"/>
              <w:bottom w:w="40" w:type="dxa"/>
              <w:right w:w="20" w:type="dxa"/>
            </w:tcMar>
            <w:vAlign w:val="bottom"/>
          </w:tcPr>
          <w:p w14:paraId="518B4C26"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C2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C2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C2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C2A" w14:textId="77777777" w:rsidR="005C332D" w:rsidRDefault="005C332D">
            <w:pPr>
              <w:rPr>
                <w:rFonts w:ascii="宋体"/>
              </w:rPr>
            </w:pPr>
          </w:p>
        </w:tc>
      </w:tr>
      <w:tr w:rsidR="005C332D" w14:paraId="518B4C3B" w14:textId="77777777">
        <w:trPr>
          <w:jc w:val="center"/>
        </w:trPr>
        <w:tc>
          <w:tcPr>
            <w:tcW w:w="0" w:type="auto"/>
            <w:gridSpan w:val="3"/>
            <w:shd w:val="clear" w:color="auto" w:fill="CCEEFF"/>
            <w:tcMar>
              <w:top w:w="40" w:type="dxa"/>
              <w:left w:w="155" w:type="dxa"/>
              <w:bottom w:w="40" w:type="dxa"/>
              <w:right w:w="20" w:type="dxa"/>
            </w:tcMar>
            <w:vAlign w:val="bottom"/>
          </w:tcPr>
          <w:p w14:paraId="518B4C2C" w14:textId="77777777" w:rsidR="005C332D" w:rsidRDefault="00B93EAE">
            <w:pPr>
              <w:textAlignment w:val="bottom"/>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518B4C2D" w14:textId="77777777" w:rsidR="005C332D" w:rsidRDefault="00B93EAE">
            <w:pPr>
              <w:jc w:val="right"/>
              <w:textAlignment w:val="bottom"/>
            </w:pPr>
            <w:r>
              <w:rPr>
                <w:rFonts w:ascii="Times New Roman" w:eastAsia="宋体" w:hAnsi="Times New Roman"/>
                <w:b/>
                <w:bCs/>
                <w:color w:val="000000"/>
                <w:sz w:val="20"/>
                <w:szCs w:val="20"/>
              </w:rPr>
              <w:t>2,173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C2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2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30" w14:textId="77777777" w:rsidR="005C332D" w:rsidRDefault="00B93EAE">
            <w:pPr>
              <w:jc w:val="right"/>
              <w:textAlignment w:val="bottom"/>
            </w:pPr>
            <w:r>
              <w:rPr>
                <w:rFonts w:ascii="Times New Roman" w:eastAsia="宋体" w:hAnsi="Times New Roman"/>
                <w:color w:val="000000"/>
                <w:sz w:val="20"/>
                <w:szCs w:val="20"/>
              </w:rPr>
              <w:t>2,186 </w:t>
            </w:r>
          </w:p>
        </w:tc>
        <w:tc>
          <w:tcPr>
            <w:tcW w:w="0" w:type="auto"/>
            <w:shd w:val="clear" w:color="auto" w:fill="CCEEFF"/>
            <w:tcMar>
              <w:top w:w="40" w:type="dxa"/>
              <w:left w:w="0" w:type="dxa"/>
              <w:bottom w:w="40" w:type="dxa"/>
              <w:right w:w="20" w:type="dxa"/>
            </w:tcMar>
            <w:vAlign w:val="bottom"/>
          </w:tcPr>
          <w:p w14:paraId="518B4C3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3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33" w14:textId="77777777" w:rsidR="005C332D" w:rsidRDefault="00B93EAE">
            <w:pPr>
              <w:jc w:val="right"/>
              <w:textAlignment w:val="bottom"/>
            </w:pPr>
            <w:r>
              <w:rPr>
                <w:rFonts w:ascii="Times New Roman" w:eastAsia="宋体" w:hAnsi="Times New Roman"/>
                <w:color w:val="000000"/>
                <w:sz w:val="20"/>
                <w:szCs w:val="20"/>
              </w:rPr>
              <w:t>2,026 </w:t>
            </w:r>
          </w:p>
        </w:tc>
        <w:tc>
          <w:tcPr>
            <w:tcW w:w="0" w:type="auto"/>
            <w:shd w:val="clear" w:color="auto" w:fill="CCEEFF"/>
            <w:tcMar>
              <w:top w:w="40" w:type="dxa"/>
              <w:left w:w="0" w:type="dxa"/>
              <w:bottom w:w="40" w:type="dxa"/>
              <w:right w:w="20" w:type="dxa"/>
            </w:tcMar>
            <w:vAlign w:val="bottom"/>
          </w:tcPr>
          <w:p w14:paraId="518B4C3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3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36" w14:textId="77777777" w:rsidR="005C332D" w:rsidRDefault="00B93EAE">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518B4C3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3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39" w14:textId="77777777" w:rsidR="005C332D" w:rsidRDefault="00B93EAE">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518B4C3A"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C49" w14:textId="77777777">
        <w:trPr>
          <w:jc w:val="center"/>
        </w:trPr>
        <w:tc>
          <w:tcPr>
            <w:tcW w:w="0" w:type="auto"/>
            <w:gridSpan w:val="3"/>
            <w:shd w:val="clear" w:color="auto" w:fill="FFFFFF"/>
            <w:tcMar>
              <w:top w:w="40" w:type="dxa"/>
              <w:left w:w="155" w:type="dxa"/>
              <w:bottom w:w="40" w:type="dxa"/>
              <w:right w:w="20" w:type="dxa"/>
            </w:tcMar>
            <w:vAlign w:val="bottom"/>
          </w:tcPr>
          <w:p w14:paraId="518B4C3C" w14:textId="77777777" w:rsidR="005C332D" w:rsidRDefault="00B93EAE">
            <w:pPr>
              <w:textAlignment w:val="bottom"/>
            </w:pPr>
            <w:r>
              <w:rPr>
                <w:rFonts w:ascii="Times New Roman" w:eastAsia="宋体" w:hAnsi="Times New Roman"/>
                <w:i/>
                <w:iCs/>
                <w:color w:val="000000"/>
                <w:sz w:val="18"/>
                <w:szCs w:val="18"/>
              </w:rPr>
              <w:t>Percentage of service revenue</w:t>
            </w:r>
          </w:p>
        </w:tc>
        <w:tc>
          <w:tcPr>
            <w:tcW w:w="0" w:type="auto"/>
            <w:gridSpan w:val="2"/>
            <w:shd w:val="clear" w:color="auto" w:fill="FFFFFF"/>
            <w:tcMar>
              <w:top w:w="40" w:type="dxa"/>
              <w:left w:w="20" w:type="dxa"/>
              <w:bottom w:w="40" w:type="dxa"/>
              <w:right w:w="0" w:type="dxa"/>
            </w:tcMar>
            <w:vAlign w:val="bottom"/>
          </w:tcPr>
          <w:p w14:paraId="518B4C3D" w14:textId="77777777" w:rsidR="005C332D" w:rsidRDefault="00B93EAE">
            <w:pPr>
              <w:jc w:val="right"/>
              <w:textAlignment w:val="bottom"/>
            </w:pPr>
            <w:r>
              <w:rPr>
                <w:rFonts w:ascii="Times New Roman" w:eastAsia="宋体" w:hAnsi="Times New Roman"/>
                <w:b/>
                <w:bCs/>
                <w:i/>
                <w:iCs/>
                <w:color w:val="000000"/>
                <w:sz w:val="18"/>
                <w:szCs w:val="18"/>
              </w:rPr>
              <w:t>16.0</w:t>
            </w:r>
            <w:r>
              <w:rPr>
                <w:rFonts w:ascii="Times New Roman" w:eastAsia="宋体" w:hAnsi="Times New Roman"/>
                <w:i/>
                <w:iCs/>
                <w:color w:val="000000"/>
                <w:sz w:val="18"/>
                <w:szCs w:val="18"/>
              </w:rPr>
              <w:t> </w:t>
            </w:r>
          </w:p>
        </w:tc>
        <w:tc>
          <w:tcPr>
            <w:tcW w:w="0" w:type="auto"/>
            <w:shd w:val="clear" w:color="auto" w:fill="FFFFFF"/>
            <w:tcMar>
              <w:top w:w="40" w:type="dxa"/>
              <w:left w:w="0" w:type="dxa"/>
              <w:bottom w:w="40" w:type="dxa"/>
              <w:right w:w="20" w:type="dxa"/>
            </w:tcMar>
            <w:vAlign w:val="bottom"/>
          </w:tcPr>
          <w:p w14:paraId="518B4C3E" w14:textId="77777777" w:rsidR="005C332D" w:rsidRDefault="00B93EAE">
            <w:pPr>
              <w:jc w:val="right"/>
              <w:textAlignment w:val="bottom"/>
            </w:pPr>
            <w:r>
              <w:rPr>
                <w:rFonts w:ascii="Times New Roman" w:eastAsia="宋体" w:hAnsi="Times New Roman"/>
                <w:b/>
                <w:bCs/>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C3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40" w14:textId="77777777" w:rsidR="005C332D" w:rsidRDefault="00B93EAE">
            <w:pPr>
              <w:jc w:val="right"/>
              <w:textAlignment w:val="bottom"/>
            </w:pPr>
            <w:r>
              <w:rPr>
                <w:rFonts w:ascii="Times New Roman" w:eastAsia="宋体" w:hAnsi="Times New Roman"/>
                <w:i/>
                <w:iCs/>
                <w:color w:val="000000"/>
                <w:sz w:val="18"/>
                <w:szCs w:val="18"/>
              </w:rPr>
              <w:t>15.8 </w:t>
            </w:r>
          </w:p>
        </w:tc>
        <w:tc>
          <w:tcPr>
            <w:tcW w:w="0" w:type="auto"/>
            <w:shd w:val="clear" w:color="auto" w:fill="FFFFFF"/>
            <w:tcMar>
              <w:top w:w="40" w:type="dxa"/>
              <w:left w:w="0" w:type="dxa"/>
              <w:bottom w:w="40" w:type="dxa"/>
              <w:right w:w="20" w:type="dxa"/>
            </w:tcMar>
            <w:vAlign w:val="bottom"/>
          </w:tcPr>
          <w:p w14:paraId="518B4C41"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C4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43" w14:textId="77777777" w:rsidR="005C332D" w:rsidRDefault="00B93EAE">
            <w:pPr>
              <w:jc w:val="right"/>
              <w:textAlignment w:val="bottom"/>
            </w:pPr>
            <w:r>
              <w:rPr>
                <w:rFonts w:ascii="Times New Roman" w:eastAsia="宋体" w:hAnsi="Times New Roman"/>
                <w:i/>
                <w:iCs/>
                <w:color w:val="000000"/>
                <w:sz w:val="18"/>
                <w:szCs w:val="18"/>
              </w:rPr>
              <w:t>15.2 </w:t>
            </w:r>
          </w:p>
        </w:tc>
        <w:tc>
          <w:tcPr>
            <w:tcW w:w="0" w:type="auto"/>
            <w:shd w:val="clear" w:color="auto" w:fill="FFFFFF"/>
            <w:tcMar>
              <w:top w:w="40" w:type="dxa"/>
              <w:left w:w="0" w:type="dxa"/>
              <w:bottom w:w="40" w:type="dxa"/>
              <w:right w:w="20" w:type="dxa"/>
            </w:tcMar>
            <w:vAlign w:val="bottom"/>
          </w:tcPr>
          <w:p w14:paraId="518B4C44"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C4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C4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C4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C48" w14:textId="77777777" w:rsidR="005C332D" w:rsidRDefault="005C332D">
            <w:pPr>
              <w:rPr>
                <w:rFonts w:ascii="宋体"/>
              </w:rPr>
            </w:pPr>
          </w:p>
        </w:tc>
      </w:tr>
      <w:tr w:rsidR="005C332D" w14:paraId="518B4C5D" w14:textId="77777777">
        <w:trPr>
          <w:jc w:val="center"/>
        </w:trPr>
        <w:tc>
          <w:tcPr>
            <w:tcW w:w="0" w:type="auto"/>
            <w:gridSpan w:val="3"/>
            <w:shd w:val="clear" w:color="auto" w:fill="CCEEFF"/>
            <w:tcMar>
              <w:top w:w="40" w:type="dxa"/>
              <w:left w:w="380" w:type="dxa"/>
              <w:bottom w:w="40" w:type="dxa"/>
              <w:right w:w="20" w:type="dxa"/>
            </w:tcMar>
            <w:vAlign w:val="bottom"/>
          </w:tcPr>
          <w:p w14:paraId="518B4C4A" w14:textId="77777777" w:rsidR="005C332D" w:rsidRDefault="00B93EAE">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C4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C4C" w14:textId="77777777" w:rsidR="005C332D" w:rsidRDefault="00B93EAE">
            <w:pPr>
              <w:jc w:val="right"/>
              <w:textAlignment w:val="bottom"/>
            </w:pPr>
            <w:r>
              <w:rPr>
                <w:rFonts w:ascii="Times New Roman" w:eastAsia="宋体" w:hAnsi="Times New Roman"/>
                <w:b/>
                <w:bCs/>
                <w:color w:val="000000"/>
                <w:sz w:val="20"/>
                <w:szCs w:val="20"/>
              </w:rPr>
              <w:t>13,539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C4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4E"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C4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C50" w14:textId="77777777" w:rsidR="005C332D" w:rsidRDefault="00B93EAE">
            <w:pPr>
              <w:jc w:val="right"/>
              <w:textAlignment w:val="bottom"/>
            </w:pPr>
            <w:r>
              <w:rPr>
                <w:rFonts w:ascii="Times New Roman" w:eastAsia="宋体" w:hAnsi="Times New Roman"/>
                <w:color w:val="000000"/>
                <w:sz w:val="20"/>
                <w:szCs w:val="20"/>
              </w:rPr>
              <w:t>13,804 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C5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5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C5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C54" w14:textId="77777777" w:rsidR="005C332D" w:rsidRDefault="00B93EAE">
            <w:pPr>
              <w:jc w:val="right"/>
              <w:textAlignment w:val="bottom"/>
            </w:pPr>
            <w:r>
              <w:rPr>
                <w:rFonts w:ascii="Times New Roman" w:eastAsia="宋体" w:hAnsi="Times New Roman"/>
                <w:color w:val="000000"/>
                <w:sz w:val="20"/>
                <w:szCs w:val="20"/>
              </w:rPr>
              <w:t>13,323 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C5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56"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C5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C58" w14:textId="77777777" w:rsidR="005C332D" w:rsidRDefault="00B93EAE">
            <w:pPr>
              <w:jc w:val="right"/>
              <w:textAlignment w:val="bottom"/>
            </w:pPr>
            <w:r>
              <w:rPr>
                <w:rFonts w:ascii="Times New Roman" w:eastAsia="宋体" w:hAnsi="Times New Roman"/>
                <w:color w:val="000000"/>
                <w:sz w:val="20"/>
                <w:szCs w:val="20"/>
              </w:rPr>
              <w:t>(265)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C5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5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5B"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518B4C5C" w14:textId="77777777" w:rsidR="005C332D" w:rsidRDefault="00B93EAE">
            <w:pPr>
              <w:jc w:val="right"/>
              <w:textAlignment w:val="bottom"/>
            </w:pPr>
            <w:r>
              <w:rPr>
                <w:rFonts w:ascii="Times New Roman" w:eastAsia="宋体" w:hAnsi="Times New Roman"/>
                <w:color w:val="000000"/>
                <w:sz w:val="20"/>
                <w:szCs w:val="20"/>
              </w:rPr>
              <w:t>%</w:t>
            </w:r>
          </w:p>
        </w:tc>
      </w:tr>
    </w:tbl>
    <w:p w14:paraId="518B4C5E" w14:textId="77777777" w:rsidR="005C332D" w:rsidRDefault="00B93EAE">
      <w:pPr>
        <w:spacing w:before="120"/>
        <w:jc w:val="both"/>
      </w:pPr>
      <w:r>
        <w:rPr>
          <w:rFonts w:ascii="Times New Roman" w:eastAsia="宋体" w:hAnsi="Times New Roman"/>
          <w:color w:val="000000"/>
          <w:sz w:val="20"/>
          <w:szCs w:val="20"/>
        </w:rPr>
        <w:t xml:space="preserve">Amounts may not sum and percentages may not </w:t>
      </w:r>
      <w:r>
        <w:rPr>
          <w:rFonts w:ascii="Times New Roman" w:eastAsia="宋体" w:hAnsi="Times New Roman"/>
          <w:color w:val="000000"/>
          <w:sz w:val="20"/>
          <w:szCs w:val="20"/>
        </w:rPr>
        <w:t xml:space="preserve">recalculate due to rounding. </w:t>
      </w:r>
    </w:p>
    <w:p w14:paraId="518B4C5F" w14:textId="77777777" w:rsidR="005C332D" w:rsidRDefault="00B93EAE">
      <w:pPr>
        <w:spacing w:before="120"/>
        <w:jc w:val="both"/>
      </w:pPr>
      <w:r>
        <w:rPr>
          <w:rFonts w:ascii="Times New Roman" w:eastAsia="宋体" w:hAnsi="Times New Roman"/>
          <w:color w:val="000000"/>
          <w:sz w:val="20"/>
          <w:szCs w:val="20"/>
        </w:rPr>
        <w:t>Service revenue decreased 2%, driven by declines in our maintenance business, advisory services and software support offerings, partially offset by growth in our solution support and network support offerings. The extra week i</w:t>
      </w:r>
      <w:r>
        <w:rPr>
          <w:rFonts w:ascii="Times New Roman" w:eastAsia="宋体" w:hAnsi="Times New Roman"/>
          <w:color w:val="000000"/>
          <w:sz w:val="20"/>
          <w:szCs w:val="20"/>
        </w:rPr>
        <w:t>n fiscal 2021 also contributed to the decrease in service revenue in fiscal 2022. Service revenue decreased in the Americas and APJC segments, partially offset by growth in the EMEA segment.</w:t>
      </w:r>
    </w:p>
    <w:p w14:paraId="518B4C60" w14:textId="77777777" w:rsidR="005C332D" w:rsidRDefault="00B93EAE">
      <w:pPr>
        <w:jc w:val="center"/>
      </w:pPr>
      <w:r>
        <w:rPr>
          <w:rFonts w:ascii="Times New Roman" w:eastAsia="宋体" w:hAnsi="Times New Roman"/>
          <w:color w:val="000000"/>
          <w:sz w:val="20"/>
          <w:szCs w:val="20"/>
        </w:rPr>
        <w:t>41</w:t>
      </w:r>
    </w:p>
    <w:p w14:paraId="518B4C61" w14:textId="77777777" w:rsidR="005C332D" w:rsidRDefault="00B93EAE">
      <w:r>
        <w:pict w14:anchorId="518B873E">
          <v:rect id="_x0000_i1067" style="width:415.3pt;height:1.5pt" o:hralign="center" o:hrstd="t" o:hr="t" fillcolor="#a0a0a0" stroked="f"/>
        </w:pict>
      </w:r>
    </w:p>
    <w:p w14:paraId="518B4C62" w14:textId="77777777" w:rsidR="005C332D" w:rsidRDefault="00B93EAE">
      <w:hyperlink r:id="rId95" w:anchor="i049852cab38845aabd2a79d07dacda86_7" w:history="1">
        <w:r>
          <w:rPr>
            <w:rStyle w:val="a5"/>
            <w:rFonts w:ascii="Times New Roman" w:eastAsia="宋体" w:hAnsi="Times New Roman"/>
            <w:sz w:val="20"/>
            <w:szCs w:val="20"/>
          </w:rPr>
          <w:t>Table of Contents</w:t>
        </w:r>
      </w:hyperlink>
    </w:p>
    <w:p w14:paraId="518B4C63" w14:textId="77777777" w:rsidR="005C332D" w:rsidRDefault="00B93EAE">
      <w:pPr>
        <w:spacing w:before="120"/>
      </w:pPr>
      <w:r>
        <w:rPr>
          <w:rFonts w:ascii="Times New Roman" w:eastAsia="宋体" w:hAnsi="Times New Roman"/>
          <w:b/>
          <w:bCs/>
          <w:color w:val="000000"/>
          <w:sz w:val="20"/>
          <w:szCs w:val="20"/>
        </w:rPr>
        <w:t>Gross Margin</w:t>
      </w:r>
    </w:p>
    <w:p w14:paraId="518B4C64" w14:textId="77777777" w:rsidR="005C332D" w:rsidRDefault="00B93EAE">
      <w:pPr>
        <w:spacing w:before="120"/>
        <w:jc w:val="both"/>
      </w:pPr>
      <w:r>
        <w:rPr>
          <w:rFonts w:ascii="Times New Roman" w:eastAsia="宋体" w:hAnsi="Times New Roman"/>
          <w:color w:val="000000"/>
          <w:sz w:val="20"/>
          <w:szCs w:val="20"/>
        </w:rPr>
        <w:t>The following table presents the gross margin for products and services (in millions, except percentages):</w:t>
      </w:r>
    </w:p>
    <w:tbl>
      <w:tblPr>
        <w:tblW w:w="4985" w:type="pct"/>
        <w:tblCellMar>
          <w:top w:w="15" w:type="dxa"/>
          <w:left w:w="15" w:type="dxa"/>
          <w:bottom w:w="15" w:type="dxa"/>
          <w:right w:w="15" w:type="dxa"/>
        </w:tblCellMar>
        <w:tblLook w:val="04A0" w:firstRow="1" w:lastRow="0" w:firstColumn="1" w:lastColumn="0" w:noHBand="0" w:noVBand="1"/>
      </w:tblPr>
      <w:tblGrid>
        <w:gridCol w:w="45"/>
        <w:gridCol w:w="2005"/>
        <w:gridCol w:w="39"/>
        <w:gridCol w:w="120"/>
        <w:gridCol w:w="805"/>
        <w:gridCol w:w="36"/>
        <w:gridCol w:w="36"/>
        <w:gridCol w:w="36"/>
        <w:gridCol w:w="36"/>
        <w:gridCol w:w="120"/>
        <w:gridCol w:w="745"/>
        <w:gridCol w:w="36"/>
        <w:gridCol w:w="36"/>
        <w:gridCol w:w="36"/>
        <w:gridCol w:w="36"/>
        <w:gridCol w:w="120"/>
        <w:gridCol w:w="757"/>
        <w:gridCol w:w="36"/>
        <w:gridCol w:w="36"/>
        <w:gridCol w:w="36"/>
        <w:gridCol w:w="36"/>
        <w:gridCol w:w="38"/>
        <w:gridCol w:w="724"/>
        <w:gridCol w:w="221"/>
        <w:gridCol w:w="37"/>
        <w:gridCol w:w="37"/>
        <w:gridCol w:w="36"/>
        <w:gridCol w:w="37"/>
        <w:gridCol w:w="724"/>
        <w:gridCol w:w="187"/>
        <w:gridCol w:w="36"/>
        <w:gridCol w:w="36"/>
        <w:gridCol w:w="36"/>
        <w:gridCol w:w="37"/>
        <w:gridCol w:w="750"/>
        <w:gridCol w:w="187"/>
      </w:tblGrid>
      <w:tr w:rsidR="005C332D" w14:paraId="518B4C89" w14:textId="77777777">
        <w:tc>
          <w:tcPr>
            <w:tcW w:w="50" w:type="pct"/>
            <w:shd w:val="clear" w:color="auto" w:fill="auto"/>
            <w:vAlign w:val="bottom"/>
          </w:tcPr>
          <w:p w14:paraId="518B4C65" w14:textId="77777777" w:rsidR="005C332D" w:rsidRDefault="005C332D">
            <w:pPr>
              <w:rPr>
                <w:rFonts w:ascii="宋体"/>
              </w:rPr>
            </w:pPr>
          </w:p>
        </w:tc>
        <w:tc>
          <w:tcPr>
            <w:tcW w:w="1264" w:type="pct"/>
            <w:shd w:val="clear" w:color="auto" w:fill="auto"/>
            <w:vAlign w:val="bottom"/>
          </w:tcPr>
          <w:p w14:paraId="518B4C66" w14:textId="77777777" w:rsidR="005C332D" w:rsidRDefault="005C332D">
            <w:pPr>
              <w:rPr>
                <w:rFonts w:ascii="宋体"/>
              </w:rPr>
            </w:pPr>
          </w:p>
        </w:tc>
        <w:tc>
          <w:tcPr>
            <w:tcW w:w="5" w:type="pct"/>
            <w:shd w:val="clear" w:color="auto" w:fill="auto"/>
            <w:vAlign w:val="bottom"/>
          </w:tcPr>
          <w:p w14:paraId="518B4C67" w14:textId="77777777" w:rsidR="005C332D" w:rsidRDefault="005C332D">
            <w:pPr>
              <w:rPr>
                <w:rFonts w:ascii="宋体"/>
              </w:rPr>
            </w:pPr>
          </w:p>
        </w:tc>
        <w:tc>
          <w:tcPr>
            <w:tcW w:w="50" w:type="pct"/>
            <w:shd w:val="clear" w:color="auto" w:fill="auto"/>
            <w:vAlign w:val="bottom"/>
          </w:tcPr>
          <w:p w14:paraId="518B4C68" w14:textId="77777777" w:rsidR="005C332D" w:rsidRDefault="005C332D">
            <w:pPr>
              <w:rPr>
                <w:rFonts w:ascii="宋体"/>
              </w:rPr>
            </w:pPr>
          </w:p>
        </w:tc>
        <w:tc>
          <w:tcPr>
            <w:tcW w:w="524" w:type="pct"/>
            <w:shd w:val="clear" w:color="auto" w:fill="auto"/>
            <w:vAlign w:val="bottom"/>
          </w:tcPr>
          <w:p w14:paraId="518B4C69" w14:textId="77777777" w:rsidR="005C332D" w:rsidRDefault="005C332D">
            <w:pPr>
              <w:rPr>
                <w:rFonts w:ascii="宋体"/>
              </w:rPr>
            </w:pPr>
          </w:p>
        </w:tc>
        <w:tc>
          <w:tcPr>
            <w:tcW w:w="5" w:type="pct"/>
            <w:shd w:val="clear" w:color="auto" w:fill="auto"/>
            <w:vAlign w:val="bottom"/>
          </w:tcPr>
          <w:p w14:paraId="518B4C6A" w14:textId="77777777" w:rsidR="005C332D" w:rsidRDefault="005C332D">
            <w:pPr>
              <w:rPr>
                <w:rFonts w:ascii="宋体"/>
              </w:rPr>
            </w:pPr>
          </w:p>
        </w:tc>
        <w:tc>
          <w:tcPr>
            <w:tcW w:w="5" w:type="pct"/>
            <w:shd w:val="clear" w:color="auto" w:fill="auto"/>
            <w:vAlign w:val="bottom"/>
          </w:tcPr>
          <w:p w14:paraId="518B4C6B" w14:textId="77777777" w:rsidR="005C332D" w:rsidRDefault="005C332D">
            <w:pPr>
              <w:rPr>
                <w:rFonts w:ascii="宋体"/>
              </w:rPr>
            </w:pPr>
          </w:p>
        </w:tc>
        <w:tc>
          <w:tcPr>
            <w:tcW w:w="26" w:type="pct"/>
            <w:shd w:val="clear" w:color="auto" w:fill="auto"/>
            <w:vAlign w:val="bottom"/>
          </w:tcPr>
          <w:p w14:paraId="518B4C6C" w14:textId="77777777" w:rsidR="005C332D" w:rsidRDefault="005C332D">
            <w:pPr>
              <w:rPr>
                <w:rFonts w:ascii="宋体"/>
              </w:rPr>
            </w:pPr>
          </w:p>
        </w:tc>
        <w:tc>
          <w:tcPr>
            <w:tcW w:w="5" w:type="pct"/>
            <w:shd w:val="clear" w:color="auto" w:fill="auto"/>
            <w:vAlign w:val="bottom"/>
          </w:tcPr>
          <w:p w14:paraId="518B4C6D" w14:textId="77777777" w:rsidR="005C332D" w:rsidRDefault="005C332D">
            <w:pPr>
              <w:rPr>
                <w:rFonts w:ascii="宋体"/>
              </w:rPr>
            </w:pPr>
          </w:p>
        </w:tc>
        <w:tc>
          <w:tcPr>
            <w:tcW w:w="50" w:type="pct"/>
            <w:shd w:val="clear" w:color="auto" w:fill="auto"/>
            <w:vAlign w:val="bottom"/>
          </w:tcPr>
          <w:p w14:paraId="518B4C6E" w14:textId="77777777" w:rsidR="005C332D" w:rsidRDefault="005C332D">
            <w:pPr>
              <w:rPr>
                <w:rFonts w:ascii="宋体"/>
              </w:rPr>
            </w:pPr>
          </w:p>
        </w:tc>
        <w:tc>
          <w:tcPr>
            <w:tcW w:w="524" w:type="pct"/>
            <w:shd w:val="clear" w:color="auto" w:fill="auto"/>
            <w:vAlign w:val="bottom"/>
          </w:tcPr>
          <w:p w14:paraId="518B4C6F" w14:textId="77777777" w:rsidR="005C332D" w:rsidRDefault="005C332D">
            <w:pPr>
              <w:rPr>
                <w:rFonts w:ascii="宋体"/>
              </w:rPr>
            </w:pPr>
          </w:p>
        </w:tc>
        <w:tc>
          <w:tcPr>
            <w:tcW w:w="5" w:type="pct"/>
            <w:shd w:val="clear" w:color="auto" w:fill="auto"/>
            <w:vAlign w:val="bottom"/>
          </w:tcPr>
          <w:p w14:paraId="518B4C70" w14:textId="77777777" w:rsidR="005C332D" w:rsidRDefault="005C332D">
            <w:pPr>
              <w:rPr>
                <w:rFonts w:ascii="宋体"/>
              </w:rPr>
            </w:pPr>
          </w:p>
        </w:tc>
        <w:tc>
          <w:tcPr>
            <w:tcW w:w="5" w:type="pct"/>
            <w:shd w:val="clear" w:color="auto" w:fill="auto"/>
            <w:vAlign w:val="bottom"/>
          </w:tcPr>
          <w:p w14:paraId="518B4C71" w14:textId="77777777" w:rsidR="005C332D" w:rsidRDefault="005C332D">
            <w:pPr>
              <w:rPr>
                <w:rFonts w:ascii="宋体"/>
              </w:rPr>
            </w:pPr>
          </w:p>
        </w:tc>
        <w:tc>
          <w:tcPr>
            <w:tcW w:w="26" w:type="pct"/>
            <w:shd w:val="clear" w:color="auto" w:fill="auto"/>
            <w:vAlign w:val="bottom"/>
          </w:tcPr>
          <w:p w14:paraId="518B4C72" w14:textId="77777777" w:rsidR="005C332D" w:rsidRDefault="005C332D">
            <w:pPr>
              <w:rPr>
                <w:rFonts w:ascii="宋体"/>
              </w:rPr>
            </w:pPr>
          </w:p>
        </w:tc>
        <w:tc>
          <w:tcPr>
            <w:tcW w:w="5" w:type="pct"/>
            <w:shd w:val="clear" w:color="auto" w:fill="auto"/>
            <w:vAlign w:val="bottom"/>
          </w:tcPr>
          <w:p w14:paraId="518B4C73" w14:textId="77777777" w:rsidR="005C332D" w:rsidRDefault="005C332D">
            <w:pPr>
              <w:rPr>
                <w:rFonts w:ascii="宋体"/>
              </w:rPr>
            </w:pPr>
          </w:p>
        </w:tc>
        <w:tc>
          <w:tcPr>
            <w:tcW w:w="50" w:type="pct"/>
            <w:shd w:val="clear" w:color="auto" w:fill="auto"/>
            <w:vAlign w:val="bottom"/>
          </w:tcPr>
          <w:p w14:paraId="518B4C74" w14:textId="77777777" w:rsidR="005C332D" w:rsidRDefault="005C332D">
            <w:pPr>
              <w:rPr>
                <w:rFonts w:ascii="宋体"/>
              </w:rPr>
            </w:pPr>
          </w:p>
        </w:tc>
        <w:tc>
          <w:tcPr>
            <w:tcW w:w="531" w:type="pct"/>
            <w:shd w:val="clear" w:color="auto" w:fill="auto"/>
            <w:vAlign w:val="bottom"/>
          </w:tcPr>
          <w:p w14:paraId="518B4C75" w14:textId="77777777" w:rsidR="005C332D" w:rsidRDefault="005C332D">
            <w:pPr>
              <w:rPr>
                <w:rFonts w:ascii="宋体"/>
              </w:rPr>
            </w:pPr>
          </w:p>
        </w:tc>
        <w:tc>
          <w:tcPr>
            <w:tcW w:w="5" w:type="pct"/>
            <w:shd w:val="clear" w:color="auto" w:fill="auto"/>
            <w:vAlign w:val="bottom"/>
          </w:tcPr>
          <w:p w14:paraId="518B4C76" w14:textId="77777777" w:rsidR="005C332D" w:rsidRDefault="005C332D">
            <w:pPr>
              <w:rPr>
                <w:rFonts w:ascii="宋体"/>
              </w:rPr>
            </w:pPr>
          </w:p>
        </w:tc>
        <w:tc>
          <w:tcPr>
            <w:tcW w:w="5" w:type="pct"/>
            <w:shd w:val="clear" w:color="auto" w:fill="auto"/>
            <w:vAlign w:val="bottom"/>
          </w:tcPr>
          <w:p w14:paraId="518B4C77" w14:textId="77777777" w:rsidR="005C332D" w:rsidRDefault="005C332D">
            <w:pPr>
              <w:rPr>
                <w:rFonts w:ascii="宋体"/>
              </w:rPr>
            </w:pPr>
          </w:p>
        </w:tc>
        <w:tc>
          <w:tcPr>
            <w:tcW w:w="26" w:type="pct"/>
            <w:shd w:val="clear" w:color="auto" w:fill="auto"/>
            <w:vAlign w:val="bottom"/>
          </w:tcPr>
          <w:p w14:paraId="518B4C78" w14:textId="77777777" w:rsidR="005C332D" w:rsidRDefault="005C332D">
            <w:pPr>
              <w:rPr>
                <w:rFonts w:ascii="宋体"/>
              </w:rPr>
            </w:pPr>
          </w:p>
        </w:tc>
        <w:tc>
          <w:tcPr>
            <w:tcW w:w="5" w:type="pct"/>
            <w:shd w:val="clear" w:color="auto" w:fill="auto"/>
            <w:vAlign w:val="bottom"/>
          </w:tcPr>
          <w:p w14:paraId="518B4C79" w14:textId="77777777" w:rsidR="005C332D" w:rsidRDefault="005C332D">
            <w:pPr>
              <w:rPr>
                <w:rFonts w:ascii="宋体"/>
              </w:rPr>
            </w:pPr>
          </w:p>
        </w:tc>
        <w:tc>
          <w:tcPr>
            <w:tcW w:w="50" w:type="pct"/>
            <w:shd w:val="clear" w:color="auto" w:fill="auto"/>
            <w:vAlign w:val="bottom"/>
          </w:tcPr>
          <w:p w14:paraId="518B4C7A" w14:textId="77777777" w:rsidR="005C332D" w:rsidRDefault="005C332D">
            <w:pPr>
              <w:rPr>
                <w:rFonts w:ascii="宋体"/>
              </w:rPr>
            </w:pPr>
          </w:p>
        </w:tc>
        <w:tc>
          <w:tcPr>
            <w:tcW w:w="524" w:type="pct"/>
            <w:shd w:val="clear" w:color="auto" w:fill="auto"/>
            <w:vAlign w:val="bottom"/>
          </w:tcPr>
          <w:p w14:paraId="518B4C7B" w14:textId="77777777" w:rsidR="005C332D" w:rsidRDefault="005C332D">
            <w:pPr>
              <w:rPr>
                <w:rFonts w:ascii="宋体"/>
              </w:rPr>
            </w:pPr>
          </w:p>
        </w:tc>
        <w:tc>
          <w:tcPr>
            <w:tcW w:w="5" w:type="pct"/>
            <w:shd w:val="clear" w:color="auto" w:fill="auto"/>
            <w:vAlign w:val="bottom"/>
          </w:tcPr>
          <w:p w14:paraId="518B4C7C" w14:textId="77777777" w:rsidR="005C332D" w:rsidRDefault="005C332D">
            <w:pPr>
              <w:rPr>
                <w:rFonts w:ascii="宋体"/>
              </w:rPr>
            </w:pPr>
          </w:p>
        </w:tc>
        <w:tc>
          <w:tcPr>
            <w:tcW w:w="5" w:type="pct"/>
            <w:shd w:val="clear" w:color="auto" w:fill="auto"/>
            <w:vAlign w:val="bottom"/>
          </w:tcPr>
          <w:p w14:paraId="518B4C7D" w14:textId="77777777" w:rsidR="005C332D" w:rsidRDefault="005C332D">
            <w:pPr>
              <w:rPr>
                <w:rFonts w:ascii="宋体"/>
              </w:rPr>
            </w:pPr>
          </w:p>
        </w:tc>
        <w:tc>
          <w:tcPr>
            <w:tcW w:w="26" w:type="pct"/>
            <w:shd w:val="clear" w:color="auto" w:fill="auto"/>
            <w:vAlign w:val="bottom"/>
          </w:tcPr>
          <w:p w14:paraId="518B4C7E" w14:textId="77777777" w:rsidR="005C332D" w:rsidRDefault="005C332D">
            <w:pPr>
              <w:rPr>
                <w:rFonts w:ascii="宋体"/>
              </w:rPr>
            </w:pPr>
          </w:p>
        </w:tc>
        <w:tc>
          <w:tcPr>
            <w:tcW w:w="5" w:type="pct"/>
            <w:shd w:val="clear" w:color="auto" w:fill="auto"/>
            <w:vAlign w:val="bottom"/>
          </w:tcPr>
          <w:p w14:paraId="518B4C7F" w14:textId="77777777" w:rsidR="005C332D" w:rsidRDefault="005C332D">
            <w:pPr>
              <w:rPr>
                <w:rFonts w:ascii="宋体"/>
              </w:rPr>
            </w:pPr>
          </w:p>
        </w:tc>
        <w:tc>
          <w:tcPr>
            <w:tcW w:w="50" w:type="pct"/>
            <w:shd w:val="clear" w:color="auto" w:fill="auto"/>
            <w:vAlign w:val="bottom"/>
          </w:tcPr>
          <w:p w14:paraId="518B4C80" w14:textId="77777777" w:rsidR="005C332D" w:rsidRDefault="005C332D">
            <w:pPr>
              <w:rPr>
                <w:rFonts w:ascii="宋体"/>
              </w:rPr>
            </w:pPr>
          </w:p>
        </w:tc>
        <w:tc>
          <w:tcPr>
            <w:tcW w:w="524" w:type="pct"/>
            <w:shd w:val="clear" w:color="auto" w:fill="auto"/>
            <w:vAlign w:val="bottom"/>
          </w:tcPr>
          <w:p w14:paraId="518B4C81" w14:textId="77777777" w:rsidR="005C332D" w:rsidRDefault="005C332D">
            <w:pPr>
              <w:rPr>
                <w:rFonts w:ascii="宋体"/>
              </w:rPr>
            </w:pPr>
          </w:p>
        </w:tc>
        <w:tc>
          <w:tcPr>
            <w:tcW w:w="5" w:type="pct"/>
            <w:shd w:val="clear" w:color="auto" w:fill="auto"/>
            <w:vAlign w:val="bottom"/>
          </w:tcPr>
          <w:p w14:paraId="518B4C82" w14:textId="77777777" w:rsidR="005C332D" w:rsidRDefault="005C332D">
            <w:pPr>
              <w:rPr>
                <w:rFonts w:ascii="宋体"/>
              </w:rPr>
            </w:pPr>
          </w:p>
        </w:tc>
        <w:tc>
          <w:tcPr>
            <w:tcW w:w="5" w:type="pct"/>
            <w:shd w:val="clear" w:color="auto" w:fill="auto"/>
            <w:vAlign w:val="bottom"/>
          </w:tcPr>
          <w:p w14:paraId="518B4C83" w14:textId="77777777" w:rsidR="005C332D" w:rsidRDefault="005C332D">
            <w:pPr>
              <w:rPr>
                <w:rFonts w:ascii="宋体"/>
              </w:rPr>
            </w:pPr>
          </w:p>
        </w:tc>
        <w:tc>
          <w:tcPr>
            <w:tcW w:w="26" w:type="pct"/>
            <w:shd w:val="clear" w:color="auto" w:fill="auto"/>
            <w:vAlign w:val="bottom"/>
          </w:tcPr>
          <w:p w14:paraId="518B4C84" w14:textId="77777777" w:rsidR="005C332D" w:rsidRDefault="005C332D">
            <w:pPr>
              <w:rPr>
                <w:rFonts w:ascii="宋体"/>
              </w:rPr>
            </w:pPr>
          </w:p>
        </w:tc>
        <w:tc>
          <w:tcPr>
            <w:tcW w:w="5" w:type="pct"/>
            <w:shd w:val="clear" w:color="auto" w:fill="auto"/>
            <w:vAlign w:val="bottom"/>
          </w:tcPr>
          <w:p w14:paraId="518B4C85" w14:textId="77777777" w:rsidR="005C332D" w:rsidRDefault="005C332D">
            <w:pPr>
              <w:rPr>
                <w:rFonts w:ascii="宋体"/>
              </w:rPr>
            </w:pPr>
          </w:p>
        </w:tc>
        <w:tc>
          <w:tcPr>
            <w:tcW w:w="50" w:type="pct"/>
            <w:shd w:val="clear" w:color="auto" w:fill="auto"/>
            <w:vAlign w:val="bottom"/>
          </w:tcPr>
          <w:p w14:paraId="518B4C86" w14:textId="77777777" w:rsidR="005C332D" w:rsidRDefault="005C332D">
            <w:pPr>
              <w:rPr>
                <w:rFonts w:ascii="宋体"/>
              </w:rPr>
            </w:pPr>
          </w:p>
        </w:tc>
        <w:tc>
          <w:tcPr>
            <w:tcW w:w="539" w:type="pct"/>
            <w:shd w:val="clear" w:color="auto" w:fill="auto"/>
            <w:vAlign w:val="bottom"/>
          </w:tcPr>
          <w:p w14:paraId="518B4C87" w14:textId="77777777" w:rsidR="005C332D" w:rsidRDefault="005C332D">
            <w:pPr>
              <w:rPr>
                <w:rFonts w:ascii="宋体"/>
              </w:rPr>
            </w:pPr>
          </w:p>
        </w:tc>
        <w:tc>
          <w:tcPr>
            <w:tcW w:w="5" w:type="pct"/>
            <w:shd w:val="clear" w:color="auto" w:fill="auto"/>
            <w:vAlign w:val="bottom"/>
          </w:tcPr>
          <w:p w14:paraId="518B4C88" w14:textId="77777777" w:rsidR="005C332D" w:rsidRDefault="005C332D">
            <w:pPr>
              <w:rPr>
                <w:rFonts w:ascii="宋体"/>
              </w:rPr>
            </w:pPr>
          </w:p>
        </w:tc>
      </w:tr>
      <w:tr w:rsidR="005C332D" w14:paraId="518B4C8E" w14:textId="77777777">
        <w:tc>
          <w:tcPr>
            <w:tcW w:w="0" w:type="auto"/>
            <w:gridSpan w:val="3"/>
            <w:shd w:val="clear" w:color="auto" w:fill="auto"/>
            <w:tcMar>
              <w:top w:w="0" w:type="dxa"/>
              <w:left w:w="20" w:type="dxa"/>
              <w:bottom w:w="0" w:type="dxa"/>
              <w:right w:w="20" w:type="dxa"/>
            </w:tcMar>
            <w:vAlign w:val="bottom"/>
          </w:tcPr>
          <w:p w14:paraId="518B4C8A"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C8B" w14:textId="77777777" w:rsidR="005C332D" w:rsidRDefault="00B93EAE">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518B4C8C"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C8D" w14:textId="77777777" w:rsidR="005C332D" w:rsidRDefault="00B93EAE">
            <w:pPr>
              <w:jc w:val="center"/>
              <w:textAlignment w:val="bottom"/>
            </w:pPr>
            <w:r>
              <w:rPr>
                <w:rFonts w:ascii="Times New Roman" w:eastAsia="宋体" w:hAnsi="Times New Roman"/>
                <w:color w:val="000000"/>
                <w:sz w:val="18"/>
                <w:szCs w:val="18"/>
              </w:rPr>
              <w:t>PERCENTAGE</w:t>
            </w:r>
          </w:p>
        </w:tc>
      </w:tr>
      <w:tr w:rsidR="005C332D" w14:paraId="518B4C9B" w14:textId="77777777">
        <w:tc>
          <w:tcPr>
            <w:tcW w:w="0" w:type="auto"/>
            <w:gridSpan w:val="3"/>
            <w:shd w:val="clear" w:color="auto" w:fill="FFFFFF"/>
            <w:tcMar>
              <w:top w:w="40" w:type="dxa"/>
              <w:left w:w="20" w:type="dxa"/>
              <w:bottom w:w="40" w:type="dxa"/>
              <w:right w:w="20" w:type="dxa"/>
            </w:tcMar>
            <w:vAlign w:val="bottom"/>
          </w:tcPr>
          <w:p w14:paraId="518B4C8F"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C90"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C91"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C92"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C93"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C94"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FFFFFF"/>
            <w:tcMar>
              <w:top w:w="0" w:type="dxa"/>
              <w:left w:w="20" w:type="dxa"/>
              <w:bottom w:w="0" w:type="dxa"/>
              <w:right w:w="20" w:type="dxa"/>
            </w:tcMar>
            <w:vAlign w:val="bottom"/>
          </w:tcPr>
          <w:p w14:paraId="518B4C95"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C96"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C97"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C98"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4C99" w14:textId="77777777" w:rsidR="005C332D" w:rsidRDefault="005C332D">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518B4C9A"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4CA8" w14:textId="77777777">
        <w:tc>
          <w:tcPr>
            <w:tcW w:w="0" w:type="auto"/>
            <w:gridSpan w:val="3"/>
            <w:shd w:val="clear" w:color="auto" w:fill="auto"/>
            <w:tcMar>
              <w:top w:w="40" w:type="dxa"/>
              <w:left w:w="20" w:type="dxa"/>
              <w:bottom w:w="40" w:type="dxa"/>
              <w:right w:w="20" w:type="dxa"/>
            </w:tcMar>
            <w:vAlign w:val="bottom"/>
          </w:tcPr>
          <w:p w14:paraId="518B4C9C" w14:textId="77777777" w:rsidR="005C332D" w:rsidRDefault="00B93EAE">
            <w:pPr>
              <w:textAlignment w:val="bottom"/>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C9D"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C9E" w14:textId="77777777" w:rsidR="005C332D" w:rsidRDefault="005C332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C9F"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CA0" w14:textId="77777777" w:rsidR="005C332D" w:rsidRDefault="005C332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CA1"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CA2" w14:textId="77777777" w:rsidR="005C332D" w:rsidRDefault="005C332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CA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CA4" w14:textId="77777777" w:rsidR="005C332D" w:rsidRDefault="005C332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CA5"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CA6" w14:textId="77777777" w:rsidR="005C332D" w:rsidRDefault="005C332D">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CA7" w14:textId="77777777" w:rsidR="005C332D" w:rsidRDefault="005C332D">
            <w:pPr>
              <w:rPr>
                <w:rFonts w:ascii="宋体"/>
              </w:rPr>
            </w:pPr>
          </w:p>
        </w:tc>
      </w:tr>
      <w:tr w:rsidR="005C332D" w14:paraId="518B4CBE" w14:textId="77777777">
        <w:tc>
          <w:tcPr>
            <w:tcW w:w="0" w:type="auto"/>
            <w:gridSpan w:val="3"/>
            <w:shd w:val="clear" w:color="auto" w:fill="CCEEFF"/>
            <w:tcMar>
              <w:top w:w="40" w:type="dxa"/>
              <w:left w:w="380" w:type="dxa"/>
              <w:bottom w:w="40" w:type="dxa"/>
              <w:right w:w="20" w:type="dxa"/>
            </w:tcMar>
            <w:vAlign w:val="bottom"/>
          </w:tcPr>
          <w:p w14:paraId="518B4CA9" w14:textId="77777777" w:rsidR="005C332D" w:rsidRDefault="00B93EAE">
            <w:pPr>
              <w:textAlignment w:val="bottom"/>
            </w:pPr>
            <w:r>
              <w:rPr>
                <w:rFonts w:ascii="Times New Roman" w:eastAsia="宋体" w:hAnsi="Times New Roman"/>
                <w:color w:val="000000"/>
                <w:sz w:val="20"/>
                <w:szCs w:val="20"/>
              </w:rPr>
              <w:t>Product</w:t>
            </w:r>
          </w:p>
        </w:tc>
        <w:tc>
          <w:tcPr>
            <w:tcW w:w="0" w:type="auto"/>
            <w:shd w:val="clear" w:color="auto" w:fill="CCEEFF"/>
            <w:tcMar>
              <w:top w:w="40" w:type="dxa"/>
              <w:left w:w="20" w:type="dxa"/>
              <w:bottom w:w="40" w:type="dxa"/>
              <w:right w:w="0" w:type="dxa"/>
            </w:tcMar>
            <w:vAlign w:val="bottom"/>
          </w:tcPr>
          <w:p w14:paraId="518B4CAA"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4CAB" w14:textId="77777777" w:rsidR="005C332D" w:rsidRDefault="00B93EAE">
            <w:pPr>
              <w:jc w:val="right"/>
              <w:textAlignment w:val="bottom"/>
            </w:pPr>
            <w:r>
              <w:rPr>
                <w:rFonts w:ascii="Times New Roman" w:eastAsia="宋体" w:hAnsi="Times New Roman"/>
                <w:b/>
                <w:bCs/>
                <w:color w:val="000000"/>
                <w:sz w:val="20"/>
                <w:szCs w:val="20"/>
              </w:rPr>
              <w:t>23,204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CA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A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CA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CAF" w14:textId="77777777" w:rsidR="005C332D" w:rsidRDefault="00B93EAE">
            <w:pPr>
              <w:jc w:val="right"/>
              <w:textAlignment w:val="bottom"/>
            </w:pPr>
            <w:r>
              <w:rPr>
                <w:rFonts w:ascii="Times New Roman" w:eastAsia="宋体" w:hAnsi="Times New Roman"/>
                <w:color w:val="000000"/>
                <w:sz w:val="20"/>
                <w:szCs w:val="20"/>
              </w:rPr>
              <w:t>22,714 </w:t>
            </w:r>
          </w:p>
        </w:tc>
        <w:tc>
          <w:tcPr>
            <w:tcW w:w="0" w:type="auto"/>
            <w:shd w:val="clear" w:color="auto" w:fill="CCEEFF"/>
            <w:tcMar>
              <w:top w:w="40" w:type="dxa"/>
              <w:left w:w="0" w:type="dxa"/>
              <w:bottom w:w="40" w:type="dxa"/>
              <w:right w:w="20" w:type="dxa"/>
            </w:tcMar>
            <w:vAlign w:val="bottom"/>
          </w:tcPr>
          <w:p w14:paraId="518B4CB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B1"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4CB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4CB3" w14:textId="77777777" w:rsidR="005C332D" w:rsidRDefault="00B93EAE">
            <w:pPr>
              <w:jc w:val="right"/>
              <w:textAlignment w:val="bottom"/>
            </w:pPr>
            <w:r>
              <w:rPr>
                <w:rFonts w:ascii="Times New Roman" w:eastAsia="宋体" w:hAnsi="Times New Roman"/>
                <w:color w:val="000000"/>
                <w:sz w:val="20"/>
                <w:szCs w:val="20"/>
              </w:rPr>
              <w:t>22,779 </w:t>
            </w:r>
          </w:p>
        </w:tc>
        <w:tc>
          <w:tcPr>
            <w:tcW w:w="0" w:type="auto"/>
            <w:shd w:val="clear" w:color="auto" w:fill="CCEEFF"/>
            <w:tcMar>
              <w:top w:w="40" w:type="dxa"/>
              <w:left w:w="0" w:type="dxa"/>
              <w:bottom w:w="40" w:type="dxa"/>
              <w:right w:w="20" w:type="dxa"/>
            </w:tcMar>
            <w:vAlign w:val="bottom"/>
          </w:tcPr>
          <w:p w14:paraId="518B4CB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B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B6" w14:textId="77777777" w:rsidR="005C332D" w:rsidRDefault="00B93EAE">
            <w:pPr>
              <w:jc w:val="right"/>
              <w:textAlignment w:val="bottom"/>
            </w:pPr>
            <w:r>
              <w:rPr>
                <w:rFonts w:ascii="Times New Roman" w:eastAsia="宋体" w:hAnsi="Times New Roman"/>
                <w:b/>
                <w:bCs/>
                <w:color w:val="000000"/>
                <w:sz w:val="20"/>
                <w:szCs w:val="20"/>
              </w:rPr>
              <w:t>61.0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CB7"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CB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B9" w14:textId="77777777" w:rsidR="005C332D" w:rsidRDefault="00B93EAE">
            <w:pPr>
              <w:jc w:val="right"/>
              <w:textAlignment w:val="bottom"/>
            </w:pPr>
            <w:r>
              <w:rPr>
                <w:rFonts w:ascii="Times New Roman" w:eastAsia="宋体" w:hAnsi="Times New Roman"/>
                <w:color w:val="000000"/>
                <w:sz w:val="20"/>
                <w:szCs w:val="20"/>
              </w:rPr>
              <w:t>63.1 </w:t>
            </w:r>
          </w:p>
        </w:tc>
        <w:tc>
          <w:tcPr>
            <w:tcW w:w="0" w:type="auto"/>
            <w:shd w:val="clear" w:color="auto" w:fill="CCEEFF"/>
            <w:tcMar>
              <w:top w:w="40" w:type="dxa"/>
              <w:left w:w="0" w:type="dxa"/>
              <w:bottom w:w="40" w:type="dxa"/>
              <w:right w:w="20" w:type="dxa"/>
            </w:tcMar>
            <w:vAlign w:val="bottom"/>
          </w:tcPr>
          <w:p w14:paraId="518B4CBA"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CB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BC" w14:textId="77777777" w:rsidR="005C332D" w:rsidRDefault="00B93EAE">
            <w:pPr>
              <w:jc w:val="right"/>
              <w:textAlignment w:val="bottom"/>
            </w:pPr>
            <w:r>
              <w:rPr>
                <w:rFonts w:ascii="Times New Roman" w:eastAsia="宋体" w:hAnsi="Times New Roman"/>
                <w:color w:val="000000"/>
                <w:sz w:val="20"/>
                <w:szCs w:val="20"/>
              </w:rPr>
              <w:t>63.3 </w:t>
            </w:r>
          </w:p>
        </w:tc>
        <w:tc>
          <w:tcPr>
            <w:tcW w:w="0" w:type="auto"/>
            <w:shd w:val="clear" w:color="auto" w:fill="CCEEFF"/>
            <w:tcMar>
              <w:top w:w="40" w:type="dxa"/>
              <w:left w:w="0" w:type="dxa"/>
              <w:bottom w:w="40" w:type="dxa"/>
              <w:right w:w="20" w:type="dxa"/>
            </w:tcMar>
            <w:vAlign w:val="bottom"/>
          </w:tcPr>
          <w:p w14:paraId="518B4CBD"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CD1" w14:textId="77777777">
        <w:tc>
          <w:tcPr>
            <w:tcW w:w="0" w:type="auto"/>
            <w:gridSpan w:val="3"/>
            <w:shd w:val="clear" w:color="auto" w:fill="FFFFFF"/>
            <w:tcMar>
              <w:top w:w="40" w:type="dxa"/>
              <w:left w:w="380" w:type="dxa"/>
              <w:bottom w:w="40" w:type="dxa"/>
              <w:right w:w="20" w:type="dxa"/>
            </w:tcMar>
            <w:vAlign w:val="bottom"/>
          </w:tcPr>
          <w:p w14:paraId="518B4CBF" w14:textId="77777777" w:rsidR="005C332D" w:rsidRDefault="00B93EAE">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518B4CC0" w14:textId="77777777" w:rsidR="005C332D" w:rsidRDefault="00B93EAE">
            <w:pPr>
              <w:jc w:val="right"/>
              <w:textAlignment w:val="bottom"/>
            </w:pPr>
            <w:r>
              <w:rPr>
                <w:rFonts w:ascii="Times New Roman" w:eastAsia="宋体" w:hAnsi="Times New Roman"/>
                <w:b/>
                <w:bCs/>
                <w:color w:val="000000"/>
                <w:sz w:val="20"/>
                <w:szCs w:val="20"/>
              </w:rPr>
              <w:t>9,044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CC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CC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C3" w14:textId="77777777" w:rsidR="005C332D" w:rsidRDefault="00B93EAE">
            <w:pPr>
              <w:jc w:val="right"/>
              <w:textAlignment w:val="bottom"/>
            </w:pPr>
            <w:r>
              <w:rPr>
                <w:rFonts w:ascii="Times New Roman" w:eastAsia="宋体" w:hAnsi="Times New Roman"/>
                <w:color w:val="000000"/>
                <w:sz w:val="20"/>
                <w:szCs w:val="20"/>
              </w:rPr>
              <w:t>9,180 </w:t>
            </w:r>
          </w:p>
        </w:tc>
        <w:tc>
          <w:tcPr>
            <w:tcW w:w="0" w:type="auto"/>
            <w:shd w:val="clear" w:color="auto" w:fill="FFFFFF"/>
            <w:tcMar>
              <w:top w:w="40" w:type="dxa"/>
              <w:left w:w="0" w:type="dxa"/>
              <w:bottom w:w="40" w:type="dxa"/>
              <w:right w:w="20" w:type="dxa"/>
            </w:tcMar>
            <w:vAlign w:val="bottom"/>
          </w:tcPr>
          <w:p w14:paraId="518B4CC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CC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C6" w14:textId="77777777" w:rsidR="005C332D" w:rsidRDefault="00B93EAE">
            <w:pPr>
              <w:jc w:val="right"/>
              <w:textAlignment w:val="bottom"/>
            </w:pPr>
            <w:r>
              <w:rPr>
                <w:rFonts w:ascii="Times New Roman" w:eastAsia="宋体" w:hAnsi="Times New Roman"/>
                <w:color w:val="000000"/>
                <w:sz w:val="20"/>
                <w:szCs w:val="20"/>
              </w:rPr>
              <w:t>8,904 </w:t>
            </w:r>
          </w:p>
        </w:tc>
        <w:tc>
          <w:tcPr>
            <w:tcW w:w="0" w:type="auto"/>
            <w:shd w:val="clear" w:color="auto" w:fill="FFFFFF"/>
            <w:tcMar>
              <w:top w:w="40" w:type="dxa"/>
              <w:left w:w="0" w:type="dxa"/>
              <w:bottom w:w="40" w:type="dxa"/>
              <w:right w:w="20" w:type="dxa"/>
            </w:tcMar>
            <w:vAlign w:val="bottom"/>
          </w:tcPr>
          <w:p w14:paraId="518B4CC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CC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C9" w14:textId="77777777" w:rsidR="005C332D" w:rsidRDefault="00B93EAE">
            <w:pPr>
              <w:jc w:val="right"/>
              <w:textAlignment w:val="bottom"/>
            </w:pPr>
            <w:r>
              <w:rPr>
                <w:rFonts w:ascii="Times New Roman" w:eastAsia="宋体" w:hAnsi="Times New Roman"/>
                <w:b/>
                <w:bCs/>
                <w:color w:val="000000"/>
                <w:sz w:val="20"/>
                <w:szCs w:val="20"/>
              </w:rPr>
              <w:t>66.8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CCA"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CC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CC" w14:textId="77777777" w:rsidR="005C332D" w:rsidRDefault="00B93EAE">
            <w:pPr>
              <w:jc w:val="right"/>
              <w:textAlignment w:val="bottom"/>
            </w:pPr>
            <w:r>
              <w:rPr>
                <w:rFonts w:ascii="Times New Roman" w:eastAsia="宋体" w:hAnsi="Times New Roman"/>
                <w:color w:val="000000"/>
                <w:sz w:val="20"/>
                <w:szCs w:val="20"/>
              </w:rPr>
              <w:t>66.5 </w:t>
            </w:r>
          </w:p>
        </w:tc>
        <w:tc>
          <w:tcPr>
            <w:tcW w:w="0" w:type="auto"/>
            <w:shd w:val="clear" w:color="auto" w:fill="FFFFFF"/>
            <w:tcMar>
              <w:top w:w="40" w:type="dxa"/>
              <w:left w:w="0" w:type="dxa"/>
              <w:bottom w:w="40" w:type="dxa"/>
              <w:right w:w="20" w:type="dxa"/>
            </w:tcMar>
            <w:vAlign w:val="bottom"/>
          </w:tcPr>
          <w:p w14:paraId="518B4CCD"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CC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CF" w14:textId="77777777" w:rsidR="005C332D" w:rsidRDefault="00B93EAE">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518B4CD0"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CE7" w14:textId="77777777">
        <w:tc>
          <w:tcPr>
            <w:tcW w:w="0" w:type="auto"/>
            <w:gridSpan w:val="3"/>
            <w:shd w:val="clear" w:color="auto" w:fill="CCEEFF"/>
            <w:tcMar>
              <w:top w:w="40" w:type="dxa"/>
              <w:left w:w="740" w:type="dxa"/>
              <w:bottom w:w="40" w:type="dxa"/>
              <w:right w:w="20" w:type="dxa"/>
            </w:tcMar>
            <w:vAlign w:val="bottom"/>
          </w:tcPr>
          <w:p w14:paraId="518B4CD2" w14:textId="77777777" w:rsidR="005C332D" w:rsidRDefault="00B93EAE">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CD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CD4" w14:textId="77777777" w:rsidR="005C332D" w:rsidRDefault="00B93EAE">
            <w:pPr>
              <w:jc w:val="right"/>
              <w:textAlignment w:val="bottom"/>
            </w:pPr>
            <w:r>
              <w:rPr>
                <w:rFonts w:ascii="Times New Roman" w:eastAsia="宋体" w:hAnsi="Times New Roman"/>
                <w:b/>
                <w:bCs/>
                <w:color w:val="000000"/>
                <w:sz w:val="20"/>
                <w:szCs w:val="20"/>
              </w:rPr>
              <w:t>32,248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CD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D6"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CD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CD8" w14:textId="77777777" w:rsidR="005C332D" w:rsidRDefault="00B93EAE">
            <w:pPr>
              <w:jc w:val="right"/>
              <w:textAlignment w:val="bottom"/>
            </w:pPr>
            <w:r>
              <w:rPr>
                <w:rFonts w:ascii="Times New Roman" w:eastAsia="宋体" w:hAnsi="Times New Roman"/>
                <w:color w:val="000000"/>
                <w:sz w:val="20"/>
                <w:szCs w:val="20"/>
              </w:rPr>
              <w:t>31,894 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CD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DA"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CD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CDC" w14:textId="77777777" w:rsidR="005C332D" w:rsidRDefault="00B93EAE">
            <w:pPr>
              <w:jc w:val="right"/>
              <w:textAlignment w:val="bottom"/>
            </w:pPr>
            <w:r>
              <w:rPr>
                <w:rFonts w:ascii="Times New Roman" w:eastAsia="宋体" w:hAnsi="Times New Roman"/>
                <w:color w:val="000000"/>
                <w:sz w:val="20"/>
                <w:szCs w:val="20"/>
              </w:rPr>
              <w:t>31,683 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CD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CD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DF" w14:textId="77777777" w:rsidR="005C332D" w:rsidRDefault="00B93EAE">
            <w:pPr>
              <w:jc w:val="right"/>
              <w:textAlignment w:val="bottom"/>
            </w:pPr>
            <w:r>
              <w:rPr>
                <w:rFonts w:ascii="Times New Roman" w:eastAsia="宋体" w:hAnsi="Times New Roman"/>
                <w:b/>
                <w:bCs/>
                <w:color w:val="000000"/>
                <w:sz w:val="20"/>
                <w:szCs w:val="20"/>
              </w:rPr>
              <w:t>62.5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CE0"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CE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E2" w14:textId="77777777" w:rsidR="005C332D" w:rsidRDefault="00B93EAE">
            <w:pPr>
              <w:jc w:val="right"/>
              <w:textAlignment w:val="bottom"/>
            </w:pPr>
            <w:r>
              <w:rPr>
                <w:rFonts w:ascii="Times New Roman" w:eastAsia="宋体" w:hAnsi="Times New Roman"/>
                <w:color w:val="000000"/>
                <w:sz w:val="20"/>
                <w:szCs w:val="20"/>
              </w:rPr>
              <w:t>64.0 </w:t>
            </w:r>
          </w:p>
        </w:tc>
        <w:tc>
          <w:tcPr>
            <w:tcW w:w="0" w:type="auto"/>
            <w:shd w:val="clear" w:color="auto" w:fill="CCEEFF"/>
            <w:tcMar>
              <w:top w:w="40" w:type="dxa"/>
              <w:left w:w="0" w:type="dxa"/>
              <w:bottom w:w="40" w:type="dxa"/>
              <w:right w:w="20" w:type="dxa"/>
            </w:tcMar>
            <w:vAlign w:val="bottom"/>
          </w:tcPr>
          <w:p w14:paraId="518B4CE3"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CE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CE5" w14:textId="77777777" w:rsidR="005C332D" w:rsidRDefault="00B93EAE">
            <w:pPr>
              <w:jc w:val="right"/>
              <w:textAlignment w:val="bottom"/>
            </w:pPr>
            <w:r>
              <w:rPr>
                <w:rFonts w:ascii="Times New Roman" w:eastAsia="宋体" w:hAnsi="Times New Roman"/>
                <w:color w:val="000000"/>
                <w:sz w:val="20"/>
                <w:szCs w:val="20"/>
              </w:rPr>
              <w:t>64.3 </w:t>
            </w:r>
          </w:p>
        </w:tc>
        <w:tc>
          <w:tcPr>
            <w:tcW w:w="0" w:type="auto"/>
            <w:shd w:val="clear" w:color="auto" w:fill="CCEEFF"/>
            <w:tcMar>
              <w:top w:w="40" w:type="dxa"/>
              <w:left w:w="0" w:type="dxa"/>
              <w:bottom w:w="40" w:type="dxa"/>
              <w:right w:w="20" w:type="dxa"/>
            </w:tcMar>
            <w:vAlign w:val="bottom"/>
          </w:tcPr>
          <w:p w14:paraId="518B4CE6" w14:textId="77777777" w:rsidR="005C332D" w:rsidRDefault="00B93EAE">
            <w:pPr>
              <w:jc w:val="right"/>
              <w:textAlignment w:val="bottom"/>
            </w:pPr>
            <w:r>
              <w:rPr>
                <w:rFonts w:ascii="Times New Roman" w:eastAsia="宋体" w:hAnsi="Times New Roman"/>
                <w:color w:val="000000"/>
                <w:sz w:val="20"/>
                <w:szCs w:val="20"/>
              </w:rPr>
              <w:t>%</w:t>
            </w:r>
          </w:p>
        </w:tc>
      </w:tr>
    </w:tbl>
    <w:p w14:paraId="518B4CE8" w14:textId="77777777" w:rsidR="005C332D" w:rsidRDefault="00B93EAE">
      <w:pPr>
        <w:spacing w:before="120"/>
      </w:pPr>
      <w:r>
        <w:rPr>
          <w:rFonts w:ascii="Times New Roman" w:eastAsia="宋体" w:hAnsi="Times New Roman"/>
          <w:b/>
          <w:bCs/>
          <w:color w:val="000000"/>
          <w:sz w:val="20"/>
          <w:szCs w:val="20"/>
        </w:rPr>
        <w:t>Product Gross Mar</w:t>
      </w:r>
      <w:r>
        <w:rPr>
          <w:rFonts w:ascii="Times New Roman" w:eastAsia="宋体" w:hAnsi="Times New Roman"/>
          <w:b/>
          <w:bCs/>
          <w:color w:val="000000"/>
          <w:sz w:val="20"/>
          <w:szCs w:val="20"/>
        </w:rPr>
        <w:t>gin</w:t>
      </w:r>
    </w:p>
    <w:p w14:paraId="518B4CE9" w14:textId="77777777" w:rsidR="005C332D" w:rsidRDefault="00B93EAE">
      <w:pPr>
        <w:spacing w:before="120"/>
      </w:pPr>
      <w:r>
        <w:rPr>
          <w:rFonts w:ascii="Times New Roman" w:eastAsia="宋体" w:hAnsi="Times New Roman"/>
          <w:color w:val="000000"/>
          <w:sz w:val="20"/>
          <w:szCs w:val="20"/>
        </w:rPr>
        <w:t>The following table summarizes the key factors that contributed to the change in product gross margin percentage from fiscal 2021 to fiscal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6827"/>
        <w:gridCol w:w="36"/>
        <w:gridCol w:w="36"/>
        <w:gridCol w:w="36"/>
        <w:gridCol w:w="36"/>
        <w:gridCol w:w="88"/>
        <w:gridCol w:w="1019"/>
        <w:gridCol w:w="220"/>
      </w:tblGrid>
      <w:tr w:rsidR="005C332D" w14:paraId="518B4CF3" w14:textId="77777777">
        <w:trPr>
          <w:jc w:val="center"/>
        </w:trPr>
        <w:tc>
          <w:tcPr>
            <w:tcW w:w="50" w:type="pct"/>
            <w:shd w:val="clear" w:color="auto" w:fill="auto"/>
            <w:vAlign w:val="bottom"/>
          </w:tcPr>
          <w:p w14:paraId="518B4CEA" w14:textId="77777777" w:rsidR="005C332D" w:rsidRDefault="005C332D">
            <w:pPr>
              <w:rPr>
                <w:rFonts w:ascii="宋体"/>
              </w:rPr>
            </w:pPr>
          </w:p>
        </w:tc>
        <w:tc>
          <w:tcPr>
            <w:tcW w:w="4272" w:type="pct"/>
            <w:shd w:val="clear" w:color="auto" w:fill="auto"/>
            <w:vAlign w:val="bottom"/>
          </w:tcPr>
          <w:p w14:paraId="518B4CEB" w14:textId="77777777" w:rsidR="005C332D" w:rsidRDefault="005C332D">
            <w:pPr>
              <w:rPr>
                <w:rFonts w:ascii="宋体"/>
              </w:rPr>
            </w:pPr>
          </w:p>
        </w:tc>
        <w:tc>
          <w:tcPr>
            <w:tcW w:w="5" w:type="pct"/>
            <w:shd w:val="clear" w:color="auto" w:fill="auto"/>
            <w:vAlign w:val="bottom"/>
          </w:tcPr>
          <w:p w14:paraId="518B4CEC" w14:textId="77777777" w:rsidR="005C332D" w:rsidRDefault="005C332D">
            <w:pPr>
              <w:rPr>
                <w:rFonts w:ascii="宋体"/>
              </w:rPr>
            </w:pPr>
          </w:p>
        </w:tc>
        <w:tc>
          <w:tcPr>
            <w:tcW w:w="5" w:type="pct"/>
            <w:shd w:val="clear" w:color="auto" w:fill="auto"/>
            <w:vAlign w:val="bottom"/>
          </w:tcPr>
          <w:p w14:paraId="518B4CED" w14:textId="77777777" w:rsidR="005C332D" w:rsidRDefault="005C332D">
            <w:pPr>
              <w:rPr>
                <w:rFonts w:ascii="宋体"/>
              </w:rPr>
            </w:pPr>
          </w:p>
        </w:tc>
        <w:tc>
          <w:tcPr>
            <w:tcW w:w="26" w:type="pct"/>
            <w:shd w:val="clear" w:color="auto" w:fill="auto"/>
            <w:vAlign w:val="bottom"/>
          </w:tcPr>
          <w:p w14:paraId="518B4CEE" w14:textId="77777777" w:rsidR="005C332D" w:rsidRDefault="005C332D">
            <w:pPr>
              <w:rPr>
                <w:rFonts w:ascii="宋体"/>
              </w:rPr>
            </w:pPr>
          </w:p>
        </w:tc>
        <w:tc>
          <w:tcPr>
            <w:tcW w:w="5" w:type="pct"/>
            <w:shd w:val="clear" w:color="auto" w:fill="auto"/>
            <w:vAlign w:val="bottom"/>
          </w:tcPr>
          <w:p w14:paraId="518B4CEF" w14:textId="77777777" w:rsidR="005C332D" w:rsidRDefault="005C332D">
            <w:pPr>
              <w:rPr>
                <w:rFonts w:ascii="宋体"/>
              </w:rPr>
            </w:pPr>
          </w:p>
        </w:tc>
        <w:tc>
          <w:tcPr>
            <w:tcW w:w="50" w:type="pct"/>
            <w:shd w:val="clear" w:color="auto" w:fill="auto"/>
            <w:vAlign w:val="bottom"/>
          </w:tcPr>
          <w:p w14:paraId="518B4CF0" w14:textId="77777777" w:rsidR="005C332D" w:rsidRDefault="005C332D">
            <w:pPr>
              <w:rPr>
                <w:rFonts w:ascii="宋体"/>
              </w:rPr>
            </w:pPr>
          </w:p>
        </w:tc>
        <w:tc>
          <w:tcPr>
            <w:tcW w:w="581" w:type="pct"/>
            <w:shd w:val="clear" w:color="auto" w:fill="auto"/>
            <w:vAlign w:val="bottom"/>
          </w:tcPr>
          <w:p w14:paraId="518B4CF1" w14:textId="77777777" w:rsidR="005C332D" w:rsidRDefault="005C332D">
            <w:pPr>
              <w:rPr>
                <w:rFonts w:ascii="宋体"/>
              </w:rPr>
            </w:pPr>
          </w:p>
        </w:tc>
        <w:tc>
          <w:tcPr>
            <w:tcW w:w="5" w:type="pct"/>
            <w:shd w:val="clear" w:color="auto" w:fill="auto"/>
            <w:vAlign w:val="bottom"/>
          </w:tcPr>
          <w:p w14:paraId="518B4CF2" w14:textId="77777777" w:rsidR="005C332D" w:rsidRDefault="005C332D">
            <w:pPr>
              <w:rPr>
                <w:rFonts w:ascii="宋体"/>
              </w:rPr>
            </w:pPr>
          </w:p>
        </w:tc>
      </w:tr>
      <w:tr w:rsidR="005C332D" w14:paraId="518B4CF7" w14:textId="77777777">
        <w:trPr>
          <w:jc w:val="center"/>
        </w:trPr>
        <w:tc>
          <w:tcPr>
            <w:tcW w:w="0" w:type="auto"/>
            <w:gridSpan w:val="3"/>
            <w:shd w:val="clear" w:color="auto" w:fill="auto"/>
            <w:tcMar>
              <w:top w:w="0" w:type="dxa"/>
              <w:left w:w="20" w:type="dxa"/>
              <w:bottom w:w="0" w:type="dxa"/>
              <w:right w:w="20" w:type="dxa"/>
            </w:tcMar>
            <w:vAlign w:val="bottom"/>
          </w:tcPr>
          <w:p w14:paraId="518B4CF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CF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CF6" w14:textId="77777777" w:rsidR="005C332D" w:rsidRDefault="00B93EAE">
            <w:pPr>
              <w:jc w:val="center"/>
              <w:textAlignment w:val="bottom"/>
            </w:pPr>
            <w:r>
              <w:rPr>
                <w:rFonts w:ascii="Times New Roman" w:eastAsia="宋体" w:hAnsi="Times New Roman"/>
                <w:b/>
                <w:bCs/>
                <w:color w:val="000000"/>
                <w:sz w:val="18"/>
                <w:szCs w:val="18"/>
              </w:rPr>
              <w:t>Product Gross Margin Percentage</w:t>
            </w:r>
          </w:p>
        </w:tc>
      </w:tr>
      <w:tr w:rsidR="005C332D" w14:paraId="518B4CFC" w14:textId="77777777">
        <w:trPr>
          <w:jc w:val="center"/>
        </w:trPr>
        <w:tc>
          <w:tcPr>
            <w:tcW w:w="0" w:type="auto"/>
            <w:gridSpan w:val="3"/>
            <w:shd w:val="clear" w:color="auto" w:fill="CCEEFF"/>
            <w:tcMar>
              <w:top w:w="40" w:type="dxa"/>
              <w:left w:w="20" w:type="dxa"/>
              <w:bottom w:w="40" w:type="dxa"/>
              <w:right w:w="20" w:type="dxa"/>
            </w:tcMar>
            <w:vAlign w:val="bottom"/>
          </w:tcPr>
          <w:p w14:paraId="518B4CF8" w14:textId="77777777" w:rsidR="005C332D" w:rsidRDefault="00B93EAE">
            <w:pPr>
              <w:textAlignment w:val="bottom"/>
            </w:pPr>
            <w:r>
              <w:rPr>
                <w:rFonts w:ascii="Times New Roman" w:eastAsia="宋体" w:hAnsi="Times New Roman"/>
                <w:b/>
                <w:bCs/>
                <w:color w:val="000000"/>
                <w:sz w:val="20"/>
                <w:szCs w:val="20"/>
              </w:rPr>
              <w:t>Fiscal 2021</w:t>
            </w:r>
          </w:p>
        </w:tc>
        <w:tc>
          <w:tcPr>
            <w:tcW w:w="0" w:type="auto"/>
            <w:gridSpan w:val="3"/>
            <w:shd w:val="clear" w:color="auto" w:fill="CCEEFF"/>
            <w:tcMar>
              <w:top w:w="0" w:type="dxa"/>
              <w:left w:w="20" w:type="dxa"/>
              <w:bottom w:w="0" w:type="dxa"/>
              <w:right w:w="20" w:type="dxa"/>
            </w:tcMar>
            <w:vAlign w:val="bottom"/>
          </w:tcPr>
          <w:p w14:paraId="518B4CF9"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4CFA" w14:textId="77777777" w:rsidR="005C332D" w:rsidRDefault="00B93EAE">
            <w:pPr>
              <w:jc w:val="right"/>
              <w:textAlignment w:val="bottom"/>
            </w:pPr>
            <w:r>
              <w:rPr>
                <w:rFonts w:ascii="Times New Roman" w:eastAsia="宋体" w:hAnsi="Times New Roman"/>
                <w:b/>
                <w:bCs/>
                <w:color w:val="000000"/>
                <w:sz w:val="20"/>
                <w:szCs w:val="20"/>
              </w:rPr>
              <w:t>63.1</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CFB" w14:textId="77777777" w:rsidR="005C332D" w:rsidRDefault="00B93EAE">
            <w:pPr>
              <w:jc w:val="right"/>
              <w:textAlignment w:val="bottom"/>
            </w:pPr>
            <w:r>
              <w:rPr>
                <w:rFonts w:ascii="Times New Roman" w:eastAsia="宋体" w:hAnsi="Times New Roman"/>
                <w:b/>
                <w:bCs/>
                <w:color w:val="000000"/>
                <w:sz w:val="20"/>
                <w:szCs w:val="20"/>
              </w:rPr>
              <w:t>%</w:t>
            </w:r>
          </w:p>
        </w:tc>
      </w:tr>
      <w:tr w:rsidR="005C332D" w14:paraId="518B4D01" w14:textId="77777777">
        <w:trPr>
          <w:jc w:val="center"/>
        </w:trPr>
        <w:tc>
          <w:tcPr>
            <w:tcW w:w="0" w:type="auto"/>
            <w:gridSpan w:val="3"/>
            <w:shd w:val="clear" w:color="auto" w:fill="FFFFFF"/>
            <w:tcMar>
              <w:top w:w="40" w:type="dxa"/>
              <w:left w:w="20" w:type="dxa"/>
              <w:bottom w:w="40" w:type="dxa"/>
              <w:right w:w="20" w:type="dxa"/>
            </w:tcMar>
            <w:vAlign w:val="bottom"/>
          </w:tcPr>
          <w:p w14:paraId="518B4CFD" w14:textId="77777777" w:rsidR="005C332D" w:rsidRDefault="00B93EAE">
            <w:pPr>
              <w:textAlignment w:val="bottom"/>
            </w:pPr>
            <w:r>
              <w:rPr>
                <w:rFonts w:ascii="Times New Roman" w:eastAsia="宋体" w:hAnsi="Times New Roman"/>
                <w:b/>
                <w:bCs/>
                <w:color w:val="000000"/>
                <w:sz w:val="20"/>
                <w:szCs w:val="20"/>
              </w:rPr>
              <w:t xml:space="preserve">Productivity </w:t>
            </w:r>
            <w:r>
              <w:rPr>
                <w:rFonts w:ascii="Times New Roman" w:eastAsia="宋体" w:hAnsi="Times New Roman"/>
                <w:b/>
                <w:bCs/>
                <w:color w:val="000000"/>
                <w:sz w:val="13"/>
                <w:szCs w:val="13"/>
              </w:rPr>
              <w:t>(1)</w:t>
            </w:r>
          </w:p>
        </w:tc>
        <w:tc>
          <w:tcPr>
            <w:tcW w:w="0" w:type="auto"/>
            <w:gridSpan w:val="3"/>
            <w:shd w:val="clear" w:color="auto" w:fill="FFFFFF"/>
            <w:tcMar>
              <w:top w:w="0" w:type="dxa"/>
              <w:left w:w="20" w:type="dxa"/>
              <w:bottom w:w="0" w:type="dxa"/>
              <w:right w:w="20" w:type="dxa"/>
            </w:tcMar>
            <w:vAlign w:val="bottom"/>
          </w:tcPr>
          <w:p w14:paraId="518B4CF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CFF" w14:textId="77777777" w:rsidR="005C332D" w:rsidRDefault="00B93EAE">
            <w:pPr>
              <w:jc w:val="right"/>
              <w:textAlignment w:val="bottom"/>
            </w:pPr>
            <w:r>
              <w:rPr>
                <w:rFonts w:ascii="Times New Roman" w:eastAsia="宋体" w:hAnsi="Times New Roman"/>
                <w:b/>
                <w:bCs/>
                <w:color w:val="000000"/>
                <w:sz w:val="20"/>
                <w:szCs w:val="20"/>
              </w:rPr>
              <w:t>(2.8)</w:t>
            </w:r>
          </w:p>
        </w:tc>
        <w:tc>
          <w:tcPr>
            <w:tcW w:w="0" w:type="auto"/>
            <w:shd w:val="clear" w:color="auto" w:fill="FFFFFF"/>
            <w:tcMar>
              <w:top w:w="40" w:type="dxa"/>
              <w:left w:w="0" w:type="dxa"/>
              <w:bottom w:w="40" w:type="dxa"/>
              <w:right w:w="20" w:type="dxa"/>
            </w:tcMar>
            <w:vAlign w:val="bottom"/>
          </w:tcPr>
          <w:p w14:paraId="518B4D00" w14:textId="77777777" w:rsidR="005C332D" w:rsidRDefault="00B93EAE">
            <w:pPr>
              <w:jc w:val="right"/>
              <w:textAlignment w:val="bottom"/>
            </w:pPr>
            <w:r>
              <w:rPr>
                <w:rFonts w:ascii="Times New Roman" w:eastAsia="宋体" w:hAnsi="Times New Roman"/>
                <w:b/>
                <w:bCs/>
                <w:color w:val="000000"/>
                <w:sz w:val="20"/>
                <w:szCs w:val="20"/>
              </w:rPr>
              <w:t>%</w:t>
            </w:r>
          </w:p>
        </w:tc>
      </w:tr>
      <w:tr w:rsidR="005C332D" w14:paraId="518B4D06" w14:textId="77777777">
        <w:trPr>
          <w:jc w:val="center"/>
        </w:trPr>
        <w:tc>
          <w:tcPr>
            <w:tcW w:w="0" w:type="auto"/>
            <w:gridSpan w:val="3"/>
            <w:shd w:val="clear" w:color="auto" w:fill="CCEEFF"/>
            <w:tcMar>
              <w:top w:w="40" w:type="dxa"/>
              <w:left w:w="20" w:type="dxa"/>
              <w:bottom w:w="40" w:type="dxa"/>
              <w:right w:w="20" w:type="dxa"/>
            </w:tcMar>
            <w:vAlign w:val="bottom"/>
          </w:tcPr>
          <w:p w14:paraId="518B4D02" w14:textId="77777777" w:rsidR="005C332D" w:rsidRDefault="00B93EAE">
            <w:pPr>
              <w:textAlignment w:val="bottom"/>
            </w:pPr>
            <w:r>
              <w:rPr>
                <w:rFonts w:ascii="Times New Roman" w:eastAsia="宋体" w:hAnsi="Times New Roman"/>
                <w:b/>
                <w:bCs/>
                <w:color w:val="000000"/>
                <w:sz w:val="20"/>
                <w:szCs w:val="20"/>
              </w:rPr>
              <w:t>Product pricing</w:t>
            </w:r>
          </w:p>
        </w:tc>
        <w:tc>
          <w:tcPr>
            <w:tcW w:w="0" w:type="auto"/>
            <w:gridSpan w:val="3"/>
            <w:shd w:val="clear" w:color="auto" w:fill="CCEEFF"/>
            <w:tcMar>
              <w:top w:w="0" w:type="dxa"/>
              <w:left w:w="20" w:type="dxa"/>
              <w:bottom w:w="0" w:type="dxa"/>
              <w:right w:w="20" w:type="dxa"/>
            </w:tcMar>
            <w:vAlign w:val="bottom"/>
          </w:tcPr>
          <w:p w14:paraId="518B4D0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04"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D05" w14:textId="77777777" w:rsidR="005C332D" w:rsidRDefault="00B93EAE">
            <w:pPr>
              <w:jc w:val="right"/>
              <w:textAlignment w:val="bottom"/>
            </w:pPr>
            <w:r>
              <w:rPr>
                <w:rFonts w:ascii="Times New Roman" w:eastAsia="宋体" w:hAnsi="Times New Roman"/>
                <w:b/>
                <w:bCs/>
                <w:color w:val="000000"/>
                <w:sz w:val="20"/>
                <w:szCs w:val="20"/>
              </w:rPr>
              <w:t>%</w:t>
            </w:r>
          </w:p>
        </w:tc>
      </w:tr>
      <w:tr w:rsidR="005C332D" w14:paraId="518B4D0B" w14:textId="77777777">
        <w:trPr>
          <w:jc w:val="center"/>
        </w:trPr>
        <w:tc>
          <w:tcPr>
            <w:tcW w:w="0" w:type="auto"/>
            <w:gridSpan w:val="3"/>
            <w:shd w:val="clear" w:color="auto" w:fill="FFFFFF"/>
            <w:tcMar>
              <w:top w:w="40" w:type="dxa"/>
              <w:left w:w="20" w:type="dxa"/>
              <w:bottom w:w="40" w:type="dxa"/>
              <w:right w:w="20" w:type="dxa"/>
            </w:tcMar>
            <w:vAlign w:val="bottom"/>
          </w:tcPr>
          <w:p w14:paraId="518B4D07" w14:textId="77777777" w:rsidR="005C332D" w:rsidRDefault="00B93EAE">
            <w:pPr>
              <w:textAlignment w:val="bottom"/>
            </w:pPr>
            <w:r>
              <w:rPr>
                <w:rFonts w:ascii="Times New Roman" w:eastAsia="宋体" w:hAnsi="Times New Roman"/>
                <w:b/>
                <w:bCs/>
                <w:color w:val="000000"/>
                <w:sz w:val="20"/>
                <w:szCs w:val="20"/>
              </w:rPr>
              <w:t>Mix of products sold</w:t>
            </w:r>
          </w:p>
        </w:tc>
        <w:tc>
          <w:tcPr>
            <w:tcW w:w="0" w:type="auto"/>
            <w:gridSpan w:val="3"/>
            <w:shd w:val="clear" w:color="auto" w:fill="FFFFFF"/>
            <w:tcMar>
              <w:top w:w="0" w:type="dxa"/>
              <w:left w:w="20" w:type="dxa"/>
              <w:bottom w:w="0" w:type="dxa"/>
              <w:right w:w="20" w:type="dxa"/>
            </w:tcMar>
            <w:vAlign w:val="bottom"/>
          </w:tcPr>
          <w:p w14:paraId="518B4D0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09" w14:textId="77777777" w:rsidR="005C332D" w:rsidRDefault="00B93EAE">
            <w:pPr>
              <w:jc w:val="right"/>
              <w:textAlignment w:val="bottom"/>
            </w:pPr>
            <w:r>
              <w:rPr>
                <w:rFonts w:ascii="Times New Roman" w:eastAsia="宋体" w:hAnsi="Times New Roman"/>
                <w:b/>
                <w:bCs/>
                <w:color w:val="000000"/>
                <w:sz w:val="20"/>
                <w:szCs w:val="20"/>
              </w:rPr>
              <w:t>(0.3)</w:t>
            </w:r>
          </w:p>
        </w:tc>
        <w:tc>
          <w:tcPr>
            <w:tcW w:w="0" w:type="auto"/>
            <w:shd w:val="clear" w:color="auto" w:fill="FFFFFF"/>
            <w:tcMar>
              <w:top w:w="40" w:type="dxa"/>
              <w:left w:w="0" w:type="dxa"/>
              <w:bottom w:w="40" w:type="dxa"/>
              <w:right w:w="20" w:type="dxa"/>
            </w:tcMar>
            <w:vAlign w:val="bottom"/>
          </w:tcPr>
          <w:p w14:paraId="518B4D0A" w14:textId="77777777" w:rsidR="005C332D" w:rsidRDefault="00B93EAE">
            <w:pPr>
              <w:jc w:val="right"/>
              <w:textAlignment w:val="bottom"/>
            </w:pPr>
            <w:r>
              <w:rPr>
                <w:rFonts w:ascii="Times New Roman" w:eastAsia="宋体" w:hAnsi="Times New Roman"/>
                <w:b/>
                <w:bCs/>
                <w:color w:val="000000"/>
                <w:sz w:val="20"/>
                <w:szCs w:val="20"/>
              </w:rPr>
              <w:t>%</w:t>
            </w:r>
          </w:p>
        </w:tc>
      </w:tr>
      <w:tr w:rsidR="005C332D" w14:paraId="518B4D10" w14:textId="77777777">
        <w:trPr>
          <w:jc w:val="center"/>
        </w:trPr>
        <w:tc>
          <w:tcPr>
            <w:tcW w:w="0" w:type="auto"/>
            <w:gridSpan w:val="3"/>
            <w:shd w:val="clear" w:color="auto" w:fill="CCEEFF"/>
            <w:tcMar>
              <w:top w:w="40" w:type="dxa"/>
              <w:left w:w="20" w:type="dxa"/>
              <w:bottom w:w="40" w:type="dxa"/>
              <w:right w:w="20" w:type="dxa"/>
            </w:tcMar>
            <w:vAlign w:val="bottom"/>
          </w:tcPr>
          <w:p w14:paraId="518B4D0C" w14:textId="77777777" w:rsidR="005C332D" w:rsidRDefault="00B93EAE">
            <w:pPr>
              <w:textAlignment w:val="bottom"/>
            </w:pPr>
            <w:r>
              <w:rPr>
                <w:rFonts w:ascii="Times New Roman" w:eastAsia="宋体" w:hAnsi="Times New Roman"/>
                <w:b/>
                <w:bCs/>
                <w:color w:val="000000"/>
                <w:sz w:val="20"/>
                <w:szCs w:val="20"/>
              </w:rPr>
              <w:t>Others</w:t>
            </w:r>
          </w:p>
        </w:tc>
        <w:tc>
          <w:tcPr>
            <w:tcW w:w="0" w:type="auto"/>
            <w:gridSpan w:val="3"/>
            <w:shd w:val="clear" w:color="auto" w:fill="CCEEFF"/>
            <w:tcMar>
              <w:top w:w="0" w:type="dxa"/>
              <w:left w:w="20" w:type="dxa"/>
              <w:bottom w:w="0" w:type="dxa"/>
              <w:right w:w="20" w:type="dxa"/>
            </w:tcMar>
            <w:vAlign w:val="bottom"/>
          </w:tcPr>
          <w:p w14:paraId="518B4D0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0E"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D0F" w14:textId="77777777" w:rsidR="005C332D" w:rsidRDefault="00B93EAE">
            <w:pPr>
              <w:jc w:val="right"/>
              <w:textAlignment w:val="bottom"/>
            </w:pPr>
            <w:r>
              <w:rPr>
                <w:rFonts w:ascii="Times New Roman" w:eastAsia="宋体" w:hAnsi="Times New Roman"/>
                <w:b/>
                <w:bCs/>
                <w:color w:val="000000"/>
                <w:sz w:val="20"/>
                <w:szCs w:val="20"/>
              </w:rPr>
              <w:t>%</w:t>
            </w:r>
          </w:p>
        </w:tc>
      </w:tr>
      <w:tr w:rsidR="005C332D" w14:paraId="518B4D15" w14:textId="77777777">
        <w:trPr>
          <w:jc w:val="center"/>
        </w:trPr>
        <w:tc>
          <w:tcPr>
            <w:tcW w:w="0" w:type="auto"/>
            <w:gridSpan w:val="3"/>
            <w:shd w:val="clear" w:color="auto" w:fill="FFFFFF"/>
            <w:tcMar>
              <w:top w:w="40" w:type="dxa"/>
              <w:left w:w="20" w:type="dxa"/>
              <w:bottom w:w="40" w:type="dxa"/>
              <w:right w:w="20" w:type="dxa"/>
            </w:tcMar>
            <w:vAlign w:val="bottom"/>
          </w:tcPr>
          <w:p w14:paraId="518B4D11" w14:textId="77777777" w:rsidR="005C332D" w:rsidRDefault="00B93EAE">
            <w:pPr>
              <w:textAlignment w:val="bottom"/>
            </w:pPr>
            <w:r>
              <w:rPr>
                <w:rFonts w:ascii="Times New Roman" w:eastAsia="宋体" w:hAnsi="Times New Roman"/>
                <w:b/>
                <w:bCs/>
                <w:color w:val="000000"/>
                <w:sz w:val="20"/>
                <w:szCs w:val="20"/>
              </w:rPr>
              <w:t>Fiscal 2022</w:t>
            </w:r>
          </w:p>
        </w:tc>
        <w:tc>
          <w:tcPr>
            <w:tcW w:w="0" w:type="auto"/>
            <w:gridSpan w:val="3"/>
            <w:shd w:val="clear" w:color="auto" w:fill="FFFFFF"/>
            <w:tcMar>
              <w:top w:w="0" w:type="dxa"/>
              <w:left w:w="20" w:type="dxa"/>
              <w:bottom w:w="0" w:type="dxa"/>
              <w:right w:w="20" w:type="dxa"/>
            </w:tcMar>
            <w:vAlign w:val="bottom"/>
          </w:tcPr>
          <w:p w14:paraId="518B4D12" w14:textId="77777777" w:rsidR="005C332D" w:rsidRDefault="005C332D">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4D13" w14:textId="77777777" w:rsidR="005C332D" w:rsidRDefault="00B93EAE">
            <w:pPr>
              <w:jc w:val="right"/>
              <w:textAlignment w:val="bottom"/>
            </w:pPr>
            <w:r>
              <w:rPr>
                <w:rFonts w:ascii="Times New Roman" w:eastAsia="宋体" w:hAnsi="Times New Roman"/>
                <w:b/>
                <w:bCs/>
                <w:color w:val="000000"/>
                <w:sz w:val="20"/>
                <w:szCs w:val="20"/>
              </w:rPr>
              <w:t>61.0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4D14" w14:textId="77777777" w:rsidR="005C332D" w:rsidRDefault="00B93EAE">
            <w:pPr>
              <w:jc w:val="right"/>
              <w:textAlignment w:val="bottom"/>
            </w:pPr>
            <w:r>
              <w:rPr>
                <w:rFonts w:ascii="Times New Roman" w:eastAsia="宋体" w:hAnsi="Times New Roman"/>
                <w:b/>
                <w:bCs/>
                <w:color w:val="000000"/>
                <w:sz w:val="20"/>
                <w:szCs w:val="20"/>
              </w:rPr>
              <w:t>%</w:t>
            </w:r>
          </w:p>
        </w:tc>
      </w:tr>
    </w:tbl>
    <w:p w14:paraId="518B4D16" w14:textId="77777777" w:rsidR="005C332D" w:rsidRDefault="00B93EAE">
      <w:pPr>
        <w:spacing w:before="120"/>
      </w:pPr>
      <w:r>
        <w:rPr>
          <w:rFonts w:ascii="Times New Roman" w:eastAsia="宋体" w:hAnsi="Times New Roman"/>
          <w:color w:val="000000"/>
          <w:sz w:val="13"/>
          <w:szCs w:val="13"/>
        </w:rPr>
        <w:t>(1)</w:t>
      </w:r>
      <w:r>
        <w:rPr>
          <w:rFonts w:ascii="Times New Roman" w:eastAsia="宋体" w:hAnsi="Times New Roman"/>
          <w:color w:val="000000"/>
          <w:sz w:val="10"/>
          <w:szCs w:val="10"/>
        </w:rPr>
        <w:t xml:space="preserve"> </w:t>
      </w:r>
      <w:r>
        <w:rPr>
          <w:rFonts w:ascii="Times New Roman" w:eastAsia="宋体" w:hAnsi="Times New Roman"/>
          <w:color w:val="000000"/>
          <w:sz w:val="18"/>
          <w:szCs w:val="18"/>
        </w:rPr>
        <w:t xml:space="preserve">Productivity includes overall manufacturing-related costs, such as component costs, warranty expense, provision for inventory, freight, logistics, </w:t>
      </w:r>
      <w:r>
        <w:rPr>
          <w:rFonts w:ascii="Times New Roman" w:eastAsia="宋体" w:hAnsi="Times New Roman"/>
          <w:color w:val="000000"/>
          <w:sz w:val="18"/>
          <w:szCs w:val="18"/>
        </w:rPr>
        <w:t>shipment volume, and other items not categorized elsewhere.</w:t>
      </w:r>
    </w:p>
    <w:p w14:paraId="518B4D17" w14:textId="77777777" w:rsidR="005C332D" w:rsidRDefault="00B93EAE">
      <w:pPr>
        <w:spacing w:before="120"/>
        <w:jc w:val="both"/>
      </w:pPr>
      <w:r>
        <w:rPr>
          <w:rFonts w:ascii="Times New Roman" w:eastAsia="宋体" w:hAnsi="Times New Roman"/>
          <w:color w:val="000000"/>
          <w:sz w:val="20"/>
          <w:szCs w:val="20"/>
        </w:rPr>
        <w:t>Product gross margin decreased by 2.1 percentage points primarily driven by negative impacts from productivity, largely driven by increased costs related to supply constraints from freight, expedi</w:t>
      </w:r>
      <w:r>
        <w:rPr>
          <w:rFonts w:ascii="Times New Roman" w:eastAsia="宋体" w:hAnsi="Times New Roman"/>
          <w:color w:val="000000"/>
          <w:sz w:val="20"/>
          <w:szCs w:val="20"/>
        </w:rPr>
        <w:t>tes, and higher component and commodity costs. These impacts were partially offset by favorable pricing. The benefit we saw from favorable pricing was primarily driven by price increases implemented during fiscal 2022, to partially offset increases in comp</w:t>
      </w:r>
      <w:r>
        <w:rPr>
          <w:rFonts w:ascii="Times New Roman" w:eastAsia="宋体" w:hAnsi="Times New Roman"/>
          <w:color w:val="000000"/>
          <w:sz w:val="20"/>
          <w:szCs w:val="20"/>
        </w:rPr>
        <w:t>onents and commodity costs, freight and logistics costs, driven by supply constraints.</w:t>
      </w:r>
    </w:p>
    <w:p w14:paraId="518B4D18" w14:textId="77777777" w:rsidR="005C332D" w:rsidRDefault="00B93EAE">
      <w:pPr>
        <w:spacing w:before="120"/>
        <w:jc w:val="both"/>
      </w:pPr>
      <w:r>
        <w:rPr>
          <w:rFonts w:ascii="Times New Roman" w:eastAsia="宋体" w:hAnsi="Times New Roman"/>
          <w:i/>
          <w:iCs/>
          <w:color w:val="000000"/>
          <w:sz w:val="20"/>
          <w:szCs w:val="20"/>
        </w:rPr>
        <w:t>Supply Constraints Impacts and Risks</w:t>
      </w:r>
    </w:p>
    <w:p w14:paraId="518B4D19" w14:textId="77777777" w:rsidR="005C332D" w:rsidRDefault="00B93EAE">
      <w:pPr>
        <w:spacing w:before="120"/>
        <w:jc w:val="both"/>
      </w:pPr>
      <w:r>
        <w:rPr>
          <w:rFonts w:ascii="Times New Roman" w:eastAsia="宋体" w:hAnsi="Times New Roman"/>
          <w:color w:val="000000"/>
          <w:sz w:val="20"/>
          <w:szCs w:val="20"/>
        </w:rPr>
        <w:t>We continue to manage through significant supply constraints seen industry-wide due to component shortages caused, in part, by the C</w:t>
      </w:r>
      <w:r>
        <w:rPr>
          <w:rFonts w:ascii="Times New Roman" w:eastAsia="宋体" w:hAnsi="Times New Roman"/>
          <w:color w:val="000000"/>
          <w:sz w:val="20"/>
          <w:szCs w:val="20"/>
        </w:rPr>
        <w:t xml:space="preserve">OVID-19 pandemic, and for which the duration of such constraints is uncertain. These shortages have resulted in increased costs (i.e., component and other commodity costs, freight, expedite fees, etc.) which have had a negative impact on our product gross </w:t>
      </w:r>
      <w:r>
        <w:rPr>
          <w:rFonts w:ascii="Times New Roman" w:eastAsia="宋体" w:hAnsi="Times New Roman"/>
          <w:color w:val="000000"/>
          <w:sz w:val="20"/>
          <w:szCs w:val="20"/>
        </w:rPr>
        <w:t>margin and have resulted in extended lead times for us and our customers. We have taken a number of steps in order to mitigate the supply constraint related impacts including: partnering with several of our key suppliers utilizing our volume purchasing abi</w:t>
      </w:r>
      <w:r>
        <w:rPr>
          <w:rFonts w:ascii="Times New Roman" w:eastAsia="宋体" w:hAnsi="Times New Roman"/>
          <w:color w:val="000000"/>
          <w:sz w:val="20"/>
          <w:szCs w:val="20"/>
        </w:rPr>
        <w:t>lity and extending supply coverage, including, in certain cases, revising supplier arrangements; paying significantly higher component and logistics costs to secure supply; modifying our product designs in order to leverage alternate suppliers, where possi</w:t>
      </w:r>
      <w:r>
        <w:rPr>
          <w:rFonts w:ascii="Times New Roman" w:eastAsia="宋体" w:hAnsi="Times New Roman"/>
          <w:color w:val="000000"/>
          <w:sz w:val="20"/>
          <w:szCs w:val="20"/>
        </w:rPr>
        <w:t xml:space="preserve">ble; and continually optimizing our inventory build and customer delivery plans, among others. We believe these actions are helping us to optimize our access to critical components and meet customer demand for our products. We continue to see solid demand </w:t>
      </w:r>
      <w:r>
        <w:rPr>
          <w:rFonts w:ascii="Times New Roman" w:eastAsia="宋体" w:hAnsi="Times New Roman"/>
          <w:color w:val="000000"/>
          <w:sz w:val="20"/>
          <w:szCs w:val="20"/>
        </w:rPr>
        <w:t>across the majority of our portfolio. As a result, in order to secure supply to meet customer demand, we have increased our inventory balances, inventory purchase commitments, and inventory deposits and prepayments (see “—Liquidity and Capital Resources—In</w:t>
      </w:r>
      <w:r>
        <w:rPr>
          <w:rFonts w:ascii="Times New Roman" w:eastAsia="宋体" w:hAnsi="Times New Roman"/>
          <w:color w:val="000000"/>
          <w:sz w:val="20"/>
          <w:szCs w:val="20"/>
        </w:rPr>
        <w:t xml:space="preserve">ventory Supply Chain”), which, in turn, has increased our supply chain exposure. Additionally, in certain situations, we have prepaid or made deposits with suppliers to secure future supply. These actions significantly increase the risk of future material </w:t>
      </w:r>
      <w:r>
        <w:rPr>
          <w:rFonts w:ascii="Times New Roman" w:eastAsia="宋体" w:hAnsi="Times New Roman"/>
          <w:color w:val="000000"/>
          <w:sz w:val="20"/>
          <w:szCs w:val="20"/>
        </w:rPr>
        <w:t xml:space="preserve">excess and obsolete inventory and related losses if customer demand were to suddenly and significantly decrease in future periods. While we believe we are taking the right strategic and operational actions to address the supply situation, we recognize the </w:t>
      </w:r>
      <w:r>
        <w:rPr>
          <w:rFonts w:ascii="Times New Roman" w:eastAsia="宋体" w:hAnsi="Times New Roman"/>
          <w:color w:val="000000"/>
          <w:sz w:val="20"/>
          <w:szCs w:val="20"/>
        </w:rPr>
        <w:t>increased risks.</w:t>
      </w:r>
    </w:p>
    <w:p w14:paraId="518B4D1A" w14:textId="77777777" w:rsidR="005C332D" w:rsidRDefault="00B93EAE">
      <w:pPr>
        <w:spacing w:before="120"/>
        <w:jc w:val="both"/>
      </w:pPr>
      <w:r>
        <w:rPr>
          <w:rFonts w:ascii="Times New Roman" w:eastAsia="宋体" w:hAnsi="Times New Roman"/>
          <w:b/>
          <w:bCs/>
          <w:color w:val="000000"/>
          <w:sz w:val="20"/>
          <w:szCs w:val="20"/>
        </w:rPr>
        <w:t>Service Gross Margin</w:t>
      </w:r>
    </w:p>
    <w:p w14:paraId="518B4D1B" w14:textId="77777777" w:rsidR="005C332D" w:rsidRDefault="00B93EAE">
      <w:pPr>
        <w:spacing w:before="120"/>
        <w:jc w:val="both"/>
      </w:pPr>
      <w:r>
        <w:rPr>
          <w:rFonts w:ascii="Times New Roman" w:eastAsia="宋体" w:hAnsi="Times New Roman"/>
          <w:color w:val="000000"/>
          <w:sz w:val="20"/>
          <w:szCs w:val="20"/>
        </w:rPr>
        <w:t>Our service gross margin percentage increased by 0.3 percentage points primarily due to lower headcount-related and delivery costs and favorable mix of service offerings, partially offset by lower sales volume.</w:t>
      </w:r>
    </w:p>
    <w:p w14:paraId="518B4D1C" w14:textId="77777777" w:rsidR="005C332D" w:rsidRDefault="00B93EAE">
      <w:pPr>
        <w:spacing w:before="120"/>
        <w:jc w:val="both"/>
      </w:pPr>
      <w:r>
        <w:rPr>
          <w:rFonts w:ascii="Times New Roman" w:eastAsia="宋体" w:hAnsi="Times New Roman"/>
          <w:color w:val="000000"/>
          <w:sz w:val="20"/>
          <w:szCs w:val="20"/>
        </w:rPr>
        <w:t>Our ser</w:t>
      </w:r>
      <w:r>
        <w:rPr>
          <w:rFonts w:ascii="Times New Roman" w:eastAsia="宋体" w:hAnsi="Times New Roman"/>
          <w:color w:val="000000"/>
          <w:sz w:val="20"/>
          <w:szCs w:val="20"/>
        </w:rPr>
        <w:t xml:space="preserve">vice gross margin normally experiences some fluctuations due to various factors such as the timing of contract initiations in our renewals, our strategic investments in headcount, and the resources we deploy to support the overall service </w:t>
      </w:r>
    </w:p>
    <w:p w14:paraId="518B4D1D" w14:textId="77777777" w:rsidR="005C332D" w:rsidRDefault="00B93EAE">
      <w:pPr>
        <w:jc w:val="center"/>
      </w:pPr>
      <w:r>
        <w:rPr>
          <w:rFonts w:ascii="Times New Roman" w:eastAsia="宋体" w:hAnsi="Times New Roman"/>
          <w:color w:val="000000"/>
          <w:sz w:val="20"/>
          <w:szCs w:val="20"/>
        </w:rPr>
        <w:t>42</w:t>
      </w:r>
    </w:p>
    <w:p w14:paraId="518B4D1E" w14:textId="77777777" w:rsidR="005C332D" w:rsidRDefault="00B93EAE">
      <w:r>
        <w:pict w14:anchorId="518B873F">
          <v:rect id="_x0000_i1068" style="width:415.3pt;height:1.5pt" o:hralign="center" o:hrstd="t" o:hr="t" fillcolor="#a0a0a0" stroked="f"/>
        </w:pict>
      </w:r>
    </w:p>
    <w:p w14:paraId="518B4D1F" w14:textId="77777777" w:rsidR="005C332D" w:rsidRDefault="00B93EAE">
      <w:hyperlink r:id="rId96" w:anchor="i049852cab38845aabd2a79d07dacda86_7" w:history="1">
        <w:r>
          <w:rPr>
            <w:rStyle w:val="a5"/>
            <w:rFonts w:ascii="Times New Roman" w:eastAsia="宋体" w:hAnsi="Times New Roman"/>
            <w:sz w:val="20"/>
            <w:szCs w:val="20"/>
          </w:rPr>
          <w:t>Table of Contents</w:t>
        </w:r>
      </w:hyperlink>
    </w:p>
    <w:p w14:paraId="518B4D20" w14:textId="77777777" w:rsidR="005C332D" w:rsidRDefault="00B93EAE">
      <w:pPr>
        <w:spacing w:before="120"/>
        <w:jc w:val="both"/>
      </w:pPr>
      <w:r>
        <w:rPr>
          <w:rFonts w:ascii="Times New Roman" w:eastAsia="宋体" w:hAnsi="Times New Roman"/>
          <w:color w:val="000000"/>
          <w:sz w:val="20"/>
          <w:szCs w:val="20"/>
        </w:rPr>
        <w:t xml:space="preserve">business. Other factors include the mix of service offerings, as the gross margin from our </w:t>
      </w:r>
      <w:r>
        <w:rPr>
          <w:rFonts w:ascii="Times New Roman" w:eastAsia="宋体" w:hAnsi="Times New Roman"/>
          <w:color w:val="000000"/>
          <w:sz w:val="20"/>
          <w:szCs w:val="20"/>
        </w:rPr>
        <w:t>advanced services is typically lower than the gross margin from technical support services.</w:t>
      </w:r>
    </w:p>
    <w:p w14:paraId="518B4D21" w14:textId="77777777" w:rsidR="005C332D" w:rsidRDefault="00B93EAE">
      <w:pPr>
        <w:spacing w:before="120"/>
        <w:jc w:val="both"/>
      </w:pPr>
      <w:r>
        <w:rPr>
          <w:rFonts w:ascii="Times New Roman" w:eastAsia="宋体" w:hAnsi="Times New Roman"/>
          <w:b/>
          <w:bCs/>
          <w:color w:val="000000"/>
          <w:sz w:val="20"/>
          <w:szCs w:val="20"/>
        </w:rPr>
        <w:t>Gross Margin by Segment</w:t>
      </w:r>
    </w:p>
    <w:p w14:paraId="518B4D22" w14:textId="77777777" w:rsidR="005C332D" w:rsidRDefault="00B93EAE">
      <w:pPr>
        <w:spacing w:before="120"/>
        <w:jc w:val="both"/>
      </w:pPr>
      <w:r>
        <w:rPr>
          <w:rFonts w:ascii="Times New Roman" w:eastAsia="宋体" w:hAnsi="Times New Roman"/>
          <w:color w:val="000000"/>
          <w:sz w:val="20"/>
          <w:szCs w:val="20"/>
        </w:rPr>
        <w:t>The following table presents the total gross margin for each segment (in millions, except percentages):</w:t>
      </w:r>
    </w:p>
    <w:tbl>
      <w:tblPr>
        <w:tblW w:w="4971" w:type="pct"/>
        <w:jc w:val="center"/>
        <w:tblCellMar>
          <w:top w:w="15" w:type="dxa"/>
          <w:left w:w="15" w:type="dxa"/>
          <w:bottom w:w="15" w:type="dxa"/>
          <w:right w:w="15" w:type="dxa"/>
        </w:tblCellMar>
        <w:tblLook w:val="04A0" w:firstRow="1" w:lastRow="0" w:firstColumn="1" w:lastColumn="0" w:noHBand="0" w:noVBand="1"/>
      </w:tblPr>
      <w:tblGrid>
        <w:gridCol w:w="40"/>
        <w:gridCol w:w="2100"/>
        <w:gridCol w:w="39"/>
        <w:gridCol w:w="36"/>
        <w:gridCol w:w="36"/>
        <w:gridCol w:w="36"/>
        <w:gridCol w:w="120"/>
        <w:gridCol w:w="708"/>
        <w:gridCol w:w="36"/>
        <w:gridCol w:w="36"/>
        <w:gridCol w:w="36"/>
        <w:gridCol w:w="36"/>
        <w:gridCol w:w="120"/>
        <w:gridCol w:w="722"/>
        <w:gridCol w:w="36"/>
        <w:gridCol w:w="36"/>
        <w:gridCol w:w="36"/>
        <w:gridCol w:w="36"/>
        <w:gridCol w:w="120"/>
        <w:gridCol w:w="722"/>
        <w:gridCol w:w="36"/>
        <w:gridCol w:w="36"/>
        <w:gridCol w:w="36"/>
        <w:gridCol w:w="36"/>
        <w:gridCol w:w="38"/>
        <w:gridCol w:w="724"/>
        <w:gridCol w:w="221"/>
        <w:gridCol w:w="37"/>
        <w:gridCol w:w="37"/>
        <w:gridCol w:w="37"/>
        <w:gridCol w:w="38"/>
        <w:gridCol w:w="702"/>
        <w:gridCol w:w="187"/>
        <w:gridCol w:w="36"/>
        <w:gridCol w:w="36"/>
        <w:gridCol w:w="36"/>
        <w:gridCol w:w="38"/>
        <w:gridCol w:w="703"/>
        <w:gridCol w:w="187"/>
      </w:tblGrid>
      <w:tr w:rsidR="005C332D" w14:paraId="518B4D4A" w14:textId="77777777">
        <w:trPr>
          <w:jc w:val="center"/>
        </w:trPr>
        <w:tc>
          <w:tcPr>
            <w:tcW w:w="50" w:type="pct"/>
            <w:shd w:val="clear" w:color="auto" w:fill="auto"/>
            <w:vAlign w:val="bottom"/>
          </w:tcPr>
          <w:p w14:paraId="518B4D23" w14:textId="77777777" w:rsidR="005C332D" w:rsidRDefault="005C332D">
            <w:pPr>
              <w:rPr>
                <w:rFonts w:ascii="宋体"/>
              </w:rPr>
            </w:pPr>
          </w:p>
        </w:tc>
        <w:tc>
          <w:tcPr>
            <w:tcW w:w="1320" w:type="pct"/>
            <w:shd w:val="clear" w:color="auto" w:fill="auto"/>
            <w:vAlign w:val="bottom"/>
          </w:tcPr>
          <w:p w14:paraId="518B4D24" w14:textId="77777777" w:rsidR="005C332D" w:rsidRDefault="005C332D">
            <w:pPr>
              <w:rPr>
                <w:rFonts w:ascii="宋体"/>
              </w:rPr>
            </w:pPr>
          </w:p>
        </w:tc>
        <w:tc>
          <w:tcPr>
            <w:tcW w:w="5" w:type="pct"/>
            <w:shd w:val="clear" w:color="auto" w:fill="auto"/>
            <w:vAlign w:val="bottom"/>
          </w:tcPr>
          <w:p w14:paraId="518B4D25" w14:textId="77777777" w:rsidR="005C332D" w:rsidRDefault="005C332D">
            <w:pPr>
              <w:rPr>
                <w:rFonts w:ascii="宋体"/>
              </w:rPr>
            </w:pPr>
          </w:p>
        </w:tc>
        <w:tc>
          <w:tcPr>
            <w:tcW w:w="5" w:type="pct"/>
            <w:shd w:val="clear" w:color="auto" w:fill="auto"/>
            <w:vAlign w:val="bottom"/>
          </w:tcPr>
          <w:p w14:paraId="518B4D26" w14:textId="77777777" w:rsidR="005C332D" w:rsidRDefault="005C332D">
            <w:pPr>
              <w:rPr>
                <w:rFonts w:ascii="宋体"/>
              </w:rPr>
            </w:pPr>
          </w:p>
        </w:tc>
        <w:tc>
          <w:tcPr>
            <w:tcW w:w="26" w:type="pct"/>
            <w:shd w:val="clear" w:color="auto" w:fill="auto"/>
            <w:vAlign w:val="bottom"/>
          </w:tcPr>
          <w:p w14:paraId="518B4D27" w14:textId="77777777" w:rsidR="005C332D" w:rsidRDefault="005C332D">
            <w:pPr>
              <w:rPr>
                <w:rFonts w:ascii="宋体"/>
              </w:rPr>
            </w:pPr>
          </w:p>
        </w:tc>
        <w:tc>
          <w:tcPr>
            <w:tcW w:w="5" w:type="pct"/>
            <w:shd w:val="clear" w:color="auto" w:fill="auto"/>
            <w:vAlign w:val="bottom"/>
          </w:tcPr>
          <w:p w14:paraId="518B4D28" w14:textId="77777777" w:rsidR="005C332D" w:rsidRDefault="005C332D">
            <w:pPr>
              <w:rPr>
                <w:rFonts w:ascii="宋体"/>
              </w:rPr>
            </w:pPr>
          </w:p>
        </w:tc>
        <w:tc>
          <w:tcPr>
            <w:tcW w:w="50" w:type="pct"/>
            <w:shd w:val="clear" w:color="auto" w:fill="auto"/>
            <w:vAlign w:val="bottom"/>
          </w:tcPr>
          <w:p w14:paraId="518B4D29" w14:textId="77777777" w:rsidR="005C332D" w:rsidRDefault="005C332D">
            <w:pPr>
              <w:rPr>
                <w:rFonts w:ascii="宋体"/>
              </w:rPr>
            </w:pPr>
          </w:p>
        </w:tc>
        <w:tc>
          <w:tcPr>
            <w:tcW w:w="503" w:type="pct"/>
            <w:shd w:val="clear" w:color="auto" w:fill="auto"/>
            <w:vAlign w:val="bottom"/>
          </w:tcPr>
          <w:p w14:paraId="518B4D2A" w14:textId="77777777" w:rsidR="005C332D" w:rsidRDefault="005C332D">
            <w:pPr>
              <w:rPr>
                <w:rFonts w:ascii="宋体"/>
              </w:rPr>
            </w:pPr>
          </w:p>
        </w:tc>
        <w:tc>
          <w:tcPr>
            <w:tcW w:w="5" w:type="pct"/>
            <w:shd w:val="clear" w:color="auto" w:fill="auto"/>
            <w:vAlign w:val="bottom"/>
          </w:tcPr>
          <w:p w14:paraId="518B4D2B" w14:textId="77777777" w:rsidR="005C332D" w:rsidRDefault="005C332D">
            <w:pPr>
              <w:rPr>
                <w:rFonts w:ascii="宋体"/>
              </w:rPr>
            </w:pPr>
          </w:p>
        </w:tc>
        <w:tc>
          <w:tcPr>
            <w:tcW w:w="5" w:type="pct"/>
            <w:shd w:val="clear" w:color="auto" w:fill="auto"/>
            <w:vAlign w:val="bottom"/>
          </w:tcPr>
          <w:p w14:paraId="518B4D2C" w14:textId="77777777" w:rsidR="005C332D" w:rsidRDefault="005C332D">
            <w:pPr>
              <w:rPr>
                <w:rFonts w:ascii="宋体"/>
              </w:rPr>
            </w:pPr>
          </w:p>
        </w:tc>
        <w:tc>
          <w:tcPr>
            <w:tcW w:w="26" w:type="pct"/>
            <w:shd w:val="clear" w:color="auto" w:fill="auto"/>
            <w:vAlign w:val="bottom"/>
          </w:tcPr>
          <w:p w14:paraId="518B4D2D" w14:textId="77777777" w:rsidR="005C332D" w:rsidRDefault="005C332D">
            <w:pPr>
              <w:rPr>
                <w:rFonts w:ascii="宋体"/>
              </w:rPr>
            </w:pPr>
          </w:p>
        </w:tc>
        <w:tc>
          <w:tcPr>
            <w:tcW w:w="5" w:type="pct"/>
            <w:shd w:val="clear" w:color="auto" w:fill="auto"/>
            <w:vAlign w:val="bottom"/>
          </w:tcPr>
          <w:p w14:paraId="518B4D2E" w14:textId="77777777" w:rsidR="005C332D" w:rsidRDefault="005C332D">
            <w:pPr>
              <w:rPr>
                <w:rFonts w:ascii="宋体"/>
              </w:rPr>
            </w:pPr>
          </w:p>
        </w:tc>
        <w:tc>
          <w:tcPr>
            <w:tcW w:w="50" w:type="pct"/>
            <w:shd w:val="clear" w:color="auto" w:fill="auto"/>
            <w:vAlign w:val="bottom"/>
          </w:tcPr>
          <w:p w14:paraId="518B4D2F" w14:textId="77777777" w:rsidR="005C332D" w:rsidRDefault="005C332D">
            <w:pPr>
              <w:rPr>
                <w:rFonts w:ascii="宋体"/>
              </w:rPr>
            </w:pPr>
          </w:p>
        </w:tc>
        <w:tc>
          <w:tcPr>
            <w:tcW w:w="511" w:type="pct"/>
            <w:shd w:val="clear" w:color="auto" w:fill="auto"/>
            <w:vAlign w:val="bottom"/>
          </w:tcPr>
          <w:p w14:paraId="518B4D30" w14:textId="77777777" w:rsidR="005C332D" w:rsidRDefault="005C332D">
            <w:pPr>
              <w:rPr>
                <w:rFonts w:ascii="宋体"/>
              </w:rPr>
            </w:pPr>
          </w:p>
        </w:tc>
        <w:tc>
          <w:tcPr>
            <w:tcW w:w="5" w:type="pct"/>
            <w:shd w:val="clear" w:color="auto" w:fill="auto"/>
            <w:vAlign w:val="bottom"/>
          </w:tcPr>
          <w:p w14:paraId="518B4D31" w14:textId="77777777" w:rsidR="005C332D" w:rsidRDefault="005C332D">
            <w:pPr>
              <w:rPr>
                <w:rFonts w:ascii="宋体"/>
              </w:rPr>
            </w:pPr>
          </w:p>
        </w:tc>
        <w:tc>
          <w:tcPr>
            <w:tcW w:w="5" w:type="pct"/>
            <w:shd w:val="clear" w:color="auto" w:fill="auto"/>
            <w:vAlign w:val="bottom"/>
          </w:tcPr>
          <w:p w14:paraId="518B4D32" w14:textId="77777777" w:rsidR="005C332D" w:rsidRDefault="005C332D">
            <w:pPr>
              <w:rPr>
                <w:rFonts w:ascii="宋体"/>
              </w:rPr>
            </w:pPr>
          </w:p>
        </w:tc>
        <w:tc>
          <w:tcPr>
            <w:tcW w:w="26" w:type="pct"/>
            <w:shd w:val="clear" w:color="auto" w:fill="auto"/>
            <w:vAlign w:val="bottom"/>
          </w:tcPr>
          <w:p w14:paraId="518B4D33" w14:textId="77777777" w:rsidR="005C332D" w:rsidRDefault="005C332D">
            <w:pPr>
              <w:rPr>
                <w:rFonts w:ascii="宋体"/>
              </w:rPr>
            </w:pPr>
          </w:p>
        </w:tc>
        <w:tc>
          <w:tcPr>
            <w:tcW w:w="5" w:type="pct"/>
            <w:shd w:val="clear" w:color="auto" w:fill="auto"/>
            <w:vAlign w:val="bottom"/>
          </w:tcPr>
          <w:p w14:paraId="518B4D34" w14:textId="77777777" w:rsidR="005C332D" w:rsidRDefault="005C332D">
            <w:pPr>
              <w:rPr>
                <w:rFonts w:ascii="宋体"/>
              </w:rPr>
            </w:pPr>
          </w:p>
        </w:tc>
        <w:tc>
          <w:tcPr>
            <w:tcW w:w="50" w:type="pct"/>
            <w:shd w:val="clear" w:color="auto" w:fill="auto"/>
            <w:vAlign w:val="bottom"/>
          </w:tcPr>
          <w:p w14:paraId="518B4D35" w14:textId="77777777" w:rsidR="005C332D" w:rsidRDefault="005C332D">
            <w:pPr>
              <w:rPr>
                <w:rFonts w:ascii="宋体"/>
              </w:rPr>
            </w:pPr>
          </w:p>
        </w:tc>
        <w:tc>
          <w:tcPr>
            <w:tcW w:w="511" w:type="pct"/>
            <w:shd w:val="clear" w:color="auto" w:fill="auto"/>
            <w:vAlign w:val="bottom"/>
          </w:tcPr>
          <w:p w14:paraId="518B4D36" w14:textId="77777777" w:rsidR="005C332D" w:rsidRDefault="005C332D">
            <w:pPr>
              <w:rPr>
                <w:rFonts w:ascii="宋体"/>
              </w:rPr>
            </w:pPr>
          </w:p>
        </w:tc>
        <w:tc>
          <w:tcPr>
            <w:tcW w:w="5" w:type="pct"/>
            <w:shd w:val="clear" w:color="auto" w:fill="auto"/>
            <w:vAlign w:val="bottom"/>
          </w:tcPr>
          <w:p w14:paraId="518B4D37" w14:textId="77777777" w:rsidR="005C332D" w:rsidRDefault="005C332D">
            <w:pPr>
              <w:rPr>
                <w:rFonts w:ascii="宋体"/>
              </w:rPr>
            </w:pPr>
          </w:p>
        </w:tc>
        <w:tc>
          <w:tcPr>
            <w:tcW w:w="5" w:type="pct"/>
            <w:shd w:val="clear" w:color="auto" w:fill="auto"/>
            <w:vAlign w:val="bottom"/>
          </w:tcPr>
          <w:p w14:paraId="518B4D38" w14:textId="77777777" w:rsidR="005C332D" w:rsidRDefault="005C332D">
            <w:pPr>
              <w:rPr>
                <w:rFonts w:ascii="宋体"/>
              </w:rPr>
            </w:pPr>
          </w:p>
        </w:tc>
        <w:tc>
          <w:tcPr>
            <w:tcW w:w="26" w:type="pct"/>
            <w:shd w:val="clear" w:color="auto" w:fill="auto"/>
            <w:vAlign w:val="bottom"/>
          </w:tcPr>
          <w:p w14:paraId="518B4D39" w14:textId="77777777" w:rsidR="005C332D" w:rsidRDefault="005C332D">
            <w:pPr>
              <w:rPr>
                <w:rFonts w:ascii="宋体"/>
              </w:rPr>
            </w:pPr>
          </w:p>
        </w:tc>
        <w:tc>
          <w:tcPr>
            <w:tcW w:w="5" w:type="pct"/>
            <w:shd w:val="clear" w:color="auto" w:fill="auto"/>
            <w:vAlign w:val="bottom"/>
          </w:tcPr>
          <w:p w14:paraId="518B4D3A" w14:textId="77777777" w:rsidR="005C332D" w:rsidRDefault="005C332D">
            <w:pPr>
              <w:rPr>
                <w:rFonts w:ascii="宋体"/>
              </w:rPr>
            </w:pPr>
          </w:p>
        </w:tc>
        <w:tc>
          <w:tcPr>
            <w:tcW w:w="50" w:type="pct"/>
            <w:shd w:val="clear" w:color="auto" w:fill="auto"/>
            <w:vAlign w:val="bottom"/>
          </w:tcPr>
          <w:p w14:paraId="518B4D3B" w14:textId="77777777" w:rsidR="005C332D" w:rsidRDefault="005C332D">
            <w:pPr>
              <w:rPr>
                <w:rFonts w:ascii="宋体"/>
              </w:rPr>
            </w:pPr>
          </w:p>
        </w:tc>
        <w:tc>
          <w:tcPr>
            <w:tcW w:w="525" w:type="pct"/>
            <w:shd w:val="clear" w:color="auto" w:fill="auto"/>
            <w:vAlign w:val="bottom"/>
          </w:tcPr>
          <w:p w14:paraId="518B4D3C" w14:textId="77777777" w:rsidR="005C332D" w:rsidRDefault="005C332D">
            <w:pPr>
              <w:rPr>
                <w:rFonts w:ascii="宋体"/>
              </w:rPr>
            </w:pPr>
          </w:p>
        </w:tc>
        <w:tc>
          <w:tcPr>
            <w:tcW w:w="5" w:type="pct"/>
            <w:shd w:val="clear" w:color="auto" w:fill="auto"/>
            <w:vAlign w:val="bottom"/>
          </w:tcPr>
          <w:p w14:paraId="518B4D3D" w14:textId="77777777" w:rsidR="005C332D" w:rsidRDefault="005C332D">
            <w:pPr>
              <w:rPr>
                <w:rFonts w:ascii="宋体"/>
              </w:rPr>
            </w:pPr>
          </w:p>
        </w:tc>
        <w:tc>
          <w:tcPr>
            <w:tcW w:w="5" w:type="pct"/>
            <w:shd w:val="clear" w:color="auto" w:fill="auto"/>
            <w:vAlign w:val="bottom"/>
          </w:tcPr>
          <w:p w14:paraId="518B4D3E" w14:textId="77777777" w:rsidR="005C332D" w:rsidRDefault="005C332D">
            <w:pPr>
              <w:rPr>
                <w:rFonts w:ascii="宋体"/>
              </w:rPr>
            </w:pPr>
          </w:p>
        </w:tc>
        <w:tc>
          <w:tcPr>
            <w:tcW w:w="26" w:type="pct"/>
            <w:shd w:val="clear" w:color="auto" w:fill="auto"/>
            <w:vAlign w:val="bottom"/>
          </w:tcPr>
          <w:p w14:paraId="518B4D3F" w14:textId="77777777" w:rsidR="005C332D" w:rsidRDefault="005C332D">
            <w:pPr>
              <w:rPr>
                <w:rFonts w:ascii="宋体"/>
              </w:rPr>
            </w:pPr>
          </w:p>
        </w:tc>
        <w:tc>
          <w:tcPr>
            <w:tcW w:w="5" w:type="pct"/>
            <w:shd w:val="clear" w:color="auto" w:fill="auto"/>
            <w:vAlign w:val="bottom"/>
          </w:tcPr>
          <w:p w14:paraId="518B4D40" w14:textId="77777777" w:rsidR="005C332D" w:rsidRDefault="005C332D">
            <w:pPr>
              <w:rPr>
                <w:rFonts w:ascii="宋体"/>
              </w:rPr>
            </w:pPr>
          </w:p>
        </w:tc>
        <w:tc>
          <w:tcPr>
            <w:tcW w:w="50" w:type="pct"/>
            <w:shd w:val="clear" w:color="auto" w:fill="auto"/>
            <w:vAlign w:val="bottom"/>
          </w:tcPr>
          <w:p w14:paraId="518B4D41" w14:textId="77777777" w:rsidR="005C332D" w:rsidRDefault="005C332D">
            <w:pPr>
              <w:rPr>
                <w:rFonts w:ascii="宋体"/>
              </w:rPr>
            </w:pPr>
          </w:p>
        </w:tc>
        <w:tc>
          <w:tcPr>
            <w:tcW w:w="511" w:type="pct"/>
            <w:shd w:val="clear" w:color="auto" w:fill="auto"/>
            <w:vAlign w:val="bottom"/>
          </w:tcPr>
          <w:p w14:paraId="518B4D42" w14:textId="77777777" w:rsidR="005C332D" w:rsidRDefault="005C332D">
            <w:pPr>
              <w:rPr>
                <w:rFonts w:ascii="宋体"/>
              </w:rPr>
            </w:pPr>
          </w:p>
        </w:tc>
        <w:tc>
          <w:tcPr>
            <w:tcW w:w="5" w:type="pct"/>
            <w:shd w:val="clear" w:color="auto" w:fill="auto"/>
            <w:vAlign w:val="bottom"/>
          </w:tcPr>
          <w:p w14:paraId="518B4D43" w14:textId="77777777" w:rsidR="005C332D" w:rsidRDefault="005C332D">
            <w:pPr>
              <w:rPr>
                <w:rFonts w:ascii="宋体"/>
              </w:rPr>
            </w:pPr>
          </w:p>
        </w:tc>
        <w:tc>
          <w:tcPr>
            <w:tcW w:w="5" w:type="pct"/>
            <w:shd w:val="clear" w:color="auto" w:fill="auto"/>
            <w:vAlign w:val="bottom"/>
          </w:tcPr>
          <w:p w14:paraId="518B4D44" w14:textId="77777777" w:rsidR="005C332D" w:rsidRDefault="005C332D">
            <w:pPr>
              <w:rPr>
                <w:rFonts w:ascii="宋体"/>
              </w:rPr>
            </w:pPr>
          </w:p>
        </w:tc>
        <w:tc>
          <w:tcPr>
            <w:tcW w:w="26" w:type="pct"/>
            <w:shd w:val="clear" w:color="auto" w:fill="auto"/>
            <w:vAlign w:val="bottom"/>
          </w:tcPr>
          <w:p w14:paraId="518B4D45" w14:textId="77777777" w:rsidR="005C332D" w:rsidRDefault="005C332D">
            <w:pPr>
              <w:rPr>
                <w:rFonts w:ascii="宋体"/>
              </w:rPr>
            </w:pPr>
          </w:p>
        </w:tc>
        <w:tc>
          <w:tcPr>
            <w:tcW w:w="5" w:type="pct"/>
            <w:shd w:val="clear" w:color="auto" w:fill="auto"/>
            <w:vAlign w:val="bottom"/>
          </w:tcPr>
          <w:p w14:paraId="518B4D46" w14:textId="77777777" w:rsidR="005C332D" w:rsidRDefault="005C332D">
            <w:pPr>
              <w:rPr>
                <w:rFonts w:ascii="宋体"/>
              </w:rPr>
            </w:pPr>
          </w:p>
        </w:tc>
        <w:tc>
          <w:tcPr>
            <w:tcW w:w="50" w:type="pct"/>
            <w:shd w:val="clear" w:color="auto" w:fill="auto"/>
            <w:vAlign w:val="bottom"/>
          </w:tcPr>
          <w:p w14:paraId="518B4D47" w14:textId="77777777" w:rsidR="005C332D" w:rsidRDefault="005C332D">
            <w:pPr>
              <w:rPr>
                <w:rFonts w:ascii="宋体"/>
              </w:rPr>
            </w:pPr>
          </w:p>
        </w:tc>
        <w:tc>
          <w:tcPr>
            <w:tcW w:w="511" w:type="pct"/>
            <w:shd w:val="clear" w:color="auto" w:fill="auto"/>
            <w:vAlign w:val="bottom"/>
          </w:tcPr>
          <w:p w14:paraId="518B4D48" w14:textId="77777777" w:rsidR="005C332D" w:rsidRDefault="005C332D">
            <w:pPr>
              <w:rPr>
                <w:rFonts w:ascii="宋体"/>
              </w:rPr>
            </w:pPr>
          </w:p>
        </w:tc>
        <w:tc>
          <w:tcPr>
            <w:tcW w:w="5" w:type="pct"/>
            <w:shd w:val="clear" w:color="auto" w:fill="auto"/>
            <w:vAlign w:val="bottom"/>
          </w:tcPr>
          <w:p w14:paraId="518B4D49" w14:textId="77777777" w:rsidR="005C332D" w:rsidRDefault="005C332D">
            <w:pPr>
              <w:rPr>
                <w:rFonts w:ascii="宋体"/>
              </w:rPr>
            </w:pPr>
          </w:p>
        </w:tc>
      </w:tr>
      <w:tr w:rsidR="005C332D" w14:paraId="518B4D50" w14:textId="77777777">
        <w:trPr>
          <w:jc w:val="center"/>
        </w:trPr>
        <w:tc>
          <w:tcPr>
            <w:tcW w:w="0" w:type="auto"/>
            <w:gridSpan w:val="3"/>
            <w:shd w:val="clear" w:color="auto" w:fill="auto"/>
            <w:tcMar>
              <w:top w:w="0" w:type="dxa"/>
              <w:left w:w="20" w:type="dxa"/>
              <w:bottom w:w="0" w:type="dxa"/>
              <w:right w:w="20" w:type="dxa"/>
            </w:tcMar>
            <w:vAlign w:val="bottom"/>
          </w:tcPr>
          <w:p w14:paraId="518B4D4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D4C"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D4D" w14:textId="77777777" w:rsidR="005C332D" w:rsidRDefault="00B93EAE">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518B4D4E"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D4F" w14:textId="77777777" w:rsidR="005C332D" w:rsidRDefault="00B93EAE">
            <w:pPr>
              <w:jc w:val="center"/>
              <w:textAlignment w:val="bottom"/>
            </w:pPr>
            <w:r>
              <w:rPr>
                <w:rFonts w:ascii="Times New Roman" w:eastAsia="宋体" w:hAnsi="Times New Roman"/>
                <w:color w:val="000000"/>
                <w:sz w:val="18"/>
                <w:szCs w:val="18"/>
              </w:rPr>
              <w:t>PERCENTAGE</w:t>
            </w:r>
          </w:p>
        </w:tc>
      </w:tr>
      <w:tr w:rsidR="005C332D" w14:paraId="518B4D5E" w14:textId="77777777">
        <w:trPr>
          <w:jc w:val="center"/>
        </w:trPr>
        <w:tc>
          <w:tcPr>
            <w:tcW w:w="0" w:type="auto"/>
            <w:gridSpan w:val="3"/>
            <w:shd w:val="clear" w:color="auto" w:fill="auto"/>
            <w:tcMar>
              <w:top w:w="40" w:type="dxa"/>
              <w:left w:w="20" w:type="dxa"/>
              <w:bottom w:w="40" w:type="dxa"/>
              <w:right w:w="20" w:type="dxa"/>
            </w:tcMar>
            <w:vAlign w:val="bottom"/>
          </w:tcPr>
          <w:p w14:paraId="518B4D51"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shd w:val="clear" w:color="auto" w:fill="auto"/>
            <w:tcMar>
              <w:top w:w="0" w:type="dxa"/>
              <w:left w:w="20" w:type="dxa"/>
              <w:bottom w:w="0" w:type="dxa"/>
              <w:right w:w="20" w:type="dxa"/>
            </w:tcMar>
            <w:vAlign w:val="bottom"/>
          </w:tcPr>
          <w:p w14:paraId="518B4D5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D53"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D5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D55"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D5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D57" w14:textId="77777777" w:rsidR="005C332D" w:rsidRDefault="00B93EAE">
            <w:pPr>
              <w:jc w:val="center"/>
              <w:textAlignment w:val="bottom"/>
            </w:pPr>
            <w:r>
              <w:rPr>
                <w:rFonts w:ascii="Times New Roman" w:eastAsia="宋体" w:hAnsi="Times New Roman"/>
                <w:color w:val="000000"/>
                <w:sz w:val="18"/>
                <w:szCs w:val="18"/>
              </w:rPr>
              <w:t xml:space="preserve">July </w:t>
            </w:r>
            <w:r>
              <w:rPr>
                <w:rFonts w:ascii="Times New Roman" w:eastAsia="宋体" w:hAnsi="Times New Roman"/>
                <w:color w:val="000000"/>
                <w:sz w:val="18"/>
                <w:szCs w:val="18"/>
              </w:rPr>
              <w:t>25, 2020</w:t>
            </w:r>
          </w:p>
        </w:tc>
        <w:tc>
          <w:tcPr>
            <w:tcW w:w="0" w:type="auto"/>
            <w:gridSpan w:val="3"/>
            <w:shd w:val="clear" w:color="auto" w:fill="auto"/>
            <w:tcMar>
              <w:top w:w="0" w:type="dxa"/>
              <w:left w:w="20" w:type="dxa"/>
              <w:bottom w:w="0" w:type="dxa"/>
              <w:right w:w="20" w:type="dxa"/>
            </w:tcMar>
            <w:vAlign w:val="bottom"/>
          </w:tcPr>
          <w:p w14:paraId="518B4D5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D59"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D5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D5B"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D5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D5D"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4D6C" w14:textId="77777777">
        <w:trPr>
          <w:jc w:val="center"/>
        </w:trPr>
        <w:tc>
          <w:tcPr>
            <w:tcW w:w="0" w:type="auto"/>
            <w:gridSpan w:val="3"/>
            <w:shd w:val="clear" w:color="auto" w:fill="CCEEFF"/>
            <w:tcMar>
              <w:top w:w="40" w:type="dxa"/>
              <w:left w:w="20" w:type="dxa"/>
              <w:bottom w:w="40" w:type="dxa"/>
              <w:right w:w="20" w:type="dxa"/>
            </w:tcMar>
            <w:vAlign w:val="bottom"/>
          </w:tcPr>
          <w:p w14:paraId="518B4D5F" w14:textId="77777777" w:rsidR="005C332D" w:rsidRDefault="00B93EAE">
            <w:pPr>
              <w:textAlignment w:val="bottom"/>
            </w:pPr>
            <w:r>
              <w:rPr>
                <w:rFonts w:ascii="Times New Roman" w:eastAsia="宋体" w:hAnsi="Times New Roman"/>
                <w:color w:val="000000"/>
                <w:sz w:val="20"/>
                <w:szCs w:val="20"/>
              </w:rPr>
              <w:t>Gross margin:</w:t>
            </w:r>
          </w:p>
        </w:tc>
        <w:tc>
          <w:tcPr>
            <w:tcW w:w="0" w:type="auto"/>
            <w:gridSpan w:val="3"/>
            <w:shd w:val="clear" w:color="auto" w:fill="CCEEFF"/>
            <w:tcMar>
              <w:top w:w="0" w:type="dxa"/>
              <w:left w:w="20" w:type="dxa"/>
              <w:bottom w:w="0" w:type="dxa"/>
              <w:right w:w="20" w:type="dxa"/>
            </w:tcMar>
            <w:vAlign w:val="bottom"/>
          </w:tcPr>
          <w:p w14:paraId="518B4D60"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D6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4D62"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D6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4D64"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D6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4D66"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D6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4D68"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D6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4D6A"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D6B" w14:textId="77777777" w:rsidR="005C332D" w:rsidRDefault="005C332D">
            <w:pPr>
              <w:rPr>
                <w:rFonts w:ascii="宋体"/>
              </w:rPr>
            </w:pPr>
          </w:p>
        </w:tc>
      </w:tr>
      <w:tr w:rsidR="005C332D" w14:paraId="518B4D83" w14:textId="77777777">
        <w:trPr>
          <w:jc w:val="center"/>
        </w:trPr>
        <w:tc>
          <w:tcPr>
            <w:tcW w:w="0" w:type="auto"/>
            <w:gridSpan w:val="3"/>
            <w:shd w:val="clear" w:color="auto" w:fill="FFFFFF"/>
            <w:tcMar>
              <w:top w:w="40" w:type="dxa"/>
              <w:left w:w="155" w:type="dxa"/>
              <w:bottom w:w="40" w:type="dxa"/>
              <w:right w:w="20" w:type="dxa"/>
            </w:tcMar>
            <w:vAlign w:val="bottom"/>
          </w:tcPr>
          <w:p w14:paraId="518B4D6D" w14:textId="77777777" w:rsidR="005C332D" w:rsidRDefault="00B93EAE">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vAlign w:val="bottom"/>
          </w:tcPr>
          <w:p w14:paraId="518B4D6E"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D6F"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4D70" w14:textId="77777777" w:rsidR="005C332D" w:rsidRDefault="00B93EAE">
            <w:pPr>
              <w:jc w:val="right"/>
              <w:textAlignment w:val="bottom"/>
            </w:pPr>
            <w:r>
              <w:rPr>
                <w:rFonts w:ascii="Times New Roman" w:eastAsia="宋体" w:hAnsi="Times New Roman"/>
                <w:b/>
                <w:bCs/>
                <w:color w:val="000000"/>
                <w:sz w:val="20"/>
                <w:szCs w:val="20"/>
              </w:rPr>
              <w:t>19,117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D7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D72"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D73"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D74" w14:textId="77777777" w:rsidR="005C332D" w:rsidRDefault="00B93EAE">
            <w:pPr>
              <w:jc w:val="right"/>
              <w:textAlignment w:val="bottom"/>
            </w:pPr>
            <w:r>
              <w:rPr>
                <w:rFonts w:ascii="Times New Roman" w:eastAsia="宋体" w:hAnsi="Times New Roman"/>
                <w:color w:val="000000"/>
                <w:sz w:val="20"/>
                <w:szCs w:val="20"/>
              </w:rPr>
              <w:t>19,499 </w:t>
            </w:r>
          </w:p>
        </w:tc>
        <w:tc>
          <w:tcPr>
            <w:tcW w:w="0" w:type="auto"/>
            <w:shd w:val="clear" w:color="auto" w:fill="FFFFFF"/>
            <w:tcMar>
              <w:top w:w="40" w:type="dxa"/>
              <w:left w:w="0" w:type="dxa"/>
              <w:bottom w:w="40" w:type="dxa"/>
              <w:right w:w="20" w:type="dxa"/>
            </w:tcMar>
            <w:vAlign w:val="bottom"/>
          </w:tcPr>
          <w:p w14:paraId="518B4D7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D76"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D7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D78" w14:textId="77777777" w:rsidR="005C332D" w:rsidRDefault="00B93EAE">
            <w:pPr>
              <w:jc w:val="right"/>
              <w:textAlignment w:val="bottom"/>
            </w:pPr>
            <w:r>
              <w:rPr>
                <w:rFonts w:ascii="Times New Roman" w:eastAsia="宋体" w:hAnsi="Times New Roman"/>
                <w:color w:val="000000"/>
                <w:sz w:val="20"/>
                <w:szCs w:val="20"/>
              </w:rPr>
              <w:t>19,547 </w:t>
            </w:r>
          </w:p>
        </w:tc>
        <w:tc>
          <w:tcPr>
            <w:tcW w:w="0" w:type="auto"/>
            <w:shd w:val="clear" w:color="auto" w:fill="FFFFFF"/>
            <w:tcMar>
              <w:top w:w="40" w:type="dxa"/>
              <w:left w:w="0" w:type="dxa"/>
              <w:bottom w:w="40" w:type="dxa"/>
              <w:right w:w="20" w:type="dxa"/>
            </w:tcMar>
            <w:vAlign w:val="bottom"/>
          </w:tcPr>
          <w:p w14:paraId="518B4D7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D7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7B" w14:textId="77777777" w:rsidR="005C332D" w:rsidRDefault="00B93EAE">
            <w:pPr>
              <w:jc w:val="right"/>
              <w:textAlignment w:val="bottom"/>
            </w:pPr>
            <w:r>
              <w:rPr>
                <w:rFonts w:ascii="Times New Roman" w:eastAsia="宋体" w:hAnsi="Times New Roman"/>
                <w:b/>
                <w:bCs/>
                <w:color w:val="000000"/>
                <w:sz w:val="20"/>
                <w:szCs w:val="20"/>
              </w:rPr>
              <w:t>64.1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D7C"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D7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7E" w14:textId="77777777" w:rsidR="005C332D" w:rsidRDefault="00B93EAE">
            <w:pPr>
              <w:jc w:val="right"/>
              <w:textAlignment w:val="bottom"/>
            </w:pPr>
            <w:r>
              <w:rPr>
                <w:rFonts w:ascii="Times New Roman" w:eastAsia="宋体" w:hAnsi="Times New Roman"/>
                <w:color w:val="000000"/>
                <w:sz w:val="20"/>
                <w:szCs w:val="20"/>
              </w:rPr>
              <w:t>66.9 </w:t>
            </w:r>
          </w:p>
        </w:tc>
        <w:tc>
          <w:tcPr>
            <w:tcW w:w="0" w:type="auto"/>
            <w:shd w:val="clear" w:color="auto" w:fill="FFFFFF"/>
            <w:tcMar>
              <w:top w:w="40" w:type="dxa"/>
              <w:left w:w="0" w:type="dxa"/>
              <w:bottom w:w="40" w:type="dxa"/>
              <w:right w:w="20" w:type="dxa"/>
            </w:tcMar>
            <w:vAlign w:val="bottom"/>
          </w:tcPr>
          <w:p w14:paraId="518B4D7F"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D8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81" w14:textId="77777777" w:rsidR="005C332D" w:rsidRDefault="00B93EAE">
            <w:pPr>
              <w:jc w:val="right"/>
              <w:textAlignment w:val="bottom"/>
            </w:pPr>
            <w:r>
              <w:rPr>
                <w:rFonts w:ascii="Times New Roman" w:eastAsia="宋体" w:hAnsi="Times New Roman"/>
                <w:color w:val="000000"/>
                <w:sz w:val="20"/>
                <w:szCs w:val="20"/>
              </w:rPr>
              <w:t>66.7 </w:t>
            </w:r>
          </w:p>
        </w:tc>
        <w:tc>
          <w:tcPr>
            <w:tcW w:w="0" w:type="auto"/>
            <w:shd w:val="clear" w:color="auto" w:fill="FFFFFF"/>
            <w:tcMar>
              <w:top w:w="40" w:type="dxa"/>
              <w:left w:w="0" w:type="dxa"/>
              <w:bottom w:w="40" w:type="dxa"/>
              <w:right w:w="20" w:type="dxa"/>
            </w:tcMar>
            <w:vAlign w:val="bottom"/>
          </w:tcPr>
          <w:p w14:paraId="518B4D82"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D97" w14:textId="77777777">
        <w:trPr>
          <w:jc w:val="center"/>
        </w:trPr>
        <w:tc>
          <w:tcPr>
            <w:tcW w:w="0" w:type="auto"/>
            <w:gridSpan w:val="3"/>
            <w:shd w:val="clear" w:color="auto" w:fill="CCEEFF"/>
            <w:tcMar>
              <w:top w:w="40" w:type="dxa"/>
              <w:left w:w="155" w:type="dxa"/>
              <w:bottom w:w="40" w:type="dxa"/>
              <w:right w:w="20" w:type="dxa"/>
            </w:tcMar>
            <w:vAlign w:val="bottom"/>
          </w:tcPr>
          <w:p w14:paraId="518B4D84" w14:textId="77777777" w:rsidR="005C332D" w:rsidRDefault="00B93EAE">
            <w:pPr>
              <w:textAlignment w:val="bottom"/>
            </w:pPr>
            <w:r>
              <w:rPr>
                <w:rFonts w:ascii="Times New Roman" w:eastAsia="宋体" w:hAnsi="Times New Roman"/>
                <w:color w:val="000000"/>
                <w:sz w:val="20"/>
                <w:szCs w:val="20"/>
              </w:rPr>
              <w:t>EMEA</w:t>
            </w:r>
          </w:p>
        </w:tc>
        <w:tc>
          <w:tcPr>
            <w:tcW w:w="0" w:type="auto"/>
            <w:gridSpan w:val="3"/>
            <w:shd w:val="clear" w:color="auto" w:fill="CCEEFF"/>
            <w:tcMar>
              <w:top w:w="0" w:type="dxa"/>
              <w:left w:w="20" w:type="dxa"/>
              <w:bottom w:w="0" w:type="dxa"/>
              <w:right w:w="20" w:type="dxa"/>
            </w:tcMar>
            <w:vAlign w:val="bottom"/>
          </w:tcPr>
          <w:p w14:paraId="518B4D8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86" w14:textId="77777777" w:rsidR="005C332D" w:rsidRDefault="00B93EAE">
            <w:pPr>
              <w:jc w:val="right"/>
              <w:textAlignment w:val="bottom"/>
            </w:pPr>
            <w:r>
              <w:rPr>
                <w:rFonts w:ascii="Times New Roman" w:eastAsia="宋体" w:hAnsi="Times New Roman"/>
                <w:b/>
                <w:bCs/>
                <w:color w:val="000000"/>
                <w:sz w:val="20"/>
                <w:szCs w:val="20"/>
              </w:rPr>
              <w:t>8,969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D8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D8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89" w14:textId="77777777" w:rsidR="005C332D" w:rsidRDefault="00B93EAE">
            <w:pPr>
              <w:jc w:val="right"/>
              <w:textAlignment w:val="bottom"/>
            </w:pPr>
            <w:r>
              <w:rPr>
                <w:rFonts w:ascii="Times New Roman" w:eastAsia="宋体" w:hAnsi="Times New Roman"/>
                <w:color w:val="000000"/>
                <w:sz w:val="20"/>
                <w:szCs w:val="20"/>
              </w:rPr>
              <w:t>8,466 </w:t>
            </w:r>
          </w:p>
        </w:tc>
        <w:tc>
          <w:tcPr>
            <w:tcW w:w="0" w:type="auto"/>
            <w:shd w:val="clear" w:color="auto" w:fill="CCEEFF"/>
            <w:tcMar>
              <w:top w:w="40" w:type="dxa"/>
              <w:left w:w="0" w:type="dxa"/>
              <w:bottom w:w="40" w:type="dxa"/>
              <w:right w:w="20" w:type="dxa"/>
            </w:tcMar>
            <w:vAlign w:val="bottom"/>
          </w:tcPr>
          <w:p w14:paraId="518B4D8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D8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8C" w14:textId="77777777" w:rsidR="005C332D" w:rsidRDefault="00B93EAE">
            <w:pPr>
              <w:jc w:val="right"/>
              <w:textAlignment w:val="bottom"/>
            </w:pPr>
            <w:r>
              <w:rPr>
                <w:rFonts w:ascii="Times New Roman" w:eastAsia="宋体" w:hAnsi="Times New Roman"/>
                <w:color w:val="000000"/>
                <w:sz w:val="20"/>
                <w:szCs w:val="20"/>
              </w:rPr>
              <w:t>8,304 </w:t>
            </w:r>
          </w:p>
        </w:tc>
        <w:tc>
          <w:tcPr>
            <w:tcW w:w="0" w:type="auto"/>
            <w:shd w:val="clear" w:color="auto" w:fill="CCEEFF"/>
            <w:tcMar>
              <w:top w:w="40" w:type="dxa"/>
              <w:left w:w="0" w:type="dxa"/>
              <w:bottom w:w="40" w:type="dxa"/>
              <w:right w:w="20" w:type="dxa"/>
            </w:tcMar>
            <w:vAlign w:val="bottom"/>
          </w:tcPr>
          <w:p w14:paraId="518B4D8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D8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8F" w14:textId="77777777" w:rsidR="005C332D" w:rsidRDefault="00B93EAE">
            <w:pPr>
              <w:jc w:val="right"/>
              <w:textAlignment w:val="bottom"/>
            </w:pPr>
            <w:r>
              <w:rPr>
                <w:rFonts w:ascii="Times New Roman" w:eastAsia="宋体" w:hAnsi="Times New Roman"/>
                <w:b/>
                <w:bCs/>
                <w:color w:val="000000"/>
                <w:sz w:val="20"/>
                <w:szCs w:val="20"/>
              </w:rPr>
              <w:t>65.4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D90"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D9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92" w14:textId="77777777" w:rsidR="005C332D" w:rsidRDefault="00B93EAE">
            <w:pPr>
              <w:jc w:val="right"/>
              <w:textAlignment w:val="bottom"/>
            </w:pPr>
            <w:r>
              <w:rPr>
                <w:rFonts w:ascii="Times New Roman" w:eastAsia="宋体" w:hAnsi="Times New Roman"/>
                <w:color w:val="000000"/>
                <w:sz w:val="20"/>
                <w:szCs w:val="20"/>
              </w:rPr>
              <w:t>65.4 </w:t>
            </w:r>
          </w:p>
        </w:tc>
        <w:tc>
          <w:tcPr>
            <w:tcW w:w="0" w:type="auto"/>
            <w:shd w:val="clear" w:color="auto" w:fill="CCEEFF"/>
            <w:tcMar>
              <w:top w:w="40" w:type="dxa"/>
              <w:left w:w="0" w:type="dxa"/>
              <w:bottom w:w="40" w:type="dxa"/>
              <w:right w:w="20" w:type="dxa"/>
            </w:tcMar>
            <w:vAlign w:val="bottom"/>
          </w:tcPr>
          <w:p w14:paraId="518B4D93"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D9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95" w14:textId="77777777" w:rsidR="005C332D" w:rsidRDefault="00B93EAE">
            <w:pPr>
              <w:jc w:val="right"/>
              <w:textAlignment w:val="bottom"/>
            </w:pPr>
            <w:r>
              <w:rPr>
                <w:rFonts w:ascii="Times New Roman" w:eastAsia="宋体" w:hAnsi="Times New Roman"/>
                <w:color w:val="000000"/>
                <w:sz w:val="20"/>
                <w:szCs w:val="20"/>
              </w:rPr>
              <w:t>65.6 </w:t>
            </w:r>
          </w:p>
        </w:tc>
        <w:tc>
          <w:tcPr>
            <w:tcW w:w="0" w:type="auto"/>
            <w:shd w:val="clear" w:color="auto" w:fill="CCEEFF"/>
            <w:tcMar>
              <w:top w:w="40" w:type="dxa"/>
              <w:left w:w="0" w:type="dxa"/>
              <w:bottom w:w="40" w:type="dxa"/>
              <w:right w:w="20" w:type="dxa"/>
            </w:tcMar>
            <w:vAlign w:val="bottom"/>
          </w:tcPr>
          <w:p w14:paraId="518B4D96"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DAB" w14:textId="77777777">
        <w:trPr>
          <w:jc w:val="center"/>
        </w:trPr>
        <w:tc>
          <w:tcPr>
            <w:tcW w:w="0" w:type="auto"/>
            <w:gridSpan w:val="3"/>
            <w:shd w:val="clear" w:color="auto" w:fill="FFFFFF"/>
            <w:tcMar>
              <w:top w:w="40" w:type="dxa"/>
              <w:left w:w="155" w:type="dxa"/>
              <w:bottom w:w="40" w:type="dxa"/>
              <w:right w:w="20" w:type="dxa"/>
            </w:tcMar>
            <w:vAlign w:val="bottom"/>
          </w:tcPr>
          <w:p w14:paraId="518B4D98" w14:textId="77777777" w:rsidR="005C332D" w:rsidRDefault="00B93EAE">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vAlign w:val="bottom"/>
          </w:tcPr>
          <w:p w14:paraId="518B4D9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9A" w14:textId="77777777" w:rsidR="005C332D" w:rsidRDefault="00B93EAE">
            <w:pPr>
              <w:jc w:val="right"/>
              <w:textAlignment w:val="bottom"/>
            </w:pPr>
            <w:r>
              <w:rPr>
                <w:rFonts w:ascii="Times New Roman" w:eastAsia="宋体" w:hAnsi="Times New Roman"/>
                <w:b/>
                <w:bCs/>
                <w:color w:val="000000"/>
                <w:sz w:val="20"/>
                <w:szCs w:val="20"/>
              </w:rPr>
              <w:t>5,241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D9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D9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9D" w14:textId="77777777" w:rsidR="005C332D" w:rsidRDefault="00B93EAE">
            <w:pPr>
              <w:jc w:val="right"/>
              <w:textAlignment w:val="bottom"/>
            </w:pPr>
            <w:r>
              <w:rPr>
                <w:rFonts w:ascii="Times New Roman" w:eastAsia="宋体" w:hAnsi="Times New Roman"/>
                <w:color w:val="000000"/>
                <w:sz w:val="20"/>
                <w:szCs w:val="20"/>
              </w:rPr>
              <w:t>4,949 </w:t>
            </w:r>
          </w:p>
        </w:tc>
        <w:tc>
          <w:tcPr>
            <w:tcW w:w="0" w:type="auto"/>
            <w:shd w:val="clear" w:color="auto" w:fill="FFFFFF"/>
            <w:tcMar>
              <w:top w:w="40" w:type="dxa"/>
              <w:left w:w="0" w:type="dxa"/>
              <w:bottom w:w="40" w:type="dxa"/>
              <w:right w:w="20" w:type="dxa"/>
            </w:tcMar>
            <w:vAlign w:val="bottom"/>
          </w:tcPr>
          <w:p w14:paraId="518B4D9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D9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A0" w14:textId="77777777" w:rsidR="005C332D" w:rsidRDefault="00B93EAE">
            <w:pPr>
              <w:jc w:val="right"/>
              <w:textAlignment w:val="bottom"/>
            </w:pPr>
            <w:r>
              <w:rPr>
                <w:rFonts w:ascii="Times New Roman" w:eastAsia="宋体" w:hAnsi="Times New Roman"/>
                <w:color w:val="000000"/>
                <w:sz w:val="20"/>
                <w:szCs w:val="20"/>
              </w:rPr>
              <w:t>4,688 </w:t>
            </w:r>
          </w:p>
        </w:tc>
        <w:tc>
          <w:tcPr>
            <w:tcW w:w="0" w:type="auto"/>
            <w:shd w:val="clear" w:color="auto" w:fill="FFFFFF"/>
            <w:tcMar>
              <w:top w:w="40" w:type="dxa"/>
              <w:left w:w="0" w:type="dxa"/>
              <w:bottom w:w="40" w:type="dxa"/>
              <w:right w:w="20" w:type="dxa"/>
            </w:tcMar>
            <w:vAlign w:val="bottom"/>
          </w:tcPr>
          <w:p w14:paraId="518B4DA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DA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A3" w14:textId="77777777" w:rsidR="005C332D" w:rsidRDefault="00B93EAE">
            <w:pPr>
              <w:jc w:val="right"/>
              <w:textAlignment w:val="bottom"/>
            </w:pPr>
            <w:r>
              <w:rPr>
                <w:rFonts w:ascii="Times New Roman" w:eastAsia="宋体" w:hAnsi="Times New Roman"/>
                <w:b/>
                <w:bCs/>
                <w:color w:val="000000"/>
                <w:sz w:val="20"/>
                <w:szCs w:val="20"/>
              </w:rPr>
              <w:t>65.3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DA4"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DA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A6" w14:textId="77777777" w:rsidR="005C332D" w:rsidRDefault="00B93EAE">
            <w:pPr>
              <w:jc w:val="right"/>
              <w:textAlignment w:val="bottom"/>
            </w:pPr>
            <w:r>
              <w:rPr>
                <w:rFonts w:ascii="Times New Roman" w:eastAsia="宋体" w:hAnsi="Times New Roman"/>
                <w:color w:val="000000"/>
                <w:sz w:val="20"/>
                <w:szCs w:val="20"/>
              </w:rPr>
              <w:t>64.2 </w:t>
            </w:r>
          </w:p>
        </w:tc>
        <w:tc>
          <w:tcPr>
            <w:tcW w:w="0" w:type="auto"/>
            <w:shd w:val="clear" w:color="auto" w:fill="FFFFFF"/>
            <w:tcMar>
              <w:top w:w="40" w:type="dxa"/>
              <w:left w:w="0" w:type="dxa"/>
              <w:bottom w:w="40" w:type="dxa"/>
              <w:right w:w="20" w:type="dxa"/>
            </w:tcMar>
            <w:vAlign w:val="bottom"/>
          </w:tcPr>
          <w:p w14:paraId="518B4DA7"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DA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A9" w14:textId="77777777" w:rsidR="005C332D" w:rsidRDefault="00B93EAE">
            <w:pPr>
              <w:jc w:val="right"/>
              <w:textAlignment w:val="bottom"/>
            </w:pPr>
            <w:r>
              <w:rPr>
                <w:rFonts w:ascii="Times New Roman" w:eastAsia="宋体" w:hAnsi="Times New Roman"/>
                <w:color w:val="000000"/>
                <w:sz w:val="20"/>
                <w:szCs w:val="20"/>
              </w:rPr>
              <w:t>63.8 </w:t>
            </w:r>
          </w:p>
        </w:tc>
        <w:tc>
          <w:tcPr>
            <w:tcW w:w="0" w:type="auto"/>
            <w:shd w:val="clear" w:color="auto" w:fill="FFFFFF"/>
            <w:tcMar>
              <w:top w:w="40" w:type="dxa"/>
              <w:left w:w="0" w:type="dxa"/>
              <w:bottom w:w="40" w:type="dxa"/>
              <w:right w:w="20" w:type="dxa"/>
            </w:tcMar>
            <w:vAlign w:val="bottom"/>
          </w:tcPr>
          <w:p w14:paraId="518B4DAA"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DBF" w14:textId="77777777">
        <w:trPr>
          <w:jc w:val="center"/>
        </w:trPr>
        <w:tc>
          <w:tcPr>
            <w:tcW w:w="0" w:type="auto"/>
            <w:gridSpan w:val="3"/>
            <w:shd w:val="clear" w:color="auto" w:fill="CCEEFF"/>
            <w:tcMar>
              <w:top w:w="40" w:type="dxa"/>
              <w:left w:w="155" w:type="dxa"/>
              <w:bottom w:w="40" w:type="dxa"/>
              <w:right w:w="20" w:type="dxa"/>
            </w:tcMar>
            <w:vAlign w:val="bottom"/>
          </w:tcPr>
          <w:p w14:paraId="518B4DAC" w14:textId="77777777" w:rsidR="005C332D" w:rsidRDefault="00B93EAE">
            <w:pPr>
              <w:textAlignment w:val="bottom"/>
            </w:pPr>
            <w:r>
              <w:rPr>
                <w:rFonts w:ascii="Times New Roman" w:eastAsia="宋体" w:hAnsi="Times New Roman"/>
                <w:color w:val="000000"/>
                <w:sz w:val="20"/>
                <w:szCs w:val="20"/>
              </w:rPr>
              <w:t>Segment total</w:t>
            </w:r>
          </w:p>
        </w:tc>
        <w:tc>
          <w:tcPr>
            <w:tcW w:w="0" w:type="auto"/>
            <w:gridSpan w:val="3"/>
            <w:shd w:val="clear" w:color="auto" w:fill="CCEEFF"/>
            <w:tcMar>
              <w:top w:w="0" w:type="dxa"/>
              <w:left w:w="20" w:type="dxa"/>
              <w:bottom w:w="0" w:type="dxa"/>
              <w:right w:w="20" w:type="dxa"/>
            </w:tcMar>
            <w:vAlign w:val="bottom"/>
          </w:tcPr>
          <w:p w14:paraId="518B4DAD"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4DAE" w14:textId="77777777" w:rsidR="005C332D" w:rsidRDefault="00B93EAE">
            <w:pPr>
              <w:jc w:val="right"/>
              <w:textAlignment w:val="bottom"/>
            </w:pPr>
            <w:r>
              <w:rPr>
                <w:rFonts w:ascii="Times New Roman" w:eastAsia="宋体" w:hAnsi="Times New Roman"/>
                <w:b/>
                <w:bCs/>
                <w:color w:val="000000"/>
                <w:sz w:val="20"/>
                <w:szCs w:val="20"/>
              </w:rPr>
              <w:t>33,326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DA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DB0"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4DB1" w14:textId="77777777" w:rsidR="005C332D" w:rsidRDefault="00B93EAE">
            <w:pPr>
              <w:jc w:val="right"/>
              <w:textAlignment w:val="bottom"/>
            </w:pPr>
            <w:r>
              <w:rPr>
                <w:rFonts w:ascii="Times New Roman" w:eastAsia="宋体" w:hAnsi="Times New Roman"/>
                <w:color w:val="000000"/>
                <w:sz w:val="20"/>
                <w:szCs w:val="20"/>
              </w:rPr>
              <w:t>32,914 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DB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DB3"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4DB4" w14:textId="77777777" w:rsidR="005C332D" w:rsidRDefault="00B93EAE">
            <w:pPr>
              <w:jc w:val="right"/>
              <w:textAlignment w:val="bottom"/>
            </w:pPr>
            <w:r>
              <w:rPr>
                <w:rFonts w:ascii="Times New Roman" w:eastAsia="宋体" w:hAnsi="Times New Roman"/>
                <w:color w:val="000000"/>
                <w:sz w:val="20"/>
                <w:szCs w:val="20"/>
              </w:rPr>
              <w:t>32,538 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DB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DB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B7" w14:textId="77777777" w:rsidR="005C332D" w:rsidRDefault="00B93EAE">
            <w:pPr>
              <w:jc w:val="right"/>
              <w:textAlignment w:val="bottom"/>
            </w:pPr>
            <w:r>
              <w:rPr>
                <w:rFonts w:ascii="Times New Roman" w:eastAsia="宋体" w:hAnsi="Times New Roman"/>
                <w:b/>
                <w:bCs/>
                <w:color w:val="000000"/>
                <w:sz w:val="20"/>
                <w:szCs w:val="20"/>
              </w:rPr>
              <w:t>64.6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DB8"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DB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BA" w14:textId="77777777" w:rsidR="005C332D" w:rsidRDefault="00B93EAE">
            <w:pPr>
              <w:jc w:val="right"/>
              <w:textAlignment w:val="bottom"/>
            </w:pPr>
            <w:r>
              <w:rPr>
                <w:rFonts w:ascii="Times New Roman" w:eastAsia="宋体" w:hAnsi="Times New Roman"/>
                <w:color w:val="000000"/>
                <w:sz w:val="20"/>
                <w:szCs w:val="20"/>
              </w:rPr>
              <w:t>66.1 </w:t>
            </w:r>
          </w:p>
        </w:tc>
        <w:tc>
          <w:tcPr>
            <w:tcW w:w="0" w:type="auto"/>
            <w:shd w:val="clear" w:color="auto" w:fill="CCEEFF"/>
            <w:tcMar>
              <w:top w:w="40" w:type="dxa"/>
              <w:left w:w="0" w:type="dxa"/>
              <w:bottom w:w="40" w:type="dxa"/>
              <w:right w:w="20" w:type="dxa"/>
            </w:tcMar>
            <w:vAlign w:val="bottom"/>
          </w:tcPr>
          <w:p w14:paraId="518B4DBB"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DB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BD" w14:textId="77777777" w:rsidR="005C332D" w:rsidRDefault="00B93EAE">
            <w:pPr>
              <w:jc w:val="right"/>
              <w:textAlignment w:val="bottom"/>
            </w:pPr>
            <w:r>
              <w:rPr>
                <w:rFonts w:ascii="Times New Roman" w:eastAsia="宋体" w:hAnsi="Times New Roman"/>
                <w:color w:val="000000"/>
                <w:sz w:val="20"/>
                <w:szCs w:val="20"/>
              </w:rPr>
              <w:t>66.0 </w:t>
            </w:r>
          </w:p>
        </w:tc>
        <w:tc>
          <w:tcPr>
            <w:tcW w:w="0" w:type="auto"/>
            <w:shd w:val="clear" w:color="auto" w:fill="CCEEFF"/>
            <w:tcMar>
              <w:top w:w="40" w:type="dxa"/>
              <w:left w:w="0" w:type="dxa"/>
              <w:bottom w:w="40" w:type="dxa"/>
              <w:right w:w="20" w:type="dxa"/>
            </w:tcMar>
            <w:vAlign w:val="bottom"/>
          </w:tcPr>
          <w:p w14:paraId="518B4DBE"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DD0" w14:textId="77777777">
        <w:trPr>
          <w:jc w:val="center"/>
        </w:trPr>
        <w:tc>
          <w:tcPr>
            <w:tcW w:w="0" w:type="auto"/>
            <w:gridSpan w:val="3"/>
            <w:shd w:val="clear" w:color="auto" w:fill="FFFFFF"/>
            <w:tcMar>
              <w:top w:w="40" w:type="dxa"/>
              <w:left w:w="20" w:type="dxa"/>
              <w:bottom w:w="40" w:type="dxa"/>
              <w:right w:w="20" w:type="dxa"/>
            </w:tcMar>
            <w:vAlign w:val="bottom"/>
          </w:tcPr>
          <w:p w14:paraId="518B4DC0" w14:textId="77777777" w:rsidR="005C332D" w:rsidRDefault="00B93EAE">
            <w:pPr>
              <w:textAlignment w:val="bottom"/>
            </w:pPr>
            <w:r>
              <w:rPr>
                <w:rFonts w:ascii="Times New Roman" w:eastAsia="宋体" w:hAnsi="Times New Roman"/>
                <w:color w:val="000000"/>
                <w:sz w:val="20"/>
                <w:szCs w:val="20"/>
              </w:rPr>
              <w:t xml:space="preserve">Unallocated corporate items </w:t>
            </w:r>
            <w:r>
              <w:rPr>
                <w:rFonts w:ascii="Times New Roman" w:eastAsia="宋体" w:hAnsi="Times New Roman"/>
                <w:color w:val="000000"/>
                <w:sz w:val="13"/>
                <w:szCs w:val="13"/>
              </w:rPr>
              <w:t>(1)</w:t>
            </w:r>
          </w:p>
        </w:tc>
        <w:tc>
          <w:tcPr>
            <w:tcW w:w="0" w:type="auto"/>
            <w:gridSpan w:val="3"/>
            <w:shd w:val="clear" w:color="auto" w:fill="FFFFFF"/>
            <w:tcMar>
              <w:top w:w="0" w:type="dxa"/>
              <w:left w:w="20" w:type="dxa"/>
              <w:bottom w:w="0" w:type="dxa"/>
              <w:right w:w="20" w:type="dxa"/>
            </w:tcMar>
            <w:vAlign w:val="bottom"/>
          </w:tcPr>
          <w:p w14:paraId="518B4DC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C2" w14:textId="77777777" w:rsidR="005C332D" w:rsidRDefault="00B93EAE">
            <w:pPr>
              <w:jc w:val="right"/>
              <w:textAlignment w:val="bottom"/>
            </w:pPr>
            <w:r>
              <w:rPr>
                <w:rFonts w:ascii="Times New Roman" w:eastAsia="宋体" w:hAnsi="Times New Roman"/>
                <w:b/>
                <w:bCs/>
                <w:color w:val="000000"/>
                <w:sz w:val="20"/>
                <w:szCs w:val="20"/>
              </w:rPr>
              <w:t>(1,078)</w:t>
            </w:r>
          </w:p>
        </w:tc>
        <w:tc>
          <w:tcPr>
            <w:tcW w:w="0" w:type="auto"/>
            <w:shd w:val="clear" w:color="auto" w:fill="FFFFFF"/>
            <w:tcMar>
              <w:top w:w="40" w:type="dxa"/>
              <w:left w:w="0" w:type="dxa"/>
              <w:bottom w:w="40" w:type="dxa"/>
              <w:right w:w="20" w:type="dxa"/>
            </w:tcMar>
            <w:vAlign w:val="bottom"/>
          </w:tcPr>
          <w:p w14:paraId="518B4DC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DC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C5" w14:textId="77777777" w:rsidR="005C332D" w:rsidRDefault="00B93EAE">
            <w:pPr>
              <w:jc w:val="right"/>
              <w:textAlignment w:val="bottom"/>
            </w:pPr>
            <w:r>
              <w:rPr>
                <w:rFonts w:ascii="Times New Roman" w:eastAsia="宋体" w:hAnsi="Times New Roman"/>
                <w:color w:val="000000"/>
                <w:sz w:val="20"/>
                <w:szCs w:val="20"/>
              </w:rPr>
              <w:t>(1,020)</w:t>
            </w:r>
          </w:p>
        </w:tc>
        <w:tc>
          <w:tcPr>
            <w:tcW w:w="0" w:type="auto"/>
            <w:shd w:val="clear" w:color="auto" w:fill="FFFFFF"/>
            <w:tcMar>
              <w:top w:w="40" w:type="dxa"/>
              <w:left w:w="0" w:type="dxa"/>
              <w:bottom w:w="40" w:type="dxa"/>
              <w:right w:w="20" w:type="dxa"/>
            </w:tcMar>
            <w:vAlign w:val="bottom"/>
          </w:tcPr>
          <w:p w14:paraId="518B4DC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DC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DC8" w14:textId="77777777" w:rsidR="005C332D" w:rsidRDefault="00B93EAE">
            <w:pPr>
              <w:jc w:val="right"/>
              <w:textAlignment w:val="bottom"/>
            </w:pPr>
            <w:r>
              <w:rPr>
                <w:rFonts w:ascii="Times New Roman" w:eastAsia="宋体" w:hAnsi="Times New Roman"/>
                <w:color w:val="000000"/>
                <w:sz w:val="20"/>
                <w:szCs w:val="20"/>
              </w:rPr>
              <w:t>(855)</w:t>
            </w:r>
          </w:p>
        </w:tc>
        <w:tc>
          <w:tcPr>
            <w:tcW w:w="0" w:type="auto"/>
            <w:shd w:val="clear" w:color="auto" w:fill="FFFFFF"/>
            <w:tcMar>
              <w:top w:w="40" w:type="dxa"/>
              <w:left w:w="0" w:type="dxa"/>
              <w:bottom w:w="40" w:type="dxa"/>
              <w:right w:w="20" w:type="dxa"/>
            </w:tcMar>
            <w:vAlign w:val="bottom"/>
          </w:tcPr>
          <w:p w14:paraId="518B4DC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DC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DC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DC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DC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DC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DCF" w14:textId="77777777" w:rsidR="005C332D" w:rsidRDefault="005C332D">
            <w:pPr>
              <w:rPr>
                <w:rFonts w:ascii="宋体"/>
              </w:rPr>
            </w:pPr>
          </w:p>
        </w:tc>
      </w:tr>
      <w:tr w:rsidR="005C332D" w14:paraId="518B4DE7" w14:textId="77777777">
        <w:trPr>
          <w:jc w:val="center"/>
        </w:trPr>
        <w:tc>
          <w:tcPr>
            <w:tcW w:w="0" w:type="auto"/>
            <w:gridSpan w:val="3"/>
            <w:shd w:val="clear" w:color="auto" w:fill="CCEEFF"/>
            <w:tcMar>
              <w:top w:w="40" w:type="dxa"/>
              <w:left w:w="380" w:type="dxa"/>
              <w:bottom w:w="40" w:type="dxa"/>
              <w:right w:w="20" w:type="dxa"/>
            </w:tcMar>
            <w:vAlign w:val="bottom"/>
          </w:tcPr>
          <w:p w14:paraId="518B4DD1" w14:textId="77777777" w:rsidR="005C332D" w:rsidRDefault="00B93EAE">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4DD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DD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DD4" w14:textId="77777777" w:rsidR="005C332D" w:rsidRDefault="00B93EAE">
            <w:pPr>
              <w:jc w:val="right"/>
              <w:textAlignment w:val="bottom"/>
            </w:pPr>
            <w:r>
              <w:rPr>
                <w:rFonts w:ascii="Times New Roman" w:eastAsia="宋体" w:hAnsi="Times New Roman"/>
                <w:b/>
                <w:bCs/>
                <w:color w:val="000000"/>
                <w:sz w:val="20"/>
                <w:szCs w:val="20"/>
              </w:rPr>
              <w:t>32,248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DD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DD6"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DD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DD8" w14:textId="77777777" w:rsidR="005C332D" w:rsidRDefault="00B93EAE">
            <w:pPr>
              <w:jc w:val="right"/>
              <w:textAlignment w:val="bottom"/>
            </w:pPr>
            <w:r>
              <w:rPr>
                <w:rFonts w:ascii="Times New Roman" w:eastAsia="宋体" w:hAnsi="Times New Roman"/>
                <w:color w:val="000000"/>
                <w:sz w:val="20"/>
                <w:szCs w:val="20"/>
              </w:rPr>
              <w:t>31,894 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DD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DDA"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DD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DDC" w14:textId="77777777" w:rsidR="005C332D" w:rsidRDefault="00B93EAE">
            <w:pPr>
              <w:jc w:val="right"/>
              <w:textAlignment w:val="bottom"/>
            </w:pPr>
            <w:r>
              <w:rPr>
                <w:rFonts w:ascii="Times New Roman" w:eastAsia="宋体" w:hAnsi="Times New Roman"/>
                <w:color w:val="000000"/>
                <w:sz w:val="20"/>
                <w:szCs w:val="20"/>
              </w:rPr>
              <w:t>31,683 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DD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DD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DF" w14:textId="77777777" w:rsidR="005C332D" w:rsidRDefault="00B93EAE">
            <w:pPr>
              <w:jc w:val="right"/>
              <w:textAlignment w:val="bottom"/>
            </w:pPr>
            <w:r>
              <w:rPr>
                <w:rFonts w:ascii="Times New Roman" w:eastAsia="宋体" w:hAnsi="Times New Roman"/>
                <w:b/>
                <w:bCs/>
                <w:color w:val="000000"/>
                <w:sz w:val="20"/>
                <w:szCs w:val="20"/>
              </w:rPr>
              <w:t>62.5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DE0"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DE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E2" w14:textId="77777777" w:rsidR="005C332D" w:rsidRDefault="00B93EAE">
            <w:pPr>
              <w:jc w:val="right"/>
              <w:textAlignment w:val="bottom"/>
            </w:pPr>
            <w:r>
              <w:rPr>
                <w:rFonts w:ascii="Times New Roman" w:eastAsia="宋体" w:hAnsi="Times New Roman"/>
                <w:color w:val="000000"/>
                <w:sz w:val="20"/>
                <w:szCs w:val="20"/>
              </w:rPr>
              <w:t>64.0 </w:t>
            </w:r>
          </w:p>
        </w:tc>
        <w:tc>
          <w:tcPr>
            <w:tcW w:w="0" w:type="auto"/>
            <w:shd w:val="clear" w:color="auto" w:fill="CCEEFF"/>
            <w:tcMar>
              <w:top w:w="40" w:type="dxa"/>
              <w:left w:w="0" w:type="dxa"/>
              <w:bottom w:w="40" w:type="dxa"/>
              <w:right w:w="20" w:type="dxa"/>
            </w:tcMar>
            <w:vAlign w:val="bottom"/>
          </w:tcPr>
          <w:p w14:paraId="518B4DE3"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4DE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DE5" w14:textId="77777777" w:rsidR="005C332D" w:rsidRDefault="00B93EAE">
            <w:pPr>
              <w:jc w:val="right"/>
              <w:textAlignment w:val="bottom"/>
            </w:pPr>
            <w:r>
              <w:rPr>
                <w:rFonts w:ascii="Times New Roman" w:eastAsia="宋体" w:hAnsi="Times New Roman"/>
                <w:color w:val="000000"/>
                <w:sz w:val="20"/>
                <w:szCs w:val="20"/>
              </w:rPr>
              <w:t>64.3 </w:t>
            </w:r>
          </w:p>
        </w:tc>
        <w:tc>
          <w:tcPr>
            <w:tcW w:w="0" w:type="auto"/>
            <w:shd w:val="clear" w:color="auto" w:fill="CCEEFF"/>
            <w:tcMar>
              <w:top w:w="40" w:type="dxa"/>
              <w:left w:w="0" w:type="dxa"/>
              <w:bottom w:w="40" w:type="dxa"/>
              <w:right w:w="20" w:type="dxa"/>
            </w:tcMar>
            <w:vAlign w:val="bottom"/>
          </w:tcPr>
          <w:p w14:paraId="518B4DE6" w14:textId="77777777" w:rsidR="005C332D" w:rsidRDefault="00B93EAE">
            <w:pPr>
              <w:jc w:val="right"/>
              <w:textAlignment w:val="bottom"/>
            </w:pPr>
            <w:r>
              <w:rPr>
                <w:rFonts w:ascii="Times New Roman" w:eastAsia="宋体" w:hAnsi="Times New Roman"/>
                <w:color w:val="000000"/>
                <w:sz w:val="20"/>
                <w:szCs w:val="20"/>
              </w:rPr>
              <w:t>%</w:t>
            </w:r>
          </w:p>
        </w:tc>
      </w:tr>
    </w:tbl>
    <w:p w14:paraId="518B4DE8" w14:textId="77777777" w:rsidR="005C332D" w:rsidRDefault="00B93EAE">
      <w:pPr>
        <w:spacing w:after="120"/>
        <w:jc w:val="both"/>
      </w:pPr>
      <w:r>
        <w:rPr>
          <w:rFonts w:ascii="Times New Roman" w:eastAsia="宋体" w:hAnsi="Times New Roman"/>
          <w:color w:val="000000"/>
          <w:sz w:val="10"/>
          <w:szCs w:val="10"/>
        </w:rPr>
        <w:t xml:space="preserve">(1) </w:t>
      </w:r>
      <w:r>
        <w:rPr>
          <w:rFonts w:ascii="Times New Roman" w:eastAsia="宋体" w:hAnsi="Times New Roman"/>
          <w:color w:val="000000"/>
          <w:sz w:val="16"/>
          <w:szCs w:val="16"/>
        </w:rPr>
        <w:t>The unallocated corporate items</w:t>
      </w:r>
      <w:r>
        <w:rPr>
          <w:rFonts w:ascii="Times New Roman" w:eastAsia="宋体" w:hAnsi="Times New Roman"/>
          <w:color w:val="FF0000"/>
          <w:sz w:val="16"/>
          <w:szCs w:val="16"/>
        </w:rPr>
        <w:t xml:space="preserve"> </w:t>
      </w:r>
      <w:r>
        <w:rPr>
          <w:rFonts w:ascii="Times New Roman" w:eastAsia="宋体" w:hAnsi="Times New Roman"/>
          <w:color w:val="000000"/>
          <w:sz w:val="16"/>
          <w:szCs w:val="16"/>
        </w:rPr>
        <w:t>include the effects of amortization and impairments of acquisition-related intangible assets, share-based compensation expense, significant litigation settlements and other contingencies, charges related to asset impai</w:t>
      </w:r>
      <w:r>
        <w:rPr>
          <w:rFonts w:ascii="Times New Roman" w:eastAsia="宋体" w:hAnsi="Times New Roman"/>
          <w:color w:val="000000"/>
          <w:sz w:val="16"/>
          <w:szCs w:val="16"/>
        </w:rPr>
        <w:t xml:space="preserve">rments and restructurings, and certain other charges. We do not allocate these items to the gross margin for each segment because management does not include such information in measuring the performance of the operating segments. </w:t>
      </w:r>
    </w:p>
    <w:p w14:paraId="518B4DE9" w14:textId="77777777" w:rsidR="005C332D" w:rsidRDefault="00B93EAE">
      <w:pPr>
        <w:spacing w:before="120"/>
        <w:jc w:val="both"/>
      </w:pPr>
      <w:r>
        <w:rPr>
          <w:rFonts w:ascii="Times New Roman" w:eastAsia="宋体" w:hAnsi="Times New Roman"/>
          <w:color w:val="000000"/>
          <w:sz w:val="20"/>
          <w:szCs w:val="20"/>
        </w:rPr>
        <w:t xml:space="preserve">Amounts may not sum and </w:t>
      </w:r>
      <w:r>
        <w:rPr>
          <w:rFonts w:ascii="Times New Roman" w:eastAsia="宋体" w:hAnsi="Times New Roman"/>
          <w:color w:val="000000"/>
          <w:sz w:val="20"/>
          <w:szCs w:val="20"/>
        </w:rPr>
        <w:t xml:space="preserve">percentages may not recalculate due to rounding. </w:t>
      </w:r>
    </w:p>
    <w:p w14:paraId="518B4DEA" w14:textId="77777777" w:rsidR="005C332D" w:rsidRDefault="00B93EAE">
      <w:pPr>
        <w:spacing w:before="120"/>
        <w:jc w:val="both"/>
      </w:pPr>
      <w:r>
        <w:rPr>
          <w:rFonts w:ascii="Times New Roman" w:eastAsia="宋体" w:hAnsi="Times New Roman"/>
          <w:color w:val="000000"/>
          <w:sz w:val="20"/>
          <w:szCs w:val="20"/>
        </w:rPr>
        <w:t xml:space="preserve">We experienced a gross margin percentage decrease in our Americas segment due to negative impacts from productivity and unfavorable product mix, partially offset by favorable pricing. </w:t>
      </w:r>
    </w:p>
    <w:p w14:paraId="518B4DEB" w14:textId="77777777" w:rsidR="005C332D" w:rsidRDefault="00B93EAE">
      <w:pPr>
        <w:spacing w:before="120"/>
        <w:jc w:val="both"/>
      </w:pPr>
      <w:r>
        <w:rPr>
          <w:rFonts w:ascii="Times New Roman" w:eastAsia="宋体" w:hAnsi="Times New Roman"/>
          <w:color w:val="000000"/>
          <w:sz w:val="20"/>
          <w:szCs w:val="20"/>
        </w:rPr>
        <w:t>Gross margin in our E</w:t>
      </w:r>
      <w:r>
        <w:rPr>
          <w:rFonts w:ascii="Times New Roman" w:eastAsia="宋体" w:hAnsi="Times New Roman"/>
          <w:color w:val="000000"/>
          <w:sz w:val="20"/>
          <w:szCs w:val="20"/>
        </w:rPr>
        <w:t>MEA segment was flat due to higher service gross margin, favorable product mix and favorable pricing offset by negative impacts from productivity.</w:t>
      </w:r>
    </w:p>
    <w:p w14:paraId="518B4DEC" w14:textId="77777777" w:rsidR="005C332D" w:rsidRDefault="00B93EAE">
      <w:pPr>
        <w:spacing w:before="120"/>
        <w:jc w:val="both"/>
      </w:pPr>
      <w:r>
        <w:rPr>
          <w:rFonts w:ascii="Times New Roman" w:eastAsia="宋体" w:hAnsi="Times New Roman"/>
          <w:color w:val="000000"/>
          <w:sz w:val="20"/>
          <w:szCs w:val="20"/>
        </w:rPr>
        <w:t>The APJC segment gross margin percentage increase was due to favorable product mix and favorable pricing, par</w:t>
      </w:r>
      <w:r>
        <w:rPr>
          <w:rFonts w:ascii="Times New Roman" w:eastAsia="宋体" w:hAnsi="Times New Roman"/>
          <w:color w:val="000000"/>
          <w:sz w:val="20"/>
          <w:szCs w:val="20"/>
        </w:rPr>
        <w:t>tially offset by negative impacts from productivity.</w:t>
      </w:r>
    </w:p>
    <w:p w14:paraId="518B4DED" w14:textId="77777777" w:rsidR="005C332D" w:rsidRDefault="00B93EAE">
      <w:pPr>
        <w:spacing w:before="120"/>
        <w:jc w:val="both"/>
      </w:pPr>
      <w:r>
        <w:rPr>
          <w:rFonts w:ascii="Times New Roman" w:eastAsia="宋体" w:hAnsi="Times New Roman"/>
          <w:color w:val="000000"/>
          <w:sz w:val="20"/>
          <w:szCs w:val="20"/>
        </w:rPr>
        <w:t>The gross margin percentage for a particular segment may fluctuate, and period-to-period changes in such percentages may or may not be indicative of a trend for that segment.</w:t>
      </w:r>
    </w:p>
    <w:p w14:paraId="518B4DEE" w14:textId="77777777" w:rsidR="005C332D" w:rsidRDefault="005C332D">
      <w:pPr>
        <w:spacing w:before="120"/>
        <w:jc w:val="both"/>
      </w:pPr>
    </w:p>
    <w:p w14:paraId="518B4DEF" w14:textId="77777777" w:rsidR="005C332D" w:rsidRDefault="00B93EAE">
      <w:r>
        <w:rPr>
          <w:rFonts w:ascii="Times New Roman" w:eastAsia="宋体" w:hAnsi="Times New Roman"/>
          <w:b/>
          <w:bCs/>
          <w:color w:val="000000"/>
          <w:sz w:val="20"/>
          <w:szCs w:val="20"/>
        </w:rPr>
        <w:t>Research and Development (“</w:t>
      </w:r>
      <w:r>
        <w:rPr>
          <w:rFonts w:ascii="Times New Roman" w:eastAsia="宋体" w:hAnsi="Times New Roman"/>
          <w:b/>
          <w:bCs/>
          <w:color w:val="000000"/>
          <w:sz w:val="20"/>
          <w:szCs w:val="20"/>
        </w:rPr>
        <w:t>R&amp;D”), Sales and Marketing, and General and Administrative (“G&amp;A”) Expenses</w:t>
      </w:r>
    </w:p>
    <w:p w14:paraId="518B4DF0" w14:textId="77777777" w:rsidR="005C332D" w:rsidRDefault="00B93EAE">
      <w:pPr>
        <w:spacing w:before="120"/>
      </w:pPr>
      <w:r>
        <w:rPr>
          <w:rFonts w:ascii="Times New Roman" w:eastAsia="宋体" w:hAnsi="Times New Roman"/>
          <w:color w:val="000000"/>
          <w:sz w:val="20"/>
          <w:szCs w:val="20"/>
        </w:rPr>
        <w:t>R&amp;D, sales and marketing, and G&amp;A expenses are summarized in the following table (in millions, except percentages):</w:t>
      </w:r>
    </w:p>
    <w:tbl>
      <w:tblPr>
        <w:tblW w:w="4985" w:type="pct"/>
        <w:tblCellMar>
          <w:top w:w="15" w:type="dxa"/>
          <w:left w:w="15" w:type="dxa"/>
          <w:bottom w:w="15" w:type="dxa"/>
          <w:right w:w="15" w:type="dxa"/>
        </w:tblCellMar>
        <w:tblLook w:val="04A0" w:firstRow="1" w:lastRow="0" w:firstColumn="1" w:lastColumn="0" w:noHBand="0" w:noVBand="1"/>
      </w:tblPr>
      <w:tblGrid>
        <w:gridCol w:w="38"/>
        <w:gridCol w:w="2912"/>
        <w:gridCol w:w="37"/>
        <w:gridCol w:w="36"/>
        <w:gridCol w:w="36"/>
        <w:gridCol w:w="36"/>
        <w:gridCol w:w="120"/>
        <w:gridCol w:w="715"/>
        <w:gridCol w:w="170"/>
        <w:gridCol w:w="36"/>
        <w:gridCol w:w="36"/>
        <w:gridCol w:w="36"/>
        <w:gridCol w:w="120"/>
        <w:gridCol w:w="715"/>
        <w:gridCol w:w="170"/>
        <w:gridCol w:w="36"/>
        <w:gridCol w:w="36"/>
        <w:gridCol w:w="36"/>
        <w:gridCol w:w="120"/>
        <w:gridCol w:w="715"/>
        <w:gridCol w:w="170"/>
        <w:gridCol w:w="36"/>
        <w:gridCol w:w="36"/>
        <w:gridCol w:w="36"/>
        <w:gridCol w:w="121"/>
        <w:gridCol w:w="715"/>
        <w:gridCol w:w="36"/>
        <w:gridCol w:w="36"/>
        <w:gridCol w:w="36"/>
        <w:gridCol w:w="36"/>
        <w:gridCol w:w="59"/>
        <w:gridCol w:w="651"/>
        <w:gridCol w:w="187"/>
      </w:tblGrid>
      <w:tr w:rsidR="005C332D" w14:paraId="518B4E12" w14:textId="77777777">
        <w:tc>
          <w:tcPr>
            <w:tcW w:w="50" w:type="pct"/>
            <w:shd w:val="clear" w:color="auto" w:fill="auto"/>
            <w:vAlign w:val="bottom"/>
          </w:tcPr>
          <w:p w14:paraId="518B4DF1" w14:textId="77777777" w:rsidR="005C332D" w:rsidRDefault="005C332D">
            <w:pPr>
              <w:rPr>
                <w:rFonts w:ascii="宋体"/>
              </w:rPr>
            </w:pPr>
          </w:p>
        </w:tc>
        <w:tc>
          <w:tcPr>
            <w:tcW w:w="1829" w:type="pct"/>
            <w:shd w:val="clear" w:color="auto" w:fill="auto"/>
            <w:vAlign w:val="bottom"/>
          </w:tcPr>
          <w:p w14:paraId="518B4DF2" w14:textId="77777777" w:rsidR="005C332D" w:rsidRDefault="005C332D">
            <w:pPr>
              <w:rPr>
                <w:rFonts w:ascii="宋体"/>
              </w:rPr>
            </w:pPr>
          </w:p>
        </w:tc>
        <w:tc>
          <w:tcPr>
            <w:tcW w:w="5" w:type="pct"/>
            <w:shd w:val="clear" w:color="auto" w:fill="auto"/>
            <w:vAlign w:val="bottom"/>
          </w:tcPr>
          <w:p w14:paraId="518B4DF3" w14:textId="77777777" w:rsidR="005C332D" w:rsidRDefault="005C332D">
            <w:pPr>
              <w:rPr>
                <w:rFonts w:ascii="宋体"/>
              </w:rPr>
            </w:pPr>
          </w:p>
        </w:tc>
        <w:tc>
          <w:tcPr>
            <w:tcW w:w="5" w:type="pct"/>
            <w:shd w:val="clear" w:color="auto" w:fill="auto"/>
            <w:vAlign w:val="bottom"/>
          </w:tcPr>
          <w:p w14:paraId="518B4DF4" w14:textId="77777777" w:rsidR="005C332D" w:rsidRDefault="005C332D">
            <w:pPr>
              <w:rPr>
                <w:rFonts w:ascii="宋体"/>
              </w:rPr>
            </w:pPr>
          </w:p>
        </w:tc>
        <w:tc>
          <w:tcPr>
            <w:tcW w:w="26" w:type="pct"/>
            <w:shd w:val="clear" w:color="auto" w:fill="auto"/>
            <w:vAlign w:val="bottom"/>
          </w:tcPr>
          <w:p w14:paraId="518B4DF5" w14:textId="77777777" w:rsidR="005C332D" w:rsidRDefault="005C332D">
            <w:pPr>
              <w:rPr>
                <w:rFonts w:ascii="宋体"/>
              </w:rPr>
            </w:pPr>
          </w:p>
        </w:tc>
        <w:tc>
          <w:tcPr>
            <w:tcW w:w="5" w:type="pct"/>
            <w:shd w:val="clear" w:color="auto" w:fill="auto"/>
            <w:vAlign w:val="bottom"/>
          </w:tcPr>
          <w:p w14:paraId="518B4DF6" w14:textId="77777777" w:rsidR="005C332D" w:rsidRDefault="005C332D">
            <w:pPr>
              <w:rPr>
                <w:rFonts w:ascii="宋体"/>
              </w:rPr>
            </w:pPr>
          </w:p>
        </w:tc>
        <w:tc>
          <w:tcPr>
            <w:tcW w:w="50" w:type="pct"/>
            <w:shd w:val="clear" w:color="auto" w:fill="auto"/>
            <w:vAlign w:val="bottom"/>
          </w:tcPr>
          <w:p w14:paraId="518B4DF7" w14:textId="77777777" w:rsidR="005C332D" w:rsidRDefault="005C332D">
            <w:pPr>
              <w:rPr>
                <w:rFonts w:ascii="宋体"/>
              </w:rPr>
            </w:pPr>
          </w:p>
        </w:tc>
        <w:tc>
          <w:tcPr>
            <w:tcW w:w="531" w:type="pct"/>
            <w:shd w:val="clear" w:color="auto" w:fill="auto"/>
            <w:vAlign w:val="bottom"/>
          </w:tcPr>
          <w:p w14:paraId="518B4DF8" w14:textId="77777777" w:rsidR="005C332D" w:rsidRDefault="005C332D">
            <w:pPr>
              <w:rPr>
                <w:rFonts w:ascii="宋体"/>
              </w:rPr>
            </w:pPr>
          </w:p>
        </w:tc>
        <w:tc>
          <w:tcPr>
            <w:tcW w:w="5" w:type="pct"/>
            <w:shd w:val="clear" w:color="auto" w:fill="auto"/>
            <w:vAlign w:val="bottom"/>
          </w:tcPr>
          <w:p w14:paraId="518B4DF9" w14:textId="77777777" w:rsidR="005C332D" w:rsidRDefault="005C332D">
            <w:pPr>
              <w:rPr>
                <w:rFonts w:ascii="宋体"/>
              </w:rPr>
            </w:pPr>
          </w:p>
        </w:tc>
        <w:tc>
          <w:tcPr>
            <w:tcW w:w="5" w:type="pct"/>
            <w:shd w:val="clear" w:color="auto" w:fill="auto"/>
            <w:vAlign w:val="bottom"/>
          </w:tcPr>
          <w:p w14:paraId="518B4DFA" w14:textId="77777777" w:rsidR="005C332D" w:rsidRDefault="005C332D">
            <w:pPr>
              <w:rPr>
                <w:rFonts w:ascii="宋体"/>
              </w:rPr>
            </w:pPr>
          </w:p>
        </w:tc>
        <w:tc>
          <w:tcPr>
            <w:tcW w:w="26" w:type="pct"/>
            <w:shd w:val="clear" w:color="auto" w:fill="auto"/>
            <w:vAlign w:val="bottom"/>
          </w:tcPr>
          <w:p w14:paraId="518B4DFB" w14:textId="77777777" w:rsidR="005C332D" w:rsidRDefault="005C332D">
            <w:pPr>
              <w:rPr>
                <w:rFonts w:ascii="宋体"/>
              </w:rPr>
            </w:pPr>
          </w:p>
        </w:tc>
        <w:tc>
          <w:tcPr>
            <w:tcW w:w="5" w:type="pct"/>
            <w:shd w:val="clear" w:color="auto" w:fill="auto"/>
            <w:vAlign w:val="bottom"/>
          </w:tcPr>
          <w:p w14:paraId="518B4DFC" w14:textId="77777777" w:rsidR="005C332D" w:rsidRDefault="005C332D">
            <w:pPr>
              <w:rPr>
                <w:rFonts w:ascii="宋体"/>
              </w:rPr>
            </w:pPr>
          </w:p>
        </w:tc>
        <w:tc>
          <w:tcPr>
            <w:tcW w:w="50" w:type="pct"/>
            <w:shd w:val="clear" w:color="auto" w:fill="auto"/>
            <w:vAlign w:val="bottom"/>
          </w:tcPr>
          <w:p w14:paraId="518B4DFD" w14:textId="77777777" w:rsidR="005C332D" w:rsidRDefault="005C332D">
            <w:pPr>
              <w:rPr>
                <w:rFonts w:ascii="宋体"/>
              </w:rPr>
            </w:pPr>
          </w:p>
        </w:tc>
        <w:tc>
          <w:tcPr>
            <w:tcW w:w="531" w:type="pct"/>
            <w:shd w:val="clear" w:color="auto" w:fill="auto"/>
            <w:vAlign w:val="bottom"/>
          </w:tcPr>
          <w:p w14:paraId="518B4DFE" w14:textId="77777777" w:rsidR="005C332D" w:rsidRDefault="005C332D">
            <w:pPr>
              <w:rPr>
                <w:rFonts w:ascii="宋体"/>
              </w:rPr>
            </w:pPr>
          </w:p>
        </w:tc>
        <w:tc>
          <w:tcPr>
            <w:tcW w:w="5" w:type="pct"/>
            <w:shd w:val="clear" w:color="auto" w:fill="auto"/>
            <w:vAlign w:val="bottom"/>
          </w:tcPr>
          <w:p w14:paraId="518B4DFF" w14:textId="77777777" w:rsidR="005C332D" w:rsidRDefault="005C332D">
            <w:pPr>
              <w:rPr>
                <w:rFonts w:ascii="宋体"/>
              </w:rPr>
            </w:pPr>
          </w:p>
        </w:tc>
        <w:tc>
          <w:tcPr>
            <w:tcW w:w="5" w:type="pct"/>
            <w:shd w:val="clear" w:color="auto" w:fill="auto"/>
            <w:vAlign w:val="bottom"/>
          </w:tcPr>
          <w:p w14:paraId="518B4E00" w14:textId="77777777" w:rsidR="005C332D" w:rsidRDefault="005C332D">
            <w:pPr>
              <w:rPr>
                <w:rFonts w:ascii="宋体"/>
              </w:rPr>
            </w:pPr>
          </w:p>
        </w:tc>
        <w:tc>
          <w:tcPr>
            <w:tcW w:w="26" w:type="pct"/>
            <w:shd w:val="clear" w:color="auto" w:fill="auto"/>
            <w:vAlign w:val="bottom"/>
          </w:tcPr>
          <w:p w14:paraId="518B4E01" w14:textId="77777777" w:rsidR="005C332D" w:rsidRDefault="005C332D">
            <w:pPr>
              <w:rPr>
                <w:rFonts w:ascii="宋体"/>
              </w:rPr>
            </w:pPr>
          </w:p>
        </w:tc>
        <w:tc>
          <w:tcPr>
            <w:tcW w:w="5" w:type="pct"/>
            <w:shd w:val="clear" w:color="auto" w:fill="auto"/>
            <w:vAlign w:val="bottom"/>
          </w:tcPr>
          <w:p w14:paraId="518B4E02" w14:textId="77777777" w:rsidR="005C332D" w:rsidRDefault="005C332D">
            <w:pPr>
              <w:rPr>
                <w:rFonts w:ascii="宋体"/>
              </w:rPr>
            </w:pPr>
          </w:p>
        </w:tc>
        <w:tc>
          <w:tcPr>
            <w:tcW w:w="50" w:type="pct"/>
            <w:shd w:val="clear" w:color="auto" w:fill="auto"/>
            <w:vAlign w:val="bottom"/>
          </w:tcPr>
          <w:p w14:paraId="518B4E03" w14:textId="77777777" w:rsidR="005C332D" w:rsidRDefault="005C332D">
            <w:pPr>
              <w:rPr>
                <w:rFonts w:ascii="宋体"/>
              </w:rPr>
            </w:pPr>
          </w:p>
        </w:tc>
        <w:tc>
          <w:tcPr>
            <w:tcW w:w="531" w:type="pct"/>
            <w:shd w:val="clear" w:color="auto" w:fill="auto"/>
            <w:vAlign w:val="bottom"/>
          </w:tcPr>
          <w:p w14:paraId="518B4E04" w14:textId="77777777" w:rsidR="005C332D" w:rsidRDefault="005C332D">
            <w:pPr>
              <w:rPr>
                <w:rFonts w:ascii="宋体"/>
              </w:rPr>
            </w:pPr>
          </w:p>
        </w:tc>
        <w:tc>
          <w:tcPr>
            <w:tcW w:w="5" w:type="pct"/>
            <w:shd w:val="clear" w:color="auto" w:fill="auto"/>
            <w:vAlign w:val="bottom"/>
          </w:tcPr>
          <w:p w14:paraId="518B4E05" w14:textId="77777777" w:rsidR="005C332D" w:rsidRDefault="005C332D">
            <w:pPr>
              <w:rPr>
                <w:rFonts w:ascii="宋体"/>
              </w:rPr>
            </w:pPr>
          </w:p>
        </w:tc>
        <w:tc>
          <w:tcPr>
            <w:tcW w:w="5" w:type="pct"/>
            <w:shd w:val="clear" w:color="auto" w:fill="auto"/>
            <w:vAlign w:val="bottom"/>
          </w:tcPr>
          <w:p w14:paraId="518B4E06" w14:textId="77777777" w:rsidR="005C332D" w:rsidRDefault="005C332D">
            <w:pPr>
              <w:rPr>
                <w:rFonts w:ascii="宋体"/>
              </w:rPr>
            </w:pPr>
          </w:p>
        </w:tc>
        <w:tc>
          <w:tcPr>
            <w:tcW w:w="26" w:type="pct"/>
            <w:shd w:val="clear" w:color="auto" w:fill="auto"/>
            <w:vAlign w:val="bottom"/>
          </w:tcPr>
          <w:p w14:paraId="518B4E07" w14:textId="77777777" w:rsidR="005C332D" w:rsidRDefault="005C332D">
            <w:pPr>
              <w:rPr>
                <w:rFonts w:ascii="宋体"/>
              </w:rPr>
            </w:pPr>
          </w:p>
        </w:tc>
        <w:tc>
          <w:tcPr>
            <w:tcW w:w="5" w:type="pct"/>
            <w:shd w:val="clear" w:color="auto" w:fill="auto"/>
            <w:vAlign w:val="bottom"/>
          </w:tcPr>
          <w:p w14:paraId="518B4E08" w14:textId="77777777" w:rsidR="005C332D" w:rsidRDefault="005C332D">
            <w:pPr>
              <w:rPr>
                <w:rFonts w:ascii="宋体"/>
              </w:rPr>
            </w:pPr>
          </w:p>
        </w:tc>
        <w:tc>
          <w:tcPr>
            <w:tcW w:w="50" w:type="pct"/>
            <w:shd w:val="clear" w:color="auto" w:fill="auto"/>
            <w:vAlign w:val="bottom"/>
          </w:tcPr>
          <w:p w14:paraId="518B4E09" w14:textId="77777777" w:rsidR="005C332D" w:rsidRDefault="005C332D">
            <w:pPr>
              <w:rPr>
                <w:rFonts w:ascii="宋体"/>
              </w:rPr>
            </w:pPr>
          </w:p>
        </w:tc>
        <w:tc>
          <w:tcPr>
            <w:tcW w:w="531" w:type="pct"/>
            <w:shd w:val="clear" w:color="auto" w:fill="auto"/>
            <w:vAlign w:val="bottom"/>
          </w:tcPr>
          <w:p w14:paraId="518B4E0A" w14:textId="77777777" w:rsidR="005C332D" w:rsidRDefault="005C332D">
            <w:pPr>
              <w:rPr>
                <w:rFonts w:ascii="宋体"/>
              </w:rPr>
            </w:pPr>
          </w:p>
        </w:tc>
        <w:tc>
          <w:tcPr>
            <w:tcW w:w="5" w:type="pct"/>
            <w:shd w:val="clear" w:color="auto" w:fill="auto"/>
            <w:vAlign w:val="bottom"/>
          </w:tcPr>
          <w:p w14:paraId="518B4E0B" w14:textId="77777777" w:rsidR="005C332D" w:rsidRDefault="005C332D">
            <w:pPr>
              <w:rPr>
                <w:rFonts w:ascii="宋体"/>
              </w:rPr>
            </w:pPr>
          </w:p>
        </w:tc>
        <w:tc>
          <w:tcPr>
            <w:tcW w:w="5" w:type="pct"/>
            <w:shd w:val="clear" w:color="auto" w:fill="auto"/>
            <w:vAlign w:val="bottom"/>
          </w:tcPr>
          <w:p w14:paraId="518B4E0C" w14:textId="77777777" w:rsidR="005C332D" w:rsidRDefault="005C332D">
            <w:pPr>
              <w:rPr>
                <w:rFonts w:ascii="宋体"/>
              </w:rPr>
            </w:pPr>
          </w:p>
        </w:tc>
        <w:tc>
          <w:tcPr>
            <w:tcW w:w="26" w:type="pct"/>
            <w:shd w:val="clear" w:color="auto" w:fill="auto"/>
            <w:vAlign w:val="bottom"/>
          </w:tcPr>
          <w:p w14:paraId="518B4E0D" w14:textId="77777777" w:rsidR="005C332D" w:rsidRDefault="005C332D">
            <w:pPr>
              <w:rPr>
                <w:rFonts w:ascii="宋体"/>
              </w:rPr>
            </w:pPr>
          </w:p>
        </w:tc>
        <w:tc>
          <w:tcPr>
            <w:tcW w:w="5" w:type="pct"/>
            <w:shd w:val="clear" w:color="auto" w:fill="auto"/>
            <w:vAlign w:val="bottom"/>
          </w:tcPr>
          <w:p w14:paraId="518B4E0E" w14:textId="77777777" w:rsidR="005C332D" w:rsidRDefault="005C332D">
            <w:pPr>
              <w:rPr>
                <w:rFonts w:ascii="宋体"/>
              </w:rPr>
            </w:pPr>
          </w:p>
        </w:tc>
        <w:tc>
          <w:tcPr>
            <w:tcW w:w="50" w:type="pct"/>
            <w:shd w:val="clear" w:color="auto" w:fill="auto"/>
            <w:vAlign w:val="bottom"/>
          </w:tcPr>
          <w:p w14:paraId="518B4E0F" w14:textId="77777777" w:rsidR="005C332D" w:rsidRDefault="005C332D">
            <w:pPr>
              <w:rPr>
                <w:rFonts w:ascii="宋体"/>
              </w:rPr>
            </w:pPr>
          </w:p>
        </w:tc>
        <w:tc>
          <w:tcPr>
            <w:tcW w:w="531" w:type="pct"/>
            <w:shd w:val="clear" w:color="auto" w:fill="auto"/>
            <w:vAlign w:val="bottom"/>
          </w:tcPr>
          <w:p w14:paraId="518B4E10" w14:textId="77777777" w:rsidR="005C332D" w:rsidRDefault="005C332D">
            <w:pPr>
              <w:rPr>
                <w:rFonts w:ascii="宋体"/>
              </w:rPr>
            </w:pPr>
          </w:p>
        </w:tc>
        <w:tc>
          <w:tcPr>
            <w:tcW w:w="5" w:type="pct"/>
            <w:shd w:val="clear" w:color="auto" w:fill="auto"/>
            <w:vAlign w:val="bottom"/>
          </w:tcPr>
          <w:p w14:paraId="518B4E11" w14:textId="77777777" w:rsidR="005C332D" w:rsidRDefault="005C332D">
            <w:pPr>
              <w:rPr>
                <w:rFonts w:ascii="宋体"/>
              </w:rPr>
            </w:pPr>
          </w:p>
        </w:tc>
      </w:tr>
      <w:tr w:rsidR="005C332D" w14:paraId="518B4E18" w14:textId="77777777">
        <w:tc>
          <w:tcPr>
            <w:tcW w:w="0" w:type="auto"/>
            <w:gridSpan w:val="3"/>
            <w:shd w:val="clear" w:color="auto" w:fill="auto"/>
            <w:tcMar>
              <w:top w:w="0" w:type="dxa"/>
              <w:left w:w="20" w:type="dxa"/>
              <w:bottom w:w="0" w:type="dxa"/>
              <w:right w:w="20" w:type="dxa"/>
            </w:tcMar>
            <w:vAlign w:val="bottom"/>
          </w:tcPr>
          <w:p w14:paraId="518B4E1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E14"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E15" w14:textId="77777777" w:rsidR="005C332D" w:rsidRDefault="00B93EAE">
            <w:pPr>
              <w:jc w:val="center"/>
              <w:textAlignment w:val="bottom"/>
            </w:pPr>
            <w:r>
              <w:rPr>
                <w:rFonts w:ascii="Times New Roman" w:eastAsia="宋体" w:hAnsi="Times New Roman"/>
                <w:color w:val="000000"/>
                <w:sz w:val="18"/>
                <w:szCs w:val="18"/>
              </w:rPr>
              <w:t>Years Ended</w:t>
            </w:r>
          </w:p>
        </w:tc>
        <w:tc>
          <w:tcPr>
            <w:tcW w:w="0" w:type="auto"/>
            <w:gridSpan w:val="3"/>
            <w:shd w:val="clear" w:color="auto" w:fill="auto"/>
            <w:tcMar>
              <w:top w:w="0" w:type="dxa"/>
              <w:left w:w="20" w:type="dxa"/>
              <w:bottom w:w="0" w:type="dxa"/>
              <w:right w:w="20" w:type="dxa"/>
            </w:tcMar>
            <w:vAlign w:val="bottom"/>
          </w:tcPr>
          <w:p w14:paraId="518B4E16"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4E17" w14:textId="77777777" w:rsidR="005C332D" w:rsidRDefault="00B93EAE">
            <w:pPr>
              <w:jc w:val="center"/>
              <w:textAlignment w:val="bottom"/>
            </w:pPr>
            <w:r>
              <w:rPr>
                <w:rFonts w:ascii="Times New Roman" w:eastAsia="宋体" w:hAnsi="Times New Roman"/>
                <w:color w:val="000000"/>
                <w:sz w:val="18"/>
                <w:szCs w:val="18"/>
              </w:rPr>
              <w:t>2022 vs. 2021</w:t>
            </w:r>
          </w:p>
        </w:tc>
      </w:tr>
      <w:tr w:rsidR="005C332D" w14:paraId="518B4E24" w14:textId="77777777">
        <w:tc>
          <w:tcPr>
            <w:tcW w:w="0" w:type="auto"/>
            <w:gridSpan w:val="3"/>
            <w:shd w:val="clear" w:color="auto" w:fill="auto"/>
            <w:tcMar>
              <w:top w:w="0" w:type="dxa"/>
              <w:left w:w="20" w:type="dxa"/>
              <w:bottom w:w="0" w:type="dxa"/>
              <w:right w:w="20" w:type="dxa"/>
            </w:tcMar>
            <w:vAlign w:val="bottom"/>
          </w:tcPr>
          <w:p w14:paraId="518B4E19"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4E1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E1B"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E1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E1D"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E1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E1F"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auto"/>
            <w:tcMar>
              <w:top w:w="0" w:type="dxa"/>
              <w:left w:w="20" w:type="dxa"/>
              <w:bottom w:w="0" w:type="dxa"/>
              <w:right w:w="20" w:type="dxa"/>
            </w:tcMar>
            <w:vAlign w:val="bottom"/>
          </w:tcPr>
          <w:p w14:paraId="518B4E2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E21" w14:textId="77777777" w:rsidR="005C332D" w:rsidRDefault="00B93EAE">
            <w:pPr>
              <w:jc w:val="center"/>
              <w:textAlignment w:val="bottom"/>
            </w:pPr>
            <w:r>
              <w:rPr>
                <w:rFonts w:ascii="Times New Roman" w:eastAsia="宋体" w:hAnsi="Times New Roman"/>
                <w:color w:val="000000"/>
                <w:sz w:val="18"/>
                <w:szCs w:val="18"/>
              </w:rPr>
              <w:t>Variance 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E2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E23" w14:textId="77777777" w:rsidR="005C332D" w:rsidRDefault="00B93EAE">
            <w:pPr>
              <w:jc w:val="center"/>
              <w:textAlignment w:val="bottom"/>
            </w:pPr>
            <w:r>
              <w:rPr>
                <w:rFonts w:ascii="Times New Roman" w:eastAsia="宋体" w:hAnsi="Times New Roman"/>
                <w:color w:val="000000"/>
                <w:sz w:val="18"/>
                <w:szCs w:val="18"/>
              </w:rPr>
              <w:t>Variance in Percent</w:t>
            </w:r>
          </w:p>
        </w:tc>
      </w:tr>
      <w:tr w:rsidR="005C332D" w14:paraId="518B4E39" w14:textId="77777777">
        <w:tc>
          <w:tcPr>
            <w:tcW w:w="0" w:type="auto"/>
            <w:gridSpan w:val="3"/>
            <w:shd w:val="clear" w:color="auto" w:fill="CCEEFF"/>
            <w:tcMar>
              <w:top w:w="40" w:type="dxa"/>
              <w:left w:w="20" w:type="dxa"/>
              <w:bottom w:w="40" w:type="dxa"/>
              <w:right w:w="20" w:type="dxa"/>
            </w:tcMar>
            <w:vAlign w:val="bottom"/>
          </w:tcPr>
          <w:p w14:paraId="518B4E25" w14:textId="77777777" w:rsidR="005C332D" w:rsidRDefault="00B93EAE">
            <w:pPr>
              <w:textAlignment w:val="bottom"/>
            </w:pPr>
            <w:r>
              <w:rPr>
                <w:rFonts w:ascii="Times New Roman" w:eastAsia="宋体" w:hAnsi="Times New Roman"/>
                <w:color w:val="000000"/>
                <w:sz w:val="20"/>
                <w:szCs w:val="20"/>
              </w:rPr>
              <w:t xml:space="preserve">Research and </w:t>
            </w:r>
            <w:r>
              <w:rPr>
                <w:rFonts w:ascii="Times New Roman" w:eastAsia="宋体" w:hAnsi="Times New Roman"/>
                <w:color w:val="000000"/>
                <w:sz w:val="20"/>
                <w:szCs w:val="20"/>
              </w:rPr>
              <w:t>development</w:t>
            </w:r>
          </w:p>
        </w:tc>
        <w:tc>
          <w:tcPr>
            <w:tcW w:w="0" w:type="auto"/>
            <w:gridSpan w:val="3"/>
            <w:shd w:val="clear" w:color="auto" w:fill="CCEEFF"/>
            <w:tcMar>
              <w:top w:w="0" w:type="dxa"/>
              <w:left w:w="20" w:type="dxa"/>
              <w:bottom w:w="0" w:type="dxa"/>
              <w:right w:w="20" w:type="dxa"/>
            </w:tcMar>
            <w:vAlign w:val="bottom"/>
          </w:tcPr>
          <w:p w14:paraId="518B4E2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E2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E28" w14:textId="77777777" w:rsidR="005C332D" w:rsidRDefault="00B93EAE">
            <w:pPr>
              <w:jc w:val="right"/>
              <w:textAlignment w:val="bottom"/>
            </w:pPr>
            <w:r>
              <w:rPr>
                <w:rFonts w:ascii="Times New Roman" w:eastAsia="宋体" w:hAnsi="Times New Roman"/>
                <w:b/>
                <w:bCs/>
                <w:color w:val="000000"/>
                <w:sz w:val="20"/>
                <w:szCs w:val="20"/>
              </w:rPr>
              <w:t>6,774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E2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2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E2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E2C" w14:textId="77777777" w:rsidR="005C332D" w:rsidRDefault="00B93EAE">
            <w:pPr>
              <w:jc w:val="right"/>
              <w:textAlignment w:val="bottom"/>
            </w:pPr>
            <w:r>
              <w:rPr>
                <w:rFonts w:ascii="Times New Roman" w:eastAsia="宋体" w:hAnsi="Times New Roman"/>
                <w:color w:val="000000"/>
                <w:sz w:val="20"/>
                <w:szCs w:val="20"/>
              </w:rPr>
              <w:t>6,549 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E2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2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E2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E30" w14:textId="77777777" w:rsidR="005C332D" w:rsidRDefault="00B93EAE">
            <w:pPr>
              <w:jc w:val="right"/>
              <w:textAlignment w:val="bottom"/>
            </w:pPr>
            <w:r>
              <w:rPr>
                <w:rFonts w:ascii="Times New Roman" w:eastAsia="宋体" w:hAnsi="Times New Roman"/>
                <w:color w:val="000000"/>
                <w:sz w:val="20"/>
                <w:szCs w:val="20"/>
              </w:rPr>
              <w:t>6,347 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E3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3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E3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E34" w14:textId="77777777" w:rsidR="005C332D" w:rsidRDefault="00B93EAE">
            <w:pPr>
              <w:jc w:val="right"/>
              <w:textAlignment w:val="bottom"/>
            </w:pPr>
            <w:r>
              <w:rPr>
                <w:rFonts w:ascii="Times New Roman" w:eastAsia="宋体" w:hAnsi="Times New Roman"/>
                <w:color w:val="000000"/>
                <w:sz w:val="20"/>
                <w:szCs w:val="20"/>
              </w:rPr>
              <w:t>225 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E3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36"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4E37" w14:textId="77777777" w:rsidR="005C332D" w:rsidRDefault="00B93EAE">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E38"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E48" w14:textId="77777777">
        <w:tc>
          <w:tcPr>
            <w:tcW w:w="0" w:type="auto"/>
            <w:gridSpan w:val="3"/>
            <w:shd w:val="clear" w:color="auto" w:fill="FFFFFF"/>
            <w:tcMar>
              <w:top w:w="40" w:type="dxa"/>
              <w:left w:w="20" w:type="dxa"/>
              <w:bottom w:w="40" w:type="dxa"/>
              <w:right w:w="20" w:type="dxa"/>
            </w:tcMar>
            <w:vAlign w:val="bottom"/>
          </w:tcPr>
          <w:p w14:paraId="518B4E3A" w14:textId="77777777" w:rsidR="005C332D" w:rsidRDefault="00B93EAE">
            <w:pPr>
              <w:textAlignment w:val="bottom"/>
            </w:pPr>
            <w:r>
              <w:rPr>
                <w:rFonts w:ascii="Times New Roman" w:eastAsia="宋体" w:hAnsi="Times New Roman"/>
                <w:i/>
                <w:iCs/>
                <w:color w:val="000000"/>
                <w:sz w:val="18"/>
                <w:szCs w:val="18"/>
              </w:rPr>
              <w:t>Percentage of revenue</w:t>
            </w:r>
          </w:p>
        </w:tc>
        <w:tc>
          <w:tcPr>
            <w:tcW w:w="0" w:type="auto"/>
            <w:gridSpan w:val="3"/>
            <w:shd w:val="clear" w:color="auto" w:fill="FFFFFF"/>
            <w:tcMar>
              <w:top w:w="0" w:type="dxa"/>
              <w:left w:w="20" w:type="dxa"/>
              <w:bottom w:w="0" w:type="dxa"/>
              <w:right w:w="20" w:type="dxa"/>
            </w:tcMar>
            <w:vAlign w:val="bottom"/>
          </w:tcPr>
          <w:p w14:paraId="518B4E3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E3C" w14:textId="77777777" w:rsidR="005C332D" w:rsidRDefault="00B93EAE">
            <w:pPr>
              <w:jc w:val="right"/>
              <w:textAlignment w:val="bottom"/>
            </w:pPr>
            <w:r>
              <w:rPr>
                <w:rFonts w:ascii="Times New Roman" w:eastAsia="宋体" w:hAnsi="Times New Roman"/>
                <w:b/>
                <w:bCs/>
                <w:i/>
                <w:iCs/>
                <w:color w:val="000000"/>
                <w:sz w:val="18"/>
                <w:szCs w:val="18"/>
              </w:rPr>
              <w:t>13.1</w:t>
            </w:r>
            <w:r>
              <w:rPr>
                <w:rFonts w:ascii="Times New Roman" w:eastAsia="宋体" w:hAnsi="Times New Roman"/>
                <w:i/>
                <w:iCs/>
                <w:color w:val="000000"/>
                <w:sz w:val="18"/>
                <w:szCs w:val="18"/>
              </w:rPr>
              <w:t> </w:t>
            </w:r>
          </w:p>
        </w:tc>
        <w:tc>
          <w:tcPr>
            <w:tcW w:w="0" w:type="auto"/>
            <w:shd w:val="clear" w:color="auto" w:fill="FFFFFF"/>
            <w:tcMar>
              <w:top w:w="40" w:type="dxa"/>
              <w:left w:w="0" w:type="dxa"/>
              <w:bottom w:w="40" w:type="dxa"/>
              <w:right w:w="20" w:type="dxa"/>
            </w:tcMar>
            <w:vAlign w:val="bottom"/>
          </w:tcPr>
          <w:p w14:paraId="518B4E3D" w14:textId="77777777" w:rsidR="005C332D" w:rsidRDefault="00B93EAE">
            <w:pPr>
              <w:jc w:val="right"/>
              <w:textAlignment w:val="bottom"/>
            </w:pPr>
            <w:r>
              <w:rPr>
                <w:rFonts w:ascii="Times New Roman" w:eastAsia="宋体" w:hAnsi="Times New Roman"/>
                <w:b/>
                <w:bCs/>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3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E3F" w14:textId="77777777" w:rsidR="005C332D" w:rsidRDefault="00B93EAE">
            <w:pPr>
              <w:jc w:val="right"/>
              <w:textAlignment w:val="bottom"/>
            </w:pPr>
            <w:r>
              <w:rPr>
                <w:rFonts w:ascii="Times New Roman" w:eastAsia="宋体" w:hAnsi="Times New Roman"/>
                <w:i/>
                <w:iCs/>
                <w:color w:val="000000"/>
                <w:sz w:val="18"/>
                <w:szCs w:val="18"/>
              </w:rPr>
              <w:t>13.1 </w:t>
            </w:r>
          </w:p>
        </w:tc>
        <w:tc>
          <w:tcPr>
            <w:tcW w:w="0" w:type="auto"/>
            <w:shd w:val="clear" w:color="auto" w:fill="FFFFFF"/>
            <w:tcMar>
              <w:top w:w="40" w:type="dxa"/>
              <w:left w:w="0" w:type="dxa"/>
              <w:bottom w:w="40" w:type="dxa"/>
              <w:right w:w="20" w:type="dxa"/>
            </w:tcMar>
            <w:vAlign w:val="bottom"/>
          </w:tcPr>
          <w:p w14:paraId="518B4E40"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4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E42" w14:textId="77777777" w:rsidR="005C332D" w:rsidRDefault="00B93EAE">
            <w:pPr>
              <w:jc w:val="right"/>
              <w:textAlignment w:val="bottom"/>
            </w:pPr>
            <w:r>
              <w:rPr>
                <w:rFonts w:ascii="Times New Roman" w:eastAsia="宋体" w:hAnsi="Times New Roman"/>
                <w:i/>
                <w:iCs/>
                <w:color w:val="000000"/>
                <w:sz w:val="18"/>
                <w:szCs w:val="18"/>
              </w:rPr>
              <w:t>12.9 </w:t>
            </w:r>
          </w:p>
        </w:tc>
        <w:tc>
          <w:tcPr>
            <w:tcW w:w="0" w:type="auto"/>
            <w:shd w:val="clear" w:color="auto" w:fill="FFFFFF"/>
            <w:tcMar>
              <w:top w:w="40" w:type="dxa"/>
              <w:left w:w="0" w:type="dxa"/>
              <w:bottom w:w="40" w:type="dxa"/>
              <w:right w:w="20" w:type="dxa"/>
            </w:tcMar>
            <w:vAlign w:val="bottom"/>
          </w:tcPr>
          <w:p w14:paraId="518B4E43"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4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4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4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47" w14:textId="77777777" w:rsidR="005C332D" w:rsidRDefault="005C332D">
            <w:pPr>
              <w:rPr>
                <w:rFonts w:ascii="宋体"/>
              </w:rPr>
            </w:pPr>
          </w:p>
        </w:tc>
      </w:tr>
      <w:tr w:rsidR="005C332D" w14:paraId="518B4E59" w14:textId="77777777">
        <w:tc>
          <w:tcPr>
            <w:tcW w:w="0" w:type="auto"/>
            <w:gridSpan w:val="3"/>
            <w:shd w:val="clear" w:color="auto" w:fill="CCEEFF"/>
            <w:tcMar>
              <w:top w:w="40" w:type="dxa"/>
              <w:left w:w="20" w:type="dxa"/>
              <w:bottom w:w="40" w:type="dxa"/>
              <w:right w:w="20" w:type="dxa"/>
            </w:tcMar>
            <w:vAlign w:val="bottom"/>
          </w:tcPr>
          <w:p w14:paraId="518B4E49" w14:textId="77777777" w:rsidR="005C332D" w:rsidRDefault="00B93EAE">
            <w:pPr>
              <w:textAlignment w:val="bottom"/>
            </w:pPr>
            <w:r>
              <w:rPr>
                <w:rFonts w:ascii="Times New Roman" w:eastAsia="宋体" w:hAnsi="Times New Roman"/>
                <w:color w:val="000000"/>
                <w:sz w:val="20"/>
                <w:szCs w:val="20"/>
              </w:rPr>
              <w:t>Sales and marketing</w:t>
            </w:r>
          </w:p>
        </w:tc>
        <w:tc>
          <w:tcPr>
            <w:tcW w:w="0" w:type="auto"/>
            <w:gridSpan w:val="3"/>
            <w:shd w:val="clear" w:color="auto" w:fill="CCEEFF"/>
            <w:tcMar>
              <w:top w:w="0" w:type="dxa"/>
              <w:left w:w="20" w:type="dxa"/>
              <w:bottom w:w="0" w:type="dxa"/>
              <w:right w:w="20" w:type="dxa"/>
            </w:tcMar>
            <w:vAlign w:val="bottom"/>
          </w:tcPr>
          <w:p w14:paraId="518B4E4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4B" w14:textId="77777777" w:rsidR="005C332D" w:rsidRDefault="00B93EAE">
            <w:pPr>
              <w:jc w:val="right"/>
              <w:textAlignment w:val="bottom"/>
            </w:pPr>
            <w:r>
              <w:rPr>
                <w:rFonts w:ascii="Times New Roman" w:eastAsia="宋体" w:hAnsi="Times New Roman"/>
                <w:b/>
                <w:bCs/>
                <w:color w:val="000000"/>
                <w:sz w:val="20"/>
                <w:szCs w:val="20"/>
              </w:rPr>
              <w:t>9,085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E4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4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4E" w14:textId="77777777" w:rsidR="005C332D" w:rsidRDefault="00B93EAE">
            <w:pPr>
              <w:jc w:val="right"/>
              <w:textAlignment w:val="bottom"/>
            </w:pPr>
            <w:r>
              <w:rPr>
                <w:rFonts w:ascii="Times New Roman" w:eastAsia="宋体" w:hAnsi="Times New Roman"/>
                <w:color w:val="000000"/>
                <w:sz w:val="20"/>
                <w:szCs w:val="20"/>
              </w:rPr>
              <w:t>9,259 </w:t>
            </w:r>
          </w:p>
        </w:tc>
        <w:tc>
          <w:tcPr>
            <w:tcW w:w="0" w:type="auto"/>
            <w:shd w:val="clear" w:color="auto" w:fill="CCEEFF"/>
            <w:tcMar>
              <w:top w:w="40" w:type="dxa"/>
              <w:left w:w="0" w:type="dxa"/>
              <w:bottom w:w="40" w:type="dxa"/>
              <w:right w:w="20" w:type="dxa"/>
            </w:tcMar>
            <w:vAlign w:val="bottom"/>
          </w:tcPr>
          <w:p w14:paraId="518B4E4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5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51" w14:textId="77777777" w:rsidR="005C332D" w:rsidRDefault="00B93EAE">
            <w:pPr>
              <w:jc w:val="right"/>
              <w:textAlignment w:val="bottom"/>
            </w:pPr>
            <w:r>
              <w:rPr>
                <w:rFonts w:ascii="Times New Roman" w:eastAsia="宋体" w:hAnsi="Times New Roman"/>
                <w:color w:val="000000"/>
                <w:sz w:val="20"/>
                <w:szCs w:val="20"/>
              </w:rPr>
              <w:t>9,169 </w:t>
            </w:r>
          </w:p>
        </w:tc>
        <w:tc>
          <w:tcPr>
            <w:tcW w:w="0" w:type="auto"/>
            <w:shd w:val="clear" w:color="auto" w:fill="CCEEFF"/>
            <w:tcMar>
              <w:top w:w="40" w:type="dxa"/>
              <w:left w:w="0" w:type="dxa"/>
              <w:bottom w:w="40" w:type="dxa"/>
              <w:right w:w="20" w:type="dxa"/>
            </w:tcMar>
            <w:vAlign w:val="bottom"/>
          </w:tcPr>
          <w:p w14:paraId="518B4E5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5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54" w14:textId="77777777" w:rsidR="005C332D" w:rsidRDefault="00B93EAE">
            <w:pPr>
              <w:jc w:val="right"/>
              <w:textAlignment w:val="bottom"/>
            </w:pPr>
            <w:r>
              <w:rPr>
                <w:rFonts w:ascii="Times New Roman" w:eastAsia="宋体" w:hAnsi="Times New Roman"/>
                <w:color w:val="000000"/>
                <w:sz w:val="20"/>
                <w:szCs w:val="20"/>
              </w:rPr>
              <w:t>(174)</w:t>
            </w:r>
          </w:p>
        </w:tc>
        <w:tc>
          <w:tcPr>
            <w:tcW w:w="0" w:type="auto"/>
            <w:shd w:val="clear" w:color="auto" w:fill="CCEEFF"/>
            <w:tcMar>
              <w:top w:w="40" w:type="dxa"/>
              <w:left w:w="0" w:type="dxa"/>
              <w:bottom w:w="40" w:type="dxa"/>
              <w:right w:w="20" w:type="dxa"/>
            </w:tcMar>
            <w:vAlign w:val="bottom"/>
          </w:tcPr>
          <w:p w14:paraId="518B4E5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5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57"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518B4E58"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E68" w14:textId="77777777">
        <w:tc>
          <w:tcPr>
            <w:tcW w:w="0" w:type="auto"/>
            <w:gridSpan w:val="3"/>
            <w:shd w:val="clear" w:color="auto" w:fill="FFFFFF"/>
            <w:tcMar>
              <w:top w:w="40" w:type="dxa"/>
              <w:left w:w="20" w:type="dxa"/>
              <w:bottom w:w="40" w:type="dxa"/>
              <w:right w:w="20" w:type="dxa"/>
            </w:tcMar>
            <w:vAlign w:val="bottom"/>
          </w:tcPr>
          <w:p w14:paraId="518B4E5A" w14:textId="77777777" w:rsidR="005C332D" w:rsidRDefault="00B93EAE">
            <w:pPr>
              <w:textAlignment w:val="bottom"/>
            </w:pPr>
            <w:r>
              <w:rPr>
                <w:rFonts w:ascii="Times New Roman" w:eastAsia="宋体" w:hAnsi="Times New Roman"/>
                <w:i/>
                <w:iCs/>
                <w:color w:val="000000"/>
                <w:sz w:val="18"/>
                <w:szCs w:val="18"/>
              </w:rPr>
              <w:t>Percentage of revenue</w:t>
            </w:r>
          </w:p>
        </w:tc>
        <w:tc>
          <w:tcPr>
            <w:tcW w:w="0" w:type="auto"/>
            <w:gridSpan w:val="3"/>
            <w:shd w:val="clear" w:color="auto" w:fill="FFFFFF"/>
            <w:tcMar>
              <w:top w:w="0" w:type="dxa"/>
              <w:left w:w="20" w:type="dxa"/>
              <w:bottom w:w="0" w:type="dxa"/>
              <w:right w:w="20" w:type="dxa"/>
            </w:tcMar>
            <w:vAlign w:val="bottom"/>
          </w:tcPr>
          <w:p w14:paraId="518B4E5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E5C" w14:textId="77777777" w:rsidR="005C332D" w:rsidRDefault="00B93EAE">
            <w:pPr>
              <w:jc w:val="right"/>
              <w:textAlignment w:val="bottom"/>
            </w:pPr>
            <w:r>
              <w:rPr>
                <w:rFonts w:ascii="Times New Roman" w:eastAsia="宋体" w:hAnsi="Times New Roman"/>
                <w:b/>
                <w:bCs/>
                <w:i/>
                <w:iCs/>
                <w:color w:val="000000"/>
                <w:sz w:val="18"/>
                <w:szCs w:val="18"/>
              </w:rPr>
              <w:t>17.6</w:t>
            </w:r>
            <w:r>
              <w:rPr>
                <w:rFonts w:ascii="Times New Roman" w:eastAsia="宋体" w:hAnsi="Times New Roman"/>
                <w:i/>
                <w:iCs/>
                <w:color w:val="000000"/>
                <w:sz w:val="18"/>
                <w:szCs w:val="18"/>
              </w:rPr>
              <w:t> </w:t>
            </w:r>
          </w:p>
        </w:tc>
        <w:tc>
          <w:tcPr>
            <w:tcW w:w="0" w:type="auto"/>
            <w:shd w:val="clear" w:color="auto" w:fill="FFFFFF"/>
            <w:tcMar>
              <w:top w:w="40" w:type="dxa"/>
              <w:left w:w="0" w:type="dxa"/>
              <w:bottom w:w="40" w:type="dxa"/>
              <w:right w:w="20" w:type="dxa"/>
            </w:tcMar>
            <w:vAlign w:val="bottom"/>
          </w:tcPr>
          <w:p w14:paraId="518B4E5D" w14:textId="77777777" w:rsidR="005C332D" w:rsidRDefault="00B93EAE">
            <w:pPr>
              <w:jc w:val="right"/>
              <w:textAlignment w:val="bottom"/>
            </w:pPr>
            <w:r>
              <w:rPr>
                <w:rFonts w:ascii="Times New Roman" w:eastAsia="宋体" w:hAnsi="Times New Roman"/>
                <w:b/>
                <w:bCs/>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5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E5F" w14:textId="77777777" w:rsidR="005C332D" w:rsidRDefault="00B93EAE">
            <w:pPr>
              <w:jc w:val="right"/>
              <w:textAlignment w:val="bottom"/>
            </w:pPr>
            <w:r>
              <w:rPr>
                <w:rFonts w:ascii="Times New Roman" w:eastAsia="宋体" w:hAnsi="Times New Roman"/>
                <w:i/>
                <w:iCs/>
                <w:color w:val="000000"/>
                <w:sz w:val="18"/>
                <w:szCs w:val="18"/>
              </w:rPr>
              <w:t>18.6 </w:t>
            </w:r>
          </w:p>
        </w:tc>
        <w:tc>
          <w:tcPr>
            <w:tcW w:w="0" w:type="auto"/>
            <w:shd w:val="clear" w:color="auto" w:fill="FFFFFF"/>
            <w:tcMar>
              <w:top w:w="40" w:type="dxa"/>
              <w:left w:w="0" w:type="dxa"/>
              <w:bottom w:w="40" w:type="dxa"/>
              <w:right w:w="20" w:type="dxa"/>
            </w:tcMar>
            <w:vAlign w:val="bottom"/>
          </w:tcPr>
          <w:p w14:paraId="518B4E60"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6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E62" w14:textId="77777777" w:rsidR="005C332D" w:rsidRDefault="00B93EAE">
            <w:pPr>
              <w:jc w:val="right"/>
              <w:textAlignment w:val="bottom"/>
            </w:pPr>
            <w:r>
              <w:rPr>
                <w:rFonts w:ascii="Times New Roman" w:eastAsia="宋体" w:hAnsi="Times New Roman"/>
                <w:i/>
                <w:iCs/>
                <w:color w:val="000000"/>
                <w:sz w:val="18"/>
                <w:szCs w:val="18"/>
              </w:rPr>
              <w:t>18.6 </w:t>
            </w:r>
          </w:p>
        </w:tc>
        <w:tc>
          <w:tcPr>
            <w:tcW w:w="0" w:type="auto"/>
            <w:shd w:val="clear" w:color="auto" w:fill="FFFFFF"/>
            <w:tcMar>
              <w:top w:w="40" w:type="dxa"/>
              <w:left w:w="0" w:type="dxa"/>
              <w:bottom w:w="40" w:type="dxa"/>
              <w:right w:w="20" w:type="dxa"/>
            </w:tcMar>
            <w:vAlign w:val="bottom"/>
          </w:tcPr>
          <w:p w14:paraId="518B4E63"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6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6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6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67" w14:textId="77777777" w:rsidR="005C332D" w:rsidRDefault="005C332D">
            <w:pPr>
              <w:rPr>
                <w:rFonts w:ascii="宋体"/>
              </w:rPr>
            </w:pPr>
          </w:p>
        </w:tc>
      </w:tr>
      <w:tr w:rsidR="005C332D" w14:paraId="518B4E79" w14:textId="77777777">
        <w:tc>
          <w:tcPr>
            <w:tcW w:w="0" w:type="auto"/>
            <w:gridSpan w:val="3"/>
            <w:shd w:val="clear" w:color="auto" w:fill="CCEEFF"/>
            <w:tcMar>
              <w:top w:w="40" w:type="dxa"/>
              <w:left w:w="20" w:type="dxa"/>
              <w:bottom w:w="40" w:type="dxa"/>
              <w:right w:w="20" w:type="dxa"/>
            </w:tcMar>
            <w:vAlign w:val="bottom"/>
          </w:tcPr>
          <w:p w14:paraId="518B4E69" w14:textId="77777777" w:rsidR="005C332D" w:rsidRDefault="00B93EAE">
            <w:pPr>
              <w:textAlignment w:val="bottom"/>
            </w:pPr>
            <w:r>
              <w:rPr>
                <w:rFonts w:ascii="Times New Roman" w:eastAsia="宋体" w:hAnsi="Times New Roman"/>
                <w:color w:val="000000"/>
                <w:sz w:val="20"/>
                <w:szCs w:val="20"/>
              </w:rPr>
              <w:t>General and administrative</w:t>
            </w:r>
          </w:p>
        </w:tc>
        <w:tc>
          <w:tcPr>
            <w:tcW w:w="0" w:type="auto"/>
            <w:gridSpan w:val="3"/>
            <w:shd w:val="clear" w:color="auto" w:fill="CCEEFF"/>
            <w:tcMar>
              <w:top w:w="0" w:type="dxa"/>
              <w:left w:w="20" w:type="dxa"/>
              <w:bottom w:w="0" w:type="dxa"/>
              <w:right w:w="20" w:type="dxa"/>
            </w:tcMar>
            <w:vAlign w:val="bottom"/>
          </w:tcPr>
          <w:p w14:paraId="518B4E6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6B" w14:textId="77777777" w:rsidR="005C332D" w:rsidRDefault="00B93EAE">
            <w:pPr>
              <w:jc w:val="right"/>
              <w:textAlignment w:val="bottom"/>
            </w:pPr>
            <w:r>
              <w:rPr>
                <w:rFonts w:ascii="Times New Roman" w:eastAsia="宋体" w:hAnsi="Times New Roman"/>
                <w:b/>
                <w:bCs/>
                <w:color w:val="000000"/>
                <w:sz w:val="20"/>
                <w:szCs w:val="20"/>
              </w:rPr>
              <w:t>2,101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E6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6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6E" w14:textId="77777777" w:rsidR="005C332D" w:rsidRDefault="00B93EAE">
            <w:pPr>
              <w:jc w:val="right"/>
              <w:textAlignment w:val="bottom"/>
            </w:pPr>
            <w:r>
              <w:rPr>
                <w:rFonts w:ascii="Times New Roman" w:eastAsia="宋体" w:hAnsi="Times New Roman"/>
                <w:color w:val="000000"/>
                <w:sz w:val="20"/>
                <w:szCs w:val="20"/>
              </w:rPr>
              <w:t>2,152 </w:t>
            </w:r>
          </w:p>
        </w:tc>
        <w:tc>
          <w:tcPr>
            <w:tcW w:w="0" w:type="auto"/>
            <w:shd w:val="clear" w:color="auto" w:fill="CCEEFF"/>
            <w:tcMar>
              <w:top w:w="40" w:type="dxa"/>
              <w:left w:w="0" w:type="dxa"/>
              <w:bottom w:w="40" w:type="dxa"/>
              <w:right w:w="20" w:type="dxa"/>
            </w:tcMar>
            <w:vAlign w:val="bottom"/>
          </w:tcPr>
          <w:p w14:paraId="518B4E6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7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71" w14:textId="77777777" w:rsidR="005C332D" w:rsidRDefault="00B93EAE">
            <w:pPr>
              <w:jc w:val="right"/>
              <w:textAlignment w:val="bottom"/>
            </w:pPr>
            <w:r>
              <w:rPr>
                <w:rFonts w:ascii="Times New Roman" w:eastAsia="宋体" w:hAnsi="Times New Roman"/>
                <w:color w:val="000000"/>
                <w:sz w:val="20"/>
                <w:szCs w:val="20"/>
              </w:rPr>
              <w:t>1,925 </w:t>
            </w:r>
          </w:p>
        </w:tc>
        <w:tc>
          <w:tcPr>
            <w:tcW w:w="0" w:type="auto"/>
            <w:shd w:val="clear" w:color="auto" w:fill="CCEEFF"/>
            <w:tcMar>
              <w:top w:w="40" w:type="dxa"/>
              <w:left w:w="0" w:type="dxa"/>
              <w:bottom w:w="40" w:type="dxa"/>
              <w:right w:w="20" w:type="dxa"/>
            </w:tcMar>
            <w:vAlign w:val="bottom"/>
          </w:tcPr>
          <w:p w14:paraId="518B4E7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7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74" w14:textId="77777777" w:rsidR="005C332D" w:rsidRDefault="00B93EAE">
            <w:pPr>
              <w:jc w:val="right"/>
              <w:textAlignment w:val="bottom"/>
            </w:pPr>
            <w:r>
              <w:rPr>
                <w:rFonts w:ascii="Times New Roman" w:eastAsia="宋体" w:hAnsi="Times New Roman"/>
                <w:color w:val="000000"/>
                <w:sz w:val="20"/>
                <w:szCs w:val="20"/>
              </w:rPr>
              <w:t>(51)</w:t>
            </w:r>
          </w:p>
        </w:tc>
        <w:tc>
          <w:tcPr>
            <w:tcW w:w="0" w:type="auto"/>
            <w:shd w:val="clear" w:color="auto" w:fill="CCEEFF"/>
            <w:tcMar>
              <w:top w:w="40" w:type="dxa"/>
              <w:left w:w="0" w:type="dxa"/>
              <w:bottom w:w="40" w:type="dxa"/>
              <w:right w:w="20" w:type="dxa"/>
            </w:tcMar>
            <w:vAlign w:val="bottom"/>
          </w:tcPr>
          <w:p w14:paraId="518B4E7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7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77"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518B4E78"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E88" w14:textId="77777777">
        <w:tc>
          <w:tcPr>
            <w:tcW w:w="0" w:type="auto"/>
            <w:gridSpan w:val="3"/>
            <w:shd w:val="clear" w:color="auto" w:fill="FFFFFF"/>
            <w:tcMar>
              <w:top w:w="40" w:type="dxa"/>
              <w:left w:w="20" w:type="dxa"/>
              <w:bottom w:w="40" w:type="dxa"/>
              <w:right w:w="20" w:type="dxa"/>
            </w:tcMar>
            <w:vAlign w:val="bottom"/>
          </w:tcPr>
          <w:p w14:paraId="518B4E7A" w14:textId="77777777" w:rsidR="005C332D" w:rsidRDefault="00B93EAE">
            <w:pPr>
              <w:textAlignment w:val="bottom"/>
            </w:pPr>
            <w:r>
              <w:rPr>
                <w:rFonts w:ascii="Times New Roman" w:eastAsia="宋体" w:hAnsi="Times New Roman"/>
                <w:i/>
                <w:iCs/>
                <w:color w:val="000000"/>
                <w:sz w:val="18"/>
                <w:szCs w:val="18"/>
              </w:rPr>
              <w:t>Percentage of revenue</w:t>
            </w:r>
          </w:p>
        </w:tc>
        <w:tc>
          <w:tcPr>
            <w:tcW w:w="0" w:type="auto"/>
            <w:gridSpan w:val="3"/>
            <w:shd w:val="clear" w:color="auto" w:fill="FFFFFF"/>
            <w:tcMar>
              <w:top w:w="0" w:type="dxa"/>
              <w:left w:w="20" w:type="dxa"/>
              <w:bottom w:w="0" w:type="dxa"/>
              <w:right w:w="20" w:type="dxa"/>
            </w:tcMar>
            <w:vAlign w:val="bottom"/>
          </w:tcPr>
          <w:p w14:paraId="518B4E7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E7C" w14:textId="77777777" w:rsidR="005C332D" w:rsidRDefault="00B93EAE">
            <w:pPr>
              <w:jc w:val="right"/>
              <w:textAlignment w:val="bottom"/>
            </w:pPr>
            <w:r>
              <w:rPr>
                <w:rFonts w:ascii="Times New Roman" w:eastAsia="宋体" w:hAnsi="Times New Roman"/>
                <w:b/>
                <w:bCs/>
                <w:i/>
                <w:iCs/>
                <w:color w:val="000000"/>
                <w:sz w:val="18"/>
                <w:szCs w:val="18"/>
              </w:rPr>
              <w:t>4.1</w:t>
            </w:r>
            <w:r>
              <w:rPr>
                <w:rFonts w:ascii="Times New Roman" w:eastAsia="宋体" w:hAnsi="Times New Roman"/>
                <w:i/>
                <w:iCs/>
                <w:color w:val="000000"/>
                <w:sz w:val="18"/>
                <w:szCs w:val="18"/>
              </w:rPr>
              <w:t> </w:t>
            </w:r>
          </w:p>
        </w:tc>
        <w:tc>
          <w:tcPr>
            <w:tcW w:w="0" w:type="auto"/>
            <w:shd w:val="clear" w:color="auto" w:fill="FFFFFF"/>
            <w:tcMar>
              <w:top w:w="40" w:type="dxa"/>
              <w:left w:w="0" w:type="dxa"/>
              <w:bottom w:w="40" w:type="dxa"/>
              <w:right w:w="20" w:type="dxa"/>
            </w:tcMar>
            <w:vAlign w:val="bottom"/>
          </w:tcPr>
          <w:p w14:paraId="518B4E7D" w14:textId="77777777" w:rsidR="005C332D" w:rsidRDefault="00B93EAE">
            <w:pPr>
              <w:jc w:val="right"/>
              <w:textAlignment w:val="bottom"/>
            </w:pPr>
            <w:r>
              <w:rPr>
                <w:rFonts w:ascii="Times New Roman" w:eastAsia="宋体" w:hAnsi="Times New Roman"/>
                <w:b/>
                <w:bCs/>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7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E7F" w14:textId="77777777" w:rsidR="005C332D" w:rsidRDefault="00B93EAE">
            <w:pPr>
              <w:jc w:val="right"/>
              <w:textAlignment w:val="bottom"/>
            </w:pPr>
            <w:r>
              <w:rPr>
                <w:rFonts w:ascii="Times New Roman" w:eastAsia="宋体" w:hAnsi="Times New Roman"/>
                <w:i/>
                <w:iCs/>
                <w:color w:val="000000"/>
                <w:sz w:val="18"/>
                <w:szCs w:val="18"/>
              </w:rPr>
              <w:t>4.3 </w:t>
            </w:r>
          </w:p>
        </w:tc>
        <w:tc>
          <w:tcPr>
            <w:tcW w:w="0" w:type="auto"/>
            <w:shd w:val="clear" w:color="auto" w:fill="FFFFFF"/>
            <w:tcMar>
              <w:top w:w="40" w:type="dxa"/>
              <w:left w:w="0" w:type="dxa"/>
              <w:bottom w:w="40" w:type="dxa"/>
              <w:right w:w="20" w:type="dxa"/>
            </w:tcMar>
            <w:vAlign w:val="bottom"/>
          </w:tcPr>
          <w:p w14:paraId="518B4E80"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8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E82" w14:textId="77777777" w:rsidR="005C332D" w:rsidRDefault="00B93EAE">
            <w:pPr>
              <w:jc w:val="right"/>
              <w:textAlignment w:val="bottom"/>
            </w:pPr>
            <w:r>
              <w:rPr>
                <w:rFonts w:ascii="Times New Roman" w:eastAsia="宋体" w:hAnsi="Times New Roman"/>
                <w:i/>
                <w:iCs/>
                <w:color w:val="000000"/>
                <w:sz w:val="18"/>
                <w:szCs w:val="18"/>
              </w:rPr>
              <w:t>3.9 </w:t>
            </w:r>
          </w:p>
        </w:tc>
        <w:tc>
          <w:tcPr>
            <w:tcW w:w="0" w:type="auto"/>
            <w:shd w:val="clear" w:color="auto" w:fill="FFFFFF"/>
            <w:tcMar>
              <w:top w:w="40" w:type="dxa"/>
              <w:left w:w="0" w:type="dxa"/>
              <w:bottom w:w="40" w:type="dxa"/>
              <w:right w:w="20" w:type="dxa"/>
            </w:tcMar>
            <w:vAlign w:val="bottom"/>
          </w:tcPr>
          <w:p w14:paraId="518B4E83"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8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8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8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87" w14:textId="77777777" w:rsidR="005C332D" w:rsidRDefault="005C332D">
            <w:pPr>
              <w:rPr>
                <w:rFonts w:ascii="宋体"/>
              </w:rPr>
            </w:pPr>
          </w:p>
        </w:tc>
      </w:tr>
      <w:tr w:rsidR="005C332D" w14:paraId="518B4E9D" w14:textId="77777777">
        <w:tc>
          <w:tcPr>
            <w:tcW w:w="0" w:type="auto"/>
            <w:gridSpan w:val="3"/>
            <w:shd w:val="clear" w:color="auto" w:fill="CCEEFF"/>
            <w:tcMar>
              <w:top w:w="40" w:type="dxa"/>
              <w:left w:w="380" w:type="dxa"/>
              <w:bottom w:w="40" w:type="dxa"/>
              <w:right w:w="20" w:type="dxa"/>
            </w:tcMar>
            <w:vAlign w:val="bottom"/>
          </w:tcPr>
          <w:p w14:paraId="518B4E89" w14:textId="77777777" w:rsidR="005C332D" w:rsidRDefault="00B93EAE">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4E8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E8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E8C" w14:textId="77777777" w:rsidR="005C332D" w:rsidRDefault="00B93EAE">
            <w:pPr>
              <w:jc w:val="right"/>
              <w:textAlignment w:val="bottom"/>
            </w:pPr>
            <w:r>
              <w:rPr>
                <w:rFonts w:ascii="Times New Roman" w:eastAsia="宋体" w:hAnsi="Times New Roman"/>
                <w:b/>
                <w:bCs/>
                <w:color w:val="000000"/>
                <w:sz w:val="20"/>
                <w:szCs w:val="20"/>
              </w:rPr>
              <w:t>17,960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E8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8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E8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E90" w14:textId="77777777" w:rsidR="005C332D" w:rsidRDefault="00B93EAE">
            <w:pPr>
              <w:jc w:val="right"/>
              <w:textAlignment w:val="bottom"/>
            </w:pPr>
            <w:r>
              <w:rPr>
                <w:rFonts w:ascii="Times New Roman" w:eastAsia="宋体" w:hAnsi="Times New Roman"/>
                <w:color w:val="000000"/>
                <w:sz w:val="20"/>
                <w:szCs w:val="20"/>
              </w:rPr>
              <w:t>17,960 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E9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9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E9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E94" w14:textId="77777777" w:rsidR="005C332D" w:rsidRDefault="00B93EAE">
            <w:pPr>
              <w:jc w:val="right"/>
              <w:textAlignment w:val="bottom"/>
            </w:pPr>
            <w:r>
              <w:rPr>
                <w:rFonts w:ascii="Times New Roman" w:eastAsia="宋体" w:hAnsi="Times New Roman"/>
                <w:color w:val="000000"/>
                <w:sz w:val="20"/>
                <w:szCs w:val="20"/>
              </w:rPr>
              <w:t>17,441 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E9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9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E9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E98"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E9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9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9B"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E9C"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4EAC" w14:textId="77777777">
        <w:tc>
          <w:tcPr>
            <w:tcW w:w="0" w:type="auto"/>
            <w:gridSpan w:val="3"/>
            <w:shd w:val="clear" w:color="auto" w:fill="FFFFFF"/>
            <w:tcMar>
              <w:top w:w="40" w:type="dxa"/>
              <w:left w:w="380" w:type="dxa"/>
              <w:bottom w:w="40" w:type="dxa"/>
              <w:right w:w="20" w:type="dxa"/>
            </w:tcMar>
            <w:vAlign w:val="bottom"/>
          </w:tcPr>
          <w:p w14:paraId="518B4E9E" w14:textId="77777777" w:rsidR="005C332D" w:rsidRDefault="00B93EAE">
            <w:pPr>
              <w:textAlignment w:val="bottom"/>
            </w:pPr>
            <w:r>
              <w:rPr>
                <w:rFonts w:ascii="Times New Roman" w:eastAsia="宋体" w:hAnsi="Times New Roman"/>
                <w:i/>
                <w:iCs/>
                <w:color w:val="000000"/>
                <w:sz w:val="18"/>
                <w:szCs w:val="18"/>
              </w:rPr>
              <w:t>Percentage of revenue</w:t>
            </w:r>
          </w:p>
        </w:tc>
        <w:tc>
          <w:tcPr>
            <w:tcW w:w="0" w:type="auto"/>
            <w:gridSpan w:val="3"/>
            <w:shd w:val="clear" w:color="auto" w:fill="FFFFFF"/>
            <w:tcMar>
              <w:top w:w="0" w:type="dxa"/>
              <w:left w:w="20" w:type="dxa"/>
              <w:bottom w:w="0" w:type="dxa"/>
              <w:right w:w="20" w:type="dxa"/>
            </w:tcMar>
            <w:vAlign w:val="bottom"/>
          </w:tcPr>
          <w:p w14:paraId="518B4E9F" w14:textId="77777777" w:rsidR="005C332D" w:rsidRDefault="005C332D">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518B4EA0" w14:textId="77777777" w:rsidR="005C332D" w:rsidRDefault="00B93EAE">
            <w:pPr>
              <w:jc w:val="right"/>
              <w:textAlignment w:val="bottom"/>
            </w:pPr>
            <w:r>
              <w:rPr>
                <w:rFonts w:ascii="Times New Roman" w:eastAsia="宋体" w:hAnsi="Times New Roman"/>
                <w:b/>
                <w:bCs/>
                <w:i/>
                <w:iCs/>
                <w:color w:val="000000"/>
                <w:sz w:val="18"/>
                <w:szCs w:val="18"/>
              </w:rPr>
              <w:t>34.8</w:t>
            </w:r>
            <w:r>
              <w:rPr>
                <w:rFonts w:ascii="Times New Roman" w:eastAsia="宋体" w:hAnsi="Times New Roman"/>
                <w:i/>
                <w:iCs/>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518B4EA1" w14:textId="77777777" w:rsidR="005C332D" w:rsidRDefault="00B93EAE">
            <w:pPr>
              <w:jc w:val="right"/>
              <w:textAlignment w:val="bottom"/>
            </w:pPr>
            <w:r>
              <w:rPr>
                <w:rFonts w:ascii="Times New Roman" w:eastAsia="宋体" w:hAnsi="Times New Roman"/>
                <w:b/>
                <w:bCs/>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A2" w14:textId="77777777" w:rsidR="005C332D" w:rsidRDefault="005C332D">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518B4EA3" w14:textId="77777777" w:rsidR="005C332D" w:rsidRDefault="00B93EAE">
            <w:pPr>
              <w:jc w:val="right"/>
              <w:textAlignment w:val="bottom"/>
            </w:pPr>
            <w:r>
              <w:rPr>
                <w:rFonts w:ascii="Times New Roman" w:eastAsia="宋体" w:hAnsi="Times New Roman"/>
                <w:i/>
                <w:iCs/>
                <w:color w:val="000000"/>
                <w:sz w:val="18"/>
                <w:szCs w:val="18"/>
              </w:rPr>
              <w:t>36.1 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518B4EA4"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A5" w14:textId="77777777" w:rsidR="005C332D" w:rsidRDefault="005C332D">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518B4EA6" w14:textId="77777777" w:rsidR="005C332D" w:rsidRDefault="00B93EAE">
            <w:pPr>
              <w:jc w:val="right"/>
              <w:textAlignment w:val="bottom"/>
            </w:pPr>
            <w:r>
              <w:rPr>
                <w:rFonts w:ascii="Times New Roman" w:eastAsia="宋体" w:hAnsi="Times New Roman"/>
                <w:i/>
                <w:iCs/>
                <w:color w:val="000000"/>
                <w:sz w:val="18"/>
                <w:szCs w:val="18"/>
              </w:rPr>
              <w:t>35.4 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518B4EA7" w14:textId="77777777" w:rsidR="005C332D" w:rsidRDefault="00B93EAE">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518B4EA8" w14:textId="77777777" w:rsidR="005C332D" w:rsidRDefault="005C332D">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vAlign w:val="bottom"/>
          </w:tcPr>
          <w:p w14:paraId="518B4EA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A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4EAB" w14:textId="77777777" w:rsidR="005C332D" w:rsidRDefault="005C332D">
            <w:pPr>
              <w:rPr>
                <w:rFonts w:ascii="宋体"/>
              </w:rPr>
            </w:pPr>
          </w:p>
        </w:tc>
      </w:tr>
    </w:tbl>
    <w:p w14:paraId="518B4EAD" w14:textId="77777777" w:rsidR="005C332D" w:rsidRDefault="00B93EAE">
      <w:pPr>
        <w:spacing w:before="120"/>
        <w:jc w:val="both"/>
      </w:pPr>
      <w:r>
        <w:rPr>
          <w:rFonts w:ascii="Times New Roman" w:eastAsia="宋体" w:hAnsi="Times New Roman"/>
          <w:color w:val="000000"/>
          <w:sz w:val="20"/>
          <w:szCs w:val="20"/>
        </w:rPr>
        <w:t>Our fiscal 2022 had one less week compared with fiscal 2021, which had an extra week.</w:t>
      </w:r>
    </w:p>
    <w:p w14:paraId="518B4EAE" w14:textId="77777777" w:rsidR="005C332D" w:rsidRDefault="00B93EAE">
      <w:pPr>
        <w:spacing w:before="120"/>
        <w:jc w:val="both"/>
      </w:pPr>
      <w:r>
        <w:rPr>
          <w:rFonts w:ascii="Times New Roman" w:eastAsia="宋体" w:hAnsi="Times New Roman"/>
          <w:color w:val="000000"/>
          <w:sz w:val="20"/>
          <w:szCs w:val="20"/>
          <w:u w:val="single"/>
        </w:rPr>
        <w:t>R&amp;D Expenses</w:t>
      </w:r>
    </w:p>
    <w:p w14:paraId="518B4EAF" w14:textId="77777777" w:rsidR="005C332D" w:rsidRDefault="00B93EAE">
      <w:pPr>
        <w:spacing w:before="120"/>
        <w:jc w:val="both"/>
      </w:pPr>
      <w:r>
        <w:rPr>
          <w:rFonts w:ascii="Times New Roman" w:eastAsia="宋体" w:hAnsi="Times New Roman"/>
          <w:color w:val="000000"/>
          <w:sz w:val="20"/>
          <w:szCs w:val="20"/>
        </w:rPr>
        <w:t xml:space="preserve">R&amp;D expenses increased due to higher headcount-related expenses, higher share-based </w:t>
      </w:r>
      <w:r>
        <w:rPr>
          <w:rFonts w:ascii="Times New Roman" w:eastAsia="宋体" w:hAnsi="Times New Roman"/>
          <w:color w:val="000000"/>
          <w:sz w:val="20"/>
          <w:szCs w:val="20"/>
        </w:rPr>
        <w:t>compensation expense, higher acquisition-related costs and higher contracted services spending, partially offset by lower discretionary spending.</w:t>
      </w:r>
    </w:p>
    <w:p w14:paraId="518B4EB0" w14:textId="77777777" w:rsidR="005C332D" w:rsidRDefault="00B93EAE">
      <w:pPr>
        <w:jc w:val="center"/>
      </w:pPr>
      <w:r>
        <w:rPr>
          <w:rFonts w:ascii="Times New Roman" w:eastAsia="宋体" w:hAnsi="Times New Roman"/>
          <w:color w:val="000000"/>
          <w:sz w:val="20"/>
          <w:szCs w:val="20"/>
        </w:rPr>
        <w:t>43</w:t>
      </w:r>
    </w:p>
    <w:p w14:paraId="518B4EB1" w14:textId="77777777" w:rsidR="005C332D" w:rsidRDefault="00B93EAE">
      <w:r>
        <w:pict w14:anchorId="518B8740">
          <v:rect id="_x0000_i1069" style="width:415.3pt;height:1.5pt" o:hralign="center" o:hrstd="t" o:hr="t" fillcolor="#a0a0a0" stroked="f"/>
        </w:pict>
      </w:r>
    </w:p>
    <w:p w14:paraId="518B4EB2" w14:textId="77777777" w:rsidR="005C332D" w:rsidRDefault="00B93EAE">
      <w:hyperlink r:id="rId97" w:anchor="i049852cab38845aabd2a79d07dacda86_7" w:history="1">
        <w:r>
          <w:rPr>
            <w:rStyle w:val="a5"/>
            <w:rFonts w:ascii="Times New Roman" w:eastAsia="宋体" w:hAnsi="Times New Roman"/>
            <w:sz w:val="20"/>
            <w:szCs w:val="20"/>
          </w:rPr>
          <w:t>Table of Contents</w:t>
        </w:r>
      </w:hyperlink>
    </w:p>
    <w:p w14:paraId="518B4EB3" w14:textId="77777777" w:rsidR="005C332D" w:rsidRDefault="00B93EAE">
      <w:pPr>
        <w:spacing w:before="120"/>
        <w:jc w:val="both"/>
      </w:pPr>
      <w:r>
        <w:rPr>
          <w:rFonts w:ascii="Times New Roman" w:eastAsia="宋体" w:hAnsi="Times New Roman"/>
          <w:color w:val="000000"/>
          <w:sz w:val="20"/>
          <w:szCs w:val="20"/>
        </w:rPr>
        <w:t>We continue to invest in R&amp;D in order to bring a broad range of products to market in a timely fashion. If we believe that we are unable to enter a particular market in a timely manner with inte</w:t>
      </w:r>
      <w:r>
        <w:rPr>
          <w:rFonts w:ascii="Times New Roman" w:eastAsia="宋体" w:hAnsi="Times New Roman"/>
          <w:color w:val="000000"/>
          <w:sz w:val="20"/>
          <w:szCs w:val="20"/>
        </w:rPr>
        <w:t xml:space="preserve">rnally developed products, we may purchase or license technology from other businesses, or we may partner with or acquire businesses as an alternative to internal R&amp;D. </w:t>
      </w:r>
    </w:p>
    <w:p w14:paraId="518B4EB4" w14:textId="77777777" w:rsidR="005C332D" w:rsidRDefault="00B93EAE">
      <w:pPr>
        <w:spacing w:before="120"/>
        <w:jc w:val="both"/>
      </w:pPr>
      <w:r>
        <w:rPr>
          <w:rFonts w:ascii="Times New Roman" w:eastAsia="宋体" w:hAnsi="Times New Roman"/>
          <w:color w:val="000000"/>
          <w:sz w:val="20"/>
          <w:szCs w:val="20"/>
          <w:u w:val="single"/>
        </w:rPr>
        <w:t>Sales and Marketing Expenses</w:t>
      </w:r>
    </w:p>
    <w:p w14:paraId="518B4EB5" w14:textId="77777777" w:rsidR="005C332D" w:rsidRDefault="00B93EAE">
      <w:pPr>
        <w:spacing w:before="120"/>
        <w:jc w:val="both"/>
      </w:pPr>
      <w:r>
        <w:rPr>
          <w:rFonts w:ascii="Times New Roman" w:eastAsia="宋体" w:hAnsi="Times New Roman"/>
          <w:color w:val="000000"/>
          <w:sz w:val="20"/>
          <w:szCs w:val="20"/>
        </w:rPr>
        <w:t>Sales and marketing expenses decreased primarily due to lo</w:t>
      </w:r>
      <w:r>
        <w:rPr>
          <w:rFonts w:ascii="Times New Roman" w:eastAsia="宋体" w:hAnsi="Times New Roman"/>
          <w:color w:val="000000"/>
          <w:sz w:val="20"/>
          <w:szCs w:val="20"/>
        </w:rPr>
        <w:t>wer headcount-related expenses and lower contracted services spending, partially offset by higher discretionary spending, certain non-recurring charges recognized due to the Russia and Ukraine war and higher share-based compensation expense. The extra week</w:t>
      </w:r>
      <w:r>
        <w:rPr>
          <w:rFonts w:ascii="Times New Roman" w:eastAsia="宋体" w:hAnsi="Times New Roman"/>
          <w:color w:val="000000"/>
          <w:sz w:val="20"/>
          <w:szCs w:val="20"/>
        </w:rPr>
        <w:t xml:space="preserve"> in fiscal 2021 contributed to the decrease in headcount-related expenses.</w:t>
      </w:r>
    </w:p>
    <w:p w14:paraId="518B4EB6" w14:textId="77777777" w:rsidR="005C332D" w:rsidRDefault="00B93EAE">
      <w:pPr>
        <w:spacing w:before="120"/>
        <w:jc w:val="both"/>
      </w:pPr>
      <w:r>
        <w:rPr>
          <w:rFonts w:ascii="Times New Roman" w:eastAsia="宋体" w:hAnsi="Times New Roman"/>
          <w:color w:val="000000"/>
          <w:sz w:val="20"/>
          <w:szCs w:val="20"/>
          <w:u w:val="single"/>
        </w:rPr>
        <w:t>G&amp;A Expenses</w:t>
      </w:r>
    </w:p>
    <w:p w14:paraId="518B4EB7" w14:textId="77777777" w:rsidR="005C332D" w:rsidRDefault="00B93EAE">
      <w:pPr>
        <w:spacing w:before="120"/>
        <w:jc w:val="both"/>
      </w:pPr>
      <w:r>
        <w:rPr>
          <w:rFonts w:ascii="Times New Roman" w:eastAsia="宋体" w:hAnsi="Times New Roman"/>
          <w:color w:val="000000"/>
          <w:sz w:val="20"/>
          <w:szCs w:val="20"/>
        </w:rPr>
        <w:t>G&amp;A expenses decreased due to lower contracted services spending, partially offset by certain non-recurring charges recognized due to the Russia and Ukraine war.</w:t>
      </w:r>
    </w:p>
    <w:p w14:paraId="518B4EB8" w14:textId="77777777" w:rsidR="005C332D" w:rsidRDefault="00B93EAE">
      <w:pPr>
        <w:spacing w:before="120"/>
        <w:jc w:val="both"/>
      </w:pPr>
      <w:r>
        <w:rPr>
          <w:rFonts w:ascii="Times New Roman" w:eastAsia="宋体" w:hAnsi="Times New Roman"/>
          <w:color w:val="000000"/>
          <w:sz w:val="20"/>
          <w:szCs w:val="20"/>
          <w:u w:val="single"/>
        </w:rPr>
        <w:t>Effect</w:t>
      </w:r>
      <w:r>
        <w:rPr>
          <w:rFonts w:ascii="Times New Roman" w:eastAsia="宋体" w:hAnsi="Times New Roman"/>
          <w:color w:val="000000"/>
          <w:sz w:val="20"/>
          <w:szCs w:val="20"/>
          <w:u w:val="single"/>
        </w:rPr>
        <w:t xml:space="preserve"> of Foreign Currency</w:t>
      </w:r>
    </w:p>
    <w:p w14:paraId="518B4EB9" w14:textId="77777777" w:rsidR="005C332D" w:rsidRDefault="00B93EAE">
      <w:pPr>
        <w:spacing w:before="120"/>
        <w:jc w:val="both"/>
      </w:pPr>
      <w:r>
        <w:rPr>
          <w:rFonts w:ascii="Times New Roman" w:eastAsia="宋体" w:hAnsi="Times New Roman"/>
          <w:color w:val="000000"/>
          <w:sz w:val="20"/>
          <w:szCs w:val="20"/>
        </w:rPr>
        <w:t>In fiscal 2022, foreign currency fluctuations, net of hedging, decreased the combined R&amp;D, sales and marketing, and G&amp;A expenses by approximately $154 million, or 0.9%, compared with fiscal 2021.  </w:t>
      </w:r>
    </w:p>
    <w:p w14:paraId="518B4EBA" w14:textId="77777777" w:rsidR="005C332D" w:rsidRDefault="00B93EAE">
      <w:pPr>
        <w:spacing w:before="120"/>
        <w:jc w:val="both"/>
      </w:pPr>
      <w:r>
        <w:rPr>
          <w:rFonts w:ascii="Times New Roman" w:eastAsia="宋体" w:hAnsi="Times New Roman"/>
          <w:b/>
          <w:bCs/>
          <w:color w:val="000000"/>
          <w:sz w:val="20"/>
          <w:szCs w:val="20"/>
        </w:rPr>
        <w:t xml:space="preserve">Amortization of Purchased Intangible </w:t>
      </w:r>
      <w:r>
        <w:rPr>
          <w:rFonts w:ascii="Times New Roman" w:eastAsia="宋体" w:hAnsi="Times New Roman"/>
          <w:b/>
          <w:bCs/>
          <w:color w:val="000000"/>
          <w:sz w:val="20"/>
          <w:szCs w:val="20"/>
        </w:rPr>
        <w:t>Assets</w:t>
      </w:r>
    </w:p>
    <w:p w14:paraId="518B4EBB" w14:textId="77777777" w:rsidR="005C332D" w:rsidRDefault="00B93EAE">
      <w:pPr>
        <w:spacing w:before="120"/>
      </w:pPr>
      <w:r>
        <w:rPr>
          <w:rFonts w:ascii="Times New Roman" w:eastAsia="宋体" w:hAnsi="Times New Roman"/>
          <w:color w:val="000000"/>
          <w:sz w:val="20"/>
          <w:szCs w:val="20"/>
        </w:rPr>
        <w:t>The following table presents the amortization of purchased intangible assets including impairment charges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831"/>
        <w:gridCol w:w="37"/>
        <w:gridCol w:w="36"/>
        <w:gridCol w:w="36"/>
        <w:gridCol w:w="36"/>
        <w:gridCol w:w="120"/>
        <w:gridCol w:w="878"/>
        <w:gridCol w:w="36"/>
        <w:gridCol w:w="36"/>
        <w:gridCol w:w="36"/>
        <w:gridCol w:w="36"/>
        <w:gridCol w:w="120"/>
        <w:gridCol w:w="878"/>
        <w:gridCol w:w="36"/>
        <w:gridCol w:w="36"/>
        <w:gridCol w:w="36"/>
        <w:gridCol w:w="36"/>
        <w:gridCol w:w="120"/>
        <w:gridCol w:w="881"/>
        <w:gridCol w:w="36"/>
      </w:tblGrid>
      <w:tr w:rsidR="005C332D" w14:paraId="518B4ED1" w14:textId="77777777">
        <w:tc>
          <w:tcPr>
            <w:tcW w:w="50" w:type="pct"/>
            <w:shd w:val="clear" w:color="auto" w:fill="auto"/>
            <w:vAlign w:val="bottom"/>
          </w:tcPr>
          <w:p w14:paraId="518B4EBC" w14:textId="77777777" w:rsidR="005C332D" w:rsidRDefault="005C332D">
            <w:pPr>
              <w:rPr>
                <w:rFonts w:ascii="宋体"/>
              </w:rPr>
            </w:pPr>
          </w:p>
        </w:tc>
        <w:tc>
          <w:tcPr>
            <w:tcW w:w="2927" w:type="pct"/>
            <w:shd w:val="clear" w:color="auto" w:fill="auto"/>
            <w:vAlign w:val="bottom"/>
          </w:tcPr>
          <w:p w14:paraId="518B4EBD" w14:textId="77777777" w:rsidR="005C332D" w:rsidRDefault="005C332D">
            <w:pPr>
              <w:rPr>
                <w:rFonts w:ascii="宋体"/>
              </w:rPr>
            </w:pPr>
          </w:p>
        </w:tc>
        <w:tc>
          <w:tcPr>
            <w:tcW w:w="5" w:type="pct"/>
            <w:shd w:val="clear" w:color="auto" w:fill="auto"/>
            <w:vAlign w:val="bottom"/>
          </w:tcPr>
          <w:p w14:paraId="518B4EBE" w14:textId="77777777" w:rsidR="005C332D" w:rsidRDefault="005C332D">
            <w:pPr>
              <w:rPr>
                <w:rFonts w:ascii="宋体"/>
              </w:rPr>
            </w:pPr>
          </w:p>
        </w:tc>
        <w:tc>
          <w:tcPr>
            <w:tcW w:w="5" w:type="pct"/>
            <w:shd w:val="clear" w:color="auto" w:fill="auto"/>
            <w:vAlign w:val="bottom"/>
          </w:tcPr>
          <w:p w14:paraId="518B4EBF" w14:textId="77777777" w:rsidR="005C332D" w:rsidRDefault="005C332D">
            <w:pPr>
              <w:rPr>
                <w:rFonts w:ascii="宋体"/>
              </w:rPr>
            </w:pPr>
          </w:p>
        </w:tc>
        <w:tc>
          <w:tcPr>
            <w:tcW w:w="26" w:type="pct"/>
            <w:shd w:val="clear" w:color="auto" w:fill="auto"/>
            <w:vAlign w:val="bottom"/>
          </w:tcPr>
          <w:p w14:paraId="518B4EC0" w14:textId="77777777" w:rsidR="005C332D" w:rsidRDefault="005C332D">
            <w:pPr>
              <w:rPr>
                <w:rFonts w:ascii="宋体"/>
              </w:rPr>
            </w:pPr>
          </w:p>
        </w:tc>
        <w:tc>
          <w:tcPr>
            <w:tcW w:w="5" w:type="pct"/>
            <w:shd w:val="clear" w:color="auto" w:fill="auto"/>
            <w:vAlign w:val="bottom"/>
          </w:tcPr>
          <w:p w14:paraId="518B4EC1" w14:textId="77777777" w:rsidR="005C332D" w:rsidRDefault="005C332D">
            <w:pPr>
              <w:rPr>
                <w:rFonts w:ascii="宋体"/>
              </w:rPr>
            </w:pPr>
          </w:p>
        </w:tc>
        <w:tc>
          <w:tcPr>
            <w:tcW w:w="50" w:type="pct"/>
            <w:shd w:val="clear" w:color="auto" w:fill="auto"/>
            <w:vAlign w:val="bottom"/>
          </w:tcPr>
          <w:p w14:paraId="518B4EC2" w14:textId="77777777" w:rsidR="005C332D" w:rsidRDefault="005C332D">
            <w:pPr>
              <w:rPr>
                <w:rFonts w:ascii="宋体"/>
              </w:rPr>
            </w:pPr>
          </w:p>
        </w:tc>
        <w:tc>
          <w:tcPr>
            <w:tcW w:w="580" w:type="pct"/>
            <w:shd w:val="clear" w:color="auto" w:fill="auto"/>
            <w:vAlign w:val="bottom"/>
          </w:tcPr>
          <w:p w14:paraId="518B4EC3" w14:textId="77777777" w:rsidR="005C332D" w:rsidRDefault="005C332D">
            <w:pPr>
              <w:rPr>
                <w:rFonts w:ascii="宋体"/>
              </w:rPr>
            </w:pPr>
          </w:p>
        </w:tc>
        <w:tc>
          <w:tcPr>
            <w:tcW w:w="5" w:type="pct"/>
            <w:shd w:val="clear" w:color="auto" w:fill="auto"/>
            <w:vAlign w:val="bottom"/>
          </w:tcPr>
          <w:p w14:paraId="518B4EC4" w14:textId="77777777" w:rsidR="005C332D" w:rsidRDefault="005C332D">
            <w:pPr>
              <w:rPr>
                <w:rFonts w:ascii="宋体"/>
              </w:rPr>
            </w:pPr>
          </w:p>
        </w:tc>
        <w:tc>
          <w:tcPr>
            <w:tcW w:w="5" w:type="pct"/>
            <w:shd w:val="clear" w:color="auto" w:fill="auto"/>
            <w:vAlign w:val="bottom"/>
          </w:tcPr>
          <w:p w14:paraId="518B4EC5" w14:textId="77777777" w:rsidR="005C332D" w:rsidRDefault="005C332D">
            <w:pPr>
              <w:rPr>
                <w:rFonts w:ascii="宋体"/>
              </w:rPr>
            </w:pPr>
          </w:p>
        </w:tc>
        <w:tc>
          <w:tcPr>
            <w:tcW w:w="26" w:type="pct"/>
            <w:shd w:val="clear" w:color="auto" w:fill="auto"/>
            <w:vAlign w:val="bottom"/>
          </w:tcPr>
          <w:p w14:paraId="518B4EC6" w14:textId="77777777" w:rsidR="005C332D" w:rsidRDefault="005C332D">
            <w:pPr>
              <w:rPr>
                <w:rFonts w:ascii="宋体"/>
              </w:rPr>
            </w:pPr>
          </w:p>
        </w:tc>
        <w:tc>
          <w:tcPr>
            <w:tcW w:w="5" w:type="pct"/>
            <w:shd w:val="clear" w:color="auto" w:fill="auto"/>
            <w:vAlign w:val="bottom"/>
          </w:tcPr>
          <w:p w14:paraId="518B4EC7" w14:textId="77777777" w:rsidR="005C332D" w:rsidRDefault="005C332D">
            <w:pPr>
              <w:rPr>
                <w:rFonts w:ascii="宋体"/>
              </w:rPr>
            </w:pPr>
          </w:p>
        </w:tc>
        <w:tc>
          <w:tcPr>
            <w:tcW w:w="50" w:type="pct"/>
            <w:shd w:val="clear" w:color="auto" w:fill="auto"/>
            <w:vAlign w:val="bottom"/>
          </w:tcPr>
          <w:p w14:paraId="518B4EC8" w14:textId="77777777" w:rsidR="005C332D" w:rsidRDefault="005C332D">
            <w:pPr>
              <w:rPr>
                <w:rFonts w:ascii="宋体"/>
              </w:rPr>
            </w:pPr>
          </w:p>
        </w:tc>
        <w:tc>
          <w:tcPr>
            <w:tcW w:w="580" w:type="pct"/>
            <w:shd w:val="clear" w:color="auto" w:fill="auto"/>
            <w:vAlign w:val="bottom"/>
          </w:tcPr>
          <w:p w14:paraId="518B4EC9" w14:textId="77777777" w:rsidR="005C332D" w:rsidRDefault="005C332D">
            <w:pPr>
              <w:rPr>
                <w:rFonts w:ascii="宋体"/>
              </w:rPr>
            </w:pPr>
          </w:p>
        </w:tc>
        <w:tc>
          <w:tcPr>
            <w:tcW w:w="5" w:type="pct"/>
            <w:shd w:val="clear" w:color="auto" w:fill="auto"/>
            <w:vAlign w:val="bottom"/>
          </w:tcPr>
          <w:p w14:paraId="518B4ECA" w14:textId="77777777" w:rsidR="005C332D" w:rsidRDefault="005C332D">
            <w:pPr>
              <w:rPr>
                <w:rFonts w:ascii="宋体"/>
              </w:rPr>
            </w:pPr>
          </w:p>
        </w:tc>
        <w:tc>
          <w:tcPr>
            <w:tcW w:w="5" w:type="pct"/>
            <w:shd w:val="clear" w:color="auto" w:fill="auto"/>
            <w:vAlign w:val="bottom"/>
          </w:tcPr>
          <w:p w14:paraId="518B4ECB" w14:textId="77777777" w:rsidR="005C332D" w:rsidRDefault="005C332D">
            <w:pPr>
              <w:rPr>
                <w:rFonts w:ascii="宋体"/>
              </w:rPr>
            </w:pPr>
          </w:p>
        </w:tc>
        <w:tc>
          <w:tcPr>
            <w:tcW w:w="26" w:type="pct"/>
            <w:shd w:val="clear" w:color="auto" w:fill="auto"/>
            <w:vAlign w:val="bottom"/>
          </w:tcPr>
          <w:p w14:paraId="518B4ECC" w14:textId="77777777" w:rsidR="005C332D" w:rsidRDefault="005C332D">
            <w:pPr>
              <w:rPr>
                <w:rFonts w:ascii="宋体"/>
              </w:rPr>
            </w:pPr>
          </w:p>
        </w:tc>
        <w:tc>
          <w:tcPr>
            <w:tcW w:w="5" w:type="pct"/>
            <w:shd w:val="clear" w:color="auto" w:fill="auto"/>
            <w:vAlign w:val="bottom"/>
          </w:tcPr>
          <w:p w14:paraId="518B4ECD" w14:textId="77777777" w:rsidR="005C332D" w:rsidRDefault="005C332D">
            <w:pPr>
              <w:rPr>
                <w:rFonts w:ascii="宋体"/>
              </w:rPr>
            </w:pPr>
          </w:p>
        </w:tc>
        <w:tc>
          <w:tcPr>
            <w:tcW w:w="50" w:type="pct"/>
            <w:shd w:val="clear" w:color="auto" w:fill="auto"/>
            <w:vAlign w:val="bottom"/>
          </w:tcPr>
          <w:p w14:paraId="518B4ECE" w14:textId="77777777" w:rsidR="005C332D" w:rsidRDefault="005C332D">
            <w:pPr>
              <w:rPr>
                <w:rFonts w:ascii="宋体"/>
              </w:rPr>
            </w:pPr>
          </w:p>
        </w:tc>
        <w:tc>
          <w:tcPr>
            <w:tcW w:w="581" w:type="pct"/>
            <w:shd w:val="clear" w:color="auto" w:fill="auto"/>
            <w:vAlign w:val="bottom"/>
          </w:tcPr>
          <w:p w14:paraId="518B4ECF" w14:textId="77777777" w:rsidR="005C332D" w:rsidRDefault="005C332D">
            <w:pPr>
              <w:rPr>
                <w:rFonts w:ascii="宋体"/>
              </w:rPr>
            </w:pPr>
          </w:p>
        </w:tc>
        <w:tc>
          <w:tcPr>
            <w:tcW w:w="5" w:type="pct"/>
            <w:shd w:val="clear" w:color="auto" w:fill="auto"/>
            <w:vAlign w:val="bottom"/>
          </w:tcPr>
          <w:p w14:paraId="518B4ED0" w14:textId="77777777" w:rsidR="005C332D" w:rsidRDefault="005C332D">
            <w:pPr>
              <w:rPr>
                <w:rFonts w:ascii="宋体"/>
              </w:rPr>
            </w:pPr>
          </w:p>
        </w:tc>
      </w:tr>
      <w:tr w:rsidR="005C332D" w14:paraId="518B4ED9" w14:textId="77777777">
        <w:tc>
          <w:tcPr>
            <w:tcW w:w="0" w:type="auto"/>
            <w:gridSpan w:val="3"/>
            <w:shd w:val="clear" w:color="auto" w:fill="auto"/>
            <w:tcMar>
              <w:top w:w="40" w:type="dxa"/>
              <w:left w:w="20" w:type="dxa"/>
              <w:bottom w:w="40" w:type="dxa"/>
              <w:right w:w="20" w:type="dxa"/>
            </w:tcMar>
            <w:vAlign w:val="bottom"/>
          </w:tcPr>
          <w:p w14:paraId="518B4ED2" w14:textId="77777777" w:rsidR="005C332D" w:rsidRDefault="00B93EAE">
            <w:pPr>
              <w:textAlignment w:val="bottom"/>
            </w:pPr>
            <w:r>
              <w:rPr>
                <w:rFonts w:ascii="Times New Roman" w:eastAsia="宋体" w:hAnsi="Times New Roman"/>
                <w:color w:val="000000"/>
                <w:sz w:val="18"/>
                <w:szCs w:val="18"/>
                <w:u w:val="single"/>
              </w:rPr>
              <w:t>Years Ende</w:t>
            </w:r>
            <w:r>
              <w:rPr>
                <w:rFonts w:ascii="Times New Roman" w:eastAsia="宋体" w:hAnsi="Times New Roman"/>
                <w:color w:val="000000"/>
                <w:sz w:val="18"/>
                <w:szCs w:val="18"/>
                <w:u w:val="single"/>
              </w:rPr>
              <w:t>d</w:t>
            </w:r>
          </w:p>
        </w:tc>
        <w:tc>
          <w:tcPr>
            <w:tcW w:w="0" w:type="auto"/>
            <w:gridSpan w:val="3"/>
            <w:shd w:val="clear" w:color="auto" w:fill="auto"/>
            <w:tcMar>
              <w:top w:w="0" w:type="dxa"/>
              <w:left w:w="20" w:type="dxa"/>
              <w:bottom w:w="0" w:type="dxa"/>
              <w:right w:w="20" w:type="dxa"/>
            </w:tcMar>
            <w:vAlign w:val="bottom"/>
          </w:tcPr>
          <w:p w14:paraId="518B4ED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ED4"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4ED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ED6"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4ED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ED8"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4EE1" w14:textId="77777777">
        <w:tc>
          <w:tcPr>
            <w:tcW w:w="0" w:type="auto"/>
            <w:gridSpan w:val="3"/>
            <w:shd w:val="clear" w:color="auto" w:fill="CCEEFF"/>
            <w:tcMar>
              <w:top w:w="40" w:type="dxa"/>
              <w:left w:w="20" w:type="dxa"/>
              <w:bottom w:w="40" w:type="dxa"/>
              <w:right w:w="20" w:type="dxa"/>
            </w:tcMar>
          </w:tcPr>
          <w:p w14:paraId="518B4EDA" w14:textId="77777777" w:rsidR="005C332D" w:rsidRDefault="00B93EAE">
            <w:pPr>
              <w:textAlignment w:val="top"/>
            </w:pPr>
            <w:r>
              <w:rPr>
                <w:rFonts w:ascii="Times New Roman" w:eastAsia="宋体" w:hAnsi="Times New Roman"/>
                <w:color w:val="000000"/>
                <w:sz w:val="20"/>
                <w:szCs w:val="20"/>
              </w:rPr>
              <w:t>Amortization of purchased intangible assets:</w:t>
            </w:r>
          </w:p>
        </w:tc>
        <w:tc>
          <w:tcPr>
            <w:tcW w:w="0" w:type="auto"/>
            <w:gridSpan w:val="3"/>
            <w:shd w:val="clear" w:color="auto" w:fill="CCEEFF"/>
            <w:tcMar>
              <w:top w:w="0" w:type="dxa"/>
              <w:left w:w="20" w:type="dxa"/>
              <w:bottom w:w="0" w:type="dxa"/>
              <w:right w:w="20" w:type="dxa"/>
            </w:tcMar>
            <w:vAlign w:val="bottom"/>
          </w:tcPr>
          <w:p w14:paraId="518B4EDB"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ED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4EDD"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ED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4EDF"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EE0" w14:textId="77777777" w:rsidR="005C332D" w:rsidRDefault="005C332D">
            <w:pPr>
              <w:rPr>
                <w:rFonts w:ascii="宋体"/>
              </w:rPr>
            </w:pPr>
          </w:p>
        </w:tc>
      </w:tr>
      <w:tr w:rsidR="005C332D" w14:paraId="518B4EEF" w14:textId="77777777">
        <w:tc>
          <w:tcPr>
            <w:tcW w:w="0" w:type="auto"/>
            <w:gridSpan w:val="3"/>
            <w:shd w:val="clear" w:color="auto" w:fill="FFFFFF"/>
            <w:tcMar>
              <w:top w:w="40" w:type="dxa"/>
              <w:left w:w="380" w:type="dxa"/>
              <w:bottom w:w="40" w:type="dxa"/>
              <w:right w:w="20" w:type="dxa"/>
            </w:tcMar>
          </w:tcPr>
          <w:p w14:paraId="518B4EE2" w14:textId="77777777" w:rsidR="005C332D" w:rsidRDefault="00B93EAE">
            <w:pPr>
              <w:textAlignment w:val="top"/>
            </w:pPr>
            <w:r>
              <w:rPr>
                <w:rFonts w:ascii="Times New Roman" w:eastAsia="宋体" w:hAnsi="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bottom"/>
          </w:tcPr>
          <w:p w14:paraId="518B4EE3"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EE4"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4EE5" w14:textId="77777777" w:rsidR="005C332D" w:rsidRDefault="00B93EAE">
            <w:pPr>
              <w:jc w:val="right"/>
              <w:textAlignment w:val="bottom"/>
            </w:pPr>
            <w:r>
              <w:rPr>
                <w:rFonts w:ascii="Times New Roman" w:eastAsia="宋体" w:hAnsi="Times New Roman"/>
                <w:b/>
                <w:bCs/>
                <w:color w:val="000000"/>
                <w:sz w:val="20"/>
                <w:szCs w:val="20"/>
              </w:rPr>
              <w:t>749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EE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EE7"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EE8"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EE9" w14:textId="77777777" w:rsidR="005C332D" w:rsidRDefault="00B93EAE">
            <w:pPr>
              <w:jc w:val="right"/>
              <w:textAlignment w:val="bottom"/>
            </w:pPr>
            <w:r>
              <w:rPr>
                <w:rFonts w:ascii="Times New Roman" w:eastAsia="宋体" w:hAnsi="Times New Roman"/>
                <w:color w:val="000000"/>
                <w:sz w:val="20"/>
                <w:szCs w:val="20"/>
              </w:rPr>
              <w:t>716 </w:t>
            </w:r>
          </w:p>
        </w:tc>
        <w:tc>
          <w:tcPr>
            <w:tcW w:w="0" w:type="auto"/>
            <w:shd w:val="clear" w:color="auto" w:fill="FFFFFF"/>
            <w:tcMar>
              <w:top w:w="40" w:type="dxa"/>
              <w:left w:w="0" w:type="dxa"/>
              <w:bottom w:w="40" w:type="dxa"/>
              <w:right w:w="20" w:type="dxa"/>
            </w:tcMar>
            <w:vAlign w:val="bottom"/>
          </w:tcPr>
          <w:p w14:paraId="518B4EE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EEB"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4EEC"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4EED" w14:textId="77777777" w:rsidR="005C332D" w:rsidRDefault="00B93EAE">
            <w:pPr>
              <w:jc w:val="right"/>
              <w:textAlignment w:val="bottom"/>
            </w:pPr>
            <w:r>
              <w:rPr>
                <w:rFonts w:ascii="Times New Roman" w:eastAsia="宋体" w:hAnsi="Times New Roman"/>
                <w:color w:val="000000"/>
                <w:sz w:val="20"/>
                <w:szCs w:val="20"/>
              </w:rPr>
              <w:t>659 </w:t>
            </w:r>
          </w:p>
        </w:tc>
        <w:tc>
          <w:tcPr>
            <w:tcW w:w="0" w:type="auto"/>
            <w:shd w:val="clear" w:color="auto" w:fill="FFFFFF"/>
            <w:tcMar>
              <w:top w:w="40" w:type="dxa"/>
              <w:left w:w="0" w:type="dxa"/>
              <w:bottom w:w="40" w:type="dxa"/>
              <w:right w:w="20" w:type="dxa"/>
            </w:tcMar>
            <w:vAlign w:val="bottom"/>
          </w:tcPr>
          <w:p w14:paraId="518B4EEE" w14:textId="77777777" w:rsidR="005C332D" w:rsidRDefault="005C332D">
            <w:pPr>
              <w:jc w:val="right"/>
              <w:rPr>
                <w:rFonts w:ascii="宋体"/>
              </w:rPr>
            </w:pPr>
          </w:p>
        </w:tc>
      </w:tr>
      <w:tr w:rsidR="005C332D" w14:paraId="518B4EFA" w14:textId="77777777">
        <w:tc>
          <w:tcPr>
            <w:tcW w:w="0" w:type="auto"/>
            <w:gridSpan w:val="3"/>
            <w:shd w:val="clear" w:color="auto" w:fill="CCEEFF"/>
            <w:tcMar>
              <w:top w:w="40" w:type="dxa"/>
              <w:left w:w="380" w:type="dxa"/>
              <w:bottom w:w="40" w:type="dxa"/>
              <w:right w:w="20" w:type="dxa"/>
            </w:tcMar>
          </w:tcPr>
          <w:p w14:paraId="518B4EF0" w14:textId="77777777" w:rsidR="005C332D" w:rsidRDefault="00B93EAE">
            <w:pPr>
              <w:textAlignment w:val="top"/>
            </w:pPr>
            <w:r>
              <w:rPr>
                <w:rFonts w:ascii="Times New Roman" w:eastAsia="宋体" w:hAnsi="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bottom"/>
          </w:tcPr>
          <w:p w14:paraId="518B4EF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F2" w14:textId="77777777" w:rsidR="005C332D" w:rsidRDefault="00B93EAE">
            <w:pPr>
              <w:jc w:val="right"/>
              <w:textAlignment w:val="bottom"/>
            </w:pPr>
            <w:r>
              <w:rPr>
                <w:rFonts w:ascii="Times New Roman" w:eastAsia="宋体" w:hAnsi="Times New Roman"/>
                <w:b/>
                <w:bCs/>
                <w:color w:val="000000"/>
                <w:sz w:val="20"/>
                <w:szCs w:val="20"/>
              </w:rPr>
              <w:t>328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4EF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F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F5" w14:textId="77777777" w:rsidR="005C332D" w:rsidRDefault="00B93EAE">
            <w:pPr>
              <w:jc w:val="right"/>
              <w:textAlignment w:val="bottom"/>
            </w:pPr>
            <w:r>
              <w:rPr>
                <w:rFonts w:ascii="Times New Roman" w:eastAsia="宋体" w:hAnsi="Times New Roman"/>
                <w:color w:val="000000"/>
                <w:sz w:val="20"/>
                <w:szCs w:val="20"/>
              </w:rPr>
              <w:t>215 </w:t>
            </w:r>
          </w:p>
        </w:tc>
        <w:tc>
          <w:tcPr>
            <w:tcW w:w="0" w:type="auto"/>
            <w:shd w:val="clear" w:color="auto" w:fill="CCEEFF"/>
            <w:tcMar>
              <w:top w:w="40" w:type="dxa"/>
              <w:left w:w="0" w:type="dxa"/>
              <w:bottom w:w="40" w:type="dxa"/>
              <w:right w:w="20" w:type="dxa"/>
            </w:tcMar>
            <w:vAlign w:val="bottom"/>
          </w:tcPr>
          <w:p w14:paraId="518B4EF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EF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4EF8" w14:textId="77777777" w:rsidR="005C332D" w:rsidRDefault="00B93EAE">
            <w:pPr>
              <w:jc w:val="right"/>
              <w:textAlignment w:val="bottom"/>
            </w:pPr>
            <w:r>
              <w:rPr>
                <w:rFonts w:ascii="Times New Roman" w:eastAsia="宋体" w:hAnsi="Times New Roman"/>
                <w:color w:val="000000"/>
                <w:sz w:val="20"/>
                <w:szCs w:val="20"/>
              </w:rPr>
              <w:t>141 </w:t>
            </w:r>
          </w:p>
        </w:tc>
        <w:tc>
          <w:tcPr>
            <w:tcW w:w="0" w:type="auto"/>
            <w:shd w:val="clear" w:color="auto" w:fill="CCEEFF"/>
            <w:tcMar>
              <w:top w:w="40" w:type="dxa"/>
              <w:left w:w="0" w:type="dxa"/>
              <w:bottom w:w="40" w:type="dxa"/>
              <w:right w:w="20" w:type="dxa"/>
            </w:tcMar>
            <w:vAlign w:val="bottom"/>
          </w:tcPr>
          <w:p w14:paraId="518B4EF9" w14:textId="77777777" w:rsidR="005C332D" w:rsidRDefault="005C332D">
            <w:pPr>
              <w:jc w:val="right"/>
              <w:rPr>
                <w:rFonts w:ascii="宋体"/>
              </w:rPr>
            </w:pPr>
          </w:p>
        </w:tc>
      </w:tr>
      <w:tr w:rsidR="005C332D" w14:paraId="518B4F08" w14:textId="77777777">
        <w:tc>
          <w:tcPr>
            <w:tcW w:w="0" w:type="auto"/>
            <w:gridSpan w:val="3"/>
            <w:shd w:val="clear" w:color="auto" w:fill="FFFFFF"/>
            <w:tcMar>
              <w:top w:w="40" w:type="dxa"/>
              <w:left w:w="740" w:type="dxa"/>
              <w:bottom w:w="40" w:type="dxa"/>
              <w:right w:w="20" w:type="dxa"/>
            </w:tcMar>
          </w:tcPr>
          <w:p w14:paraId="518B4EFB"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518B4EFC"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4EF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4EFE" w14:textId="77777777" w:rsidR="005C332D" w:rsidRDefault="00B93EAE">
            <w:pPr>
              <w:jc w:val="right"/>
              <w:textAlignment w:val="bottom"/>
            </w:pPr>
            <w:r>
              <w:rPr>
                <w:rFonts w:ascii="Times New Roman" w:eastAsia="宋体" w:hAnsi="Times New Roman"/>
                <w:b/>
                <w:bCs/>
                <w:color w:val="000000"/>
                <w:sz w:val="20"/>
                <w:szCs w:val="20"/>
              </w:rPr>
              <w:t>1,077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4EF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F00"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4F0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4F02" w14:textId="77777777" w:rsidR="005C332D" w:rsidRDefault="00B93EAE">
            <w:pPr>
              <w:jc w:val="right"/>
              <w:textAlignment w:val="bottom"/>
            </w:pPr>
            <w:r>
              <w:rPr>
                <w:rFonts w:ascii="Times New Roman" w:eastAsia="宋体" w:hAnsi="Times New Roman"/>
                <w:color w:val="000000"/>
                <w:sz w:val="20"/>
                <w:szCs w:val="20"/>
              </w:rPr>
              <w:t>931 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4F0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F04"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4F0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4F06" w14:textId="77777777" w:rsidR="005C332D" w:rsidRDefault="00B93EAE">
            <w:pPr>
              <w:jc w:val="right"/>
              <w:textAlignment w:val="bottom"/>
            </w:pPr>
            <w:r>
              <w:rPr>
                <w:rFonts w:ascii="Times New Roman" w:eastAsia="宋体" w:hAnsi="Times New Roman"/>
                <w:color w:val="000000"/>
                <w:sz w:val="20"/>
                <w:szCs w:val="20"/>
              </w:rPr>
              <w:t>800 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4F07" w14:textId="77777777" w:rsidR="005C332D" w:rsidRDefault="005C332D">
            <w:pPr>
              <w:jc w:val="right"/>
              <w:rPr>
                <w:rFonts w:ascii="宋体"/>
              </w:rPr>
            </w:pPr>
          </w:p>
        </w:tc>
      </w:tr>
    </w:tbl>
    <w:p w14:paraId="518B4F09" w14:textId="77777777" w:rsidR="005C332D" w:rsidRDefault="00B93EAE">
      <w:pPr>
        <w:spacing w:before="120"/>
        <w:jc w:val="both"/>
      </w:pPr>
      <w:r>
        <w:rPr>
          <w:rFonts w:ascii="Times New Roman" w:eastAsia="宋体" w:hAnsi="Times New Roman"/>
          <w:color w:val="000000"/>
          <w:sz w:val="20"/>
          <w:szCs w:val="20"/>
        </w:rPr>
        <w:t>The increase in amortization of purchased intangible assets was due largely to the amortization of purchased intangibles from our recent acquisitions and impairment charges of $15 </w:t>
      </w:r>
      <w:r>
        <w:rPr>
          <w:rFonts w:ascii="Times New Roman" w:eastAsia="宋体" w:hAnsi="Times New Roman"/>
          <w:color w:val="000000"/>
          <w:sz w:val="20"/>
          <w:szCs w:val="20"/>
        </w:rPr>
        <w:t>million. The impairment charges were primarily due to declines in estimated fair value resulting from reductions in or the elimination of expected future cash flows associated with certain of our technology and in-process research and development (IPR&amp;D) i</w:t>
      </w:r>
      <w:r>
        <w:rPr>
          <w:rFonts w:ascii="Times New Roman" w:eastAsia="宋体" w:hAnsi="Times New Roman"/>
          <w:color w:val="000000"/>
          <w:sz w:val="20"/>
          <w:szCs w:val="20"/>
        </w:rPr>
        <w:t>ntangible assets.</w:t>
      </w:r>
    </w:p>
    <w:p w14:paraId="518B4F0A" w14:textId="77777777" w:rsidR="005C332D" w:rsidRDefault="00B93EAE">
      <w:pPr>
        <w:spacing w:before="120"/>
      </w:pPr>
      <w:r>
        <w:rPr>
          <w:rFonts w:ascii="Times New Roman" w:eastAsia="宋体" w:hAnsi="Times New Roman"/>
          <w:b/>
          <w:bCs/>
          <w:color w:val="000000"/>
          <w:sz w:val="20"/>
          <w:szCs w:val="20"/>
        </w:rPr>
        <w:t>Restructuring and Other Charges</w:t>
      </w:r>
    </w:p>
    <w:p w14:paraId="518B4F0B" w14:textId="77777777" w:rsidR="005C332D" w:rsidRDefault="00B93EAE">
      <w:pPr>
        <w:spacing w:before="120"/>
      </w:pPr>
      <w:r>
        <w:rPr>
          <w:rFonts w:ascii="Times New Roman" w:eastAsia="宋体" w:hAnsi="Times New Roman"/>
          <w:color w:val="000000"/>
          <w:sz w:val="20"/>
          <w:szCs w:val="20"/>
        </w:rPr>
        <w:t>The following table presents restructuring and other charges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2"/>
        <w:gridCol w:w="36"/>
        <w:gridCol w:w="36"/>
        <w:gridCol w:w="36"/>
        <w:gridCol w:w="36"/>
        <w:gridCol w:w="121"/>
        <w:gridCol w:w="878"/>
        <w:gridCol w:w="36"/>
        <w:gridCol w:w="36"/>
        <w:gridCol w:w="36"/>
        <w:gridCol w:w="36"/>
        <w:gridCol w:w="120"/>
        <w:gridCol w:w="878"/>
        <w:gridCol w:w="36"/>
        <w:gridCol w:w="36"/>
        <w:gridCol w:w="36"/>
        <w:gridCol w:w="36"/>
        <w:gridCol w:w="120"/>
        <w:gridCol w:w="881"/>
        <w:gridCol w:w="36"/>
      </w:tblGrid>
      <w:tr w:rsidR="005C332D" w14:paraId="518B4F21" w14:textId="77777777">
        <w:tc>
          <w:tcPr>
            <w:tcW w:w="50" w:type="pct"/>
            <w:shd w:val="clear" w:color="auto" w:fill="auto"/>
            <w:vAlign w:val="bottom"/>
          </w:tcPr>
          <w:p w14:paraId="518B4F0C" w14:textId="77777777" w:rsidR="005C332D" w:rsidRDefault="005C332D">
            <w:pPr>
              <w:rPr>
                <w:rFonts w:ascii="宋体"/>
              </w:rPr>
            </w:pPr>
          </w:p>
        </w:tc>
        <w:tc>
          <w:tcPr>
            <w:tcW w:w="2927" w:type="pct"/>
            <w:shd w:val="clear" w:color="auto" w:fill="auto"/>
            <w:vAlign w:val="bottom"/>
          </w:tcPr>
          <w:p w14:paraId="518B4F0D" w14:textId="77777777" w:rsidR="005C332D" w:rsidRDefault="005C332D">
            <w:pPr>
              <w:rPr>
                <w:rFonts w:ascii="宋体"/>
              </w:rPr>
            </w:pPr>
          </w:p>
        </w:tc>
        <w:tc>
          <w:tcPr>
            <w:tcW w:w="5" w:type="pct"/>
            <w:shd w:val="clear" w:color="auto" w:fill="auto"/>
            <w:vAlign w:val="bottom"/>
          </w:tcPr>
          <w:p w14:paraId="518B4F0E" w14:textId="77777777" w:rsidR="005C332D" w:rsidRDefault="005C332D">
            <w:pPr>
              <w:rPr>
                <w:rFonts w:ascii="宋体"/>
              </w:rPr>
            </w:pPr>
          </w:p>
        </w:tc>
        <w:tc>
          <w:tcPr>
            <w:tcW w:w="5" w:type="pct"/>
            <w:shd w:val="clear" w:color="auto" w:fill="auto"/>
            <w:vAlign w:val="bottom"/>
          </w:tcPr>
          <w:p w14:paraId="518B4F0F" w14:textId="77777777" w:rsidR="005C332D" w:rsidRDefault="005C332D">
            <w:pPr>
              <w:rPr>
                <w:rFonts w:ascii="宋体"/>
              </w:rPr>
            </w:pPr>
          </w:p>
        </w:tc>
        <w:tc>
          <w:tcPr>
            <w:tcW w:w="26" w:type="pct"/>
            <w:shd w:val="clear" w:color="auto" w:fill="auto"/>
            <w:vAlign w:val="bottom"/>
          </w:tcPr>
          <w:p w14:paraId="518B4F10" w14:textId="77777777" w:rsidR="005C332D" w:rsidRDefault="005C332D">
            <w:pPr>
              <w:rPr>
                <w:rFonts w:ascii="宋体"/>
              </w:rPr>
            </w:pPr>
          </w:p>
        </w:tc>
        <w:tc>
          <w:tcPr>
            <w:tcW w:w="5" w:type="pct"/>
            <w:shd w:val="clear" w:color="auto" w:fill="auto"/>
            <w:vAlign w:val="bottom"/>
          </w:tcPr>
          <w:p w14:paraId="518B4F11" w14:textId="77777777" w:rsidR="005C332D" w:rsidRDefault="005C332D">
            <w:pPr>
              <w:rPr>
                <w:rFonts w:ascii="宋体"/>
              </w:rPr>
            </w:pPr>
          </w:p>
        </w:tc>
        <w:tc>
          <w:tcPr>
            <w:tcW w:w="50" w:type="pct"/>
            <w:shd w:val="clear" w:color="auto" w:fill="auto"/>
            <w:vAlign w:val="bottom"/>
          </w:tcPr>
          <w:p w14:paraId="518B4F12" w14:textId="77777777" w:rsidR="005C332D" w:rsidRDefault="005C332D">
            <w:pPr>
              <w:rPr>
                <w:rFonts w:ascii="宋体"/>
              </w:rPr>
            </w:pPr>
          </w:p>
        </w:tc>
        <w:tc>
          <w:tcPr>
            <w:tcW w:w="580" w:type="pct"/>
            <w:shd w:val="clear" w:color="auto" w:fill="auto"/>
            <w:vAlign w:val="bottom"/>
          </w:tcPr>
          <w:p w14:paraId="518B4F13" w14:textId="77777777" w:rsidR="005C332D" w:rsidRDefault="005C332D">
            <w:pPr>
              <w:rPr>
                <w:rFonts w:ascii="宋体"/>
              </w:rPr>
            </w:pPr>
          </w:p>
        </w:tc>
        <w:tc>
          <w:tcPr>
            <w:tcW w:w="5" w:type="pct"/>
            <w:shd w:val="clear" w:color="auto" w:fill="auto"/>
            <w:vAlign w:val="bottom"/>
          </w:tcPr>
          <w:p w14:paraId="518B4F14" w14:textId="77777777" w:rsidR="005C332D" w:rsidRDefault="005C332D">
            <w:pPr>
              <w:rPr>
                <w:rFonts w:ascii="宋体"/>
              </w:rPr>
            </w:pPr>
          </w:p>
        </w:tc>
        <w:tc>
          <w:tcPr>
            <w:tcW w:w="5" w:type="pct"/>
            <w:shd w:val="clear" w:color="auto" w:fill="auto"/>
            <w:vAlign w:val="bottom"/>
          </w:tcPr>
          <w:p w14:paraId="518B4F15" w14:textId="77777777" w:rsidR="005C332D" w:rsidRDefault="005C332D">
            <w:pPr>
              <w:rPr>
                <w:rFonts w:ascii="宋体"/>
              </w:rPr>
            </w:pPr>
          </w:p>
        </w:tc>
        <w:tc>
          <w:tcPr>
            <w:tcW w:w="26" w:type="pct"/>
            <w:shd w:val="clear" w:color="auto" w:fill="auto"/>
            <w:vAlign w:val="bottom"/>
          </w:tcPr>
          <w:p w14:paraId="518B4F16" w14:textId="77777777" w:rsidR="005C332D" w:rsidRDefault="005C332D">
            <w:pPr>
              <w:rPr>
                <w:rFonts w:ascii="宋体"/>
              </w:rPr>
            </w:pPr>
          </w:p>
        </w:tc>
        <w:tc>
          <w:tcPr>
            <w:tcW w:w="5" w:type="pct"/>
            <w:shd w:val="clear" w:color="auto" w:fill="auto"/>
            <w:vAlign w:val="bottom"/>
          </w:tcPr>
          <w:p w14:paraId="518B4F17" w14:textId="77777777" w:rsidR="005C332D" w:rsidRDefault="005C332D">
            <w:pPr>
              <w:rPr>
                <w:rFonts w:ascii="宋体"/>
              </w:rPr>
            </w:pPr>
          </w:p>
        </w:tc>
        <w:tc>
          <w:tcPr>
            <w:tcW w:w="50" w:type="pct"/>
            <w:shd w:val="clear" w:color="auto" w:fill="auto"/>
            <w:vAlign w:val="bottom"/>
          </w:tcPr>
          <w:p w14:paraId="518B4F18" w14:textId="77777777" w:rsidR="005C332D" w:rsidRDefault="005C332D">
            <w:pPr>
              <w:rPr>
                <w:rFonts w:ascii="宋体"/>
              </w:rPr>
            </w:pPr>
          </w:p>
        </w:tc>
        <w:tc>
          <w:tcPr>
            <w:tcW w:w="580" w:type="pct"/>
            <w:shd w:val="clear" w:color="auto" w:fill="auto"/>
            <w:vAlign w:val="bottom"/>
          </w:tcPr>
          <w:p w14:paraId="518B4F19" w14:textId="77777777" w:rsidR="005C332D" w:rsidRDefault="005C332D">
            <w:pPr>
              <w:rPr>
                <w:rFonts w:ascii="宋体"/>
              </w:rPr>
            </w:pPr>
          </w:p>
        </w:tc>
        <w:tc>
          <w:tcPr>
            <w:tcW w:w="5" w:type="pct"/>
            <w:shd w:val="clear" w:color="auto" w:fill="auto"/>
            <w:vAlign w:val="bottom"/>
          </w:tcPr>
          <w:p w14:paraId="518B4F1A" w14:textId="77777777" w:rsidR="005C332D" w:rsidRDefault="005C332D">
            <w:pPr>
              <w:rPr>
                <w:rFonts w:ascii="宋体"/>
              </w:rPr>
            </w:pPr>
          </w:p>
        </w:tc>
        <w:tc>
          <w:tcPr>
            <w:tcW w:w="5" w:type="pct"/>
            <w:shd w:val="clear" w:color="auto" w:fill="auto"/>
            <w:vAlign w:val="bottom"/>
          </w:tcPr>
          <w:p w14:paraId="518B4F1B" w14:textId="77777777" w:rsidR="005C332D" w:rsidRDefault="005C332D">
            <w:pPr>
              <w:rPr>
                <w:rFonts w:ascii="宋体"/>
              </w:rPr>
            </w:pPr>
          </w:p>
        </w:tc>
        <w:tc>
          <w:tcPr>
            <w:tcW w:w="26" w:type="pct"/>
            <w:shd w:val="clear" w:color="auto" w:fill="auto"/>
            <w:vAlign w:val="bottom"/>
          </w:tcPr>
          <w:p w14:paraId="518B4F1C" w14:textId="77777777" w:rsidR="005C332D" w:rsidRDefault="005C332D">
            <w:pPr>
              <w:rPr>
                <w:rFonts w:ascii="宋体"/>
              </w:rPr>
            </w:pPr>
          </w:p>
        </w:tc>
        <w:tc>
          <w:tcPr>
            <w:tcW w:w="5" w:type="pct"/>
            <w:shd w:val="clear" w:color="auto" w:fill="auto"/>
            <w:vAlign w:val="bottom"/>
          </w:tcPr>
          <w:p w14:paraId="518B4F1D" w14:textId="77777777" w:rsidR="005C332D" w:rsidRDefault="005C332D">
            <w:pPr>
              <w:rPr>
                <w:rFonts w:ascii="宋体"/>
              </w:rPr>
            </w:pPr>
          </w:p>
        </w:tc>
        <w:tc>
          <w:tcPr>
            <w:tcW w:w="50" w:type="pct"/>
            <w:shd w:val="clear" w:color="auto" w:fill="auto"/>
            <w:vAlign w:val="bottom"/>
          </w:tcPr>
          <w:p w14:paraId="518B4F1E" w14:textId="77777777" w:rsidR="005C332D" w:rsidRDefault="005C332D">
            <w:pPr>
              <w:rPr>
                <w:rFonts w:ascii="宋体"/>
              </w:rPr>
            </w:pPr>
          </w:p>
        </w:tc>
        <w:tc>
          <w:tcPr>
            <w:tcW w:w="581" w:type="pct"/>
            <w:shd w:val="clear" w:color="auto" w:fill="auto"/>
            <w:vAlign w:val="bottom"/>
          </w:tcPr>
          <w:p w14:paraId="518B4F1F" w14:textId="77777777" w:rsidR="005C332D" w:rsidRDefault="005C332D">
            <w:pPr>
              <w:rPr>
                <w:rFonts w:ascii="宋体"/>
              </w:rPr>
            </w:pPr>
          </w:p>
        </w:tc>
        <w:tc>
          <w:tcPr>
            <w:tcW w:w="5" w:type="pct"/>
            <w:shd w:val="clear" w:color="auto" w:fill="auto"/>
            <w:vAlign w:val="bottom"/>
          </w:tcPr>
          <w:p w14:paraId="518B4F20" w14:textId="77777777" w:rsidR="005C332D" w:rsidRDefault="005C332D">
            <w:pPr>
              <w:rPr>
                <w:rFonts w:ascii="宋体"/>
              </w:rPr>
            </w:pPr>
          </w:p>
        </w:tc>
      </w:tr>
      <w:tr w:rsidR="005C332D" w14:paraId="518B4F29" w14:textId="77777777">
        <w:tc>
          <w:tcPr>
            <w:tcW w:w="0" w:type="auto"/>
            <w:gridSpan w:val="3"/>
            <w:shd w:val="clear" w:color="auto" w:fill="auto"/>
            <w:tcMar>
              <w:top w:w="40" w:type="dxa"/>
              <w:left w:w="20" w:type="dxa"/>
              <w:bottom w:w="40" w:type="dxa"/>
              <w:right w:w="20" w:type="dxa"/>
            </w:tcMar>
            <w:vAlign w:val="bottom"/>
          </w:tcPr>
          <w:p w14:paraId="518B4F22" w14:textId="77777777" w:rsidR="005C332D" w:rsidRDefault="00B93EAE">
            <w:pPr>
              <w:textAlignment w:val="bottom"/>
            </w:pPr>
            <w:r>
              <w:rPr>
                <w:rFonts w:ascii="Times New Roman" w:eastAsia="宋体" w:hAnsi="Times New Roman"/>
                <w:color w:val="000000"/>
                <w:sz w:val="18"/>
                <w:szCs w:val="18"/>
                <w:u w:val="single"/>
              </w:rPr>
              <w:t>Years Ende</w:t>
            </w:r>
            <w:r>
              <w:rPr>
                <w:rFonts w:ascii="Times New Roman" w:eastAsia="宋体" w:hAnsi="Times New Roman"/>
                <w:color w:val="000000"/>
                <w:sz w:val="18"/>
                <w:szCs w:val="18"/>
                <w:u w:val="single"/>
              </w:rPr>
              <w:t>d</w:t>
            </w:r>
          </w:p>
        </w:tc>
        <w:tc>
          <w:tcPr>
            <w:tcW w:w="0" w:type="auto"/>
            <w:gridSpan w:val="3"/>
            <w:shd w:val="clear" w:color="auto" w:fill="auto"/>
            <w:tcMar>
              <w:top w:w="0" w:type="dxa"/>
              <w:left w:w="20" w:type="dxa"/>
              <w:bottom w:w="0" w:type="dxa"/>
              <w:right w:w="20" w:type="dxa"/>
            </w:tcMar>
            <w:vAlign w:val="bottom"/>
          </w:tcPr>
          <w:p w14:paraId="518B4F2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F24"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4F2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F26"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4F2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F28"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4F37" w14:textId="77777777">
        <w:tc>
          <w:tcPr>
            <w:tcW w:w="0" w:type="auto"/>
            <w:gridSpan w:val="3"/>
            <w:shd w:val="clear" w:color="auto" w:fill="CCEEFF"/>
            <w:tcMar>
              <w:top w:w="40" w:type="dxa"/>
              <w:left w:w="20" w:type="dxa"/>
              <w:bottom w:w="40" w:type="dxa"/>
              <w:right w:w="20" w:type="dxa"/>
            </w:tcMar>
          </w:tcPr>
          <w:p w14:paraId="518B4F2A" w14:textId="77777777" w:rsidR="005C332D" w:rsidRDefault="00B93EAE">
            <w:pPr>
              <w:textAlignment w:val="top"/>
            </w:pPr>
            <w:r>
              <w:rPr>
                <w:rFonts w:ascii="Times New Roman" w:eastAsia="宋体" w:hAnsi="Times New Roman"/>
                <w:color w:val="000000"/>
                <w:sz w:val="20"/>
                <w:szCs w:val="20"/>
              </w:rPr>
              <w:t>Restructuring and other charges included in operating expenses</w:t>
            </w:r>
          </w:p>
        </w:tc>
        <w:tc>
          <w:tcPr>
            <w:tcW w:w="0" w:type="auto"/>
            <w:gridSpan w:val="3"/>
            <w:shd w:val="clear" w:color="auto" w:fill="CCEEFF"/>
            <w:tcMar>
              <w:top w:w="0" w:type="dxa"/>
              <w:left w:w="20" w:type="dxa"/>
              <w:bottom w:w="0" w:type="dxa"/>
              <w:right w:w="20" w:type="dxa"/>
            </w:tcMar>
            <w:vAlign w:val="bottom"/>
          </w:tcPr>
          <w:p w14:paraId="518B4F2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F2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F2D" w14:textId="77777777" w:rsidR="005C332D" w:rsidRDefault="00B93EAE">
            <w:pPr>
              <w:jc w:val="right"/>
              <w:textAlignment w:val="bottom"/>
            </w:pPr>
            <w:r>
              <w:rPr>
                <w:rFonts w:ascii="Times New Roman" w:eastAsia="宋体" w:hAnsi="Times New Roman"/>
                <w:b/>
                <w:bCs/>
                <w:color w:val="000000"/>
                <w:sz w:val="20"/>
                <w:szCs w:val="20"/>
              </w:rPr>
              <w:t>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F2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F2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F3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F31" w14:textId="77777777" w:rsidR="005C332D" w:rsidRDefault="00B93EAE">
            <w:pPr>
              <w:jc w:val="right"/>
              <w:textAlignment w:val="bottom"/>
            </w:pPr>
            <w:r>
              <w:rPr>
                <w:rFonts w:ascii="Times New Roman" w:eastAsia="宋体" w:hAnsi="Times New Roman"/>
                <w:color w:val="000000"/>
                <w:sz w:val="20"/>
                <w:szCs w:val="20"/>
              </w:rPr>
              <w:t>886 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F3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F3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F3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F35" w14:textId="77777777" w:rsidR="005C332D" w:rsidRDefault="00B93EAE">
            <w:pPr>
              <w:jc w:val="right"/>
              <w:textAlignment w:val="bottom"/>
            </w:pPr>
            <w:r>
              <w:rPr>
                <w:rFonts w:ascii="Times New Roman" w:eastAsia="宋体" w:hAnsi="Times New Roman"/>
                <w:color w:val="000000"/>
                <w:sz w:val="20"/>
                <w:szCs w:val="20"/>
              </w:rPr>
              <w:t>481 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F36" w14:textId="77777777" w:rsidR="005C332D" w:rsidRDefault="005C332D">
            <w:pPr>
              <w:jc w:val="right"/>
              <w:rPr>
                <w:rFonts w:ascii="宋体"/>
              </w:rPr>
            </w:pPr>
          </w:p>
        </w:tc>
      </w:tr>
    </w:tbl>
    <w:p w14:paraId="518B4F38" w14:textId="77777777" w:rsidR="005C332D" w:rsidRDefault="00B93EAE">
      <w:pPr>
        <w:spacing w:before="120"/>
        <w:jc w:val="both"/>
      </w:pPr>
      <w:r>
        <w:rPr>
          <w:rFonts w:ascii="Times New Roman" w:eastAsia="宋体" w:hAnsi="Times New Roman"/>
          <w:color w:val="000000"/>
          <w:sz w:val="20"/>
          <w:szCs w:val="20"/>
        </w:rPr>
        <w:t>We initiated a restructuring plan in fiscal 2021, which included a voluntary early retirement program, in order to realign the organization and enable further investment in key priority areas. The total pre</w:t>
      </w:r>
      <w:r>
        <w:rPr>
          <w:rFonts w:ascii="Times New Roman" w:eastAsia="宋体" w:hAnsi="Times New Roman"/>
          <w:color w:val="000000"/>
          <w:sz w:val="20"/>
          <w:szCs w:val="20"/>
        </w:rPr>
        <w:t>tax charges were estimated to be approximately $900 million. We incurred cumulative charges of $892 million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and completed this plan in fiscal 2022.</w:t>
      </w:r>
    </w:p>
    <w:p w14:paraId="518B4F39" w14:textId="77777777" w:rsidR="005C332D" w:rsidRDefault="00B93EAE">
      <w:pPr>
        <w:spacing w:before="120"/>
        <w:jc w:val="both"/>
      </w:pPr>
      <w:r>
        <w:rPr>
          <w:rFonts w:ascii="Times New Roman" w:eastAsia="宋体" w:hAnsi="Times New Roman"/>
          <w:b/>
          <w:bCs/>
          <w:color w:val="000000"/>
          <w:sz w:val="20"/>
          <w:szCs w:val="20"/>
        </w:rPr>
        <w:t>Operating Income</w:t>
      </w:r>
    </w:p>
    <w:p w14:paraId="518B4F3A" w14:textId="77777777" w:rsidR="005C332D" w:rsidRDefault="00B93EAE">
      <w:pPr>
        <w:spacing w:before="120"/>
      </w:pPr>
      <w:r>
        <w:rPr>
          <w:rFonts w:ascii="Times New Roman" w:eastAsia="宋体" w:hAnsi="Times New Roman"/>
          <w:color w:val="000000"/>
          <w:sz w:val="20"/>
          <w:szCs w:val="20"/>
        </w:rPr>
        <w:t xml:space="preserve">The following table presents our operating income and our operating income as a percentage </w:t>
      </w:r>
      <w:r>
        <w:rPr>
          <w:rFonts w:ascii="Times New Roman" w:eastAsia="宋体" w:hAnsi="Times New Roman"/>
          <w:color w:val="000000"/>
          <w:sz w:val="20"/>
          <w:szCs w:val="20"/>
        </w:rPr>
        <w:t>of revenue (in millions, except percentages):</w:t>
      </w:r>
    </w:p>
    <w:tbl>
      <w:tblPr>
        <w:tblW w:w="4993" w:type="pct"/>
        <w:tblCellMar>
          <w:top w:w="15" w:type="dxa"/>
          <w:left w:w="15" w:type="dxa"/>
          <w:bottom w:w="15" w:type="dxa"/>
          <w:right w:w="15" w:type="dxa"/>
        </w:tblCellMar>
        <w:tblLook w:val="04A0" w:firstRow="1" w:lastRow="0" w:firstColumn="1" w:lastColumn="0" w:noHBand="0" w:noVBand="1"/>
      </w:tblPr>
      <w:tblGrid>
        <w:gridCol w:w="39"/>
        <w:gridCol w:w="4697"/>
        <w:gridCol w:w="38"/>
        <w:gridCol w:w="36"/>
        <w:gridCol w:w="36"/>
        <w:gridCol w:w="36"/>
        <w:gridCol w:w="120"/>
        <w:gridCol w:w="756"/>
        <w:gridCol w:w="220"/>
        <w:gridCol w:w="36"/>
        <w:gridCol w:w="36"/>
        <w:gridCol w:w="36"/>
        <w:gridCol w:w="120"/>
        <w:gridCol w:w="756"/>
        <w:gridCol w:w="187"/>
        <w:gridCol w:w="36"/>
        <w:gridCol w:w="36"/>
        <w:gridCol w:w="36"/>
        <w:gridCol w:w="120"/>
        <w:gridCol w:w="760"/>
        <w:gridCol w:w="187"/>
      </w:tblGrid>
      <w:tr w:rsidR="005C332D" w14:paraId="518B4F50" w14:textId="77777777">
        <w:tc>
          <w:tcPr>
            <w:tcW w:w="50" w:type="pct"/>
            <w:shd w:val="clear" w:color="auto" w:fill="auto"/>
            <w:vAlign w:val="bottom"/>
          </w:tcPr>
          <w:p w14:paraId="518B4F3B" w14:textId="77777777" w:rsidR="005C332D" w:rsidRDefault="005C332D">
            <w:pPr>
              <w:rPr>
                <w:rFonts w:ascii="宋体"/>
              </w:rPr>
            </w:pPr>
          </w:p>
        </w:tc>
        <w:tc>
          <w:tcPr>
            <w:tcW w:w="2924" w:type="pct"/>
            <w:shd w:val="clear" w:color="auto" w:fill="auto"/>
            <w:vAlign w:val="bottom"/>
          </w:tcPr>
          <w:p w14:paraId="518B4F3C" w14:textId="77777777" w:rsidR="005C332D" w:rsidRDefault="005C332D">
            <w:pPr>
              <w:rPr>
                <w:rFonts w:ascii="宋体"/>
              </w:rPr>
            </w:pPr>
          </w:p>
        </w:tc>
        <w:tc>
          <w:tcPr>
            <w:tcW w:w="5" w:type="pct"/>
            <w:shd w:val="clear" w:color="auto" w:fill="auto"/>
            <w:vAlign w:val="bottom"/>
          </w:tcPr>
          <w:p w14:paraId="518B4F3D" w14:textId="77777777" w:rsidR="005C332D" w:rsidRDefault="005C332D">
            <w:pPr>
              <w:rPr>
                <w:rFonts w:ascii="宋体"/>
              </w:rPr>
            </w:pPr>
          </w:p>
        </w:tc>
        <w:tc>
          <w:tcPr>
            <w:tcW w:w="5" w:type="pct"/>
            <w:shd w:val="clear" w:color="auto" w:fill="auto"/>
            <w:vAlign w:val="bottom"/>
          </w:tcPr>
          <w:p w14:paraId="518B4F3E" w14:textId="77777777" w:rsidR="005C332D" w:rsidRDefault="005C332D">
            <w:pPr>
              <w:rPr>
                <w:rFonts w:ascii="宋体"/>
              </w:rPr>
            </w:pPr>
          </w:p>
        </w:tc>
        <w:tc>
          <w:tcPr>
            <w:tcW w:w="26" w:type="pct"/>
            <w:shd w:val="clear" w:color="auto" w:fill="auto"/>
            <w:vAlign w:val="bottom"/>
          </w:tcPr>
          <w:p w14:paraId="518B4F3F" w14:textId="77777777" w:rsidR="005C332D" w:rsidRDefault="005C332D">
            <w:pPr>
              <w:rPr>
                <w:rFonts w:ascii="宋体"/>
              </w:rPr>
            </w:pPr>
          </w:p>
        </w:tc>
        <w:tc>
          <w:tcPr>
            <w:tcW w:w="5" w:type="pct"/>
            <w:shd w:val="clear" w:color="auto" w:fill="auto"/>
            <w:vAlign w:val="bottom"/>
          </w:tcPr>
          <w:p w14:paraId="518B4F40" w14:textId="77777777" w:rsidR="005C332D" w:rsidRDefault="005C332D">
            <w:pPr>
              <w:rPr>
                <w:rFonts w:ascii="宋体"/>
              </w:rPr>
            </w:pPr>
          </w:p>
        </w:tc>
        <w:tc>
          <w:tcPr>
            <w:tcW w:w="50" w:type="pct"/>
            <w:shd w:val="clear" w:color="auto" w:fill="auto"/>
            <w:vAlign w:val="bottom"/>
          </w:tcPr>
          <w:p w14:paraId="518B4F41" w14:textId="77777777" w:rsidR="005C332D" w:rsidRDefault="005C332D">
            <w:pPr>
              <w:rPr>
                <w:rFonts w:ascii="宋体"/>
              </w:rPr>
            </w:pPr>
          </w:p>
        </w:tc>
        <w:tc>
          <w:tcPr>
            <w:tcW w:w="581" w:type="pct"/>
            <w:shd w:val="clear" w:color="auto" w:fill="auto"/>
            <w:vAlign w:val="bottom"/>
          </w:tcPr>
          <w:p w14:paraId="518B4F42" w14:textId="77777777" w:rsidR="005C332D" w:rsidRDefault="005C332D">
            <w:pPr>
              <w:rPr>
                <w:rFonts w:ascii="宋体"/>
              </w:rPr>
            </w:pPr>
          </w:p>
        </w:tc>
        <w:tc>
          <w:tcPr>
            <w:tcW w:w="5" w:type="pct"/>
            <w:shd w:val="clear" w:color="auto" w:fill="auto"/>
            <w:vAlign w:val="bottom"/>
          </w:tcPr>
          <w:p w14:paraId="518B4F43" w14:textId="77777777" w:rsidR="005C332D" w:rsidRDefault="005C332D">
            <w:pPr>
              <w:rPr>
                <w:rFonts w:ascii="宋体"/>
              </w:rPr>
            </w:pPr>
          </w:p>
        </w:tc>
        <w:tc>
          <w:tcPr>
            <w:tcW w:w="5" w:type="pct"/>
            <w:shd w:val="clear" w:color="auto" w:fill="auto"/>
            <w:vAlign w:val="bottom"/>
          </w:tcPr>
          <w:p w14:paraId="518B4F44" w14:textId="77777777" w:rsidR="005C332D" w:rsidRDefault="005C332D">
            <w:pPr>
              <w:rPr>
                <w:rFonts w:ascii="宋体"/>
              </w:rPr>
            </w:pPr>
          </w:p>
        </w:tc>
        <w:tc>
          <w:tcPr>
            <w:tcW w:w="26" w:type="pct"/>
            <w:shd w:val="clear" w:color="auto" w:fill="auto"/>
            <w:vAlign w:val="bottom"/>
          </w:tcPr>
          <w:p w14:paraId="518B4F45" w14:textId="77777777" w:rsidR="005C332D" w:rsidRDefault="005C332D">
            <w:pPr>
              <w:rPr>
                <w:rFonts w:ascii="宋体"/>
              </w:rPr>
            </w:pPr>
          </w:p>
        </w:tc>
        <w:tc>
          <w:tcPr>
            <w:tcW w:w="5" w:type="pct"/>
            <w:shd w:val="clear" w:color="auto" w:fill="auto"/>
            <w:vAlign w:val="bottom"/>
          </w:tcPr>
          <w:p w14:paraId="518B4F46" w14:textId="77777777" w:rsidR="005C332D" w:rsidRDefault="005C332D">
            <w:pPr>
              <w:rPr>
                <w:rFonts w:ascii="宋体"/>
              </w:rPr>
            </w:pPr>
          </w:p>
        </w:tc>
        <w:tc>
          <w:tcPr>
            <w:tcW w:w="50" w:type="pct"/>
            <w:shd w:val="clear" w:color="auto" w:fill="auto"/>
            <w:vAlign w:val="bottom"/>
          </w:tcPr>
          <w:p w14:paraId="518B4F47" w14:textId="77777777" w:rsidR="005C332D" w:rsidRDefault="005C332D">
            <w:pPr>
              <w:rPr>
                <w:rFonts w:ascii="宋体"/>
              </w:rPr>
            </w:pPr>
          </w:p>
        </w:tc>
        <w:tc>
          <w:tcPr>
            <w:tcW w:w="581" w:type="pct"/>
            <w:shd w:val="clear" w:color="auto" w:fill="auto"/>
            <w:vAlign w:val="bottom"/>
          </w:tcPr>
          <w:p w14:paraId="518B4F48" w14:textId="77777777" w:rsidR="005C332D" w:rsidRDefault="005C332D">
            <w:pPr>
              <w:rPr>
                <w:rFonts w:ascii="宋体"/>
              </w:rPr>
            </w:pPr>
          </w:p>
        </w:tc>
        <w:tc>
          <w:tcPr>
            <w:tcW w:w="5" w:type="pct"/>
            <w:shd w:val="clear" w:color="auto" w:fill="auto"/>
            <w:vAlign w:val="bottom"/>
          </w:tcPr>
          <w:p w14:paraId="518B4F49" w14:textId="77777777" w:rsidR="005C332D" w:rsidRDefault="005C332D">
            <w:pPr>
              <w:rPr>
                <w:rFonts w:ascii="宋体"/>
              </w:rPr>
            </w:pPr>
          </w:p>
        </w:tc>
        <w:tc>
          <w:tcPr>
            <w:tcW w:w="5" w:type="pct"/>
            <w:shd w:val="clear" w:color="auto" w:fill="auto"/>
            <w:vAlign w:val="bottom"/>
          </w:tcPr>
          <w:p w14:paraId="518B4F4A" w14:textId="77777777" w:rsidR="005C332D" w:rsidRDefault="005C332D">
            <w:pPr>
              <w:rPr>
                <w:rFonts w:ascii="宋体"/>
              </w:rPr>
            </w:pPr>
          </w:p>
        </w:tc>
        <w:tc>
          <w:tcPr>
            <w:tcW w:w="26" w:type="pct"/>
            <w:shd w:val="clear" w:color="auto" w:fill="auto"/>
            <w:vAlign w:val="bottom"/>
          </w:tcPr>
          <w:p w14:paraId="518B4F4B" w14:textId="77777777" w:rsidR="005C332D" w:rsidRDefault="005C332D">
            <w:pPr>
              <w:rPr>
                <w:rFonts w:ascii="宋体"/>
              </w:rPr>
            </w:pPr>
          </w:p>
        </w:tc>
        <w:tc>
          <w:tcPr>
            <w:tcW w:w="5" w:type="pct"/>
            <w:shd w:val="clear" w:color="auto" w:fill="auto"/>
            <w:vAlign w:val="bottom"/>
          </w:tcPr>
          <w:p w14:paraId="518B4F4C" w14:textId="77777777" w:rsidR="005C332D" w:rsidRDefault="005C332D">
            <w:pPr>
              <w:rPr>
                <w:rFonts w:ascii="宋体"/>
              </w:rPr>
            </w:pPr>
          </w:p>
        </w:tc>
        <w:tc>
          <w:tcPr>
            <w:tcW w:w="50" w:type="pct"/>
            <w:shd w:val="clear" w:color="auto" w:fill="auto"/>
            <w:vAlign w:val="bottom"/>
          </w:tcPr>
          <w:p w14:paraId="518B4F4D" w14:textId="77777777" w:rsidR="005C332D" w:rsidRDefault="005C332D">
            <w:pPr>
              <w:rPr>
                <w:rFonts w:ascii="宋体"/>
              </w:rPr>
            </w:pPr>
          </w:p>
        </w:tc>
        <w:tc>
          <w:tcPr>
            <w:tcW w:w="582" w:type="pct"/>
            <w:shd w:val="clear" w:color="auto" w:fill="auto"/>
            <w:vAlign w:val="bottom"/>
          </w:tcPr>
          <w:p w14:paraId="518B4F4E" w14:textId="77777777" w:rsidR="005C332D" w:rsidRDefault="005C332D">
            <w:pPr>
              <w:rPr>
                <w:rFonts w:ascii="宋体"/>
              </w:rPr>
            </w:pPr>
          </w:p>
        </w:tc>
        <w:tc>
          <w:tcPr>
            <w:tcW w:w="5" w:type="pct"/>
            <w:shd w:val="clear" w:color="auto" w:fill="auto"/>
            <w:vAlign w:val="bottom"/>
          </w:tcPr>
          <w:p w14:paraId="518B4F4F" w14:textId="77777777" w:rsidR="005C332D" w:rsidRDefault="005C332D">
            <w:pPr>
              <w:rPr>
                <w:rFonts w:ascii="宋体"/>
              </w:rPr>
            </w:pPr>
          </w:p>
        </w:tc>
      </w:tr>
      <w:tr w:rsidR="005C332D" w14:paraId="518B4F58" w14:textId="77777777">
        <w:tc>
          <w:tcPr>
            <w:tcW w:w="0" w:type="auto"/>
            <w:gridSpan w:val="3"/>
            <w:shd w:val="clear" w:color="auto" w:fill="auto"/>
            <w:tcMar>
              <w:top w:w="40" w:type="dxa"/>
              <w:left w:w="20" w:type="dxa"/>
              <w:bottom w:w="40" w:type="dxa"/>
              <w:right w:w="20" w:type="dxa"/>
            </w:tcMar>
            <w:vAlign w:val="bottom"/>
          </w:tcPr>
          <w:p w14:paraId="518B4F51" w14:textId="77777777" w:rsidR="005C332D" w:rsidRDefault="00B93EAE">
            <w:pPr>
              <w:textAlignment w:val="bottom"/>
            </w:pPr>
            <w:r>
              <w:rPr>
                <w:rFonts w:ascii="Times New Roman" w:eastAsia="宋体" w:hAnsi="Times New Roman"/>
                <w:color w:val="000000"/>
                <w:sz w:val="18"/>
                <w:szCs w:val="18"/>
                <w:u w:val="single"/>
              </w:rPr>
              <w:t>Year</w:t>
            </w:r>
            <w:r>
              <w:rPr>
                <w:rFonts w:ascii="Times New Roman" w:eastAsia="宋体" w:hAnsi="Times New Roman"/>
                <w:color w:val="000000"/>
                <w:sz w:val="18"/>
                <w:szCs w:val="18"/>
                <w:u w:val="single"/>
              </w:rPr>
              <w:t>s Ended</w:t>
            </w:r>
          </w:p>
        </w:tc>
        <w:tc>
          <w:tcPr>
            <w:tcW w:w="0" w:type="auto"/>
            <w:gridSpan w:val="3"/>
            <w:shd w:val="clear" w:color="auto" w:fill="auto"/>
            <w:tcMar>
              <w:top w:w="0" w:type="dxa"/>
              <w:left w:w="20" w:type="dxa"/>
              <w:bottom w:w="0" w:type="dxa"/>
              <w:right w:w="20" w:type="dxa"/>
            </w:tcMar>
            <w:vAlign w:val="bottom"/>
          </w:tcPr>
          <w:p w14:paraId="518B4F5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F53"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4F5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F55"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4F5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F57"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4F66" w14:textId="77777777">
        <w:tc>
          <w:tcPr>
            <w:tcW w:w="0" w:type="auto"/>
            <w:gridSpan w:val="3"/>
            <w:shd w:val="clear" w:color="auto" w:fill="CCEEFF"/>
            <w:tcMar>
              <w:top w:w="40" w:type="dxa"/>
              <w:left w:w="20" w:type="dxa"/>
              <w:bottom w:w="40" w:type="dxa"/>
              <w:right w:w="20" w:type="dxa"/>
            </w:tcMar>
            <w:vAlign w:val="bottom"/>
          </w:tcPr>
          <w:p w14:paraId="518B4F59" w14:textId="77777777" w:rsidR="005C332D" w:rsidRDefault="00B93EAE">
            <w:pPr>
              <w:textAlignment w:val="bottom"/>
            </w:pPr>
            <w:r>
              <w:rPr>
                <w:rFonts w:ascii="Times New Roman" w:eastAsia="宋体" w:hAnsi="Times New Roman"/>
                <w:color w:val="000000"/>
                <w:sz w:val="20"/>
                <w:szCs w:val="20"/>
              </w:rPr>
              <w:t>Operating income</w:t>
            </w:r>
          </w:p>
        </w:tc>
        <w:tc>
          <w:tcPr>
            <w:tcW w:w="0" w:type="auto"/>
            <w:gridSpan w:val="3"/>
            <w:shd w:val="clear" w:color="auto" w:fill="CCEEFF"/>
            <w:tcMar>
              <w:top w:w="0" w:type="dxa"/>
              <w:left w:w="20" w:type="dxa"/>
              <w:bottom w:w="0" w:type="dxa"/>
              <w:right w:w="20" w:type="dxa"/>
            </w:tcMar>
            <w:vAlign w:val="bottom"/>
          </w:tcPr>
          <w:p w14:paraId="518B4F5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F5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F5C" w14:textId="77777777" w:rsidR="005C332D" w:rsidRDefault="00B93EAE">
            <w:pPr>
              <w:jc w:val="right"/>
              <w:textAlignment w:val="bottom"/>
            </w:pPr>
            <w:r>
              <w:rPr>
                <w:rFonts w:ascii="Times New Roman" w:eastAsia="宋体" w:hAnsi="Times New Roman"/>
                <w:b/>
                <w:bCs/>
                <w:color w:val="000000"/>
                <w:sz w:val="20"/>
                <w:szCs w:val="20"/>
              </w:rPr>
              <w:t>13,969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F5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F5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F5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F60" w14:textId="77777777" w:rsidR="005C332D" w:rsidRDefault="00B93EAE">
            <w:pPr>
              <w:jc w:val="right"/>
              <w:textAlignment w:val="bottom"/>
            </w:pPr>
            <w:r>
              <w:rPr>
                <w:rFonts w:ascii="Times New Roman" w:eastAsia="宋体" w:hAnsi="Times New Roman"/>
                <w:color w:val="000000"/>
                <w:sz w:val="20"/>
                <w:szCs w:val="20"/>
              </w:rPr>
              <w:t>12,833 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F6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F6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F6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F64" w14:textId="77777777" w:rsidR="005C332D" w:rsidRDefault="00B93EAE">
            <w:pPr>
              <w:jc w:val="right"/>
              <w:textAlignment w:val="bottom"/>
            </w:pPr>
            <w:r>
              <w:rPr>
                <w:rFonts w:ascii="Times New Roman" w:eastAsia="宋体" w:hAnsi="Times New Roman"/>
                <w:color w:val="000000"/>
                <w:sz w:val="20"/>
                <w:szCs w:val="20"/>
              </w:rPr>
              <w:t>13,620 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F65" w14:textId="77777777" w:rsidR="005C332D" w:rsidRDefault="005C332D">
            <w:pPr>
              <w:jc w:val="right"/>
              <w:rPr>
                <w:rFonts w:ascii="宋体"/>
              </w:rPr>
            </w:pPr>
          </w:p>
        </w:tc>
      </w:tr>
      <w:tr w:rsidR="005C332D" w14:paraId="518B4F71" w14:textId="77777777">
        <w:tc>
          <w:tcPr>
            <w:tcW w:w="0" w:type="auto"/>
            <w:gridSpan w:val="3"/>
            <w:shd w:val="clear" w:color="auto" w:fill="FFFFFF"/>
            <w:tcMar>
              <w:top w:w="40" w:type="dxa"/>
              <w:left w:w="20" w:type="dxa"/>
              <w:bottom w:w="40" w:type="dxa"/>
              <w:right w:w="20" w:type="dxa"/>
            </w:tcMar>
            <w:vAlign w:val="bottom"/>
          </w:tcPr>
          <w:p w14:paraId="518B4F67" w14:textId="77777777" w:rsidR="005C332D" w:rsidRDefault="00B93EAE">
            <w:pPr>
              <w:textAlignment w:val="bottom"/>
            </w:pPr>
            <w:r>
              <w:rPr>
                <w:rFonts w:ascii="Times New Roman" w:eastAsia="宋体" w:hAnsi="Times New Roman"/>
                <w:color w:val="000000"/>
                <w:sz w:val="20"/>
                <w:szCs w:val="20"/>
              </w:rPr>
              <w:t>Operating income as a percentage of revenue</w:t>
            </w:r>
          </w:p>
        </w:tc>
        <w:tc>
          <w:tcPr>
            <w:tcW w:w="0" w:type="auto"/>
            <w:gridSpan w:val="3"/>
            <w:shd w:val="clear" w:color="auto" w:fill="FFFFFF"/>
            <w:tcMar>
              <w:top w:w="0" w:type="dxa"/>
              <w:left w:w="20" w:type="dxa"/>
              <w:bottom w:w="0" w:type="dxa"/>
              <w:right w:w="20" w:type="dxa"/>
            </w:tcMar>
            <w:vAlign w:val="bottom"/>
          </w:tcPr>
          <w:p w14:paraId="518B4F6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F69" w14:textId="77777777" w:rsidR="005C332D" w:rsidRDefault="00B93EAE">
            <w:pPr>
              <w:jc w:val="right"/>
              <w:textAlignment w:val="bottom"/>
            </w:pPr>
            <w:r>
              <w:rPr>
                <w:rFonts w:ascii="Times New Roman" w:eastAsia="宋体" w:hAnsi="Times New Roman"/>
                <w:b/>
                <w:bCs/>
                <w:color w:val="000000"/>
                <w:sz w:val="20"/>
                <w:szCs w:val="20"/>
              </w:rPr>
              <w:t>27.1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4F6A"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F6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F6C" w14:textId="77777777" w:rsidR="005C332D" w:rsidRDefault="00B93EAE">
            <w:pPr>
              <w:jc w:val="right"/>
              <w:textAlignment w:val="bottom"/>
            </w:pPr>
            <w:r>
              <w:rPr>
                <w:rFonts w:ascii="Times New Roman" w:eastAsia="宋体" w:hAnsi="Times New Roman"/>
                <w:color w:val="000000"/>
                <w:sz w:val="20"/>
                <w:szCs w:val="20"/>
              </w:rPr>
              <w:t>25.8 </w:t>
            </w:r>
          </w:p>
        </w:tc>
        <w:tc>
          <w:tcPr>
            <w:tcW w:w="0" w:type="auto"/>
            <w:shd w:val="clear" w:color="auto" w:fill="FFFFFF"/>
            <w:tcMar>
              <w:top w:w="40" w:type="dxa"/>
              <w:left w:w="0" w:type="dxa"/>
              <w:bottom w:w="40" w:type="dxa"/>
              <w:right w:w="20" w:type="dxa"/>
            </w:tcMar>
            <w:vAlign w:val="bottom"/>
          </w:tcPr>
          <w:p w14:paraId="518B4F6D"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4F6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F6F" w14:textId="77777777" w:rsidR="005C332D" w:rsidRDefault="00B93EAE">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518B4F70" w14:textId="77777777" w:rsidR="005C332D" w:rsidRDefault="00B93EAE">
            <w:pPr>
              <w:jc w:val="right"/>
              <w:textAlignment w:val="bottom"/>
            </w:pPr>
            <w:r>
              <w:rPr>
                <w:rFonts w:ascii="Times New Roman" w:eastAsia="宋体" w:hAnsi="Times New Roman"/>
                <w:color w:val="000000"/>
                <w:sz w:val="20"/>
                <w:szCs w:val="20"/>
              </w:rPr>
              <w:t>%</w:t>
            </w:r>
          </w:p>
        </w:tc>
      </w:tr>
    </w:tbl>
    <w:p w14:paraId="518B4F72" w14:textId="77777777" w:rsidR="005C332D" w:rsidRDefault="00B93EAE">
      <w:pPr>
        <w:spacing w:before="120"/>
        <w:jc w:val="both"/>
      </w:pPr>
      <w:r>
        <w:rPr>
          <w:rFonts w:ascii="Times New Roman" w:eastAsia="宋体" w:hAnsi="Times New Roman"/>
          <w:color w:val="000000"/>
          <w:sz w:val="20"/>
          <w:szCs w:val="20"/>
        </w:rPr>
        <w:t xml:space="preserve">Operating income increased by 9%, and as a percentage of revenue operating income increased by 1.3 percentage points. These </w:t>
      </w:r>
      <w:r>
        <w:rPr>
          <w:rFonts w:ascii="Times New Roman" w:eastAsia="宋体" w:hAnsi="Times New Roman"/>
          <w:color w:val="000000"/>
          <w:sz w:val="20"/>
          <w:szCs w:val="20"/>
        </w:rPr>
        <w:t>changes resulted primarily from a revenue increase and lower restructuring and other charges partially offset by a gross margin percentage decrease (driven by negative impacts from productivity partially offset by favorable pricing).</w:t>
      </w:r>
    </w:p>
    <w:p w14:paraId="518B4F73" w14:textId="77777777" w:rsidR="005C332D" w:rsidRDefault="005C332D">
      <w:pPr>
        <w:spacing w:before="60"/>
        <w:jc w:val="both"/>
      </w:pPr>
    </w:p>
    <w:p w14:paraId="518B4F74" w14:textId="77777777" w:rsidR="005C332D" w:rsidRDefault="005C332D">
      <w:pPr>
        <w:spacing w:before="120"/>
      </w:pPr>
    </w:p>
    <w:p w14:paraId="518B4F75" w14:textId="77777777" w:rsidR="005C332D" w:rsidRDefault="00B93EAE">
      <w:pPr>
        <w:jc w:val="center"/>
      </w:pPr>
      <w:r>
        <w:rPr>
          <w:rFonts w:ascii="Times New Roman" w:eastAsia="宋体" w:hAnsi="Times New Roman"/>
          <w:color w:val="000000"/>
          <w:sz w:val="20"/>
          <w:szCs w:val="20"/>
        </w:rPr>
        <w:t>44</w:t>
      </w:r>
    </w:p>
    <w:p w14:paraId="518B4F76" w14:textId="77777777" w:rsidR="005C332D" w:rsidRDefault="00B93EAE">
      <w:r>
        <w:pict w14:anchorId="518B8741">
          <v:rect id="_x0000_i1070" style="width:415.3pt;height:1.5pt" o:hralign="center" o:hrstd="t" o:hr="t" fillcolor="#a0a0a0" stroked="f"/>
        </w:pict>
      </w:r>
    </w:p>
    <w:p w14:paraId="518B4F77" w14:textId="77777777" w:rsidR="005C332D" w:rsidRDefault="00B93EAE">
      <w:hyperlink r:id="rId98" w:anchor="i049852cab38845aabd2a79d07dacda86_7" w:history="1">
        <w:r>
          <w:rPr>
            <w:rStyle w:val="a5"/>
            <w:rFonts w:ascii="Times New Roman" w:eastAsia="宋体" w:hAnsi="Times New Roman"/>
            <w:sz w:val="20"/>
            <w:szCs w:val="20"/>
          </w:rPr>
          <w:t>Table of Contents</w:t>
        </w:r>
      </w:hyperlink>
    </w:p>
    <w:p w14:paraId="518B4F78" w14:textId="77777777" w:rsidR="005C332D" w:rsidRDefault="00B93EAE">
      <w:pPr>
        <w:spacing w:before="120"/>
      </w:pPr>
      <w:r>
        <w:rPr>
          <w:rFonts w:ascii="Times New Roman" w:eastAsia="宋体" w:hAnsi="Times New Roman"/>
          <w:b/>
          <w:bCs/>
          <w:color w:val="000000"/>
          <w:sz w:val="20"/>
          <w:szCs w:val="20"/>
        </w:rPr>
        <w:t>Interest and Other Income (Loss), Net</w:t>
      </w:r>
    </w:p>
    <w:p w14:paraId="518B4F79" w14:textId="77777777" w:rsidR="005C332D" w:rsidRDefault="00B93EAE">
      <w:pPr>
        <w:spacing w:before="120"/>
      </w:pPr>
      <w:r>
        <w:rPr>
          <w:rFonts w:ascii="Times New Roman" w:eastAsia="宋体" w:hAnsi="Times New Roman"/>
          <w:color w:val="000000"/>
          <w:sz w:val="20"/>
          <w:szCs w:val="20"/>
          <w:u w:val="single"/>
        </w:rPr>
        <w:t>Interest Income (Expense), Net</w:t>
      </w:r>
      <w:r>
        <w:rPr>
          <w:rFonts w:ascii="Times New Roman" w:eastAsia="宋体" w:hAnsi="Times New Roman"/>
          <w:color w:val="000000"/>
          <w:sz w:val="20"/>
          <w:szCs w:val="20"/>
        </w:rPr>
        <w:t xml:space="preserve">   The following table summarizes interest income and interest expense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766"/>
        <w:gridCol w:w="37"/>
        <w:gridCol w:w="120"/>
        <w:gridCol w:w="918"/>
        <w:gridCol w:w="36"/>
        <w:gridCol w:w="36"/>
        <w:gridCol w:w="36"/>
        <w:gridCol w:w="36"/>
        <w:gridCol w:w="120"/>
        <w:gridCol w:w="874"/>
        <w:gridCol w:w="36"/>
        <w:gridCol w:w="36"/>
        <w:gridCol w:w="36"/>
        <w:gridCol w:w="36"/>
        <w:gridCol w:w="120"/>
        <w:gridCol w:w="876"/>
        <w:gridCol w:w="36"/>
        <w:gridCol w:w="36"/>
        <w:gridCol w:w="36"/>
        <w:gridCol w:w="36"/>
        <w:gridCol w:w="121"/>
        <w:gridCol w:w="877"/>
        <w:gridCol w:w="37"/>
      </w:tblGrid>
      <w:tr w:rsidR="005C332D" w14:paraId="518B4F92" w14:textId="77777777">
        <w:tc>
          <w:tcPr>
            <w:tcW w:w="50" w:type="pct"/>
            <w:shd w:val="clear" w:color="auto" w:fill="auto"/>
            <w:vAlign w:val="bottom"/>
          </w:tcPr>
          <w:p w14:paraId="518B4F7A" w14:textId="77777777" w:rsidR="005C332D" w:rsidRDefault="005C332D">
            <w:pPr>
              <w:rPr>
                <w:rFonts w:ascii="宋体"/>
              </w:rPr>
            </w:pPr>
          </w:p>
        </w:tc>
        <w:tc>
          <w:tcPr>
            <w:tcW w:w="2291" w:type="pct"/>
            <w:shd w:val="clear" w:color="auto" w:fill="auto"/>
            <w:vAlign w:val="bottom"/>
          </w:tcPr>
          <w:p w14:paraId="518B4F7B" w14:textId="77777777" w:rsidR="005C332D" w:rsidRDefault="005C332D">
            <w:pPr>
              <w:rPr>
                <w:rFonts w:ascii="宋体"/>
              </w:rPr>
            </w:pPr>
          </w:p>
        </w:tc>
        <w:tc>
          <w:tcPr>
            <w:tcW w:w="5" w:type="pct"/>
            <w:shd w:val="clear" w:color="auto" w:fill="auto"/>
            <w:vAlign w:val="bottom"/>
          </w:tcPr>
          <w:p w14:paraId="518B4F7C" w14:textId="77777777" w:rsidR="005C332D" w:rsidRDefault="005C332D">
            <w:pPr>
              <w:rPr>
                <w:rFonts w:ascii="宋体"/>
              </w:rPr>
            </w:pPr>
          </w:p>
        </w:tc>
        <w:tc>
          <w:tcPr>
            <w:tcW w:w="50" w:type="pct"/>
            <w:shd w:val="clear" w:color="auto" w:fill="auto"/>
            <w:vAlign w:val="bottom"/>
          </w:tcPr>
          <w:p w14:paraId="518B4F7D" w14:textId="77777777" w:rsidR="005C332D" w:rsidRDefault="005C332D">
            <w:pPr>
              <w:rPr>
                <w:rFonts w:ascii="宋体"/>
              </w:rPr>
            </w:pPr>
          </w:p>
        </w:tc>
        <w:tc>
          <w:tcPr>
            <w:tcW w:w="580" w:type="pct"/>
            <w:shd w:val="clear" w:color="auto" w:fill="auto"/>
            <w:vAlign w:val="bottom"/>
          </w:tcPr>
          <w:p w14:paraId="518B4F7E" w14:textId="77777777" w:rsidR="005C332D" w:rsidRDefault="005C332D">
            <w:pPr>
              <w:rPr>
                <w:rFonts w:ascii="宋体"/>
              </w:rPr>
            </w:pPr>
          </w:p>
        </w:tc>
        <w:tc>
          <w:tcPr>
            <w:tcW w:w="5" w:type="pct"/>
            <w:shd w:val="clear" w:color="auto" w:fill="auto"/>
            <w:vAlign w:val="bottom"/>
          </w:tcPr>
          <w:p w14:paraId="518B4F7F" w14:textId="77777777" w:rsidR="005C332D" w:rsidRDefault="005C332D">
            <w:pPr>
              <w:rPr>
                <w:rFonts w:ascii="宋体"/>
              </w:rPr>
            </w:pPr>
          </w:p>
        </w:tc>
        <w:tc>
          <w:tcPr>
            <w:tcW w:w="5" w:type="pct"/>
            <w:shd w:val="clear" w:color="auto" w:fill="auto"/>
            <w:vAlign w:val="bottom"/>
          </w:tcPr>
          <w:p w14:paraId="518B4F80" w14:textId="77777777" w:rsidR="005C332D" w:rsidRDefault="005C332D">
            <w:pPr>
              <w:rPr>
                <w:rFonts w:ascii="宋体"/>
              </w:rPr>
            </w:pPr>
          </w:p>
        </w:tc>
        <w:tc>
          <w:tcPr>
            <w:tcW w:w="26" w:type="pct"/>
            <w:shd w:val="clear" w:color="auto" w:fill="auto"/>
            <w:vAlign w:val="bottom"/>
          </w:tcPr>
          <w:p w14:paraId="518B4F81" w14:textId="77777777" w:rsidR="005C332D" w:rsidRDefault="005C332D">
            <w:pPr>
              <w:rPr>
                <w:rFonts w:ascii="宋体"/>
              </w:rPr>
            </w:pPr>
          </w:p>
        </w:tc>
        <w:tc>
          <w:tcPr>
            <w:tcW w:w="5" w:type="pct"/>
            <w:shd w:val="clear" w:color="auto" w:fill="auto"/>
            <w:vAlign w:val="bottom"/>
          </w:tcPr>
          <w:p w14:paraId="518B4F82" w14:textId="77777777" w:rsidR="005C332D" w:rsidRDefault="005C332D">
            <w:pPr>
              <w:rPr>
                <w:rFonts w:ascii="宋体"/>
              </w:rPr>
            </w:pPr>
          </w:p>
        </w:tc>
        <w:tc>
          <w:tcPr>
            <w:tcW w:w="50" w:type="pct"/>
            <w:shd w:val="clear" w:color="auto" w:fill="auto"/>
            <w:vAlign w:val="bottom"/>
          </w:tcPr>
          <w:p w14:paraId="518B4F83" w14:textId="77777777" w:rsidR="005C332D" w:rsidRDefault="005C332D">
            <w:pPr>
              <w:rPr>
                <w:rFonts w:ascii="宋体"/>
              </w:rPr>
            </w:pPr>
          </w:p>
        </w:tc>
        <w:tc>
          <w:tcPr>
            <w:tcW w:w="580" w:type="pct"/>
            <w:shd w:val="clear" w:color="auto" w:fill="auto"/>
            <w:vAlign w:val="bottom"/>
          </w:tcPr>
          <w:p w14:paraId="518B4F84" w14:textId="77777777" w:rsidR="005C332D" w:rsidRDefault="005C332D">
            <w:pPr>
              <w:rPr>
                <w:rFonts w:ascii="宋体"/>
              </w:rPr>
            </w:pPr>
          </w:p>
        </w:tc>
        <w:tc>
          <w:tcPr>
            <w:tcW w:w="5" w:type="pct"/>
            <w:shd w:val="clear" w:color="auto" w:fill="auto"/>
            <w:vAlign w:val="bottom"/>
          </w:tcPr>
          <w:p w14:paraId="518B4F85" w14:textId="77777777" w:rsidR="005C332D" w:rsidRDefault="005C332D">
            <w:pPr>
              <w:rPr>
                <w:rFonts w:ascii="宋体"/>
              </w:rPr>
            </w:pPr>
          </w:p>
        </w:tc>
        <w:tc>
          <w:tcPr>
            <w:tcW w:w="5" w:type="pct"/>
            <w:shd w:val="clear" w:color="auto" w:fill="auto"/>
            <w:vAlign w:val="bottom"/>
          </w:tcPr>
          <w:p w14:paraId="518B4F86" w14:textId="77777777" w:rsidR="005C332D" w:rsidRDefault="005C332D">
            <w:pPr>
              <w:rPr>
                <w:rFonts w:ascii="宋体"/>
              </w:rPr>
            </w:pPr>
          </w:p>
        </w:tc>
        <w:tc>
          <w:tcPr>
            <w:tcW w:w="26" w:type="pct"/>
            <w:shd w:val="clear" w:color="auto" w:fill="auto"/>
            <w:vAlign w:val="bottom"/>
          </w:tcPr>
          <w:p w14:paraId="518B4F87" w14:textId="77777777" w:rsidR="005C332D" w:rsidRDefault="005C332D">
            <w:pPr>
              <w:rPr>
                <w:rFonts w:ascii="宋体"/>
              </w:rPr>
            </w:pPr>
          </w:p>
        </w:tc>
        <w:tc>
          <w:tcPr>
            <w:tcW w:w="5" w:type="pct"/>
            <w:shd w:val="clear" w:color="auto" w:fill="auto"/>
            <w:vAlign w:val="bottom"/>
          </w:tcPr>
          <w:p w14:paraId="518B4F88" w14:textId="77777777" w:rsidR="005C332D" w:rsidRDefault="005C332D">
            <w:pPr>
              <w:rPr>
                <w:rFonts w:ascii="宋体"/>
              </w:rPr>
            </w:pPr>
          </w:p>
        </w:tc>
        <w:tc>
          <w:tcPr>
            <w:tcW w:w="50" w:type="pct"/>
            <w:shd w:val="clear" w:color="auto" w:fill="auto"/>
            <w:vAlign w:val="bottom"/>
          </w:tcPr>
          <w:p w14:paraId="518B4F89" w14:textId="77777777" w:rsidR="005C332D" w:rsidRDefault="005C332D">
            <w:pPr>
              <w:rPr>
                <w:rFonts w:ascii="宋体"/>
              </w:rPr>
            </w:pPr>
          </w:p>
        </w:tc>
        <w:tc>
          <w:tcPr>
            <w:tcW w:w="580" w:type="pct"/>
            <w:shd w:val="clear" w:color="auto" w:fill="auto"/>
            <w:vAlign w:val="bottom"/>
          </w:tcPr>
          <w:p w14:paraId="518B4F8A" w14:textId="77777777" w:rsidR="005C332D" w:rsidRDefault="005C332D">
            <w:pPr>
              <w:rPr>
                <w:rFonts w:ascii="宋体"/>
              </w:rPr>
            </w:pPr>
          </w:p>
        </w:tc>
        <w:tc>
          <w:tcPr>
            <w:tcW w:w="5" w:type="pct"/>
            <w:shd w:val="clear" w:color="auto" w:fill="auto"/>
            <w:vAlign w:val="bottom"/>
          </w:tcPr>
          <w:p w14:paraId="518B4F8B" w14:textId="77777777" w:rsidR="005C332D" w:rsidRDefault="005C332D">
            <w:pPr>
              <w:rPr>
                <w:rFonts w:ascii="宋体"/>
              </w:rPr>
            </w:pPr>
          </w:p>
        </w:tc>
        <w:tc>
          <w:tcPr>
            <w:tcW w:w="5" w:type="pct"/>
            <w:shd w:val="clear" w:color="auto" w:fill="auto"/>
            <w:vAlign w:val="bottom"/>
          </w:tcPr>
          <w:p w14:paraId="518B4F8C" w14:textId="77777777" w:rsidR="005C332D" w:rsidRDefault="005C332D">
            <w:pPr>
              <w:rPr>
                <w:rFonts w:ascii="宋体"/>
              </w:rPr>
            </w:pPr>
          </w:p>
        </w:tc>
        <w:tc>
          <w:tcPr>
            <w:tcW w:w="26" w:type="pct"/>
            <w:shd w:val="clear" w:color="auto" w:fill="auto"/>
            <w:vAlign w:val="bottom"/>
          </w:tcPr>
          <w:p w14:paraId="518B4F8D" w14:textId="77777777" w:rsidR="005C332D" w:rsidRDefault="005C332D">
            <w:pPr>
              <w:rPr>
                <w:rFonts w:ascii="宋体"/>
              </w:rPr>
            </w:pPr>
          </w:p>
        </w:tc>
        <w:tc>
          <w:tcPr>
            <w:tcW w:w="5" w:type="pct"/>
            <w:shd w:val="clear" w:color="auto" w:fill="auto"/>
            <w:vAlign w:val="bottom"/>
          </w:tcPr>
          <w:p w14:paraId="518B4F8E" w14:textId="77777777" w:rsidR="005C332D" w:rsidRDefault="005C332D">
            <w:pPr>
              <w:rPr>
                <w:rFonts w:ascii="宋体"/>
              </w:rPr>
            </w:pPr>
          </w:p>
        </w:tc>
        <w:tc>
          <w:tcPr>
            <w:tcW w:w="50" w:type="pct"/>
            <w:shd w:val="clear" w:color="auto" w:fill="auto"/>
            <w:vAlign w:val="bottom"/>
          </w:tcPr>
          <w:p w14:paraId="518B4F8F" w14:textId="77777777" w:rsidR="005C332D" w:rsidRDefault="005C332D">
            <w:pPr>
              <w:rPr>
                <w:rFonts w:ascii="宋体"/>
              </w:rPr>
            </w:pPr>
          </w:p>
        </w:tc>
        <w:tc>
          <w:tcPr>
            <w:tcW w:w="581" w:type="pct"/>
            <w:shd w:val="clear" w:color="auto" w:fill="auto"/>
            <w:vAlign w:val="bottom"/>
          </w:tcPr>
          <w:p w14:paraId="518B4F90" w14:textId="77777777" w:rsidR="005C332D" w:rsidRDefault="005C332D">
            <w:pPr>
              <w:rPr>
                <w:rFonts w:ascii="宋体"/>
              </w:rPr>
            </w:pPr>
          </w:p>
        </w:tc>
        <w:tc>
          <w:tcPr>
            <w:tcW w:w="5" w:type="pct"/>
            <w:shd w:val="clear" w:color="auto" w:fill="auto"/>
            <w:vAlign w:val="bottom"/>
          </w:tcPr>
          <w:p w14:paraId="518B4F91" w14:textId="77777777" w:rsidR="005C332D" w:rsidRDefault="005C332D">
            <w:pPr>
              <w:rPr>
                <w:rFonts w:ascii="宋体"/>
              </w:rPr>
            </w:pPr>
          </w:p>
        </w:tc>
      </w:tr>
      <w:tr w:rsidR="005C332D" w14:paraId="518B4F97" w14:textId="77777777">
        <w:tc>
          <w:tcPr>
            <w:tcW w:w="0" w:type="auto"/>
            <w:gridSpan w:val="3"/>
            <w:shd w:val="clear" w:color="auto" w:fill="auto"/>
            <w:tcMar>
              <w:top w:w="0" w:type="dxa"/>
              <w:left w:w="20" w:type="dxa"/>
              <w:bottom w:w="0" w:type="dxa"/>
              <w:right w:w="20" w:type="dxa"/>
            </w:tcMar>
            <w:vAlign w:val="bottom"/>
          </w:tcPr>
          <w:p w14:paraId="518B4F93"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F94" w14:textId="77777777" w:rsidR="005C332D" w:rsidRDefault="00B93EAE">
            <w:pPr>
              <w:jc w:val="center"/>
              <w:textAlignment w:val="bottom"/>
            </w:pPr>
            <w:r>
              <w:rPr>
                <w:rFonts w:ascii="Times New Roman" w:eastAsia="宋体" w:hAnsi="Times New Roman"/>
                <w:color w:val="000000"/>
                <w:sz w:val="18"/>
                <w:szCs w:val="18"/>
              </w:rPr>
              <w:t>Years Ended</w:t>
            </w:r>
          </w:p>
        </w:tc>
        <w:tc>
          <w:tcPr>
            <w:tcW w:w="0" w:type="auto"/>
            <w:gridSpan w:val="3"/>
            <w:shd w:val="clear" w:color="auto" w:fill="auto"/>
            <w:tcMar>
              <w:top w:w="0" w:type="dxa"/>
              <w:left w:w="20" w:type="dxa"/>
              <w:bottom w:w="0" w:type="dxa"/>
              <w:right w:w="20" w:type="dxa"/>
            </w:tcMar>
            <w:vAlign w:val="bottom"/>
          </w:tcPr>
          <w:p w14:paraId="518B4F9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F96" w14:textId="77777777" w:rsidR="005C332D" w:rsidRDefault="00B93EAE">
            <w:pPr>
              <w:jc w:val="center"/>
              <w:textAlignment w:val="bottom"/>
            </w:pPr>
            <w:r>
              <w:rPr>
                <w:rFonts w:ascii="Times New Roman" w:eastAsia="宋体" w:hAnsi="Times New Roman"/>
                <w:color w:val="000000"/>
                <w:sz w:val="18"/>
                <w:szCs w:val="18"/>
              </w:rPr>
              <w:t>2022 vs. 2021</w:t>
            </w:r>
          </w:p>
        </w:tc>
      </w:tr>
      <w:tr w:rsidR="005C332D" w14:paraId="518B4FA0" w14:textId="77777777">
        <w:tc>
          <w:tcPr>
            <w:tcW w:w="0" w:type="auto"/>
            <w:gridSpan w:val="3"/>
            <w:shd w:val="clear" w:color="auto" w:fill="auto"/>
            <w:tcMar>
              <w:top w:w="0" w:type="dxa"/>
              <w:left w:w="20" w:type="dxa"/>
              <w:bottom w:w="0" w:type="dxa"/>
              <w:right w:w="20" w:type="dxa"/>
            </w:tcMar>
            <w:vAlign w:val="bottom"/>
          </w:tcPr>
          <w:p w14:paraId="518B4F9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F99"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F9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F9B"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F9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F9D"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auto"/>
            <w:tcMar>
              <w:top w:w="0" w:type="dxa"/>
              <w:left w:w="20" w:type="dxa"/>
              <w:bottom w:w="0" w:type="dxa"/>
              <w:right w:w="20" w:type="dxa"/>
            </w:tcMar>
            <w:vAlign w:val="bottom"/>
          </w:tcPr>
          <w:p w14:paraId="518B4F9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F9F" w14:textId="77777777" w:rsidR="005C332D" w:rsidRDefault="00B93EAE">
            <w:pPr>
              <w:jc w:val="center"/>
              <w:textAlignment w:val="bottom"/>
            </w:pPr>
            <w:r>
              <w:rPr>
                <w:rFonts w:ascii="Times New Roman" w:eastAsia="宋体" w:hAnsi="Times New Roman"/>
                <w:color w:val="000000"/>
                <w:sz w:val="18"/>
                <w:szCs w:val="18"/>
              </w:rPr>
              <w:t>Variance in Dollars</w:t>
            </w:r>
          </w:p>
        </w:tc>
      </w:tr>
      <w:tr w:rsidR="005C332D" w14:paraId="518B4FB1" w14:textId="77777777">
        <w:tc>
          <w:tcPr>
            <w:tcW w:w="0" w:type="auto"/>
            <w:gridSpan w:val="3"/>
            <w:shd w:val="clear" w:color="auto" w:fill="CCEEFF"/>
            <w:tcMar>
              <w:top w:w="40" w:type="dxa"/>
              <w:left w:w="20" w:type="dxa"/>
              <w:bottom w:w="40" w:type="dxa"/>
              <w:right w:w="20" w:type="dxa"/>
            </w:tcMar>
          </w:tcPr>
          <w:p w14:paraId="518B4FA1" w14:textId="77777777" w:rsidR="005C332D" w:rsidRDefault="00B93EAE">
            <w:pPr>
              <w:textAlignment w:val="top"/>
            </w:pPr>
            <w:r>
              <w:rPr>
                <w:rFonts w:ascii="Times New Roman" w:eastAsia="宋体" w:hAnsi="Times New Roman"/>
                <w:color w:val="000000"/>
                <w:sz w:val="20"/>
                <w:szCs w:val="20"/>
              </w:rPr>
              <w:t>Interest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4FA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FA3" w14:textId="77777777" w:rsidR="005C332D" w:rsidRDefault="00B93EAE">
            <w:pPr>
              <w:jc w:val="right"/>
              <w:textAlignment w:val="bottom"/>
            </w:pPr>
            <w:r>
              <w:rPr>
                <w:rFonts w:ascii="Times New Roman" w:eastAsia="宋体" w:hAnsi="Times New Roman"/>
                <w:b/>
                <w:bCs/>
                <w:color w:val="000000"/>
                <w:sz w:val="20"/>
                <w:szCs w:val="20"/>
              </w:rPr>
              <w:t>476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FA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FA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FA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FA7" w14:textId="77777777" w:rsidR="005C332D" w:rsidRDefault="00B93EAE">
            <w:pPr>
              <w:jc w:val="right"/>
              <w:textAlignment w:val="bottom"/>
            </w:pPr>
            <w:r>
              <w:rPr>
                <w:rFonts w:ascii="Times New Roman" w:eastAsia="宋体" w:hAnsi="Times New Roman"/>
                <w:color w:val="000000"/>
                <w:sz w:val="20"/>
                <w:szCs w:val="20"/>
              </w:rPr>
              <w:t>618 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FA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FA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FA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FAB" w14:textId="77777777" w:rsidR="005C332D" w:rsidRDefault="00B93EAE">
            <w:pPr>
              <w:jc w:val="right"/>
              <w:textAlignment w:val="bottom"/>
            </w:pPr>
            <w:r>
              <w:rPr>
                <w:rFonts w:ascii="Times New Roman" w:eastAsia="宋体" w:hAnsi="Times New Roman"/>
                <w:color w:val="000000"/>
                <w:sz w:val="20"/>
                <w:szCs w:val="20"/>
              </w:rPr>
              <w:t>920 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FA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FA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4FA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4FAF" w14:textId="77777777" w:rsidR="005C332D" w:rsidRDefault="00B93EAE">
            <w:pPr>
              <w:jc w:val="right"/>
              <w:textAlignment w:val="bottom"/>
            </w:pPr>
            <w:r>
              <w:rPr>
                <w:rFonts w:ascii="Times New Roman" w:eastAsia="宋体" w:hAnsi="Times New Roman"/>
                <w:color w:val="000000"/>
                <w:sz w:val="20"/>
                <w:szCs w:val="20"/>
              </w:rPr>
              <w:t>(142)</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4FB0" w14:textId="77777777" w:rsidR="005C332D" w:rsidRDefault="005C332D">
            <w:pPr>
              <w:jc w:val="right"/>
              <w:rPr>
                <w:rFonts w:ascii="宋体"/>
              </w:rPr>
            </w:pPr>
          </w:p>
        </w:tc>
      </w:tr>
      <w:tr w:rsidR="005C332D" w14:paraId="518B4FBE" w14:textId="77777777">
        <w:tc>
          <w:tcPr>
            <w:tcW w:w="0" w:type="auto"/>
            <w:gridSpan w:val="3"/>
            <w:shd w:val="clear" w:color="auto" w:fill="FFFFFF"/>
            <w:tcMar>
              <w:top w:w="40" w:type="dxa"/>
              <w:left w:w="20" w:type="dxa"/>
              <w:bottom w:w="40" w:type="dxa"/>
              <w:right w:w="20" w:type="dxa"/>
            </w:tcMar>
          </w:tcPr>
          <w:p w14:paraId="518B4FB2" w14:textId="77777777" w:rsidR="005C332D" w:rsidRDefault="00B93EAE">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518B4FB3" w14:textId="77777777" w:rsidR="005C332D" w:rsidRDefault="00B93EAE">
            <w:pPr>
              <w:jc w:val="right"/>
              <w:textAlignment w:val="bottom"/>
            </w:pPr>
            <w:r>
              <w:rPr>
                <w:rFonts w:ascii="Times New Roman" w:eastAsia="宋体" w:hAnsi="Times New Roman"/>
                <w:b/>
                <w:bCs/>
                <w:color w:val="000000"/>
                <w:sz w:val="20"/>
                <w:szCs w:val="20"/>
              </w:rPr>
              <w:t>(360)</w:t>
            </w:r>
          </w:p>
        </w:tc>
        <w:tc>
          <w:tcPr>
            <w:tcW w:w="0" w:type="auto"/>
            <w:shd w:val="clear" w:color="auto" w:fill="FFFFFF"/>
            <w:tcMar>
              <w:top w:w="40" w:type="dxa"/>
              <w:left w:w="0" w:type="dxa"/>
              <w:bottom w:w="40" w:type="dxa"/>
              <w:right w:w="20" w:type="dxa"/>
            </w:tcMar>
            <w:vAlign w:val="bottom"/>
          </w:tcPr>
          <w:p w14:paraId="518B4FB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FB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FB6" w14:textId="77777777" w:rsidR="005C332D" w:rsidRDefault="00B93EAE">
            <w:pPr>
              <w:jc w:val="right"/>
              <w:textAlignment w:val="bottom"/>
            </w:pPr>
            <w:r>
              <w:rPr>
                <w:rFonts w:ascii="Times New Roman" w:eastAsia="宋体" w:hAnsi="Times New Roman"/>
                <w:color w:val="000000"/>
                <w:sz w:val="20"/>
                <w:szCs w:val="20"/>
              </w:rPr>
              <w:t>(434)</w:t>
            </w:r>
          </w:p>
        </w:tc>
        <w:tc>
          <w:tcPr>
            <w:tcW w:w="0" w:type="auto"/>
            <w:shd w:val="clear" w:color="auto" w:fill="FFFFFF"/>
            <w:tcMar>
              <w:top w:w="40" w:type="dxa"/>
              <w:left w:w="0" w:type="dxa"/>
              <w:bottom w:w="40" w:type="dxa"/>
              <w:right w:w="20" w:type="dxa"/>
            </w:tcMar>
            <w:vAlign w:val="bottom"/>
          </w:tcPr>
          <w:p w14:paraId="518B4FB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FB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FB9" w14:textId="77777777" w:rsidR="005C332D" w:rsidRDefault="00B93EAE">
            <w:pPr>
              <w:jc w:val="right"/>
              <w:textAlignment w:val="bottom"/>
            </w:pPr>
            <w:r>
              <w:rPr>
                <w:rFonts w:ascii="Times New Roman" w:eastAsia="宋体" w:hAnsi="Times New Roman"/>
                <w:color w:val="000000"/>
                <w:sz w:val="20"/>
                <w:szCs w:val="20"/>
              </w:rPr>
              <w:t>(585)</w:t>
            </w:r>
          </w:p>
        </w:tc>
        <w:tc>
          <w:tcPr>
            <w:tcW w:w="0" w:type="auto"/>
            <w:shd w:val="clear" w:color="auto" w:fill="FFFFFF"/>
            <w:tcMar>
              <w:top w:w="40" w:type="dxa"/>
              <w:left w:w="0" w:type="dxa"/>
              <w:bottom w:w="40" w:type="dxa"/>
              <w:right w:w="20" w:type="dxa"/>
            </w:tcMar>
            <w:vAlign w:val="bottom"/>
          </w:tcPr>
          <w:p w14:paraId="518B4FB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4FB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4FBC" w14:textId="77777777" w:rsidR="005C332D" w:rsidRDefault="00B93EAE">
            <w:pPr>
              <w:jc w:val="right"/>
              <w:textAlignment w:val="bottom"/>
            </w:pPr>
            <w:r>
              <w:rPr>
                <w:rFonts w:ascii="Times New Roman" w:eastAsia="宋体" w:hAnsi="Times New Roman"/>
                <w:color w:val="000000"/>
                <w:sz w:val="20"/>
                <w:szCs w:val="20"/>
              </w:rPr>
              <w:t>74 </w:t>
            </w:r>
          </w:p>
        </w:tc>
        <w:tc>
          <w:tcPr>
            <w:tcW w:w="0" w:type="auto"/>
            <w:shd w:val="clear" w:color="auto" w:fill="FFFFFF"/>
            <w:tcMar>
              <w:top w:w="40" w:type="dxa"/>
              <w:left w:w="0" w:type="dxa"/>
              <w:bottom w:w="40" w:type="dxa"/>
              <w:right w:w="20" w:type="dxa"/>
            </w:tcMar>
            <w:vAlign w:val="bottom"/>
          </w:tcPr>
          <w:p w14:paraId="518B4FBD" w14:textId="77777777" w:rsidR="005C332D" w:rsidRDefault="005C332D">
            <w:pPr>
              <w:jc w:val="right"/>
              <w:rPr>
                <w:rFonts w:ascii="宋体"/>
              </w:rPr>
            </w:pPr>
          </w:p>
        </w:tc>
      </w:tr>
      <w:tr w:rsidR="005C332D" w14:paraId="518B4FCF" w14:textId="77777777">
        <w:tc>
          <w:tcPr>
            <w:tcW w:w="0" w:type="auto"/>
            <w:gridSpan w:val="3"/>
            <w:shd w:val="clear" w:color="auto" w:fill="CCEEFF"/>
            <w:tcMar>
              <w:top w:w="40" w:type="dxa"/>
              <w:left w:w="380" w:type="dxa"/>
              <w:bottom w:w="40" w:type="dxa"/>
              <w:right w:w="20" w:type="dxa"/>
            </w:tcMar>
          </w:tcPr>
          <w:p w14:paraId="518B4FBF" w14:textId="77777777" w:rsidR="005C332D" w:rsidRDefault="00B93EAE">
            <w:pPr>
              <w:textAlignment w:val="top"/>
            </w:pPr>
            <w:r>
              <w:rPr>
                <w:rFonts w:ascii="Times New Roman" w:eastAsia="宋体" w:hAnsi="Times New Roman"/>
                <w:color w:val="000000"/>
                <w:sz w:val="20"/>
                <w:szCs w:val="20"/>
              </w:rPr>
              <w:t>Interest income (expense),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FC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FC1" w14:textId="77777777" w:rsidR="005C332D" w:rsidRDefault="00B93EAE">
            <w:pPr>
              <w:jc w:val="right"/>
              <w:textAlignment w:val="bottom"/>
            </w:pPr>
            <w:r>
              <w:rPr>
                <w:rFonts w:ascii="Times New Roman" w:eastAsia="宋体" w:hAnsi="Times New Roman"/>
                <w:b/>
                <w:bCs/>
                <w:color w:val="000000"/>
                <w:sz w:val="20"/>
                <w:szCs w:val="20"/>
              </w:rPr>
              <w:t>116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FC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FC3"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FC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FC5" w14:textId="77777777" w:rsidR="005C332D" w:rsidRDefault="00B93EAE">
            <w:pPr>
              <w:jc w:val="right"/>
              <w:textAlignment w:val="bottom"/>
            </w:pPr>
            <w:r>
              <w:rPr>
                <w:rFonts w:ascii="Times New Roman" w:eastAsia="宋体" w:hAnsi="Times New Roman"/>
                <w:color w:val="000000"/>
                <w:sz w:val="20"/>
                <w:szCs w:val="20"/>
              </w:rPr>
              <w:t>184 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FC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FC7"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FC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FC9" w14:textId="77777777" w:rsidR="005C332D" w:rsidRDefault="00B93EAE">
            <w:pPr>
              <w:jc w:val="right"/>
              <w:textAlignment w:val="bottom"/>
            </w:pPr>
            <w:r>
              <w:rPr>
                <w:rFonts w:ascii="Times New Roman" w:eastAsia="宋体" w:hAnsi="Times New Roman"/>
                <w:color w:val="000000"/>
                <w:sz w:val="20"/>
                <w:szCs w:val="20"/>
              </w:rPr>
              <w:t>335 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FC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4FCB"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4FC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4FCD" w14:textId="77777777" w:rsidR="005C332D" w:rsidRDefault="00B93EAE">
            <w:pPr>
              <w:jc w:val="right"/>
              <w:textAlignment w:val="bottom"/>
            </w:pPr>
            <w:r>
              <w:rPr>
                <w:rFonts w:ascii="Times New Roman" w:eastAsia="宋体" w:hAnsi="Times New Roman"/>
                <w:color w:val="000000"/>
                <w:sz w:val="20"/>
                <w:szCs w:val="20"/>
              </w:rPr>
              <w:t>(68)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4FCE" w14:textId="77777777" w:rsidR="005C332D" w:rsidRDefault="005C332D">
            <w:pPr>
              <w:jc w:val="right"/>
              <w:rPr>
                <w:rFonts w:ascii="宋体"/>
              </w:rPr>
            </w:pPr>
          </w:p>
        </w:tc>
      </w:tr>
    </w:tbl>
    <w:p w14:paraId="518B4FD0" w14:textId="77777777" w:rsidR="005C332D" w:rsidRDefault="00B93EAE">
      <w:pPr>
        <w:spacing w:before="120"/>
        <w:jc w:val="both"/>
      </w:pPr>
      <w:r>
        <w:rPr>
          <w:rFonts w:ascii="Times New Roman" w:eastAsia="宋体" w:hAnsi="Times New Roman"/>
          <w:color w:val="000000"/>
          <w:sz w:val="20"/>
          <w:szCs w:val="20"/>
        </w:rPr>
        <w:t>Interest income decreased driven by lower average book yields and lower average balances of cash and avail</w:t>
      </w:r>
      <w:r>
        <w:rPr>
          <w:rFonts w:ascii="Times New Roman" w:eastAsia="宋体" w:hAnsi="Times New Roman"/>
          <w:color w:val="000000"/>
          <w:sz w:val="20"/>
          <w:szCs w:val="20"/>
        </w:rPr>
        <w:t xml:space="preserve">able-for-sale debt investments. The decrease in interest expense was driven by a lower average debt balance. </w:t>
      </w:r>
    </w:p>
    <w:p w14:paraId="518B4FD1" w14:textId="77777777" w:rsidR="005C332D" w:rsidRDefault="00B93EAE">
      <w:pPr>
        <w:spacing w:before="120"/>
      </w:pPr>
      <w:r>
        <w:rPr>
          <w:rFonts w:ascii="Times New Roman" w:eastAsia="宋体" w:hAnsi="Times New Roman"/>
          <w:color w:val="000000"/>
          <w:sz w:val="20"/>
          <w:szCs w:val="20"/>
          <w:u w:val="single"/>
        </w:rPr>
        <w:t>Other Income (Loss), Net</w:t>
      </w:r>
      <w:r>
        <w:rPr>
          <w:rFonts w:ascii="Times New Roman" w:eastAsia="宋体" w:hAnsi="Times New Roman"/>
          <w:color w:val="000000"/>
          <w:sz w:val="20"/>
          <w:szCs w:val="20"/>
        </w:rPr>
        <w:t xml:space="preserve"> The components of other income (loss), net,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764"/>
        <w:gridCol w:w="37"/>
        <w:gridCol w:w="120"/>
        <w:gridCol w:w="918"/>
        <w:gridCol w:w="36"/>
        <w:gridCol w:w="36"/>
        <w:gridCol w:w="36"/>
        <w:gridCol w:w="36"/>
        <w:gridCol w:w="120"/>
        <w:gridCol w:w="874"/>
        <w:gridCol w:w="36"/>
        <w:gridCol w:w="36"/>
        <w:gridCol w:w="36"/>
        <w:gridCol w:w="36"/>
        <w:gridCol w:w="121"/>
        <w:gridCol w:w="875"/>
        <w:gridCol w:w="36"/>
        <w:gridCol w:w="36"/>
        <w:gridCol w:w="36"/>
        <w:gridCol w:w="36"/>
        <w:gridCol w:w="121"/>
        <w:gridCol w:w="877"/>
        <w:gridCol w:w="37"/>
      </w:tblGrid>
      <w:tr w:rsidR="005C332D" w14:paraId="518B4FEA" w14:textId="77777777">
        <w:tc>
          <w:tcPr>
            <w:tcW w:w="50" w:type="pct"/>
            <w:shd w:val="clear" w:color="auto" w:fill="auto"/>
            <w:vAlign w:val="bottom"/>
          </w:tcPr>
          <w:p w14:paraId="518B4FD2" w14:textId="77777777" w:rsidR="005C332D" w:rsidRDefault="005C332D">
            <w:pPr>
              <w:rPr>
                <w:rFonts w:ascii="宋体"/>
              </w:rPr>
            </w:pPr>
          </w:p>
        </w:tc>
        <w:tc>
          <w:tcPr>
            <w:tcW w:w="2291" w:type="pct"/>
            <w:shd w:val="clear" w:color="auto" w:fill="auto"/>
            <w:vAlign w:val="bottom"/>
          </w:tcPr>
          <w:p w14:paraId="518B4FD3" w14:textId="77777777" w:rsidR="005C332D" w:rsidRDefault="005C332D">
            <w:pPr>
              <w:rPr>
                <w:rFonts w:ascii="宋体"/>
              </w:rPr>
            </w:pPr>
          </w:p>
        </w:tc>
        <w:tc>
          <w:tcPr>
            <w:tcW w:w="5" w:type="pct"/>
            <w:shd w:val="clear" w:color="auto" w:fill="auto"/>
            <w:vAlign w:val="bottom"/>
          </w:tcPr>
          <w:p w14:paraId="518B4FD4" w14:textId="77777777" w:rsidR="005C332D" w:rsidRDefault="005C332D">
            <w:pPr>
              <w:rPr>
                <w:rFonts w:ascii="宋体"/>
              </w:rPr>
            </w:pPr>
          </w:p>
        </w:tc>
        <w:tc>
          <w:tcPr>
            <w:tcW w:w="50" w:type="pct"/>
            <w:shd w:val="clear" w:color="auto" w:fill="auto"/>
            <w:vAlign w:val="bottom"/>
          </w:tcPr>
          <w:p w14:paraId="518B4FD5" w14:textId="77777777" w:rsidR="005C332D" w:rsidRDefault="005C332D">
            <w:pPr>
              <w:rPr>
                <w:rFonts w:ascii="宋体"/>
              </w:rPr>
            </w:pPr>
          </w:p>
        </w:tc>
        <w:tc>
          <w:tcPr>
            <w:tcW w:w="580" w:type="pct"/>
            <w:shd w:val="clear" w:color="auto" w:fill="auto"/>
            <w:vAlign w:val="bottom"/>
          </w:tcPr>
          <w:p w14:paraId="518B4FD6" w14:textId="77777777" w:rsidR="005C332D" w:rsidRDefault="005C332D">
            <w:pPr>
              <w:rPr>
                <w:rFonts w:ascii="宋体"/>
              </w:rPr>
            </w:pPr>
          </w:p>
        </w:tc>
        <w:tc>
          <w:tcPr>
            <w:tcW w:w="5" w:type="pct"/>
            <w:shd w:val="clear" w:color="auto" w:fill="auto"/>
            <w:vAlign w:val="bottom"/>
          </w:tcPr>
          <w:p w14:paraId="518B4FD7" w14:textId="77777777" w:rsidR="005C332D" w:rsidRDefault="005C332D">
            <w:pPr>
              <w:rPr>
                <w:rFonts w:ascii="宋体"/>
              </w:rPr>
            </w:pPr>
          </w:p>
        </w:tc>
        <w:tc>
          <w:tcPr>
            <w:tcW w:w="5" w:type="pct"/>
            <w:shd w:val="clear" w:color="auto" w:fill="auto"/>
            <w:vAlign w:val="bottom"/>
          </w:tcPr>
          <w:p w14:paraId="518B4FD8" w14:textId="77777777" w:rsidR="005C332D" w:rsidRDefault="005C332D">
            <w:pPr>
              <w:rPr>
                <w:rFonts w:ascii="宋体"/>
              </w:rPr>
            </w:pPr>
          </w:p>
        </w:tc>
        <w:tc>
          <w:tcPr>
            <w:tcW w:w="26" w:type="pct"/>
            <w:shd w:val="clear" w:color="auto" w:fill="auto"/>
            <w:vAlign w:val="bottom"/>
          </w:tcPr>
          <w:p w14:paraId="518B4FD9" w14:textId="77777777" w:rsidR="005C332D" w:rsidRDefault="005C332D">
            <w:pPr>
              <w:rPr>
                <w:rFonts w:ascii="宋体"/>
              </w:rPr>
            </w:pPr>
          </w:p>
        </w:tc>
        <w:tc>
          <w:tcPr>
            <w:tcW w:w="5" w:type="pct"/>
            <w:shd w:val="clear" w:color="auto" w:fill="auto"/>
            <w:vAlign w:val="bottom"/>
          </w:tcPr>
          <w:p w14:paraId="518B4FDA" w14:textId="77777777" w:rsidR="005C332D" w:rsidRDefault="005C332D">
            <w:pPr>
              <w:rPr>
                <w:rFonts w:ascii="宋体"/>
              </w:rPr>
            </w:pPr>
          </w:p>
        </w:tc>
        <w:tc>
          <w:tcPr>
            <w:tcW w:w="50" w:type="pct"/>
            <w:shd w:val="clear" w:color="auto" w:fill="auto"/>
            <w:vAlign w:val="bottom"/>
          </w:tcPr>
          <w:p w14:paraId="518B4FDB" w14:textId="77777777" w:rsidR="005C332D" w:rsidRDefault="005C332D">
            <w:pPr>
              <w:rPr>
                <w:rFonts w:ascii="宋体"/>
              </w:rPr>
            </w:pPr>
          </w:p>
        </w:tc>
        <w:tc>
          <w:tcPr>
            <w:tcW w:w="580" w:type="pct"/>
            <w:shd w:val="clear" w:color="auto" w:fill="auto"/>
            <w:vAlign w:val="bottom"/>
          </w:tcPr>
          <w:p w14:paraId="518B4FDC" w14:textId="77777777" w:rsidR="005C332D" w:rsidRDefault="005C332D">
            <w:pPr>
              <w:rPr>
                <w:rFonts w:ascii="宋体"/>
              </w:rPr>
            </w:pPr>
          </w:p>
        </w:tc>
        <w:tc>
          <w:tcPr>
            <w:tcW w:w="5" w:type="pct"/>
            <w:shd w:val="clear" w:color="auto" w:fill="auto"/>
            <w:vAlign w:val="bottom"/>
          </w:tcPr>
          <w:p w14:paraId="518B4FDD" w14:textId="77777777" w:rsidR="005C332D" w:rsidRDefault="005C332D">
            <w:pPr>
              <w:rPr>
                <w:rFonts w:ascii="宋体"/>
              </w:rPr>
            </w:pPr>
          </w:p>
        </w:tc>
        <w:tc>
          <w:tcPr>
            <w:tcW w:w="5" w:type="pct"/>
            <w:shd w:val="clear" w:color="auto" w:fill="auto"/>
            <w:vAlign w:val="bottom"/>
          </w:tcPr>
          <w:p w14:paraId="518B4FDE" w14:textId="77777777" w:rsidR="005C332D" w:rsidRDefault="005C332D">
            <w:pPr>
              <w:rPr>
                <w:rFonts w:ascii="宋体"/>
              </w:rPr>
            </w:pPr>
          </w:p>
        </w:tc>
        <w:tc>
          <w:tcPr>
            <w:tcW w:w="26" w:type="pct"/>
            <w:shd w:val="clear" w:color="auto" w:fill="auto"/>
            <w:vAlign w:val="bottom"/>
          </w:tcPr>
          <w:p w14:paraId="518B4FDF" w14:textId="77777777" w:rsidR="005C332D" w:rsidRDefault="005C332D">
            <w:pPr>
              <w:rPr>
                <w:rFonts w:ascii="宋体"/>
              </w:rPr>
            </w:pPr>
          </w:p>
        </w:tc>
        <w:tc>
          <w:tcPr>
            <w:tcW w:w="5" w:type="pct"/>
            <w:shd w:val="clear" w:color="auto" w:fill="auto"/>
            <w:vAlign w:val="bottom"/>
          </w:tcPr>
          <w:p w14:paraId="518B4FE0" w14:textId="77777777" w:rsidR="005C332D" w:rsidRDefault="005C332D">
            <w:pPr>
              <w:rPr>
                <w:rFonts w:ascii="宋体"/>
              </w:rPr>
            </w:pPr>
          </w:p>
        </w:tc>
        <w:tc>
          <w:tcPr>
            <w:tcW w:w="50" w:type="pct"/>
            <w:shd w:val="clear" w:color="auto" w:fill="auto"/>
            <w:vAlign w:val="bottom"/>
          </w:tcPr>
          <w:p w14:paraId="518B4FE1" w14:textId="77777777" w:rsidR="005C332D" w:rsidRDefault="005C332D">
            <w:pPr>
              <w:rPr>
                <w:rFonts w:ascii="宋体"/>
              </w:rPr>
            </w:pPr>
          </w:p>
        </w:tc>
        <w:tc>
          <w:tcPr>
            <w:tcW w:w="580" w:type="pct"/>
            <w:shd w:val="clear" w:color="auto" w:fill="auto"/>
            <w:vAlign w:val="bottom"/>
          </w:tcPr>
          <w:p w14:paraId="518B4FE2" w14:textId="77777777" w:rsidR="005C332D" w:rsidRDefault="005C332D">
            <w:pPr>
              <w:rPr>
                <w:rFonts w:ascii="宋体"/>
              </w:rPr>
            </w:pPr>
          </w:p>
        </w:tc>
        <w:tc>
          <w:tcPr>
            <w:tcW w:w="5" w:type="pct"/>
            <w:shd w:val="clear" w:color="auto" w:fill="auto"/>
            <w:vAlign w:val="bottom"/>
          </w:tcPr>
          <w:p w14:paraId="518B4FE3" w14:textId="77777777" w:rsidR="005C332D" w:rsidRDefault="005C332D">
            <w:pPr>
              <w:rPr>
                <w:rFonts w:ascii="宋体"/>
              </w:rPr>
            </w:pPr>
          </w:p>
        </w:tc>
        <w:tc>
          <w:tcPr>
            <w:tcW w:w="5" w:type="pct"/>
            <w:shd w:val="clear" w:color="auto" w:fill="auto"/>
            <w:vAlign w:val="bottom"/>
          </w:tcPr>
          <w:p w14:paraId="518B4FE4" w14:textId="77777777" w:rsidR="005C332D" w:rsidRDefault="005C332D">
            <w:pPr>
              <w:rPr>
                <w:rFonts w:ascii="宋体"/>
              </w:rPr>
            </w:pPr>
          </w:p>
        </w:tc>
        <w:tc>
          <w:tcPr>
            <w:tcW w:w="26" w:type="pct"/>
            <w:shd w:val="clear" w:color="auto" w:fill="auto"/>
            <w:vAlign w:val="bottom"/>
          </w:tcPr>
          <w:p w14:paraId="518B4FE5" w14:textId="77777777" w:rsidR="005C332D" w:rsidRDefault="005C332D">
            <w:pPr>
              <w:rPr>
                <w:rFonts w:ascii="宋体"/>
              </w:rPr>
            </w:pPr>
          </w:p>
        </w:tc>
        <w:tc>
          <w:tcPr>
            <w:tcW w:w="5" w:type="pct"/>
            <w:shd w:val="clear" w:color="auto" w:fill="auto"/>
            <w:vAlign w:val="bottom"/>
          </w:tcPr>
          <w:p w14:paraId="518B4FE6" w14:textId="77777777" w:rsidR="005C332D" w:rsidRDefault="005C332D">
            <w:pPr>
              <w:rPr>
                <w:rFonts w:ascii="宋体"/>
              </w:rPr>
            </w:pPr>
          </w:p>
        </w:tc>
        <w:tc>
          <w:tcPr>
            <w:tcW w:w="50" w:type="pct"/>
            <w:shd w:val="clear" w:color="auto" w:fill="auto"/>
            <w:vAlign w:val="bottom"/>
          </w:tcPr>
          <w:p w14:paraId="518B4FE7" w14:textId="77777777" w:rsidR="005C332D" w:rsidRDefault="005C332D">
            <w:pPr>
              <w:rPr>
                <w:rFonts w:ascii="宋体"/>
              </w:rPr>
            </w:pPr>
          </w:p>
        </w:tc>
        <w:tc>
          <w:tcPr>
            <w:tcW w:w="581" w:type="pct"/>
            <w:shd w:val="clear" w:color="auto" w:fill="auto"/>
            <w:vAlign w:val="bottom"/>
          </w:tcPr>
          <w:p w14:paraId="518B4FE8" w14:textId="77777777" w:rsidR="005C332D" w:rsidRDefault="005C332D">
            <w:pPr>
              <w:rPr>
                <w:rFonts w:ascii="宋体"/>
              </w:rPr>
            </w:pPr>
          </w:p>
        </w:tc>
        <w:tc>
          <w:tcPr>
            <w:tcW w:w="5" w:type="pct"/>
            <w:shd w:val="clear" w:color="auto" w:fill="auto"/>
            <w:vAlign w:val="bottom"/>
          </w:tcPr>
          <w:p w14:paraId="518B4FE9" w14:textId="77777777" w:rsidR="005C332D" w:rsidRDefault="005C332D">
            <w:pPr>
              <w:rPr>
                <w:rFonts w:ascii="宋体"/>
              </w:rPr>
            </w:pPr>
          </w:p>
        </w:tc>
      </w:tr>
      <w:tr w:rsidR="005C332D" w14:paraId="518B4FEF" w14:textId="77777777">
        <w:tc>
          <w:tcPr>
            <w:tcW w:w="0" w:type="auto"/>
            <w:gridSpan w:val="3"/>
            <w:shd w:val="clear" w:color="auto" w:fill="auto"/>
            <w:tcMar>
              <w:top w:w="0" w:type="dxa"/>
              <w:left w:w="20" w:type="dxa"/>
              <w:bottom w:w="0" w:type="dxa"/>
              <w:right w:w="20" w:type="dxa"/>
            </w:tcMar>
            <w:vAlign w:val="bottom"/>
          </w:tcPr>
          <w:p w14:paraId="518B4FEB"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4FEC" w14:textId="77777777" w:rsidR="005C332D" w:rsidRDefault="00B93EAE">
            <w:pPr>
              <w:jc w:val="center"/>
              <w:textAlignment w:val="bottom"/>
            </w:pPr>
            <w:r>
              <w:rPr>
                <w:rFonts w:ascii="Times New Roman" w:eastAsia="宋体" w:hAnsi="Times New Roman"/>
                <w:color w:val="000000"/>
                <w:sz w:val="18"/>
                <w:szCs w:val="18"/>
              </w:rPr>
              <w:t>Years Ended</w:t>
            </w:r>
          </w:p>
        </w:tc>
        <w:tc>
          <w:tcPr>
            <w:tcW w:w="0" w:type="auto"/>
            <w:gridSpan w:val="3"/>
            <w:shd w:val="clear" w:color="auto" w:fill="auto"/>
            <w:tcMar>
              <w:top w:w="0" w:type="dxa"/>
              <w:left w:w="20" w:type="dxa"/>
              <w:bottom w:w="0" w:type="dxa"/>
              <w:right w:w="20" w:type="dxa"/>
            </w:tcMar>
            <w:vAlign w:val="bottom"/>
          </w:tcPr>
          <w:p w14:paraId="518B4FE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4FEE" w14:textId="77777777" w:rsidR="005C332D" w:rsidRDefault="00B93EAE">
            <w:pPr>
              <w:jc w:val="center"/>
              <w:textAlignment w:val="bottom"/>
            </w:pPr>
            <w:r>
              <w:rPr>
                <w:rFonts w:ascii="Times New Roman" w:eastAsia="宋体" w:hAnsi="Times New Roman"/>
                <w:color w:val="000000"/>
                <w:sz w:val="18"/>
                <w:szCs w:val="18"/>
              </w:rPr>
              <w:t>2022 vs. 2021</w:t>
            </w:r>
          </w:p>
        </w:tc>
      </w:tr>
      <w:tr w:rsidR="005C332D" w14:paraId="518B4FF8" w14:textId="77777777">
        <w:tc>
          <w:tcPr>
            <w:tcW w:w="0" w:type="auto"/>
            <w:gridSpan w:val="3"/>
            <w:shd w:val="clear" w:color="auto" w:fill="auto"/>
            <w:tcMar>
              <w:top w:w="0" w:type="dxa"/>
              <w:left w:w="20" w:type="dxa"/>
              <w:bottom w:w="0" w:type="dxa"/>
              <w:right w:w="20" w:type="dxa"/>
            </w:tcMar>
            <w:vAlign w:val="bottom"/>
          </w:tcPr>
          <w:p w14:paraId="518B4FF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FF1"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FF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FF3"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4FF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FF5"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auto"/>
            <w:tcMar>
              <w:top w:w="0" w:type="dxa"/>
              <w:left w:w="20" w:type="dxa"/>
              <w:bottom w:w="0" w:type="dxa"/>
              <w:right w:w="20" w:type="dxa"/>
            </w:tcMar>
            <w:vAlign w:val="bottom"/>
          </w:tcPr>
          <w:p w14:paraId="518B4FF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4FF7" w14:textId="77777777" w:rsidR="005C332D" w:rsidRDefault="00B93EAE">
            <w:pPr>
              <w:jc w:val="center"/>
              <w:textAlignment w:val="bottom"/>
            </w:pPr>
            <w:r>
              <w:rPr>
                <w:rFonts w:ascii="Times New Roman" w:eastAsia="宋体" w:hAnsi="Times New Roman"/>
                <w:color w:val="000000"/>
                <w:sz w:val="18"/>
                <w:szCs w:val="18"/>
              </w:rPr>
              <w:t>Variance in Dollars</w:t>
            </w:r>
          </w:p>
        </w:tc>
      </w:tr>
      <w:tr w:rsidR="005C332D" w14:paraId="518B5001" w14:textId="77777777">
        <w:tc>
          <w:tcPr>
            <w:tcW w:w="0" w:type="auto"/>
            <w:gridSpan w:val="3"/>
            <w:shd w:val="clear" w:color="auto" w:fill="CCEEFF"/>
            <w:tcMar>
              <w:top w:w="40" w:type="dxa"/>
              <w:left w:w="20" w:type="dxa"/>
              <w:bottom w:w="40" w:type="dxa"/>
              <w:right w:w="20" w:type="dxa"/>
            </w:tcMar>
          </w:tcPr>
          <w:p w14:paraId="518B4FF9" w14:textId="77777777" w:rsidR="005C332D" w:rsidRDefault="00B93EAE">
            <w:pPr>
              <w:textAlignment w:val="top"/>
            </w:pPr>
            <w:r>
              <w:rPr>
                <w:rFonts w:ascii="Times New Roman" w:eastAsia="宋体" w:hAnsi="Times New Roman"/>
                <w:color w:val="000000"/>
                <w:sz w:val="20"/>
                <w:szCs w:val="20"/>
              </w:rPr>
              <w:t>Gains (losses) on investments, net: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FF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4FFB"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FF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4FFD"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4FF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4FFF"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000" w14:textId="77777777" w:rsidR="005C332D" w:rsidRDefault="005C332D">
            <w:pPr>
              <w:rPr>
                <w:rFonts w:ascii="宋体"/>
              </w:rPr>
            </w:pPr>
          </w:p>
        </w:tc>
      </w:tr>
      <w:tr w:rsidR="005C332D" w14:paraId="518B5012" w14:textId="77777777">
        <w:tc>
          <w:tcPr>
            <w:tcW w:w="0" w:type="auto"/>
            <w:gridSpan w:val="3"/>
            <w:shd w:val="clear" w:color="auto" w:fill="FFFFFF"/>
            <w:tcMar>
              <w:top w:w="40" w:type="dxa"/>
              <w:left w:w="380" w:type="dxa"/>
              <w:bottom w:w="40" w:type="dxa"/>
              <w:right w:w="20" w:type="dxa"/>
            </w:tcMar>
          </w:tcPr>
          <w:p w14:paraId="518B5002" w14:textId="77777777" w:rsidR="005C332D" w:rsidRDefault="00B93EAE">
            <w:pPr>
              <w:textAlignment w:val="top"/>
            </w:pPr>
            <w:r>
              <w:rPr>
                <w:rFonts w:ascii="Times New Roman" w:eastAsia="宋体" w:hAnsi="Times New Roman"/>
                <w:color w:val="000000"/>
                <w:sz w:val="20"/>
                <w:szCs w:val="20"/>
              </w:rPr>
              <w:t>Available-for-sale debt investments</w:t>
            </w:r>
          </w:p>
        </w:tc>
        <w:tc>
          <w:tcPr>
            <w:tcW w:w="0" w:type="auto"/>
            <w:shd w:val="clear" w:color="auto" w:fill="FFFFFF"/>
            <w:tcMar>
              <w:top w:w="40" w:type="dxa"/>
              <w:left w:w="20" w:type="dxa"/>
              <w:bottom w:w="40" w:type="dxa"/>
              <w:right w:w="0" w:type="dxa"/>
            </w:tcMar>
            <w:vAlign w:val="bottom"/>
          </w:tcPr>
          <w:p w14:paraId="518B5003"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5004" w14:textId="77777777" w:rsidR="005C332D" w:rsidRDefault="00B93EAE">
            <w:pPr>
              <w:jc w:val="right"/>
              <w:textAlignment w:val="bottom"/>
            </w:pPr>
            <w:r>
              <w:rPr>
                <w:rFonts w:ascii="Times New Roman" w:eastAsia="宋体" w:hAnsi="Times New Roman"/>
                <w:b/>
                <w:bCs/>
                <w:color w:val="000000"/>
                <w:sz w:val="20"/>
                <w:szCs w:val="20"/>
              </w:rPr>
              <w:t>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00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06"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00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008" w14:textId="77777777" w:rsidR="005C332D" w:rsidRDefault="00B93EAE">
            <w:pPr>
              <w:jc w:val="right"/>
              <w:textAlignment w:val="bottom"/>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bottom"/>
          </w:tcPr>
          <w:p w14:paraId="518B500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0A"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00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00C" w14:textId="77777777" w:rsidR="005C332D" w:rsidRDefault="00B93EAE">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vAlign w:val="bottom"/>
          </w:tcPr>
          <w:p w14:paraId="518B500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0E"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00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010" w14:textId="77777777" w:rsidR="005C332D" w:rsidRDefault="00B93EAE">
            <w:pPr>
              <w:jc w:val="right"/>
              <w:textAlignment w:val="bottom"/>
            </w:pPr>
            <w:r>
              <w:rPr>
                <w:rFonts w:ascii="Times New Roman" w:eastAsia="宋体" w:hAnsi="Times New Roman"/>
                <w:color w:val="000000"/>
                <w:sz w:val="20"/>
                <w:szCs w:val="20"/>
              </w:rPr>
              <w:t>(44)</w:t>
            </w:r>
          </w:p>
        </w:tc>
        <w:tc>
          <w:tcPr>
            <w:tcW w:w="0" w:type="auto"/>
            <w:shd w:val="clear" w:color="auto" w:fill="FFFFFF"/>
            <w:tcMar>
              <w:top w:w="40" w:type="dxa"/>
              <w:left w:w="0" w:type="dxa"/>
              <w:bottom w:w="40" w:type="dxa"/>
              <w:right w:w="20" w:type="dxa"/>
            </w:tcMar>
            <w:vAlign w:val="bottom"/>
          </w:tcPr>
          <w:p w14:paraId="518B5011" w14:textId="77777777" w:rsidR="005C332D" w:rsidRDefault="005C332D">
            <w:pPr>
              <w:jc w:val="right"/>
              <w:rPr>
                <w:rFonts w:ascii="宋体"/>
              </w:rPr>
            </w:pPr>
          </w:p>
        </w:tc>
      </w:tr>
      <w:tr w:rsidR="005C332D" w14:paraId="518B501F" w14:textId="77777777">
        <w:tc>
          <w:tcPr>
            <w:tcW w:w="0" w:type="auto"/>
            <w:gridSpan w:val="3"/>
            <w:shd w:val="clear" w:color="auto" w:fill="CCEEFF"/>
            <w:tcMar>
              <w:top w:w="40" w:type="dxa"/>
              <w:left w:w="380" w:type="dxa"/>
              <w:bottom w:w="40" w:type="dxa"/>
              <w:right w:w="20" w:type="dxa"/>
            </w:tcMar>
          </w:tcPr>
          <w:p w14:paraId="518B5013" w14:textId="77777777" w:rsidR="005C332D" w:rsidRDefault="00B93EAE">
            <w:pPr>
              <w:textAlignment w:val="top"/>
            </w:pPr>
            <w:r>
              <w:rPr>
                <w:rFonts w:ascii="Times New Roman" w:eastAsia="宋体" w:hAnsi="Times New Roman"/>
                <w:color w:val="000000"/>
                <w:sz w:val="20"/>
                <w:szCs w:val="20"/>
              </w:rPr>
              <w:t>Marketable equity investments</w:t>
            </w:r>
          </w:p>
        </w:tc>
        <w:tc>
          <w:tcPr>
            <w:tcW w:w="0" w:type="auto"/>
            <w:gridSpan w:val="2"/>
            <w:shd w:val="clear" w:color="auto" w:fill="CCEEFF"/>
            <w:tcMar>
              <w:top w:w="40" w:type="dxa"/>
              <w:left w:w="20" w:type="dxa"/>
              <w:bottom w:w="40" w:type="dxa"/>
              <w:right w:w="0" w:type="dxa"/>
            </w:tcMar>
            <w:vAlign w:val="bottom"/>
          </w:tcPr>
          <w:p w14:paraId="518B5014" w14:textId="77777777" w:rsidR="005C332D" w:rsidRDefault="00B93EAE">
            <w:pPr>
              <w:jc w:val="right"/>
              <w:textAlignment w:val="bottom"/>
            </w:pPr>
            <w:r>
              <w:rPr>
                <w:rFonts w:ascii="Times New Roman" w:eastAsia="宋体" w:hAnsi="Times New Roman"/>
                <w:b/>
                <w:bCs/>
                <w:color w:val="000000"/>
                <w:sz w:val="20"/>
                <w:szCs w:val="20"/>
              </w:rPr>
              <w:t>(38)</w:t>
            </w:r>
          </w:p>
        </w:tc>
        <w:tc>
          <w:tcPr>
            <w:tcW w:w="0" w:type="auto"/>
            <w:shd w:val="clear" w:color="auto" w:fill="CCEEFF"/>
            <w:tcMar>
              <w:top w:w="40" w:type="dxa"/>
              <w:left w:w="0" w:type="dxa"/>
              <w:bottom w:w="40" w:type="dxa"/>
              <w:right w:w="20" w:type="dxa"/>
            </w:tcMar>
            <w:vAlign w:val="bottom"/>
          </w:tcPr>
          <w:p w14:paraId="518B501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1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017"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518B501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1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01A" w14:textId="77777777" w:rsidR="005C332D" w:rsidRDefault="00B93EAE">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518B501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1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01D" w14:textId="77777777" w:rsidR="005C332D" w:rsidRDefault="00B93EAE">
            <w:pPr>
              <w:jc w:val="right"/>
              <w:textAlignment w:val="bottom"/>
            </w:pPr>
            <w:r>
              <w:rPr>
                <w:rFonts w:ascii="Times New Roman" w:eastAsia="宋体" w:hAnsi="Times New Roman"/>
                <w:color w:val="000000"/>
                <w:sz w:val="20"/>
                <w:szCs w:val="20"/>
              </w:rPr>
              <w:t>(44)</w:t>
            </w:r>
          </w:p>
        </w:tc>
        <w:tc>
          <w:tcPr>
            <w:tcW w:w="0" w:type="auto"/>
            <w:shd w:val="clear" w:color="auto" w:fill="CCEEFF"/>
            <w:tcMar>
              <w:top w:w="40" w:type="dxa"/>
              <w:left w:w="0" w:type="dxa"/>
              <w:bottom w:w="40" w:type="dxa"/>
              <w:right w:w="20" w:type="dxa"/>
            </w:tcMar>
            <w:vAlign w:val="bottom"/>
          </w:tcPr>
          <w:p w14:paraId="518B501E" w14:textId="77777777" w:rsidR="005C332D" w:rsidRDefault="005C332D">
            <w:pPr>
              <w:jc w:val="right"/>
              <w:rPr>
                <w:rFonts w:ascii="宋体"/>
              </w:rPr>
            </w:pPr>
          </w:p>
        </w:tc>
      </w:tr>
      <w:tr w:rsidR="005C332D" w14:paraId="518B502C" w14:textId="77777777">
        <w:tc>
          <w:tcPr>
            <w:tcW w:w="0" w:type="auto"/>
            <w:gridSpan w:val="3"/>
            <w:shd w:val="clear" w:color="auto" w:fill="FFFFFF"/>
            <w:tcMar>
              <w:top w:w="40" w:type="dxa"/>
              <w:left w:w="380" w:type="dxa"/>
              <w:bottom w:w="40" w:type="dxa"/>
              <w:right w:w="20" w:type="dxa"/>
            </w:tcMar>
          </w:tcPr>
          <w:p w14:paraId="518B5020" w14:textId="77777777" w:rsidR="005C332D" w:rsidRDefault="00B93EAE">
            <w:pPr>
              <w:textAlignment w:val="top"/>
            </w:pPr>
            <w:r>
              <w:rPr>
                <w:rFonts w:ascii="Times New Roman" w:eastAsia="宋体" w:hAnsi="Times New Roman"/>
                <w:color w:val="000000"/>
                <w:sz w:val="20"/>
                <w:szCs w:val="20"/>
              </w:rPr>
              <w:t>Privately held investments</w:t>
            </w:r>
          </w:p>
        </w:tc>
        <w:tc>
          <w:tcPr>
            <w:tcW w:w="0" w:type="auto"/>
            <w:gridSpan w:val="2"/>
            <w:shd w:val="clear" w:color="auto" w:fill="FFFFFF"/>
            <w:tcMar>
              <w:top w:w="40" w:type="dxa"/>
              <w:left w:w="20" w:type="dxa"/>
              <w:bottom w:w="40" w:type="dxa"/>
              <w:right w:w="0" w:type="dxa"/>
            </w:tcMar>
            <w:vAlign w:val="bottom"/>
          </w:tcPr>
          <w:p w14:paraId="518B5021" w14:textId="77777777" w:rsidR="005C332D" w:rsidRDefault="00B93EAE">
            <w:pPr>
              <w:jc w:val="right"/>
              <w:textAlignment w:val="bottom"/>
            </w:pPr>
            <w:r>
              <w:rPr>
                <w:rFonts w:ascii="Times New Roman" w:eastAsia="宋体" w:hAnsi="Times New Roman"/>
                <w:b/>
                <w:bCs/>
                <w:color w:val="000000"/>
                <w:sz w:val="20"/>
                <w:szCs w:val="20"/>
              </w:rPr>
              <w:t>486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02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2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024" w14:textId="77777777" w:rsidR="005C332D" w:rsidRDefault="00B93EAE">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518B502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2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027" w14:textId="77777777" w:rsidR="005C332D" w:rsidRDefault="00B93EAE">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518B502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2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02A" w14:textId="77777777" w:rsidR="005C332D" w:rsidRDefault="00B93EAE">
            <w:pPr>
              <w:jc w:val="right"/>
              <w:textAlignment w:val="bottom"/>
            </w:pPr>
            <w:r>
              <w:rPr>
                <w:rFonts w:ascii="Times New Roman" w:eastAsia="宋体" w:hAnsi="Times New Roman"/>
                <w:color w:val="000000"/>
                <w:sz w:val="20"/>
                <w:szCs w:val="20"/>
              </w:rPr>
              <w:t>220 </w:t>
            </w:r>
          </w:p>
        </w:tc>
        <w:tc>
          <w:tcPr>
            <w:tcW w:w="0" w:type="auto"/>
            <w:shd w:val="clear" w:color="auto" w:fill="FFFFFF"/>
            <w:tcMar>
              <w:top w:w="40" w:type="dxa"/>
              <w:left w:w="0" w:type="dxa"/>
              <w:bottom w:w="40" w:type="dxa"/>
              <w:right w:w="20" w:type="dxa"/>
            </w:tcMar>
            <w:vAlign w:val="bottom"/>
          </w:tcPr>
          <w:p w14:paraId="518B502B" w14:textId="77777777" w:rsidR="005C332D" w:rsidRDefault="005C332D">
            <w:pPr>
              <w:jc w:val="right"/>
              <w:rPr>
                <w:rFonts w:ascii="宋体"/>
              </w:rPr>
            </w:pPr>
          </w:p>
        </w:tc>
      </w:tr>
      <w:tr w:rsidR="005C332D" w14:paraId="518B5039" w14:textId="77777777">
        <w:tc>
          <w:tcPr>
            <w:tcW w:w="0" w:type="auto"/>
            <w:gridSpan w:val="3"/>
            <w:shd w:val="clear" w:color="auto" w:fill="CCEEFF"/>
            <w:tcMar>
              <w:top w:w="40" w:type="dxa"/>
              <w:left w:w="740" w:type="dxa"/>
              <w:bottom w:w="40" w:type="dxa"/>
              <w:right w:w="20" w:type="dxa"/>
            </w:tcMar>
          </w:tcPr>
          <w:p w14:paraId="518B502D" w14:textId="77777777" w:rsidR="005C332D" w:rsidRDefault="00B93EAE">
            <w:pPr>
              <w:textAlignment w:val="top"/>
            </w:pPr>
            <w:r>
              <w:rPr>
                <w:rFonts w:ascii="Times New Roman" w:eastAsia="宋体" w:hAnsi="Times New Roman"/>
                <w:color w:val="000000"/>
                <w:sz w:val="20"/>
                <w:szCs w:val="20"/>
              </w:rPr>
              <w:t>Net gains (losses) on investments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02E" w14:textId="77777777" w:rsidR="005C332D" w:rsidRDefault="00B93EAE">
            <w:pPr>
              <w:jc w:val="right"/>
              <w:textAlignment w:val="bottom"/>
            </w:pPr>
            <w:r>
              <w:rPr>
                <w:rFonts w:ascii="Times New Roman" w:eastAsia="宋体" w:hAnsi="Times New Roman"/>
                <w:b/>
                <w:bCs/>
                <w:color w:val="000000"/>
                <w:sz w:val="20"/>
                <w:szCs w:val="20"/>
              </w:rPr>
              <w:t>457</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02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30"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031" w14:textId="77777777" w:rsidR="005C332D" w:rsidRDefault="00B93EAE">
            <w:pPr>
              <w:jc w:val="right"/>
              <w:textAlignment w:val="bottom"/>
            </w:pPr>
            <w:r>
              <w:rPr>
                <w:rFonts w:ascii="Times New Roman" w:eastAsia="宋体" w:hAnsi="Times New Roman"/>
                <w:color w:val="000000"/>
                <w:sz w:val="20"/>
                <w:szCs w:val="20"/>
              </w:rPr>
              <w:t>325 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03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33"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034" w14:textId="77777777" w:rsidR="005C332D" w:rsidRDefault="00B93EAE">
            <w:pPr>
              <w:jc w:val="right"/>
              <w:textAlignment w:val="bottom"/>
            </w:pPr>
            <w:r>
              <w:rPr>
                <w:rFonts w:ascii="Times New Roman" w:eastAsia="宋体" w:hAnsi="Times New Roman"/>
                <w:color w:val="000000"/>
                <w:sz w:val="20"/>
                <w:szCs w:val="20"/>
              </w:rPr>
              <w:t>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03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36"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037" w14:textId="77777777" w:rsidR="005C332D" w:rsidRDefault="00B93EAE">
            <w:pPr>
              <w:jc w:val="right"/>
              <w:textAlignment w:val="bottom"/>
            </w:pPr>
            <w:r>
              <w:rPr>
                <w:rFonts w:ascii="Times New Roman" w:eastAsia="宋体" w:hAnsi="Times New Roman"/>
                <w:color w:val="000000"/>
                <w:sz w:val="20"/>
                <w:szCs w:val="20"/>
              </w:rPr>
              <w:t>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038" w14:textId="77777777" w:rsidR="005C332D" w:rsidRDefault="005C332D">
            <w:pPr>
              <w:jc w:val="right"/>
              <w:rPr>
                <w:rFonts w:ascii="宋体"/>
              </w:rPr>
            </w:pPr>
          </w:p>
        </w:tc>
      </w:tr>
      <w:tr w:rsidR="005C332D" w14:paraId="518B5046" w14:textId="77777777">
        <w:tc>
          <w:tcPr>
            <w:tcW w:w="0" w:type="auto"/>
            <w:gridSpan w:val="3"/>
            <w:shd w:val="clear" w:color="auto" w:fill="FFFFFF"/>
            <w:tcMar>
              <w:top w:w="40" w:type="dxa"/>
              <w:left w:w="20" w:type="dxa"/>
              <w:bottom w:w="40" w:type="dxa"/>
              <w:right w:w="20" w:type="dxa"/>
            </w:tcMar>
          </w:tcPr>
          <w:p w14:paraId="518B503A" w14:textId="77777777" w:rsidR="005C332D" w:rsidRDefault="00B93EAE">
            <w:pPr>
              <w:textAlignment w:val="top"/>
            </w:pPr>
            <w:r>
              <w:rPr>
                <w:rFonts w:ascii="Times New Roman" w:eastAsia="宋体" w:hAnsi="Times New Roman"/>
                <w:color w:val="000000"/>
                <w:sz w:val="20"/>
                <w:szCs w:val="20"/>
              </w:rPr>
              <w:t>Other gains (losses), net</w:t>
            </w:r>
          </w:p>
        </w:tc>
        <w:tc>
          <w:tcPr>
            <w:tcW w:w="0" w:type="auto"/>
            <w:gridSpan w:val="2"/>
            <w:shd w:val="clear" w:color="auto" w:fill="FFFFFF"/>
            <w:tcMar>
              <w:top w:w="40" w:type="dxa"/>
              <w:left w:w="20" w:type="dxa"/>
              <w:bottom w:w="40" w:type="dxa"/>
              <w:right w:w="0" w:type="dxa"/>
            </w:tcMar>
            <w:vAlign w:val="bottom"/>
          </w:tcPr>
          <w:p w14:paraId="518B503B" w14:textId="77777777" w:rsidR="005C332D" w:rsidRDefault="00B93EAE">
            <w:pPr>
              <w:jc w:val="right"/>
              <w:textAlignment w:val="bottom"/>
            </w:pPr>
            <w:r>
              <w:rPr>
                <w:rFonts w:ascii="Times New Roman" w:eastAsia="宋体" w:hAnsi="Times New Roman"/>
                <w:b/>
                <w:bCs/>
                <w:color w:val="000000"/>
                <w:sz w:val="20"/>
                <w:szCs w:val="20"/>
              </w:rPr>
              <w:t>(65)</w:t>
            </w:r>
          </w:p>
        </w:tc>
        <w:tc>
          <w:tcPr>
            <w:tcW w:w="0" w:type="auto"/>
            <w:shd w:val="clear" w:color="auto" w:fill="FFFFFF"/>
            <w:tcMar>
              <w:top w:w="40" w:type="dxa"/>
              <w:left w:w="0" w:type="dxa"/>
              <w:bottom w:w="40" w:type="dxa"/>
              <w:right w:w="20" w:type="dxa"/>
            </w:tcMar>
            <w:vAlign w:val="bottom"/>
          </w:tcPr>
          <w:p w14:paraId="518B503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3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03E" w14:textId="77777777" w:rsidR="005C332D" w:rsidRDefault="00B93EAE">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left w:w="0" w:type="dxa"/>
              <w:bottom w:w="40" w:type="dxa"/>
              <w:right w:w="20" w:type="dxa"/>
            </w:tcMar>
            <w:vAlign w:val="bottom"/>
          </w:tcPr>
          <w:p w14:paraId="518B503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4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041" w14:textId="77777777" w:rsidR="005C332D" w:rsidRDefault="00B93EAE">
            <w:pPr>
              <w:jc w:val="right"/>
              <w:textAlignment w:val="bottom"/>
            </w:pPr>
            <w:r>
              <w:rPr>
                <w:rFonts w:ascii="Times New Roman" w:eastAsia="宋体" w:hAnsi="Times New Roman"/>
                <w:color w:val="000000"/>
                <w:sz w:val="20"/>
                <w:szCs w:val="20"/>
              </w:rPr>
              <w:t>(117)</w:t>
            </w:r>
          </w:p>
        </w:tc>
        <w:tc>
          <w:tcPr>
            <w:tcW w:w="0" w:type="auto"/>
            <w:shd w:val="clear" w:color="auto" w:fill="FFFFFF"/>
            <w:tcMar>
              <w:top w:w="40" w:type="dxa"/>
              <w:left w:w="0" w:type="dxa"/>
              <w:bottom w:w="40" w:type="dxa"/>
              <w:right w:w="20" w:type="dxa"/>
            </w:tcMar>
            <w:vAlign w:val="bottom"/>
          </w:tcPr>
          <w:p w14:paraId="518B504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4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044" w14:textId="77777777" w:rsidR="005C332D" w:rsidRDefault="00B93EAE">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518B5045" w14:textId="77777777" w:rsidR="005C332D" w:rsidRDefault="005C332D">
            <w:pPr>
              <w:jc w:val="right"/>
              <w:rPr>
                <w:rFonts w:ascii="宋体"/>
              </w:rPr>
            </w:pPr>
          </w:p>
        </w:tc>
      </w:tr>
      <w:tr w:rsidR="005C332D" w14:paraId="518B5057" w14:textId="77777777">
        <w:tc>
          <w:tcPr>
            <w:tcW w:w="0" w:type="auto"/>
            <w:gridSpan w:val="3"/>
            <w:shd w:val="clear" w:color="auto" w:fill="CCEEFF"/>
            <w:tcMar>
              <w:top w:w="40" w:type="dxa"/>
              <w:left w:w="1235" w:type="dxa"/>
              <w:bottom w:w="40" w:type="dxa"/>
              <w:right w:w="20" w:type="dxa"/>
            </w:tcMar>
          </w:tcPr>
          <w:p w14:paraId="518B5047" w14:textId="77777777" w:rsidR="005C332D" w:rsidRDefault="00B93EAE">
            <w:pPr>
              <w:textAlignment w:val="top"/>
            </w:pPr>
            <w:r>
              <w:rPr>
                <w:rFonts w:ascii="Times New Roman" w:eastAsia="宋体" w:hAnsi="Times New Roman"/>
                <w:color w:val="000000"/>
                <w:sz w:val="20"/>
                <w:szCs w:val="20"/>
              </w:rPr>
              <w:t>Other income (loss),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048"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049" w14:textId="77777777" w:rsidR="005C332D" w:rsidRDefault="00B93EAE">
            <w:pPr>
              <w:jc w:val="right"/>
              <w:textAlignment w:val="bottom"/>
            </w:pPr>
            <w:r>
              <w:rPr>
                <w:rFonts w:ascii="Times New Roman" w:eastAsia="宋体" w:hAnsi="Times New Roman"/>
                <w:b/>
                <w:bCs/>
                <w:color w:val="000000"/>
                <w:sz w:val="20"/>
                <w:szCs w:val="20"/>
              </w:rPr>
              <w:t>392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04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4B"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04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04D" w14:textId="77777777" w:rsidR="005C332D" w:rsidRDefault="00B93EAE">
            <w:pPr>
              <w:jc w:val="right"/>
              <w:textAlignment w:val="bottom"/>
            </w:pPr>
            <w:r>
              <w:rPr>
                <w:rFonts w:ascii="Times New Roman" w:eastAsia="宋体" w:hAnsi="Times New Roman"/>
                <w:color w:val="000000"/>
                <w:sz w:val="20"/>
                <w:szCs w:val="20"/>
              </w:rPr>
              <w:t>245 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04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4F"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05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051" w14:textId="77777777" w:rsidR="005C332D" w:rsidRDefault="00B93EAE">
            <w:pPr>
              <w:jc w:val="right"/>
              <w:textAlignment w:val="bottom"/>
            </w:pPr>
            <w:r>
              <w:rPr>
                <w:rFonts w:ascii="Times New Roman" w:eastAsia="宋体" w:hAnsi="Times New Roman"/>
                <w:color w:val="000000"/>
                <w:sz w:val="20"/>
                <w:szCs w:val="20"/>
              </w:rPr>
              <w:t>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05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53"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05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055" w14:textId="77777777" w:rsidR="005C332D" w:rsidRDefault="00B93EAE">
            <w:pPr>
              <w:jc w:val="right"/>
              <w:textAlignment w:val="bottom"/>
            </w:pPr>
            <w:r>
              <w:rPr>
                <w:rFonts w:ascii="Times New Roman" w:eastAsia="宋体" w:hAnsi="Times New Roman"/>
                <w:color w:val="000000"/>
                <w:sz w:val="20"/>
                <w:szCs w:val="20"/>
              </w:rPr>
              <w:t>147 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056" w14:textId="77777777" w:rsidR="005C332D" w:rsidRDefault="005C332D">
            <w:pPr>
              <w:jc w:val="right"/>
              <w:rPr>
                <w:rFonts w:ascii="宋体"/>
              </w:rPr>
            </w:pPr>
          </w:p>
        </w:tc>
      </w:tr>
    </w:tbl>
    <w:p w14:paraId="518B5058" w14:textId="77777777" w:rsidR="005C332D" w:rsidRDefault="00B93EAE">
      <w:pPr>
        <w:spacing w:before="120"/>
        <w:jc w:val="both"/>
      </w:pPr>
      <w:r>
        <w:rPr>
          <w:rFonts w:ascii="Times New Roman" w:eastAsia="宋体" w:hAnsi="Times New Roman"/>
          <w:color w:val="000000"/>
          <w:sz w:val="20"/>
          <w:szCs w:val="20"/>
        </w:rPr>
        <w:t xml:space="preserve">The increase in our </w:t>
      </w:r>
      <w:r>
        <w:rPr>
          <w:rFonts w:ascii="Times New Roman" w:eastAsia="宋体" w:hAnsi="Times New Roman"/>
          <w:color w:val="000000"/>
          <w:sz w:val="20"/>
          <w:szCs w:val="20"/>
        </w:rPr>
        <w:t xml:space="preserve">other income (loss), net was primarily driven by higher realized and unrealized gains on our privately held investments, and to a lesser extent, favorable impacts from foreign exchange. The increase was partially offset by changes in net gains (losses) on </w:t>
      </w:r>
      <w:r>
        <w:rPr>
          <w:rFonts w:ascii="Times New Roman" w:eastAsia="宋体" w:hAnsi="Times New Roman"/>
          <w:color w:val="000000"/>
          <w:sz w:val="20"/>
          <w:szCs w:val="20"/>
        </w:rPr>
        <w:t>available-for-sale debt investments and marketable equity investments.</w:t>
      </w:r>
    </w:p>
    <w:p w14:paraId="518B5059" w14:textId="77777777" w:rsidR="005C332D" w:rsidRDefault="00B93EAE">
      <w:pPr>
        <w:spacing w:before="120"/>
      </w:pPr>
      <w:r>
        <w:rPr>
          <w:rFonts w:ascii="Times New Roman" w:eastAsia="宋体" w:hAnsi="Times New Roman"/>
          <w:b/>
          <w:bCs/>
          <w:color w:val="000000"/>
          <w:sz w:val="20"/>
          <w:szCs w:val="20"/>
        </w:rPr>
        <w:t xml:space="preserve">Provision for Income Taxes </w:t>
      </w:r>
    </w:p>
    <w:p w14:paraId="518B505A" w14:textId="77777777" w:rsidR="005C332D" w:rsidRDefault="00B93EAE">
      <w:pPr>
        <w:spacing w:before="120"/>
        <w:jc w:val="both"/>
      </w:pPr>
      <w:r>
        <w:rPr>
          <w:rFonts w:ascii="Times New Roman" w:eastAsia="宋体" w:hAnsi="Times New Roman"/>
          <w:color w:val="000000"/>
          <w:sz w:val="20"/>
          <w:szCs w:val="20"/>
        </w:rPr>
        <w:t>The provision for income taxes resulted in an effective tax rate of 18.4% for fiscal 2022, compared with 20.1% for fiscal 2021. The net 1.7 percentage points</w:t>
      </w:r>
      <w:r>
        <w:rPr>
          <w:rFonts w:ascii="Times New Roman" w:eastAsia="宋体" w:hAnsi="Times New Roman"/>
          <w:color w:val="000000"/>
          <w:sz w:val="20"/>
          <w:szCs w:val="20"/>
        </w:rPr>
        <w:t xml:space="preserve"> decrease in the effective tax rate was primarily due to a decrease in prior year discrete tax expenses and state taxes.</w:t>
      </w:r>
    </w:p>
    <w:p w14:paraId="518B505B" w14:textId="77777777" w:rsidR="005C332D" w:rsidRDefault="00B93EAE">
      <w:pPr>
        <w:spacing w:before="120"/>
        <w:jc w:val="both"/>
      </w:pPr>
      <w:r>
        <w:rPr>
          <w:rFonts w:ascii="Times New Roman" w:eastAsia="宋体" w:hAnsi="Times New Roman"/>
          <w:color w:val="000000"/>
          <w:sz w:val="20"/>
          <w:szCs w:val="20"/>
        </w:rPr>
        <w:t>For a full reconciliation of our effective tax rate to the U.S. federal statutory rate of 21% and for further explanation of our provis</w:t>
      </w:r>
      <w:r>
        <w:rPr>
          <w:rFonts w:ascii="Times New Roman" w:eastAsia="宋体" w:hAnsi="Times New Roman"/>
          <w:color w:val="000000"/>
          <w:sz w:val="20"/>
          <w:szCs w:val="20"/>
        </w:rPr>
        <w:t>ion for income taxes, see Note 18 to the Consolidated Financial Statements.</w:t>
      </w:r>
    </w:p>
    <w:p w14:paraId="518B505C" w14:textId="77777777" w:rsidR="005C332D" w:rsidRDefault="00B93EAE">
      <w:pPr>
        <w:jc w:val="center"/>
      </w:pPr>
      <w:r>
        <w:rPr>
          <w:rFonts w:ascii="Times New Roman" w:eastAsia="宋体" w:hAnsi="Times New Roman"/>
          <w:color w:val="000000"/>
          <w:sz w:val="20"/>
          <w:szCs w:val="20"/>
        </w:rPr>
        <w:t>45</w:t>
      </w:r>
    </w:p>
    <w:p w14:paraId="518B505D" w14:textId="77777777" w:rsidR="005C332D" w:rsidRDefault="00B93EAE">
      <w:r>
        <w:pict w14:anchorId="518B8742">
          <v:rect id="_x0000_i1071" style="width:415.3pt;height:1.5pt" o:hralign="center" o:hrstd="t" o:hr="t" fillcolor="#a0a0a0" stroked="f"/>
        </w:pict>
      </w:r>
    </w:p>
    <w:p w14:paraId="518B505E" w14:textId="77777777" w:rsidR="005C332D" w:rsidRDefault="00B93EAE">
      <w:hyperlink r:id="rId99" w:anchor="i049852cab38845aabd2a79d07dacda86_7" w:history="1">
        <w:r>
          <w:rPr>
            <w:rStyle w:val="a5"/>
            <w:rFonts w:ascii="Times New Roman" w:eastAsia="宋体" w:hAnsi="Times New Roman"/>
            <w:sz w:val="20"/>
            <w:szCs w:val="20"/>
          </w:rPr>
          <w:t>Table of Contents</w:t>
        </w:r>
      </w:hyperlink>
    </w:p>
    <w:p w14:paraId="518B505F" w14:textId="77777777" w:rsidR="005C332D" w:rsidRDefault="00B93EAE">
      <w:pPr>
        <w:spacing w:before="240"/>
        <w:jc w:val="both"/>
      </w:pPr>
      <w:r>
        <w:rPr>
          <w:rFonts w:ascii="Times New Roman" w:eastAsia="宋体" w:hAnsi="Times New Roman"/>
          <w:b/>
          <w:bCs/>
          <w:color w:val="000000"/>
          <w:sz w:val="22"/>
          <w:szCs w:val="22"/>
        </w:rPr>
        <w:t>LIQUIDITY AND CAPITAL RESOURCES</w:t>
      </w:r>
    </w:p>
    <w:p w14:paraId="518B5060" w14:textId="77777777" w:rsidR="005C332D" w:rsidRDefault="00B93EAE">
      <w:pPr>
        <w:spacing w:before="120"/>
        <w:jc w:val="both"/>
      </w:pPr>
      <w:r>
        <w:rPr>
          <w:rFonts w:ascii="Times New Roman" w:eastAsia="宋体" w:hAnsi="Times New Roman"/>
          <w:color w:val="000000"/>
          <w:sz w:val="20"/>
          <w:szCs w:val="20"/>
        </w:rPr>
        <w:t>The following sections discuss the effects of changes in our balance sheet, our capital allocation strategy including stock repurchase program and dividends, our contractual obligations, and certain other commitments and act</w:t>
      </w:r>
      <w:r>
        <w:rPr>
          <w:rFonts w:ascii="Times New Roman" w:eastAsia="宋体" w:hAnsi="Times New Roman"/>
          <w:color w:val="000000"/>
          <w:sz w:val="20"/>
          <w:szCs w:val="20"/>
        </w:rPr>
        <w:t>ivities on our liquidity and capital resources.</w:t>
      </w:r>
    </w:p>
    <w:p w14:paraId="518B5061" w14:textId="77777777" w:rsidR="005C332D" w:rsidRDefault="00B93EAE">
      <w:pPr>
        <w:spacing w:before="120"/>
        <w:jc w:val="both"/>
      </w:pPr>
      <w:r>
        <w:rPr>
          <w:rFonts w:ascii="Times New Roman" w:eastAsia="宋体" w:hAnsi="Times New Roman"/>
          <w:b/>
          <w:bCs/>
          <w:color w:val="000000"/>
          <w:sz w:val="20"/>
          <w:szCs w:val="20"/>
        </w:rPr>
        <w:t>Balance Sheet and Cash Flows</w:t>
      </w:r>
    </w:p>
    <w:p w14:paraId="518B5062" w14:textId="77777777" w:rsidR="005C332D" w:rsidRDefault="00B93EAE">
      <w:pPr>
        <w:spacing w:before="120"/>
        <w:jc w:val="both"/>
      </w:pPr>
      <w:r>
        <w:rPr>
          <w:rFonts w:ascii="Times New Roman" w:eastAsia="宋体" w:hAnsi="Times New Roman"/>
          <w:color w:val="000000"/>
          <w:sz w:val="20"/>
          <w:szCs w:val="20"/>
          <w:u w:val="single"/>
        </w:rPr>
        <w:t>Cash and Cash Equivalents and Investments</w:t>
      </w:r>
      <w:r>
        <w:rPr>
          <w:rFonts w:ascii="Times New Roman" w:eastAsia="宋体" w:hAnsi="Times New Roman"/>
          <w:color w:val="000000"/>
          <w:sz w:val="20"/>
          <w:szCs w:val="20"/>
        </w:rPr>
        <w:t xml:space="preserve">  The following table summarizes our cash and cash equivalents and investments (in millions):</w:t>
      </w:r>
    </w:p>
    <w:tbl>
      <w:tblPr>
        <w:tblW w:w="4993" w:type="pct"/>
        <w:tblCellMar>
          <w:top w:w="15" w:type="dxa"/>
          <w:left w:w="15" w:type="dxa"/>
          <w:bottom w:w="15" w:type="dxa"/>
          <w:right w:w="15" w:type="dxa"/>
        </w:tblCellMar>
        <w:tblLook w:val="04A0" w:firstRow="1" w:lastRow="0" w:firstColumn="1" w:lastColumn="0" w:noHBand="0" w:noVBand="1"/>
      </w:tblPr>
      <w:tblGrid>
        <w:gridCol w:w="39"/>
        <w:gridCol w:w="4881"/>
        <w:gridCol w:w="37"/>
        <w:gridCol w:w="120"/>
        <w:gridCol w:w="920"/>
        <w:gridCol w:w="36"/>
        <w:gridCol w:w="36"/>
        <w:gridCol w:w="36"/>
        <w:gridCol w:w="36"/>
        <w:gridCol w:w="120"/>
        <w:gridCol w:w="880"/>
        <w:gridCol w:w="36"/>
        <w:gridCol w:w="36"/>
        <w:gridCol w:w="36"/>
        <w:gridCol w:w="36"/>
        <w:gridCol w:w="121"/>
        <w:gridCol w:w="882"/>
        <w:gridCol w:w="36"/>
      </w:tblGrid>
      <w:tr w:rsidR="005C332D" w14:paraId="518B5075" w14:textId="77777777">
        <w:tc>
          <w:tcPr>
            <w:tcW w:w="50" w:type="pct"/>
            <w:shd w:val="clear" w:color="auto" w:fill="auto"/>
            <w:vAlign w:val="bottom"/>
          </w:tcPr>
          <w:p w14:paraId="518B5063" w14:textId="77777777" w:rsidR="005C332D" w:rsidRDefault="005C332D">
            <w:pPr>
              <w:rPr>
                <w:rFonts w:ascii="宋体"/>
              </w:rPr>
            </w:pPr>
          </w:p>
        </w:tc>
        <w:tc>
          <w:tcPr>
            <w:tcW w:w="2961" w:type="pct"/>
            <w:shd w:val="clear" w:color="auto" w:fill="auto"/>
            <w:vAlign w:val="bottom"/>
          </w:tcPr>
          <w:p w14:paraId="518B5064" w14:textId="77777777" w:rsidR="005C332D" w:rsidRDefault="005C332D">
            <w:pPr>
              <w:rPr>
                <w:rFonts w:ascii="宋体"/>
              </w:rPr>
            </w:pPr>
          </w:p>
        </w:tc>
        <w:tc>
          <w:tcPr>
            <w:tcW w:w="5" w:type="pct"/>
            <w:shd w:val="clear" w:color="auto" w:fill="auto"/>
            <w:vAlign w:val="bottom"/>
          </w:tcPr>
          <w:p w14:paraId="518B5065" w14:textId="77777777" w:rsidR="005C332D" w:rsidRDefault="005C332D">
            <w:pPr>
              <w:rPr>
                <w:rFonts w:ascii="宋体"/>
              </w:rPr>
            </w:pPr>
          </w:p>
        </w:tc>
        <w:tc>
          <w:tcPr>
            <w:tcW w:w="50" w:type="pct"/>
            <w:shd w:val="clear" w:color="auto" w:fill="auto"/>
            <w:vAlign w:val="bottom"/>
          </w:tcPr>
          <w:p w14:paraId="518B5066" w14:textId="77777777" w:rsidR="005C332D" w:rsidRDefault="005C332D">
            <w:pPr>
              <w:rPr>
                <w:rFonts w:ascii="宋体"/>
              </w:rPr>
            </w:pPr>
          </w:p>
        </w:tc>
        <w:tc>
          <w:tcPr>
            <w:tcW w:w="581" w:type="pct"/>
            <w:shd w:val="clear" w:color="auto" w:fill="auto"/>
            <w:vAlign w:val="bottom"/>
          </w:tcPr>
          <w:p w14:paraId="518B5067" w14:textId="77777777" w:rsidR="005C332D" w:rsidRDefault="005C332D">
            <w:pPr>
              <w:rPr>
                <w:rFonts w:ascii="宋体"/>
              </w:rPr>
            </w:pPr>
          </w:p>
        </w:tc>
        <w:tc>
          <w:tcPr>
            <w:tcW w:w="5" w:type="pct"/>
            <w:shd w:val="clear" w:color="auto" w:fill="auto"/>
            <w:vAlign w:val="bottom"/>
          </w:tcPr>
          <w:p w14:paraId="518B5068" w14:textId="77777777" w:rsidR="005C332D" w:rsidRDefault="005C332D">
            <w:pPr>
              <w:rPr>
                <w:rFonts w:ascii="宋体"/>
              </w:rPr>
            </w:pPr>
          </w:p>
        </w:tc>
        <w:tc>
          <w:tcPr>
            <w:tcW w:w="5" w:type="pct"/>
            <w:shd w:val="clear" w:color="auto" w:fill="auto"/>
            <w:vAlign w:val="bottom"/>
          </w:tcPr>
          <w:p w14:paraId="518B5069" w14:textId="77777777" w:rsidR="005C332D" w:rsidRDefault="005C332D">
            <w:pPr>
              <w:rPr>
                <w:rFonts w:ascii="宋体"/>
              </w:rPr>
            </w:pPr>
          </w:p>
        </w:tc>
        <w:tc>
          <w:tcPr>
            <w:tcW w:w="26" w:type="pct"/>
            <w:shd w:val="clear" w:color="auto" w:fill="auto"/>
            <w:vAlign w:val="bottom"/>
          </w:tcPr>
          <w:p w14:paraId="518B506A" w14:textId="77777777" w:rsidR="005C332D" w:rsidRDefault="005C332D">
            <w:pPr>
              <w:rPr>
                <w:rFonts w:ascii="宋体"/>
              </w:rPr>
            </w:pPr>
          </w:p>
        </w:tc>
        <w:tc>
          <w:tcPr>
            <w:tcW w:w="5" w:type="pct"/>
            <w:shd w:val="clear" w:color="auto" w:fill="auto"/>
            <w:vAlign w:val="bottom"/>
          </w:tcPr>
          <w:p w14:paraId="518B506B" w14:textId="77777777" w:rsidR="005C332D" w:rsidRDefault="005C332D">
            <w:pPr>
              <w:rPr>
                <w:rFonts w:ascii="宋体"/>
              </w:rPr>
            </w:pPr>
          </w:p>
        </w:tc>
        <w:tc>
          <w:tcPr>
            <w:tcW w:w="50" w:type="pct"/>
            <w:shd w:val="clear" w:color="auto" w:fill="auto"/>
            <w:vAlign w:val="bottom"/>
          </w:tcPr>
          <w:p w14:paraId="518B506C" w14:textId="77777777" w:rsidR="005C332D" w:rsidRDefault="005C332D">
            <w:pPr>
              <w:rPr>
                <w:rFonts w:ascii="宋体"/>
              </w:rPr>
            </w:pPr>
          </w:p>
        </w:tc>
        <w:tc>
          <w:tcPr>
            <w:tcW w:w="581" w:type="pct"/>
            <w:shd w:val="clear" w:color="auto" w:fill="auto"/>
            <w:vAlign w:val="bottom"/>
          </w:tcPr>
          <w:p w14:paraId="518B506D" w14:textId="77777777" w:rsidR="005C332D" w:rsidRDefault="005C332D">
            <w:pPr>
              <w:rPr>
                <w:rFonts w:ascii="宋体"/>
              </w:rPr>
            </w:pPr>
          </w:p>
        </w:tc>
        <w:tc>
          <w:tcPr>
            <w:tcW w:w="5" w:type="pct"/>
            <w:shd w:val="clear" w:color="auto" w:fill="auto"/>
            <w:vAlign w:val="bottom"/>
          </w:tcPr>
          <w:p w14:paraId="518B506E" w14:textId="77777777" w:rsidR="005C332D" w:rsidRDefault="005C332D">
            <w:pPr>
              <w:rPr>
                <w:rFonts w:ascii="宋体"/>
              </w:rPr>
            </w:pPr>
          </w:p>
        </w:tc>
        <w:tc>
          <w:tcPr>
            <w:tcW w:w="5" w:type="pct"/>
            <w:shd w:val="clear" w:color="auto" w:fill="auto"/>
            <w:vAlign w:val="bottom"/>
          </w:tcPr>
          <w:p w14:paraId="518B506F" w14:textId="77777777" w:rsidR="005C332D" w:rsidRDefault="005C332D">
            <w:pPr>
              <w:rPr>
                <w:rFonts w:ascii="宋体"/>
              </w:rPr>
            </w:pPr>
          </w:p>
        </w:tc>
        <w:tc>
          <w:tcPr>
            <w:tcW w:w="26" w:type="pct"/>
            <w:shd w:val="clear" w:color="auto" w:fill="auto"/>
            <w:vAlign w:val="bottom"/>
          </w:tcPr>
          <w:p w14:paraId="518B5070" w14:textId="77777777" w:rsidR="005C332D" w:rsidRDefault="005C332D">
            <w:pPr>
              <w:rPr>
                <w:rFonts w:ascii="宋体"/>
              </w:rPr>
            </w:pPr>
          </w:p>
        </w:tc>
        <w:tc>
          <w:tcPr>
            <w:tcW w:w="5" w:type="pct"/>
            <w:shd w:val="clear" w:color="auto" w:fill="auto"/>
            <w:vAlign w:val="bottom"/>
          </w:tcPr>
          <w:p w14:paraId="518B5071" w14:textId="77777777" w:rsidR="005C332D" w:rsidRDefault="005C332D">
            <w:pPr>
              <w:rPr>
                <w:rFonts w:ascii="宋体"/>
              </w:rPr>
            </w:pPr>
          </w:p>
        </w:tc>
        <w:tc>
          <w:tcPr>
            <w:tcW w:w="50" w:type="pct"/>
            <w:shd w:val="clear" w:color="auto" w:fill="auto"/>
            <w:vAlign w:val="bottom"/>
          </w:tcPr>
          <w:p w14:paraId="518B5072" w14:textId="77777777" w:rsidR="005C332D" w:rsidRDefault="005C332D">
            <w:pPr>
              <w:rPr>
                <w:rFonts w:ascii="宋体"/>
              </w:rPr>
            </w:pPr>
          </w:p>
        </w:tc>
        <w:tc>
          <w:tcPr>
            <w:tcW w:w="582" w:type="pct"/>
            <w:shd w:val="clear" w:color="auto" w:fill="auto"/>
            <w:vAlign w:val="bottom"/>
          </w:tcPr>
          <w:p w14:paraId="518B5073" w14:textId="77777777" w:rsidR="005C332D" w:rsidRDefault="005C332D">
            <w:pPr>
              <w:rPr>
                <w:rFonts w:ascii="宋体"/>
              </w:rPr>
            </w:pPr>
          </w:p>
        </w:tc>
        <w:tc>
          <w:tcPr>
            <w:tcW w:w="5" w:type="pct"/>
            <w:shd w:val="clear" w:color="auto" w:fill="auto"/>
            <w:vAlign w:val="bottom"/>
          </w:tcPr>
          <w:p w14:paraId="518B5074" w14:textId="77777777" w:rsidR="005C332D" w:rsidRDefault="005C332D">
            <w:pPr>
              <w:rPr>
                <w:rFonts w:ascii="宋体"/>
              </w:rPr>
            </w:pPr>
          </w:p>
        </w:tc>
      </w:tr>
      <w:tr w:rsidR="005C332D" w14:paraId="518B507C" w14:textId="77777777">
        <w:tc>
          <w:tcPr>
            <w:tcW w:w="0" w:type="auto"/>
            <w:gridSpan w:val="3"/>
            <w:shd w:val="clear" w:color="auto" w:fill="auto"/>
            <w:tcMar>
              <w:top w:w="40" w:type="dxa"/>
              <w:left w:w="20" w:type="dxa"/>
              <w:bottom w:w="40" w:type="dxa"/>
              <w:right w:w="20" w:type="dxa"/>
            </w:tcMar>
            <w:vAlign w:val="bottom"/>
          </w:tcPr>
          <w:p w14:paraId="518B5076"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18B5077"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07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079"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07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07B" w14:textId="77777777" w:rsidR="005C332D" w:rsidRDefault="00B93EAE">
            <w:pPr>
              <w:jc w:val="center"/>
              <w:textAlignment w:val="bottom"/>
            </w:pPr>
            <w:r>
              <w:rPr>
                <w:rFonts w:ascii="Times New Roman" w:eastAsia="宋体" w:hAnsi="Times New Roman"/>
                <w:color w:val="000000"/>
                <w:sz w:val="18"/>
                <w:szCs w:val="18"/>
              </w:rPr>
              <w:t>Increase (Decrease)</w:t>
            </w:r>
          </w:p>
        </w:tc>
      </w:tr>
      <w:tr w:rsidR="005C332D" w14:paraId="518B5089" w14:textId="77777777">
        <w:tc>
          <w:tcPr>
            <w:tcW w:w="0" w:type="auto"/>
            <w:gridSpan w:val="3"/>
            <w:shd w:val="clear" w:color="auto" w:fill="CCEEFF"/>
            <w:tcMar>
              <w:top w:w="40" w:type="dxa"/>
              <w:left w:w="20" w:type="dxa"/>
              <w:bottom w:w="40" w:type="dxa"/>
              <w:right w:w="20" w:type="dxa"/>
            </w:tcMar>
            <w:vAlign w:val="bottom"/>
          </w:tcPr>
          <w:p w14:paraId="518B507D" w14:textId="77777777" w:rsidR="005C332D" w:rsidRDefault="00B93EAE">
            <w:pPr>
              <w:textAlignment w:val="bottom"/>
            </w:pPr>
            <w:r>
              <w:rPr>
                <w:rFonts w:ascii="Times New Roman" w:eastAsia="宋体" w:hAnsi="Times New Roman"/>
                <w:color w:val="000000"/>
                <w:sz w:val="20"/>
                <w:szCs w:val="20"/>
              </w:rPr>
              <w:t>Cash and cash equivalents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07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07F" w14:textId="77777777" w:rsidR="005C332D" w:rsidRDefault="00B93EAE">
            <w:pPr>
              <w:jc w:val="right"/>
              <w:textAlignment w:val="bottom"/>
            </w:pPr>
            <w:r>
              <w:rPr>
                <w:rFonts w:ascii="Times New Roman" w:eastAsia="宋体" w:hAnsi="Times New Roman"/>
                <w:b/>
                <w:bCs/>
                <w:color w:val="000000"/>
                <w:sz w:val="20"/>
                <w:szCs w:val="20"/>
              </w:rPr>
              <w:t>7,079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08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8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08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083" w14:textId="77777777" w:rsidR="005C332D" w:rsidRDefault="00B93EAE">
            <w:pPr>
              <w:jc w:val="right"/>
              <w:textAlignment w:val="bottom"/>
            </w:pPr>
            <w:r>
              <w:rPr>
                <w:rFonts w:ascii="Times New Roman" w:eastAsia="宋体" w:hAnsi="Times New Roman"/>
                <w:color w:val="000000"/>
                <w:sz w:val="20"/>
                <w:szCs w:val="20"/>
              </w:rPr>
              <w:t>9,175 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08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8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08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087" w14:textId="77777777" w:rsidR="005C332D" w:rsidRDefault="00B93EAE">
            <w:pPr>
              <w:jc w:val="right"/>
              <w:textAlignment w:val="bottom"/>
            </w:pPr>
            <w:r>
              <w:rPr>
                <w:rFonts w:ascii="Times New Roman" w:eastAsia="宋体" w:hAnsi="Times New Roman"/>
                <w:color w:val="000000"/>
                <w:sz w:val="20"/>
                <w:szCs w:val="20"/>
              </w:rPr>
              <w:t>(2,096)</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088" w14:textId="77777777" w:rsidR="005C332D" w:rsidRDefault="005C332D">
            <w:pPr>
              <w:jc w:val="right"/>
              <w:rPr>
                <w:rFonts w:ascii="宋体"/>
              </w:rPr>
            </w:pPr>
          </w:p>
        </w:tc>
      </w:tr>
      <w:tr w:rsidR="005C332D" w14:paraId="518B5093" w14:textId="77777777">
        <w:tc>
          <w:tcPr>
            <w:tcW w:w="0" w:type="auto"/>
            <w:gridSpan w:val="3"/>
            <w:shd w:val="clear" w:color="auto" w:fill="FFFFFF"/>
            <w:tcMar>
              <w:top w:w="40" w:type="dxa"/>
              <w:left w:w="20" w:type="dxa"/>
              <w:bottom w:w="40" w:type="dxa"/>
              <w:right w:w="20" w:type="dxa"/>
            </w:tcMar>
            <w:vAlign w:val="bottom"/>
          </w:tcPr>
          <w:p w14:paraId="518B508A" w14:textId="77777777" w:rsidR="005C332D" w:rsidRDefault="00B93EAE">
            <w:pPr>
              <w:textAlignment w:val="bottom"/>
            </w:pPr>
            <w:r>
              <w:rPr>
                <w:rFonts w:ascii="Times New Roman" w:eastAsia="宋体" w:hAnsi="Times New Roman"/>
                <w:color w:val="000000"/>
                <w:sz w:val="20"/>
                <w:szCs w:val="20"/>
              </w:rPr>
              <w:t>Available-for-sale debt investments</w:t>
            </w:r>
          </w:p>
        </w:tc>
        <w:tc>
          <w:tcPr>
            <w:tcW w:w="0" w:type="auto"/>
            <w:gridSpan w:val="2"/>
            <w:shd w:val="clear" w:color="auto" w:fill="FFFFFF"/>
            <w:tcMar>
              <w:top w:w="40" w:type="dxa"/>
              <w:left w:w="20" w:type="dxa"/>
              <w:bottom w:w="40" w:type="dxa"/>
              <w:right w:w="0" w:type="dxa"/>
            </w:tcMar>
            <w:vAlign w:val="bottom"/>
          </w:tcPr>
          <w:p w14:paraId="518B508B" w14:textId="77777777" w:rsidR="005C332D" w:rsidRDefault="00B93EAE">
            <w:pPr>
              <w:jc w:val="right"/>
              <w:textAlignment w:val="bottom"/>
            </w:pPr>
            <w:r>
              <w:rPr>
                <w:rFonts w:ascii="Times New Roman" w:eastAsia="宋体" w:hAnsi="Times New Roman"/>
                <w:b/>
                <w:bCs/>
                <w:color w:val="000000"/>
                <w:sz w:val="20"/>
                <w:szCs w:val="20"/>
              </w:rPr>
              <w:t>11,947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08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8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08E" w14:textId="77777777" w:rsidR="005C332D" w:rsidRDefault="00B93EAE">
            <w:pPr>
              <w:jc w:val="right"/>
              <w:textAlignment w:val="bottom"/>
            </w:pPr>
            <w:r>
              <w:rPr>
                <w:rFonts w:ascii="Times New Roman" w:eastAsia="宋体" w:hAnsi="Times New Roman"/>
                <w:color w:val="000000"/>
                <w:sz w:val="20"/>
                <w:szCs w:val="20"/>
              </w:rPr>
              <w:t>15,206 </w:t>
            </w:r>
          </w:p>
        </w:tc>
        <w:tc>
          <w:tcPr>
            <w:tcW w:w="0" w:type="auto"/>
            <w:shd w:val="clear" w:color="auto" w:fill="FFFFFF"/>
            <w:tcMar>
              <w:top w:w="40" w:type="dxa"/>
              <w:left w:w="0" w:type="dxa"/>
              <w:bottom w:w="40" w:type="dxa"/>
              <w:right w:w="20" w:type="dxa"/>
            </w:tcMar>
            <w:vAlign w:val="bottom"/>
          </w:tcPr>
          <w:p w14:paraId="518B508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9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091" w14:textId="77777777" w:rsidR="005C332D" w:rsidRDefault="00B93EAE">
            <w:pPr>
              <w:jc w:val="right"/>
              <w:textAlignment w:val="bottom"/>
            </w:pPr>
            <w:r>
              <w:rPr>
                <w:rFonts w:ascii="Times New Roman" w:eastAsia="宋体" w:hAnsi="Times New Roman"/>
                <w:color w:val="000000"/>
                <w:sz w:val="20"/>
                <w:szCs w:val="20"/>
              </w:rPr>
              <w:t>(3,259)</w:t>
            </w:r>
          </w:p>
        </w:tc>
        <w:tc>
          <w:tcPr>
            <w:tcW w:w="0" w:type="auto"/>
            <w:shd w:val="clear" w:color="auto" w:fill="FFFFFF"/>
            <w:tcMar>
              <w:top w:w="40" w:type="dxa"/>
              <w:left w:w="0" w:type="dxa"/>
              <w:bottom w:w="40" w:type="dxa"/>
              <w:right w:w="20" w:type="dxa"/>
            </w:tcMar>
            <w:vAlign w:val="bottom"/>
          </w:tcPr>
          <w:p w14:paraId="518B5092" w14:textId="77777777" w:rsidR="005C332D" w:rsidRDefault="005C332D">
            <w:pPr>
              <w:jc w:val="right"/>
              <w:rPr>
                <w:rFonts w:ascii="宋体"/>
              </w:rPr>
            </w:pPr>
          </w:p>
        </w:tc>
      </w:tr>
      <w:tr w:rsidR="005C332D" w14:paraId="518B509D" w14:textId="77777777">
        <w:tc>
          <w:tcPr>
            <w:tcW w:w="0" w:type="auto"/>
            <w:gridSpan w:val="3"/>
            <w:shd w:val="clear" w:color="auto" w:fill="CCEEFF"/>
            <w:tcMar>
              <w:top w:w="40" w:type="dxa"/>
              <w:left w:w="20" w:type="dxa"/>
              <w:bottom w:w="40" w:type="dxa"/>
              <w:right w:w="20" w:type="dxa"/>
            </w:tcMar>
            <w:vAlign w:val="bottom"/>
          </w:tcPr>
          <w:p w14:paraId="518B5094" w14:textId="77777777" w:rsidR="005C332D" w:rsidRDefault="00B93EAE">
            <w:pPr>
              <w:textAlignment w:val="bottom"/>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518B5095" w14:textId="77777777" w:rsidR="005C332D" w:rsidRDefault="00B93EAE">
            <w:pPr>
              <w:jc w:val="right"/>
              <w:textAlignment w:val="bottom"/>
            </w:pPr>
            <w:r>
              <w:rPr>
                <w:rFonts w:ascii="Times New Roman" w:eastAsia="宋体" w:hAnsi="Times New Roman"/>
                <w:b/>
                <w:bCs/>
                <w:color w:val="000000"/>
                <w:sz w:val="20"/>
                <w:szCs w:val="20"/>
              </w:rPr>
              <w:t>241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09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9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098" w14:textId="77777777" w:rsidR="005C332D" w:rsidRDefault="00B93EAE">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518B509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9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09B" w14:textId="77777777" w:rsidR="005C332D" w:rsidRDefault="00B93EAE">
            <w:pPr>
              <w:jc w:val="right"/>
              <w:textAlignment w:val="bottom"/>
            </w:pPr>
            <w:r>
              <w:rPr>
                <w:rFonts w:ascii="Times New Roman" w:eastAsia="宋体" w:hAnsi="Times New Roman"/>
                <w:color w:val="000000"/>
                <w:sz w:val="20"/>
                <w:szCs w:val="20"/>
              </w:rPr>
              <w:t>104 </w:t>
            </w:r>
          </w:p>
        </w:tc>
        <w:tc>
          <w:tcPr>
            <w:tcW w:w="0" w:type="auto"/>
            <w:shd w:val="clear" w:color="auto" w:fill="CCEEFF"/>
            <w:tcMar>
              <w:top w:w="40" w:type="dxa"/>
              <w:left w:w="0" w:type="dxa"/>
              <w:bottom w:w="40" w:type="dxa"/>
              <w:right w:w="20" w:type="dxa"/>
            </w:tcMar>
            <w:vAlign w:val="bottom"/>
          </w:tcPr>
          <w:p w14:paraId="518B509C" w14:textId="77777777" w:rsidR="005C332D" w:rsidRDefault="005C332D">
            <w:pPr>
              <w:jc w:val="right"/>
              <w:rPr>
                <w:rFonts w:ascii="宋体"/>
              </w:rPr>
            </w:pPr>
          </w:p>
        </w:tc>
      </w:tr>
      <w:tr w:rsidR="005C332D" w14:paraId="518B50AA" w14:textId="77777777">
        <w:tc>
          <w:tcPr>
            <w:tcW w:w="0" w:type="auto"/>
            <w:gridSpan w:val="3"/>
            <w:shd w:val="clear" w:color="auto" w:fill="FFFFFF"/>
            <w:tcMar>
              <w:top w:w="40" w:type="dxa"/>
              <w:left w:w="245" w:type="dxa"/>
              <w:bottom w:w="40" w:type="dxa"/>
              <w:right w:w="20" w:type="dxa"/>
            </w:tcMar>
            <w:vAlign w:val="bottom"/>
          </w:tcPr>
          <w:p w14:paraId="518B509E" w14:textId="77777777" w:rsidR="005C332D" w:rsidRDefault="00B93EAE">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09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0A0" w14:textId="77777777" w:rsidR="005C332D" w:rsidRDefault="00B93EAE">
            <w:pPr>
              <w:jc w:val="right"/>
              <w:textAlignment w:val="bottom"/>
            </w:pPr>
            <w:r>
              <w:rPr>
                <w:rFonts w:ascii="Times New Roman" w:eastAsia="宋体" w:hAnsi="Times New Roman"/>
                <w:b/>
                <w:bCs/>
                <w:color w:val="000000"/>
                <w:sz w:val="20"/>
                <w:szCs w:val="20"/>
              </w:rPr>
              <w:t>19,267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0A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A2"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0A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0A4" w14:textId="77777777" w:rsidR="005C332D" w:rsidRDefault="00B93EAE">
            <w:pPr>
              <w:jc w:val="right"/>
              <w:textAlignment w:val="bottom"/>
            </w:pPr>
            <w:r>
              <w:rPr>
                <w:rFonts w:ascii="Times New Roman" w:eastAsia="宋体" w:hAnsi="Times New Roman"/>
                <w:color w:val="000000"/>
                <w:sz w:val="20"/>
                <w:szCs w:val="20"/>
              </w:rPr>
              <w:t>24,518 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0A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A6"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0A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0A8" w14:textId="77777777" w:rsidR="005C332D" w:rsidRDefault="00B93EAE">
            <w:pPr>
              <w:jc w:val="right"/>
              <w:textAlignment w:val="bottom"/>
            </w:pPr>
            <w:r>
              <w:rPr>
                <w:rFonts w:ascii="Times New Roman" w:eastAsia="宋体" w:hAnsi="Times New Roman"/>
                <w:color w:val="000000"/>
                <w:sz w:val="20"/>
                <w:szCs w:val="20"/>
              </w:rPr>
              <w:t>(5,251)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0A9" w14:textId="77777777" w:rsidR="005C332D" w:rsidRDefault="005C332D">
            <w:pPr>
              <w:jc w:val="right"/>
              <w:rPr>
                <w:rFonts w:ascii="宋体"/>
              </w:rPr>
            </w:pPr>
          </w:p>
        </w:tc>
      </w:tr>
    </w:tbl>
    <w:p w14:paraId="518B50AB" w14:textId="77777777" w:rsidR="005C332D" w:rsidRDefault="00B93EAE">
      <w:pPr>
        <w:spacing w:before="120"/>
        <w:jc w:val="both"/>
      </w:pPr>
      <w:r>
        <w:rPr>
          <w:rFonts w:ascii="Times New Roman" w:eastAsia="宋体" w:hAnsi="Times New Roman"/>
          <w:color w:val="000000"/>
          <w:sz w:val="20"/>
          <w:szCs w:val="20"/>
        </w:rPr>
        <w:t>The net decrease in cash and cash equivalents and investments from fiscal 2021 to fiscal 2022 was primarily driven by cash returned to stockholders in the form of repurchases of common stock of $7.</w:t>
      </w:r>
      <w:r>
        <w:rPr>
          <w:rFonts w:ascii="Times New Roman" w:eastAsia="宋体" w:hAnsi="Times New Roman"/>
          <w:color w:val="000000"/>
          <w:sz w:val="20"/>
          <w:szCs w:val="20"/>
        </w:rPr>
        <w:t>7 billion under the stock repurchase program and cash dividends of $6.2 billion, net decrease in debt of $2.5 billion, changes in unrealized losses of our investments and other of $0.9 billion, net increase in restricted cash equivalents of $0.8 billion, c</w:t>
      </w:r>
      <w:r>
        <w:rPr>
          <w:rFonts w:ascii="Times New Roman" w:eastAsia="宋体" w:hAnsi="Times New Roman"/>
          <w:color w:val="000000"/>
          <w:sz w:val="20"/>
          <w:szCs w:val="20"/>
        </w:rPr>
        <w:t>apital expenditures of $0.5 billion and net cash paid for acquisitions and divestitures of $0.4 billion. These uses of cash were partially offset by cash provided by operating activities of $13.2 billion and issuance of commercial paper of $0.6 billion.</w:t>
      </w:r>
    </w:p>
    <w:p w14:paraId="518B50AC" w14:textId="77777777" w:rsidR="005C332D" w:rsidRDefault="00B93EAE">
      <w:pPr>
        <w:spacing w:before="120"/>
        <w:jc w:val="both"/>
      </w:pPr>
      <w:r>
        <w:rPr>
          <w:rFonts w:ascii="Times New Roman" w:eastAsia="宋体" w:hAnsi="Times New Roman"/>
          <w:color w:val="000000"/>
          <w:sz w:val="20"/>
          <w:szCs w:val="20"/>
        </w:rPr>
        <w:t>We</w:t>
      </w:r>
      <w:r>
        <w:rPr>
          <w:rFonts w:ascii="Times New Roman" w:eastAsia="宋体" w:hAnsi="Times New Roman"/>
          <w:color w:val="000000"/>
          <w:sz w:val="20"/>
          <w:szCs w:val="20"/>
        </w:rPr>
        <w:t xml:space="preserve"> maintain an investment portfolio of various holdings, types, and maturities. We classify our investments as short-term investments based on their nature and their availability for use in current operations. We believe the overall credit quality of our por</w:t>
      </w:r>
      <w:r>
        <w:rPr>
          <w:rFonts w:ascii="Times New Roman" w:eastAsia="宋体" w:hAnsi="Times New Roman"/>
          <w:color w:val="000000"/>
          <w:sz w:val="20"/>
          <w:szCs w:val="20"/>
        </w:rPr>
        <w:t>tfolio is strong, with our cash equivalents and our available-for-sale debt investment portfolio consisting primarily of high quality investment-grade securities. We believe that our strong cash and cash equivalents and investments position allows us to us</w:t>
      </w:r>
      <w:r>
        <w:rPr>
          <w:rFonts w:ascii="Times New Roman" w:eastAsia="宋体" w:hAnsi="Times New Roman"/>
          <w:color w:val="000000"/>
          <w:sz w:val="20"/>
          <w:szCs w:val="20"/>
        </w:rPr>
        <w:t>e our cash resources for strategic investments to gain access to new technologies, for acquisitions, for customer financing activities, for working capital needs, and for the repurchase of shares of common stock and payment of dividends as discussed below.</w:t>
      </w:r>
    </w:p>
    <w:p w14:paraId="518B50AD" w14:textId="77777777" w:rsidR="005C332D" w:rsidRDefault="00B93EAE">
      <w:pPr>
        <w:spacing w:before="120"/>
        <w:jc w:val="both"/>
      </w:pPr>
      <w:r>
        <w:rPr>
          <w:rFonts w:ascii="Times New Roman" w:eastAsia="宋体" w:hAnsi="Times New Roman"/>
          <w:color w:val="000000"/>
          <w:sz w:val="20"/>
          <w:szCs w:val="20"/>
          <w:u w:val="single"/>
        </w:rPr>
        <w:t>Securities Lending</w:t>
      </w:r>
      <w:r>
        <w:rPr>
          <w:rFonts w:ascii="Times New Roman" w:eastAsia="宋体" w:hAnsi="Times New Roman"/>
          <w:color w:val="000000"/>
          <w:sz w:val="20"/>
          <w:szCs w:val="20"/>
        </w:rPr>
        <w:t xml:space="preserve"> We periodically engage in securities lending activities with certain of our available-for-sale debt investments. These transactions are accounted for as a secured lending of the securities, and the securities are typically loaned only o</w:t>
      </w:r>
      <w:r>
        <w:rPr>
          <w:rFonts w:ascii="Times New Roman" w:eastAsia="宋体" w:hAnsi="Times New Roman"/>
          <w:color w:val="000000"/>
          <w:sz w:val="20"/>
          <w:szCs w:val="20"/>
        </w:rPr>
        <w:t>n an overnight basis. We require collateral equal to at least 102% of the fair market value of the loaned security and that the collateral be in the form of cash or liquid, high-quality assets. We engage in these secured lending transactions only with high</w:t>
      </w:r>
      <w:r>
        <w:rPr>
          <w:rFonts w:ascii="Times New Roman" w:eastAsia="宋体" w:hAnsi="Times New Roman"/>
          <w:color w:val="000000"/>
          <w:sz w:val="20"/>
          <w:szCs w:val="20"/>
        </w:rPr>
        <w:t xml:space="preserve">ly creditworthy counterparties, and the associated portfolio custodian has agreed to indemnify us against collateral losses. We did not experience any losses in connection with the secured lending of securities during the periods presented. As of July 30, </w:t>
      </w:r>
      <w:r>
        <w:rPr>
          <w:rFonts w:ascii="Times New Roman" w:eastAsia="宋体" w:hAnsi="Times New Roman"/>
          <w:color w:val="000000"/>
          <w:sz w:val="20"/>
          <w:szCs w:val="20"/>
        </w:rPr>
        <w:t>2022 and July 31, 2021, we had no outstanding securities lending transactions.</w:t>
      </w:r>
    </w:p>
    <w:p w14:paraId="518B50AE" w14:textId="77777777" w:rsidR="005C332D" w:rsidRDefault="00B93EAE">
      <w:pPr>
        <w:spacing w:before="120"/>
        <w:jc w:val="both"/>
      </w:pPr>
      <w:r>
        <w:rPr>
          <w:rFonts w:ascii="Times New Roman" w:eastAsia="宋体" w:hAnsi="Times New Roman"/>
          <w:color w:val="000000"/>
          <w:sz w:val="20"/>
          <w:szCs w:val="20"/>
          <w:u w:val="single"/>
        </w:rPr>
        <w:t>Free Cash Flow and Capital Allocation</w:t>
      </w:r>
      <w:r>
        <w:rPr>
          <w:rFonts w:ascii="Times New Roman" w:eastAsia="宋体" w:hAnsi="Times New Roman"/>
          <w:color w:val="000000"/>
          <w:sz w:val="20"/>
          <w:szCs w:val="20"/>
        </w:rPr>
        <w:t xml:space="preserve"> As part of our capital allocation strategy, we target to return a minimum of 50% of our free cash flow annually to our stockholders through</w:t>
      </w:r>
      <w:r>
        <w:rPr>
          <w:rFonts w:ascii="Times New Roman" w:eastAsia="宋体" w:hAnsi="Times New Roman"/>
          <w:color w:val="000000"/>
          <w:sz w:val="20"/>
          <w:szCs w:val="20"/>
        </w:rPr>
        <w:t xml:space="preserve"> cash dividends and repurchases of common stock.</w:t>
      </w:r>
    </w:p>
    <w:p w14:paraId="518B50AF" w14:textId="77777777" w:rsidR="005C332D" w:rsidRDefault="00B93EAE">
      <w:pPr>
        <w:spacing w:before="120"/>
        <w:jc w:val="both"/>
      </w:pPr>
      <w:r>
        <w:rPr>
          <w:rFonts w:ascii="Times New Roman" w:eastAsia="宋体" w:hAnsi="Times New Roman"/>
          <w:color w:val="000000"/>
          <w:sz w:val="20"/>
          <w:szCs w:val="20"/>
        </w:rPr>
        <w:t>We define free cash flow as net cash provided by operating activities less cash used to acquire property and equipment. The following table reconciles our net cash provided by operating activities to free ca</w:t>
      </w:r>
      <w:r>
        <w:rPr>
          <w:rFonts w:ascii="Times New Roman" w:eastAsia="宋体" w:hAnsi="Times New Roman"/>
          <w:color w:val="000000"/>
          <w:sz w:val="20"/>
          <w:szCs w:val="20"/>
        </w:rPr>
        <w:t>sh flow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4881"/>
        <w:gridCol w:w="38"/>
        <w:gridCol w:w="120"/>
        <w:gridCol w:w="920"/>
        <w:gridCol w:w="36"/>
        <w:gridCol w:w="36"/>
        <w:gridCol w:w="36"/>
        <w:gridCol w:w="36"/>
        <w:gridCol w:w="120"/>
        <w:gridCol w:w="880"/>
        <w:gridCol w:w="36"/>
        <w:gridCol w:w="36"/>
        <w:gridCol w:w="36"/>
        <w:gridCol w:w="36"/>
        <w:gridCol w:w="120"/>
        <w:gridCol w:w="882"/>
        <w:gridCol w:w="36"/>
      </w:tblGrid>
      <w:tr w:rsidR="005C332D" w14:paraId="518B50C2" w14:textId="77777777">
        <w:trPr>
          <w:jc w:val="center"/>
        </w:trPr>
        <w:tc>
          <w:tcPr>
            <w:tcW w:w="50" w:type="pct"/>
            <w:shd w:val="clear" w:color="auto" w:fill="auto"/>
            <w:vAlign w:val="bottom"/>
          </w:tcPr>
          <w:p w14:paraId="518B50B0" w14:textId="77777777" w:rsidR="005C332D" w:rsidRDefault="005C332D">
            <w:pPr>
              <w:rPr>
                <w:rFonts w:ascii="宋体"/>
              </w:rPr>
            </w:pPr>
          </w:p>
        </w:tc>
        <w:tc>
          <w:tcPr>
            <w:tcW w:w="2961" w:type="pct"/>
            <w:shd w:val="clear" w:color="auto" w:fill="auto"/>
            <w:vAlign w:val="bottom"/>
          </w:tcPr>
          <w:p w14:paraId="518B50B1" w14:textId="77777777" w:rsidR="005C332D" w:rsidRDefault="005C332D">
            <w:pPr>
              <w:rPr>
                <w:rFonts w:ascii="宋体"/>
              </w:rPr>
            </w:pPr>
          </w:p>
        </w:tc>
        <w:tc>
          <w:tcPr>
            <w:tcW w:w="5" w:type="pct"/>
            <w:shd w:val="clear" w:color="auto" w:fill="auto"/>
            <w:vAlign w:val="bottom"/>
          </w:tcPr>
          <w:p w14:paraId="518B50B2" w14:textId="77777777" w:rsidR="005C332D" w:rsidRDefault="005C332D">
            <w:pPr>
              <w:rPr>
                <w:rFonts w:ascii="宋体"/>
              </w:rPr>
            </w:pPr>
          </w:p>
        </w:tc>
        <w:tc>
          <w:tcPr>
            <w:tcW w:w="50" w:type="pct"/>
            <w:shd w:val="clear" w:color="auto" w:fill="auto"/>
            <w:vAlign w:val="bottom"/>
          </w:tcPr>
          <w:p w14:paraId="518B50B3" w14:textId="77777777" w:rsidR="005C332D" w:rsidRDefault="005C332D">
            <w:pPr>
              <w:rPr>
                <w:rFonts w:ascii="宋体"/>
              </w:rPr>
            </w:pPr>
          </w:p>
        </w:tc>
        <w:tc>
          <w:tcPr>
            <w:tcW w:w="581" w:type="pct"/>
            <w:shd w:val="clear" w:color="auto" w:fill="auto"/>
            <w:vAlign w:val="bottom"/>
          </w:tcPr>
          <w:p w14:paraId="518B50B4" w14:textId="77777777" w:rsidR="005C332D" w:rsidRDefault="005C332D">
            <w:pPr>
              <w:rPr>
                <w:rFonts w:ascii="宋体"/>
              </w:rPr>
            </w:pPr>
          </w:p>
        </w:tc>
        <w:tc>
          <w:tcPr>
            <w:tcW w:w="5" w:type="pct"/>
            <w:shd w:val="clear" w:color="auto" w:fill="auto"/>
            <w:vAlign w:val="bottom"/>
          </w:tcPr>
          <w:p w14:paraId="518B50B5" w14:textId="77777777" w:rsidR="005C332D" w:rsidRDefault="005C332D">
            <w:pPr>
              <w:rPr>
                <w:rFonts w:ascii="宋体"/>
              </w:rPr>
            </w:pPr>
          </w:p>
        </w:tc>
        <w:tc>
          <w:tcPr>
            <w:tcW w:w="5" w:type="pct"/>
            <w:shd w:val="clear" w:color="auto" w:fill="auto"/>
            <w:vAlign w:val="bottom"/>
          </w:tcPr>
          <w:p w14:paraId="518B50B6" w14:textId="77777777" w:rsidR="005C332D" w:rsidRDefault="005C332D">
            <w:pPr>
              <w:rPr>
                <w:rFonts w:ascii="宋体"/>
              </w:rPr>
            </w:pPr>
          </w:p>
        </w:tc>
        <w:tc>
          <w:tcPr>
            <w:tcW w:w="26" w:type="pct"/>
            <w:shd w:val="clear" w:color="auto" w:fill="auto"/>
            <w:vAlign w:val="bottom"/>
          </w:tcPr>
          <w:p w14:paraId="518B50B7" w14:textId="77777777" w:rsidR="005C332D" w:rsidRDefault="005C332D">
            <w:pPr>
              <w:rPr>
                <w:rFonts w:ascii="宋体"/>
              </w:rPr>
            </w:pPr>
          </w:p>
        </w:tc>
        <w:tc>
          <w:tcPr>
            <w:tcW w:w="5" w:type="pct"/>
            <w:shd w:val="clear" w:color="auto" w:fill="auto"/>
            <w:vAlign w:val="bottom"/>
          </w:tcPr>
          <w:p w14:paraId="518B50B8" w14:textId="77777777" w:rsidR="005C332D" w:rsidRDefault="005C332D">
            <w:pPr>
              <w:rPr>
                <w:rFonts w:ascii="宋体"/>
              </w:rPr>
            </w:pPr>
          </w:p>
        </w:tc>
        <w:tc>
          <w:tcPr>
            <w:tcW w:w="50" w:type="pct"/>
            <w:shd w:val="clear" w:color="auto" w:fill="auto"/>
            <w:vAlign w:val="bottom"/>
          </w:tcPr>
          <w:p w14:paraId="518B50B9" w14:textId="77777777" w:rsidR="005C332D" w:rsidRDefault="005C332D">
            <w:pPr>
              <w:rPr>
                <w:rFonts w:ascii="宋体"/>
              </w:rPr>
            </w:pPr>
          </w:p>
        </w:tc>
        <w:tc>
          <w:tcPr>
            <w:tcW w:w="581" w:type="pct"/>
            <w:shd w:val="clear" w:color="auto" w:fill="auto"/>
            <w:vAlign w:val="bottom"/>
          </w:tcPr>
          <w:p w14:paraId="518B50BA" w14:textId="77777777" w:rsidR="005C332D" w:rsidRDefault="005C332D">
            <w:pPr>
              <w:rPr>
                <w:rFonts w:ascii="宋体"/>
              </w:rPr>
            </w:pPr>
          </w:p>
        </w:tc>
        <w:tc>
          <w:tcPr>
            <w:tcW w:w="5" w:type="pct"/>
            <w:shd w:val="clear" w:color="auto" w:fill="auto"/>
            <w:vAlign w:val="bottom"/>
          </w:tcPr>
          <w:p w14:paraId="518B50BB" w14:textId="77777777" w:rsidR="005C332D" w:rsidRDefault="005C332D">
            <w:pPr>
              <w:rPr>
                <w:rFonts w:ascii="宋体"/>
              </w:rPr>
            </w:pPr>
          </w:p>
        </w:tc>
        <w:tc>
          <w:tcPr>
            <w:tcW w:w="5" w:type="pct"/>
            <w:shd w:val="clear" w:color="auto" w:fill="auto"/>
            <w:vAlign w:val="bottom"/>
          </w:tcPr>
          <w:p w14:paraId="518B50BC" w14:textId="77777777" w:rsidR="005C332D" w:rsidRDefault="005C332D">
            <w:pPr>
              <w:rPr>
                <w:rFonts w:ascii="宋体"/>
              </w:rPr>
            </w:pPr>
          </w:p>
        </w:tc>
        <w:tc>
          <w:tcPr>
            <w:tcW w:w="26" w:type="pct"/>
            <w:shd w:val="clear" w:color="auto" w:fill="auto"/>
            <w:vAlign w:val="bottom"/>
          </w:tcPr>
          <w:p w14:paraId="518B50BD" w14:textId="77777777" w:rsidR="005C332D" w:rsidRDefault="005C332D">
            <w:pPr>
              <w:rPr>
                <w:rFonts w:ascii="宋体"/>
              </w:rPr>
            </w:pPr>
          </w:p>
        </w:tc>
        <w:tc>
          <w:tcPr>
            <w:tcW w:w="5" w:type="pct"/>
            <w:shd w:val="clear" w:color="auto" w:fill="auto"/>
            <w:vAlign w:val="bottom"/>
          </w:tcPr>
          <w:p w14:paraId="518B50BE" w14:textId="77777777" w:rsidR="005C332D" w:rsidRDefault="005C332D">
            <w:pPr>
              <w:rPr>
                <w:rFonts w:ascii="宋体"/>
              </w:rPr>
            </w:pPr>
          </w:p>
        </w:tc>
        <w:tc>
          <w:tcPr>
            <w:tcW w:w="50" w:type="pct"/>
            <w:shd w:val="clear" w:color="auto" w:fill="auto"/>
            <w:vAlign w:val="bottom"/>
          </w:tcPr>
          <w:p w14:paraId="518B50BF" w14:textId="77777777" w:rsidR="005C332D" w:rsidRDefault="005C332D">
            <w:pPr>
              <w:rPr>
                <w:rFonts w:ascii="宋体"/>
              </w:rPr>
            </w:pPr>
          </w:p>
        </w:tc>
        <w:tc>
          <w:tcPr>
            <w:tcW w:w="582" w:type="pct"/>
            <w:shd w:val="clear" w:color="auto" w:fill="auto"/>
            <w:vAlign w:val="bottom"/>
          </w:tcPr>
          <w:p w14:paraId="518B50C0" w14:textId="77777777" w:rsidR="005C332D" w:rsidRDefault="005C332D">
            <w:pPr>
              <w:rPr>
                <w:rFonts w:ascii="宋体"/>
              </w:rPr>
            </w:pPr>
          </w:p>
        </w:tc>
        <w:tc>
          <w:tcPr>
            <w:tcW w:w="5" w:type="pct"/>
            <w:shd w:val="clear" w:color="auto" w:fill="auto"/>
            <w:vAlign w:val="bottom"/>
          </w:tcPr>
          <w:p w14:paraId="518B50C1" w14:textId="77777777" w:rsidR="005C332D" w:rsidRDefault="005C332D">
            <w:pPr>
              <w:rPr>
                <w:rFonts w:ascii="宋体"/>
              </w:rPr>
            </w:pPr>
          </w:p>
        </w:tc>
      </w:tr>
      <w:tr w:rsidR="005C332D" w14:paraId="518B50C9" w14:textId="77777777">
        <w:trPr>
          <w:jc w:val="center"/>
        </w:trPr>
        <w:tc>
          <w:tcPr>
            <w:tcW w:w="0" w:type="auto"/>
            <w:gridSpan w:val="3"/>
            <w:shd w:val="clear" w:color="auto" w:fill="auto"/>
            <w:tcMar>
              <w:top w:w="40" w:type="dxa"/>
              <w:left w:w="20" w:type="dxa"/>
              <w:bottom w:w="40" w:type="dxa"/>
              <w:right w:w="20" w:type="dxa"/>
            </w:tcMar>
            <w:vAlign w:val="bottom"/>
          </w:tcPr>
          <w:p w14:paraId="518B50C3"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shd w:val="clear" w:color="auto" w:fill="auto"/>
            <w:tcMar>
              <w:top w:w="40" w:type="dxa"/>
              <w:left w:w="20" w:type="dxa"/>
              <w:bottom w:w="40" w:type="dxa"/>
              <w:right w:w="20" w:type="dxa"/>
            </w:tcMar>
            <w:vAlign w:val="bottom"/>
          </w:tcPr>
          <w:p w14:paraId="518B50C4"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0C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0C6"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0C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0C8"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50D6" w14:textId="77777777">
        <w:trPr>
          <w:jc w:val="center"/>
        </w:trPr>
        <w:tc>
          <w:tcPr>
            <w:tcW w:w="0" w:type="auto"/>
            <w:gridSpan w:val="3"/>
            <w:shd w:val="clear" w:color="auto" w:fill="CCEEFF"/>
            <w:tcMar>
              <w:top w:w="40" w:type="dxa"/>
              <w:left w:w="20" w:type="dxa"/>
              <w:bottom w:w="40" w:type="dxa"/>
              <w:right w:w="20" w:type="dxa"/>
            </w:tcMar>
            <w:vAlign w:val="bottom"/>
          </w:tcPr>
          <w:p w14:paraId="518B50CA" w14:textId="77777777" w:rsidR="005C332D" w:rsidRDefault="00B93EAE">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0C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0CC" w14:textId="77777777" w:rsidR="005C332D" w:rsidRDefault="00B93EAE">
            <w:pPr>
              <w:jc w:val="right"/>
              <w:textAlignment w:val="bottom"/>
            </w:pPr>
            <w:r>
              <w:rPr>
                <w:rFonts w:ascii="Times New Roman" w:eastAsia="宋体" w:hAnsi="Times New Roman"/>
                <w:b/>
                <w:bCs/>
                <w:color w:val="000000"/>
                <w:sz w:val="20"/>
                <w:szCs w:val="20"/>
              </w:rPr>
              <w:t>13,226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0C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C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0C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0D0" w14:textId="77777777" w:rsidR="005C332D" w:rsidRDefault="00B93EAE">
            <w:pPr>
              <w:jc w:val="right"/>
              <w:textAlignment w:val="bottom"/>
            </w:pPr>
            <w:r>
              <w:rPr>
                <w:rFonts w:ascii="Times New Roman" w:eastAsia="宋体" w:hAnsi="Times New Roman"/>
                <w:color w:val="000000"/>
                <w:sz w:val="20"/>
                <w:szCs w:val="20"/>
              </w:rPr>
              <w:t>15,454 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0D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D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0D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0D4" w14:textId="77777777" w:rsidR="005C332D" w:rsidRDefault="00B93EAE">
            <w:pPr>
              <w:jc w:val="right"/>
              <w:textAlignment w:val="bottom"/>
            </w:pPr>
            <w:r>
              <w:rPr>
                <w:rFonts w:ascii="Times New Roman" w:eastAsia="宋体" w:hAnsi="Times New Roman"/>
                <w:color w:val="000000"/>
                <w:sz w:val="20"/>
                <w:szCs w:val="20"/>
              </w:rPr>
              <w:t>15,426 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0D5" w14:textId="77777777" w:rsidR="005C332D" w:rsidRDefault="005C332D">
            <w:pPr>
              <w:jc w:val="right"/>
              <w:rPr>
                <w:rFonts w:ascii="宋体"/>
              </w:rPr>
            </w:pPr>
          </w:p>
        </w:tc>
      </w:tr>
      <w:tr w:rsidR="005C332D" w14:paraId="518B50E0" w14:textId="77777777">
        <w:trPr>
          <w:jc w:val="center"/>
        </w:trPr>
        <w:tc>
          <w:tcPr>
            <w:tcW w:w="0" w:type="auto"/>
            <w:gridSpan w:val="3"/>
            <w:shd w:val="clear" w:color="auto" w:fill="FFFFFF"/>
            <w:tcMar>
              <w:top w:w="40" w:type="dxa"/>
              <w:left w:w="20" w:type="dxa"/>
              <w:bottom w:w="40" w:type="dxa"/>
              <w:right w:w="20" w:type="dxa"/>
            </w:tcMar>
            <w:vAlign w:val="bottom"/>
          </w:tcPr>
          <w:p w14:paraId="518B50D7" w14:textId="77777777" w:rsidR="005C332D" w:rsidRDefault="00B93EAE">
            <w:pPr>
              <w:textAlignment w:val="bottom"/>
            </w:pPr>
            <w:r>
              <w:rPr>
                <w:rFonts w:ascii="Times New Roman" w:eastAsia="宋体" w:hAnsi="Times New Roman"/>
                <w:color w:val="000000"/>
                <w:sz w:val="20"/>
                <w:szCs w:val="20"/>
              </w:rPr>
              <w:t>Acquisition of property and equipment</w:t>
            </w:r>
          </w:p>
        </w:tc>
        <w:tc>
          <w:tcPr>
            <w:tcW w:w="0" w:type="auto"/>
            <w:gridSpan w:val="2"/>
            <w:shd w:val="clear" w:color="auto" w:fill="FFFFFF"/>
            <w:tcMar>
              <w:top w:w="40" w:type="dxa"/>
              <w:left w:w="20" w:type="dxa"/>
              <w:bottom w:w="40" w:type="dxa"/>
              <w:right w:w="0" w:type="dxa"/>
            </w:tcMar>
            <w:vAlign w:val="bottom"/>
          </w:tcPr>
          <w:p w14:paraId="518B50D8" w14:textId="77777777" w:rsidR="005C332D" w:rsidRDefault="00B93EAE">
            <w:pPr>
              <w:jc w:val="right"/>
              <w:textAlignment w:val="bottom"/>
            </w:pPr>
            <w:r>
              <w:rPr>
                <w:rFonts w:ascii="Times New Roman" w:eastAsia="宋体" w:hAnsi="Times New Roman"/>
                <w:b/>
                <w:bCs/>
                <w:color w:val="000000"/>
                <w:sz w:val="20"/>
                <w:szCs w:val="20"/>
              </w:rPr>
              <w:t>(477)</w:t>
            </w:r>
          </w:p>
        </w:tc>
        <w:tc>
          <w:tcPr>
            <w:tcW w:w="0" w:type="auto"/>
            <w:shd w:val="clear" w:color="auto" w:fill="FFFFFF"/>
            <w:tcMar>
              <w:top w:w="40" w:type="dxa"/>
              <w:left w:w="0" w:type="dxa"/>
              <w:bottom w:w="40" w:type="dxa"/>
              <w:right w:w="20" w:type="dxa"/>
            </w:tcMar>
            <w:vAlign w:val="bottom"/>
          </w:tcPr>
          <w:p w14:paraId="518B50D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D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0DB" w14:textId="77777777" w:rsidR="005C332D" w:rsidRDefault="00B93EAE">
            <w:pPr>
              <w:jc w:val="right"/>
              <w:textAlignment w:val="bottom"/>
            </w:pPr>
            <w:r>
              <w:rPr>
                <w:rFonts w:ascii="Times New Roman" w:eastAsia="宋体" w:hAnsi="Times New Roman"/>
                <w:color w:val="000000"/>
                <w:sz w:val="20"/>
                <w:szCs w:val="20"/>
              </w:rPr>
              <w:t>(692)</w:t>
            </w:r>
          </w:p>
        </w:tc>
        <w:tc>
          <w:tcPr>
            <w:tcW w:w="0" w:type="auto"/>
            <w:shd w:val="clear" w:color="auto" w:fill="FFFFFF"/>
            <w:tcMar>
              <w:top w:w="40" w:type="dxa"/>
              <w:left w:w="0" w:type="dxa"/>
              <w:bottom w:w="40" w:type="dxa"/>
              <w:right w:w="20" w:type="dxa"/>
            </w:tcMar>
            <w:vAlign w:val="bottom"/>
          </w:tcPr>
          <w:p w14:paraId="518B50D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0D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0DE" w14:textId="77777777" w:rsidR="005C332D" w:rsidRDefault="00B93EAE">
            <w:pPr>
              <w:jc w:val="right"/>
              <w:textAlignment w:val="bottom"/>
            </w:pPr>
            <w:r>
              <w:rPr>
                <w:rFonts w:ascii="Times New Roman" w:eastAsia="宋体" w:hAnsi="Times New Roman"/>
                <w:color w:val="000000"/>
                <w:sz w:val="20"/>
                <w:szCs w:val="20"/>
              </w:rPr>
              <w:t>(770)</w:t>
            </w:r>
          </w:p>
        </w:tc>
        <w:tc>
          <w:tcPr>
            <w:tcW w:w="0" w:type="auto"/>
            <w:shd w:val="clear" w:color="auto" w:fill="FFFFFF"/>
            <w:tcMar>
              <w:top w:w="40" w:type="dxa"/>
              <w:left w:w="0" w:type="dxa"/>
              <w:bottom w:w="40" w:type="dxa"/>
              <w:right w:w="20" w:type="dxa"/>
            </w:tcMar>
            <w:vAlign w:val="bottom"/>
          </w:tcPr>
          <w:p w14:paraId="518B50DF" w14:textId="77777777" w:rsidR="005C332D" w:rsidRDefault="005C332D">
            <w:pPr>
              <w:jc w:val="right"/>
              <w:rPr>
                <w:rFonts w:ascii="宋体"/>
              </w:rPr>
            </w:pPr>
          </w:p>
        </w:tc>
      </w:tr>
      <w:tr w:rsidR="005C332D" w14:paraId="518B50ED" w14:textId="77777777">
        <w:trPr>
          <w:jc w:val="center"/>
        </w:trPr>
        <w:tc>
          <w:tcPr>
            <w:tcW w:w="0" w:type="auto"/>
            <w:gridSpan w:val="3"/>
            <w:shd w:val="clear" w:color="auto" w:fill="CCEEFF"/>
            <w:tcMar>
              <w:top w:w="40" w:type="dxa"/>
              <w:left w:w="20" w:type="dxa"/>
              <w:bottom w:w="40" w:type="dxa"/>
              <w:right w:w="20" w:type="dxa"/>
            </w:tcMar>
            <w:vAlign w:val="bottom"/>
          </w:tcPr>
          <w:p w14:paraId="518B50E1" w14:textId="77777777" w:rsidR="005C332D" w:rsidRDefault="00B93EAE">
            <w:pPr>
              <w:textAlignment w:val="bottom"/>
            </w:pPr>
            <w:r>
              <w:rPr>
                <w:rFonts w:ascii="Times New Roman" w:eastAsia="宋体" w:hAnsi="Times New Roman"/>
                <w:color w:val="000000"/>
                <w:sz w:val="20"/>
                <w:szCs w:val="20"/>
              </w:rPr>
              <w:t>Free cash flow</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0E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0E3" w14:textId="77777777" w:rsidR="005C332D" w:rsidRDefault="00B93EAE">
            <w:pPr>
              <w:jc w:val="right"/>
              <w:textAlignment w:val="bottom"/>
            </w:pPr>
            <w:r>
              <w:rPr>
                <w:rFonts w:ascii="Times New Roman" w:eastAsia="宋体" w:hAnsi="Times New Roman"/>
                <w:b/>
                <w:bCs/>
                <w:color w:val="000000"/>
                <w:sz w:val="20"/>
                <w:szCs w:val="20"/>
              </w:rPr>
              <w:t>12,749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0E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E5"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0E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0E7" w14:textId="77777777" w:rsidR="005C332D" w:rsidRDefault="00B93EAE">
            <w:pPr>
              <w:jc w:val="right"/>
              <w:textAlignment w:val="bottom"/>
            </w:pPr>
            <w:r>
              <w:rPr>
                <w:rFonts w:ascii="Times New Roman" w:eastAsia="宋体" w:hAnsi="Times New Roman"/>
                <w:color w:val="000000"/>
                <w:sz w:val="20"/>
                <w:szCs w:val="20"/>
              </w:rPr>
              <w:t>14,762 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0E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0E9"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0E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0EB" w14:textId="77777777" w:rsidR="005C332D" w:rsidRDefault="00B93EAE">
            <w:pPr>
              <w:jc w:val="right"/>
              <w:textAlignment w:val="bottom"/>
            </w:pPr>
            <w:r>
              <w:rPr>
                <w:rFonts w:ascii="Times New Roman" w:eastAsia="宋体" w:hAnsi="Times New Roman"/>
                <w:color w:val="000000"/>
                <w:sz w:val="20"/>
                <w:szCs w:val="20"/>
              </w:rPr>
              <w:t>14,656 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0EC" w14:textId="77777777" w:rsidR="005C332D" w:rsidRDefault="005C332D">
            <w:pPr>
              <w:jc w:val="right"/>
              <w:rPr>
                <w:rFonts w:ascii="宋体"/>
              </w:rPr>
            </w:pPr>
          </w:p>
        </w:tc>
      </w:tr>
    </w:tbl>
    <w:p w14:paraId="518B50EE" w14:textId="77777777" w:rsidR="005C332D" w:rsidRDefault="00B93EAE">
      <w:pPr>
        <w:spacing w:before="120"/>
        <w:jc w:val="both"/>
      </w:pPr>
      <w:r>
        <w:rPr>
          <w:rFonts w:ascii="Times New Roman" w:eastAsia="宋体" w:hAnsi="Times New Roman"/>
          <w:color w:val="000000"/>
          <w:sz w:val="20"/>
          <w:szCs w:val="20"/>
        </w:rPr>
        <w:t>We expect that cash provided by operating activities may fluctuate in future periods as a result of a number of factors, including fluctuations in our operating results, the rate at which products are</w:t>
      </w:r>
      <w:r>
        <w:rPr>
          <w:rFonts w:ascii="Times New Roman" w:eastAsia="宋体" w:hAnsi="Times New Roman"/>
          <w:color w:val="000000"/>
          <w:sz w:val="20"/>
          <w:szCs w:val="20"/>
        </w:rPr>
        <w:t xml:space="preserve"> shipped during the quarter (which we refer to as shipment linearity), the timing and collection of accounts receivable and financing receivables, inventory and supply chain management, deferred revenue and the timing and amount of tax and other payments. </w:t>
      </w:r>
      <w:r>
        <w:rPr>
          <w:rFonts w:ascii="Times New Roman" w:eastAsia="宋体" w:hAnsi="Times New Roman"/>
          <w:color w:val="000000"/>
          <w:sz w:val="20"/>
          <w:szCs w:val="20"/>
        </w:rPr>
        <w:t>For additional discussion, see “Part I, Item 1A. Risk Factors” in this report.</w:t>
      </w:r>
    </w:p>
    <w:p w14:paraId="518B50EF" w14:textId="77777777" w:rsidR="005C332D" w:rsidRDefault="00B93EAE">
      <w:pPr>
        <w:spacing w:before="120"/>
        <w:jc w:val="both"/>
      </w:pPr>
      <w:r>
        <w:rPr>
          <w:rFonts w:ascii="Times New Roman" w:eastAsia="宋体" w:hAnsi="Times New Roman"/>
          <w:color w:val="000000"/>
          <w:sz w:val="20"/>
          <w:szCs w:val="20"/>
        </w:rPr>
        <w:t>We consider free cash flow to be a liquidity measure that provides useful information to management and investors because of our intent to return a stated percentage of free cas</w:t>
      </w:r>
      <w:r>
        <w:rPr>
          <w:rFonts w:ascii="Times New Roman" w:eastAsia="宋体" w:hAnsi="Times New Roman"/>
          <w:color w:val="000000"/>
          <w:sz w:val="20"/>
          <w:szCs w:val="20"/>
        </w:rPr>
        <w:t xml:space="preserve">h flow to stockholders in the form of dividends and stock repurchases. We </w:t>
      </w:r>
    </w:p>
    <w:p w14:paraId="518B50F0" w14:textId="77777777" w:rsidR="005C332D" w:rsidRDefault="00B93EAE">
      <w:pPr>
        <w:jc w:val="center"/>
      </w:pPr>
      <w:r>
        <w:rPr>
          <w:rFonts w:ascii="Times New Roman" w:eastAsia="宋体" w:hAnsi="Times New Roman"/>
          <w:color w:val="000000"/>
          <w:sz w:val="20"/>
          <w:szCs w:val="20"/>
        </w:rPr>
        <w:t>46</w:t>
      </w:r>
    </w:p>
    <w:p w14:paraId="518B50F1" w14:textId="77777777" w:rsidR="005C332D" w:rsidRDefault="00B93EAE">
      <w:r>
        <w:pict w14:anchorId="518B8743">
          <v:rect id="_x0000_i1072" style="width:415.3pt;height:1.5pt" o:hralign="center" o:hrstd="t" o:hr="t" fillcolor="#a0a0a0" stroked="f"/>
        </w:pict>
      </w:r>
    </w:p>
    <w:p w14:paraId="518B50F2" w14:textId="77777777" w:rsidR="005C332D" w:rsidRDefault="00B93EAE">
      <w:hyperlink r:id="rId100" w:anchor="i049852cab38845aabd2a79d07dacda86_7" w:history="1">
        <w:r>
          <w:rPr>
            <w:rStyle w:val="a5"/>
            <w:rFonts w:ascii="Times New Roman" w:eastAsia="宋体" w:hAnsi="Times New Roman"/>
            <w:sz w:val="20"/>
            <w:szCs w:val="20"/>
          </w:rPr>
          <w:t>Table of Contents</w:t>
        </w:r>
      </w:hyperlink>
    </w:p>
    <w:p w14:paraId="518B50F3" w14:textId="77777777" w:rsidR="005C332D" w:rsidRDefault="00B93EAE">
      <w:pPr>
        <w:spacing w:before="120"/>
        <w:jc w:val="both"/>
      </w:pPr>
      <w:r>
        <w:rPr>
          <w:rFonts w:ascii="Times New Roman" w:eastAsia="宋体" w:hAnsi="Times New Roman"/>
          <w:color w:val="000000"/>
          <w:sz w:val="20"/>
          <w:szCs w:val="20"/>
        </w:rPr>
        <w:t>further regard free cash flow as a useful measure because it reflects cash that can be us</w:t>
      </w:r>
      <w:r>
        <w:rPr>
          <w:rFonts w:ascii="Times New Roman" w:eastAsia="宋体" w:hAnsi="Times New Roman"/>
          <w:color w:val="000000"/>
          <w:sz w:val="20"/>
          <w:szCs w:val="20"/>
        </w:rPr>
        <w:t>ed to, among other things, invest in our business, make strategic acquisitions, repurchase common stock, and pay dividends on our common stock, after deducting capital investments. A limitation of the utility of free cash flow as a measure of financial per</w:t>
      </w:r>
      <w:r>
        <w:rPr>
          <w:rFonts w:ascii="Times New Roman" w:eastAsia="宋体" w:hAnsi="Times New Roman"/>
          <w:color w:val="000000"/>
          <w:sz w:val="20"/>
          <w:szCs w:val="20"/>
        </w:rPr>
        <w:t>formance and liquidity is that the free cash flow does not represent the total increase or decrease in our cash balance for the period. In addition, we have other required uses of cash, including repaying the principal of our outstanding indebtedness. Free</w:t>
      </w:r>
      <w:r>
        <w:rPr>
          <w:rFonts w:ascii="Times New Roman" w:eastAsia="宋体" w:hAnsi="Times New Roman"/>
          <w:color w:val="000000"/>
          <w:sz w:val="20"/>
          <w:szCs w:val="20"/>
        </w:rPr>
        <w:t xml:space="preserve"> cash flow is not a measure calculated in accordance with U.S. generally accepted accounting principles and should not be regarded in isolation or as an alternative for net cash provided by operating activities or any other measure calculated in accordance</w:t>
      </w:r>
      <w:r>
        <w:rPr>
          <w:rFonts w:ascii="Times New Roman" w:eastAsia="宋体" w:hAnsi="Times New Roman"/>
          <w:color w:val="000000"/>
          <w:sz w:val="20"/>
          <w:szCs w:val="20"/>
        </w:rPr>
        <w:t xml:space="preserve"> with such principles, and other companies may calculate free cash flow in a different manner than we do. </w:t>
      </w:r>
    </w:p>
    <w:p w14:paraId="518B50F4" w14:textId="77777777" w:rsidR="005C332D" w:rsidRDefault="00B93EAE">
      <w:pPr>
        <w:spacing w:before="120"/>
        <w:jc w:val="both"/>
      </w:pPr>
      <w:r>
        <w:rPr>
          <w:rFonts w:ascii="Times New Roman" w:eastAsia="宋体" w:hAnsi="Times New Roman"/>
          <w:color w:val="000000"/>
          <w:sz w:val="20"/>
          <w:szCs w:val="20"/>
        </w:rPr>
        <w:t>The following table summarizes the dividends paid and stock repurchases (in millions, except per-share amounts):</w:t>
      </w:r>
    </w:p>
    <w:tbl>
      <w:tblPr>
        <w:tblW w:w="4978" w:type="pct"/>
        <w:tblCellMar>
          <w:top w:w="15" w:type="dxa"/>
          <w:left w:w="15" w:type="dxa"/>
          <w:bottom w:w="15" w:type="dxa"/>
          <w:right w:w="15" w:type="dxa"/>
        </w:tblCellMar>
        <w:tblLook w:val="04A0" w:firstRow="1" w:lastRow="0" w:firstColumn="1" w:lastColumn="0" w:noHBand="0" w:noVBand="1"/>
      </w:tblPr>
      <w:tblGrid>
        <w:gridCol w:w="37"/>
        <w:gridCol w:w="1585"/>
        <w:gridCol w:w="36"/>
        <w:gridCol w:w="36"/>
        <w:gridCol w:w="36"/>
        <w:gridCol w:w="36"/>
        <w:gridCol w:w="120"/>
        <w:gridCol w:w="679"/>
        <w:gridCol w:w="36"/>
        <w:gridCol w:w="36"/>
        <w:gridCol w:w="36"/>
        <w:gridCol w:w="36"/>
        <w:gridCol w:w="120"/>
        <w:gridCol w:w="850"/>
        <w:gridCol w:w="36"/>
        <w:gridCol w:w="36"/>
        <w:gridCol w:w="36"/>
        <w:gridCol w:w="36"/>
        <w:gridCol w:w="49"/>
        <w:gridCol w:w="650"/>
        <w:gridCol w:w="36"/>
        <w:gridCol w:w="36"/>
        <w:gridCol w:w="36"/>
        <w:gridCol w:w="36"/>
        <w:gridCol w:w="121"/>
        <w:gridCol w:w="1304"/>
        <w:gridCol w:w="36"/>
        <w:gridCol w:w="36"/>
        <w:gridCol w:w="36"/>
        <w:gridCol w:w="36"/>
        <w:gridCol w:w="120"/>
        <w:gridCol w:w="794"/>
        <w:gridCol w:w="36"/>
        <w:gridCol w:w="36"/>
        <w:gridCol w:w="36"/>
        <w:gridCol w:w="36"/>
        <w:gridCol w:w="120"/>
        <w:gridCol w:w="850"/>
        <w:gridCol w:w="36"/>
      </w:tblGrid>
      <w:tr w:rsidR="005C332D" w14:paraId="518B511C" w14:textId="77777777">
        <w:tc>
          <w:tcPr>
            <w:tcW w:w="50" w:type="pct"/>
            <w:shd w:val="clear" w:color="auto" w:fill="auto"/>
            <w:vAlign w:val="bottom"/>
          </w:tcPr>
          <w:p w14:paraId="518B50F5" w14:textId="77777777" w:rsidR="005C332D" w:rsidRDefault="005C332D">
            <w:pPr>
              <w:rPr>
                <w:rFonts w:ascii="宋体"/>
              </w:rPr>
            </w:pPr>
          </w:p>
        </w:tc>
        <w:tc>
          <w:tcPr>
            <w:tcW w:w="1002" w:type="pct"/>
            <w:shd w:val="clear" w:color="auto" w:fill="auto"/>
            <w:vAlign w:val="bottom"/>
          </w:tcPr>
          <w:p w14:paraId="518B50F6" w14:textId="77777777" w:rsidR="005C332D" w:rsidRDefault="005C332D">
            <w:pPr>
              <w:rPr>
                <w:rFonts w:ascii="宋体"/>
              </w:rPr>
            </w:pPr>
          </w:p>
        </w:tc>
        <w:tc>
          <w:tcPr>
            <w:tcW w:w="5" w:type="pct"/>
            <w:shd w:val="clear" w:color="auto" w:fill="auto"/>
            <w:vAlign w:val="bottom"/>
          </w:tcPr>
          <w:p w14:paraId="518B50F7" w14:textId="77777777" w:rsidR="005C332D" w:rsidRDefault="005C332D">
            <w:pPr>
              <w:rPr>
                <w:rFonts w:ascii="宋体"/>
              </w:rPr>
            </w:pPr>
          </w:p>
        </w:tc>
        <w:tc>
          <w:tcPr>
            <w:tcW w:w="5" w:type="pct"/>
            <w:shd w:val="clear" w:color="auto" w:fill="auto"/>
            <w:vAlign w:val="bottom"/>
          </w:tcPr>
          <w:p w14:paraId="518B50F8" w14:textId="77777777" w:rsidR="005C332D" w:rsidRDefault="005C332D">
            <w:pPr>
              <w:rPr>
                <w:rFonts w:ascii="宋体"/>
              </w:rPr>
            </w:pPr>
          </w:p>
        </w:tc>
        <w:tc>
          <w:tcPr>
            <w:tcW w:w="26" w:type="pct"/>
            <w:shd w:val="clear" w:color="auto" w:fill="auto"/>
            <w:vAlign w:val="bottom"/>
          </w:tcPr>
          <w:p w14:paraId="518B50F9" w14:textId="77777777" w:rsidR="005C332D" w:rsidRDefault="005C332D">
            <w:pPr>
              <w:rPr>
                <w:rFonts w:ascii="宋体"/>
              </w:rPr>
            </w:pPr>
          </w:p>
        </w:tc>
        <w:tc>
          <w:tcPr>
            <w:tcW w:w="5" w:type="pct"/>
            <w:shd w:val="clear" w:color="auto" w:fill="auto"/>
            <w:vAlign w:val="bottom"/>
          </w:tcPr>
          <w:p w14:paraId="518B50FA" w14:textId="77777777" w:rsidR="005C332D" w:rsidRDefault="005C332D">
            <w:pPr>
              <w:rPr>
                <w:rFonts w:ascii="宋体"/>
              </w:rPr>
            </w:pPr>
          </w:p>
        </w:tc>
        <w:tc>
          <w:tcPr>
            <w:tcW w:w="50" w:type="pct"/>
            <w:shd w:val="clear" w:color="auto" w:fill="auto"/>
            <w:vAlign w:val="bottom"/>
          </w:tcPr>
          <w:p w14:paraId="518B50FB" w14:textId="77777777" w:rsidR="005C332D" w:rsidRDefault="005C332D">
            <w:pPr>
              <w:rPr>
                <w:rFonts w:ascii="宋体"/>
              </w:rPr>
            </w:pPr>
          </w:p>
        </w:tc>
        <w:tc>
          <w:tcPr>
            <w:tcW w:w="480" w:type="pct"/>
            <w:shd w:val="clear" w:color="auto" w:fill="auto"/>
            <w:vAlign w:val="bottom"/>
          </w:tcPr>
          <w:p w14:paraId="518B50FC" w14:textId="77777777" w:rsidR="005C332D" w:rsidRDefault="005C332D">
            <w:pPr>
              <w:rPr>
                <w:rFonts w:ascii="宋体"/>
              </w:rPr>
            </w:pPr>
          </w:p>
        </w:tc>
        <w:tc>
          <w:tcPr>
            <w:tcW w:w="5" w:type="pct"/>
            <w:shd w:val="clear" w:color="auto" w:fill="auto"/>
            <w:vAlign w:val="bottom"/>
          </w:tcPr>
          <w:p w14:paraId="518B50FD" w14:textId="77777777" w:rsidR="005C332D" w:rsidRDefault="005C332D">
            <w:pPr>
              <w:rPr>
                <w:rFonts w:ascii="宋体"/>
              </w:rPr>
            </w:pPr>
          </w:p>
        </w:tc>
        <w:tc>
          <w:tcPr>
            <w:tcW w:w="5" w:type="pct"/>
            <w:shd w:val="clear" w:color="auto" w:fill="auto"/>
            <w:vAlign w:val="bottom"/>
          </w:tcPr>
          <w:p w14:paraId="518B50FE" w14:textId="77777777" w:rsidR="005C332D" w:rsidRDefault="005C332D">
            <w:pPr>
              <w:rPr>
                <w:rFonts w:ascii="宋体"/>
              </w:rPr>
            </w:pPr>
          </w:p>
        </w:tc>
        <w:tc>
          <w:tcPr>
            <w:tcW w:w="26" w:type="pct"/>
            <w:shd w:val="clear" w:color="auto" w:fill="auto"/>
            <w:vAlign w:val="bottom"/>
          </w:tcPr>
          <w:p w14:paraId="518B50FF" w14:textId="77777777" w:rsidR="005C332D" w:rsidRDefault="005C332D">
            <w:pPr>
              <w:rPr>
                <w:rFonts w:ascii="宋体"/>
              </w:rPr>
            </w:pPr>
          </w:p>
        </w:tc>
        <w:tc>
          <w:tcPr>
            <w:tcW w:w="5" w:type="pct"/>
            <w:shd w:val="clear" w:color="auto" w:fill="auto"/>
            <w:vAlign w:val="bottom"/>
          </w:tcPr>
          <w:p w14:paraId="518B5100" w14:textId="77777777" w:rsidR="005C332D" w:rsidRDefault="005C332D">
            <w:pPr>
              <w:rPr>
                <w:rFonts w:ascii="宋体"/>
              </w:rPr>
            </w:pPr>
          </w:p>
        </w:tc>
        <w:tc>
          <w:tcPr>
            <w:tcW w:w="50" w:type="pct"/>
            <w:shd w:val="clear" w:color="auto" w:fill="auto"/>
            <w:vAlign w:val="bottom"/>
          </w:tcPr>
          <w:p w14:paraId="518B5101" w14:textId="77777777" w:rsidR="005C332D" w:rsidRDefault="005C332D">
            <w:pPr>
              <w:rPr>
                <w:rFonts w:ascii="宋体"/>
              </w:rPr>
            </w:pPr>
          </w:p>
        </w:tc>
        <w:tc>
          <w:tcPr>
            <w:tcW w:w="583" w:type="pct"/>
            <w:shd w:val="clear" w:color="auto" w:fill="auto"/>
            <w:vAlign w:val="bottom"/>
          </w:tcPr>
          <w:p w14:paraId="518B5102" w14:textId="77777777" w:rsidR="005C332D" w:rsidRDefault="005C332D">
            <w:pPr>
              <w:rPr>
                <w:rFonts w:ascii="宋体"/>
              </w:rPr>
            </w:pPr>
          </w:p>
        </w:tc>
        <w:tc>
          <w:tcPr>
            <w:tcW w:w="5" w:type="pct"/>
            <w:shd w:val="clear" w:color="auto" w:fill="auto"/>
            <w:vAlign w:val="bottom"/>
          </w:tcPr>
          <w:p w14:paraId="518B5103" w14:textId="77777777" w:rsidR="005C332D" w:rsidRDefault="005C332D">
            <w:pPr>
              <w:rPr>
                <w:rFonts w:ascii="宋体"/>
              </w:rPr>
            </w:pPr>
          </w:p>
        </w:tc>
        <w:tc>
          <w:tcPr>
            <w:tcW w:w="5" w:type="pct"/>
            <w:shd w:val="clear" w:color="auto" w:fill="auto"/>
            <w:vAlign w:val="bottom"/>
          </w:tcPr>
          <w:p w14:paraId="518B5104" w14:textId="77777777" w:rsidR="005C332D" w:rsidRDefault="005C332D">
            <w:pPr>
              <w:rPr>
                <w:rFonts w:ascii="宋体"/>
              </w:rPr>
            </w:pPr>
          </w:p>
        </w:tc>
        <w:tc>
          <w:tcPr>
            <w:tcW w:w="26" w:type="pct"/>
            <w:shd w:val="clear" w:color="auto" w:fill="auto"/>
            <w:vAlign w:val="bottom"/>
          </w:tcPr>
          <w:p w14:paraId="518B5105" w14:textId="77777777" w:rsidR="005C332D" w:rsidRDefault="005C332D">
            <w:pPr>
              <w:rPr>
                <w:rFonts w:ascii="宋体"/>
              </w:rPr>
            </w:pPr>
          </w:p>
        </w:tc>
        <w:tc>
          <w:tcPr>
            <w:tcW w:w="5" w:type="pct"/>
            <w:shd w:val="clear" w:color="auto" w:fill="auto"/>
            <w:vAlign w:val="bottom"/>
          </w:tcPr>
          <w:p w14:paraId="518B5106" w14:textId="77777777" w:rsidR="005C332D" w:rsidRDefault="005C332D">
            <w:pPr>
              <w:rPr>
                <w:rFonts w:ascii="宋体"/>
              </w:rPr>
            </w:pPr>
          </w:p>
        </w:tc>
        <w:tc>
          <w:tcPr>
            <w:tcW w:w="50" w:type="pct"/>
            <w:shd w:val="clear" w:color="auto" w:fill="auto"/>
            <w:vAlign w:val="bottom"/>
          </w:tcPr>
          <w:p w14:paraId="518B5107" w14:textId="77777777" w:rsidR="005C332D" w:rsidRDefault="005C332D">
            <w:pPr>
              <w:rPr>
                <w:rFonts w:ascii="宋体"/>
              </w:rPr>
            </w:pPr>
          </w:p>
        </w:tc>
        <w:tc>
          <w:tcPr>
            <w:tcW w:w="480" w:type="pct"/>
            <w:shd w:val="clear" w:color="auto" w:fill="auto"/>
            <w:vAlign w:val="bottom"/>
          </w:tcPr>
          <w:p w14:paraId="518B5108" w14:textId="77777777" w:rsidR="005C332D" w:rsidRDefault="005C332D">
            <w:pPr>
              <w:rPr>
                <w:rFonts w:ascii="宋体"/>
              </w:rPr>
            </w:pPr>
          </w:p>
        </w:tc>
        <w:tc>
          <w:tcPr>
            <w:tcW w:w="5" w:type="pct"/>
            <w:shd w:val="clear" w:color="auto" w:fill="auto"/>
            <w:vAlign w:val="bottom"/>
          </w:tcPr>
          <w:p w14:paraId="518B5109" w14:textId="77777777" w:rsidR="005C332D" w:rsidRDefault="005C332D">
            <w:pPr>
              <w:rPr>
                <w:rFonts w:ascii="宋体"/>
              </w:rPr>
            </w:pPr>
          </w:p>
        </w:tc>
        <w:tc>
          <w:tcPr>
            <w:tcW w:w="5" w:type="pct"/>
            <w:shd w:val="clear" w:color="auto" w:fill="auto"/>
            <w:vAlign w:val="bottom"/>
          </w:tcPr>
          <w:p w14:paraId="518B510A" w14:textId="77777777" w:rsidR="005C332D" w:rsidRDefault="005C332D">
            <w:pPr>
              <w:rPr>
                <w:rFonts w:ascii="宋体"/>
              </w:rPr>
            </w:pPr>
          </w:p>
        </w:tc>
        <w:tc>
          <w:tcPr>
            <w:tcW w:w="26" w:type="pct"/>
            <w:shd w:val="clear" w:color="auto" w:fill="auto"/>
            <w:vAlign w:val="bottom"/>
          </w:tcPr>
          <w:p w14:paraId="518B510B" w14:textId="77777777" w:rsidR="005C332D" w:rsidRDefault="005C332D">
            <w:pPr>
              <w:rPr>
                <w:rFonts w:ascii="宋体"/>
              </w:rPr>
            </w:pPr>
          </w:p>
        </w:tc>
        <w:tc>
          <w:tcPr>
            <w:tcW w:w="5" w:type="pct"/>
            <w:shd w:val="clear" w:color="auto" w:fill="auto"/>
            <w:vAlign w:val="bottom"/>
          </w:tcPr>
          <w:p w14:paraId="518B510C" w14:textId="77777777" w:rsidR="005C332D" w:rsidRDefault="005C332D">
            <w:pPr>
              <w:rPr>
                <w:rFonts w:ascii="宋体"/>
              </w:rPr>
            </w:pPr>
          </w:p>
        </w:tc>
        <w:tc>
          <w:tcPr>
            <w:tcW w:w="50" w:type="pct"/>
            <w:shd w:val="clear" w:color="auto" w:fill="auto"/>
            <w:vAlign w:val="bottom"/>
          </w:tcPr>
          <w:p w14:paraId="518B510D" w14:textId="77777777" w:rsidR="005C332D" w:rsidRDefault="005C332D">
            <w:pPr>
              <w:rPr>
                <w:rFonts w:ascii="宋体"/>
              </w:rPr>
            </w:pPr>
          </w:p>
        </w:tc>
        <w:tc>
          <w:tcPr>
            <w:tcW w:w="679" w:type="pct"/>
            <w:shd w:val="clear" w:color="auto" w:fill="auto"/>
            <w:vAlign w:val="bottom"/>
          </w:tcPr>
          <w:p w14:paraId="518B510E" w14:textId="77777777" w:rsidR="005C332D" w:rsidRDefault="005C332D">
            <w:pPr>
              <w:rPr>
                <w:rFonts w:ascii="宋体"/>
              </w:rPr>
            </w:pPr>
          </w:p>
        </w:tc>
        <w:tc>
          <w:tcPr>
            <w:tcW w:w="5" w:type="pct"/>
            <w:shd w:val="clear" w:color="auto" w:fill="auto"/>
            <w:vAlign w:val="bottom"/>
          </w:tcPr>
          <w:p w14:paraId="518B510F" w14:textId="77777777" w:rsidR="005C332D" w:rsidRDefault="005C332D">
            <w:pPr>
              <w:rPr>
                <w:rFonts w:ascii="宋体"/>
              </w:rPr>
            </w:pPr>
          </w:p>
        </w:tc>
        <w:tc>
          <w:tcPr>
            <w:tcW w:w="5" w:type="pct"/>
            <w:shd w:val="clear" w:color="auto" w:fill="auto"/>
            <w:vAlign w:val="bottom"/>
          </w:tcPr>
          <w:p w14:paraId="518B5110" w14:textId="77777777" w:rsidR="005C332D" w:rsidRDefault="005C332D">
            <w:pPr>
              <w:rPr>
                <w:rFonts w:ascii="宋体"/>
              </w:rPr>
            </w:pPr>
          </w:p>
        </w:tc>
        <w:tc>
          <w:tcPr>
            <w:tcW w:w="26" w:type="pct"/>
            <w:shd w:val="clear" w:color="auto" w:fill="auto"/>
            <w:vAlign w:val="bottom"/>
          </w:tcPr>
          <w:p w14:paraId="518B5111" w14:textId="77777777" w:rsidR="005C332D" w:rsidRDefault="005C332D">
            <w:pPr>
              <w:rPr>
                <w:rFonts w:ascii="宋体"/>
              </w:rPr>
            </w:pPr>
          </w:p>
        </w:tc>
        <w:tc>
          <w:tcPr>
            <w:tcW w:w="5" w:type="pct"/>
            <w:shd w:val="clear" w:color="auto" w:fill="auto"/>
            <w:vAlign w:val="bottom"/>
          </w:tcPr>
          <w:p w14:paraId="518B5112" w14:textId="77777777" w:rsidR="005C332D" w:rsidRDefault="005C332D">
            <w:pPr>
              <w:rPr>
                <w:rFonts w:ascii="宋体"/>
              </w:rPr>
            </w:pPr>
          </w:p>
        </w:tc>
        <w:tc>
          <w:tcPr>
            <w:tcW w:w="50" w:type="pct"/>
            <w:shd w:val="clear" w:color="auto" w:fill="auto"/>
            <w:vAlign w:val="bottom"/>
          </w:tcPr>
          <w:p w14:paraId="518B5113" w14:textId="77777777" w:rsidR="005C332D" w:rsidRDefault="005C332D">
            <w:pPr>
              <w:rPr>
                <w:rFonts w:ascii="宋体"/>
              </w:rPr>
            </w:pPr>
          </w:p>
        </w:tc>
        <w:tc>
          <w:tcPr>
            <w:tcW w:w="583" w:type="pct"/>
            <w:shd w:val="clear" w:color="auto" w:fill="auto"/>
            <w:vAlign w:val="bottom"/>
          </w:tcPr>
          <w:p w14:paraId="518B5114" w14:textId="77777777" w:rsidR="005C332D" w:rsidRDefault="005C332D">
            <w:pPr>
              <w:rPr>
                <w:rFonts w:ascii="宋体"/>
              </w:rPr>
            </w:pPr>
          </w:p>
        </w:tc>
        <w:tc>
          <w:tcPr>
            <w:tcW w:w="5" w:type="pct"/>
            <w:shd w:val="clear" w:color="auto" w:fill="auto"/>
            <w:vAlign w:val="bottom"/>
          </w:tcPr>
          <w:p w14:paraId="518B5115" w14:textId="77777777" w:rsidR="005C332D" w:rsidRDefault="005C332D">
            <w:pPr>
              <w:rPr>
                <w:rFonts w:ascii="宋体"/>
              </w:rPr>
            </w:pPr>
          </w:p>
        </w:tc>
        <w:tc>
          <w:tcPr>
            <w:tcW w:w="5" w:type="pct"/>
            <w:shd w:val="clear" w:color="auto" w:fill="auto"/>
            <w:vAlign w:val="bottom"/>
          </w:tcPr>
          <w:p w14:paraId="518B5116" w14:textId="77777777" w:rsidR="005C332D" w:rsidRDefault="005C332D">
            <w:pPr>
              <w:rPr>
                <w:rFonts w:ascii="宋体"/>
              </w:rPr>
            </w:pPr>
          </w:p>
        </w:tc>
        <w:tc>
          <w:tcPr>
            <w:tcW w:w="26" w:type="pct"/>
            <w:shd w:val="clear" w:color="auto" w:fill="auto"/>
            <w:vAlign w:val="bottom"/>
          </w:tcPr>
          <w:p w14:paraId="518B5117" w14:textId="77777777" w:rsidR="005C332D" w:rsidRDefault="005C332D">
            <w:pPr>
              <w:rPr>
                <w:rFonts w:ascii="宋体"/>
              </w:rPr>
            </w:pPr>
          </w:p>
        </w:tc>
        <w:tc>
          <w:tcPr>
            <w:tcW w:w="5" w:type="pct"/>
            <w:shd w:val="clear" w:color="auto" w:fill="auto"/>
            <w:vAlign w:val="bottom"/>
          </w:tcPr>
          <w:p w14:paraId="518B5118" w14:textId="77777777" w:rsidR="005C332D" w:rsidRDefault="005C332D">
            <w:pPr>
              <w:rPr>
                <w:rFonts w:ascii="宋体"/>
              </w:rPr>
            </w:pPr>
          </w:p>
        </w:tc>
        <w:tc>
          <w:tcPr>
            <w:tcW w:w="50" w:type="pct"/>
            <w:shd w:val="clear" w:color="auto" w:fill="auto"/>
            <w:vAlign w:val="bottom"/>
          </w:tcPr>
          <w:p w14:paraId="518B5119" w14:textId="77777777" w:rsidR="005C332D" w:rsidRDefault="005C332D">
            <w:pPr>
              <w:rPr>
                <w:rFonts w:ascii="宋体"/>
              </w:rPr>
            </w:pPr>
          </w:p>
        </w:tc>
        <w:tc>
          <w:tcPr>
            <w:tcW w:w="583" w:type="pct"/>
            <w:shd w:val="clear" w:color="auto" w:fill="auto"/>
            <w:vAlign w:val="bottom"/>
          </w:tcPr>
          <w:p w14:paraId="518B511A" w14:textId="77777777" w:rsidR="005C332D" w:rsidRDefault="005C332D">
            <w:pPr>
              <w:rPr>
                <w:rFonts w:ascii="宋体"/>
              </w:rPr>
            </w:pPr>
          </w:p>
        </w:tc>
        <w:tc>
          <w:tcPr>
            <w:tcW w:w="5" w:type="pct"/>
            <w:shd w:val="clear" w:color="auto" w:fill="auto"/>
            <w:vAlign w:val="bottom"/>
          </w:tcPr>
          <w:p w14:paraId="518B511B" w14:textId="77777777" w:rsidR="005C332D" w:rsidRDefault="005C332D">
            <w:pPr>
              <w:rPr>
                <w:rFonts w:ascii="宋体"/>
              </w:rPr>
            </w:pPr>
          </w:p>
        </w:tc>
      </w:tr>
      <w:tr w:rsidR="005C332D" w14:paraId="518B5124" w14:textId="77777777">
        <w:tc>
          <w:tcPr>
            <w:tcW w:w="0" w:type="auto"/>
            <w:gridSpan w:val="3"/>
            <w:shd w:val="clear" w:color="auto" w:fill="auto"/>
            <w:tcMar>
              <w:top w:w="0" w:type="dxa"/>
              <w:left w:w="20" w:type="dxa"/>
              <w:bottom w:w="0" w:type="dxa"/>
              <w:right w:w="20" w:type="dxa"/>
            </w:tcMar>
            <w:vAlign w:val="bottom"/>
          </w:tcPr>
          <w:p w14:paraId="518B511D"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511E"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511F" w14:textId="77777777" w:rsidR="005C332D" w:rsidRDefault="00B93EAE">
            <w:pPr>
              <w:jc w:val="center"/>
              <w:textAlignment w:val="bottom"/>
            </w:pPr>
            <w:r>
              <w:rPr>
                <w:rFonts w:ascii="Times New Roman" w:eastAsia="宋体" w:hAnsi="Times New Roman"/>
                <w:color w:val="000000"/>
                <w:sz w:val="18"/>
                <w:szCs w:val="18"/>
              </w:rPr>
              <w:t>DIVIDENDS</w:t>
            </w:r>
          </w:p>
        </w:tc>
        <w:tc>
          <w:tcPr>
            <w:tcW w:w="0" w:type="auto"/>
            <w:gridSpan w:val="3"/>
            <w:shd w:val="clear" w:color="auto" w:fill="auto"/>
            <w:tcMar>
              <w:top w:w="0" w:type="dxa"/>
              <w:left w:w="20" w:type="dxa"/>
              <w:bottom w:w="0" w:type="dxa"/>
              <w:right w:w="20" w:type="dxa"/>
            </w:tcMar>
            <w:vAlign w:val="bottom"/>
          </w:tcPr>
          <w:p w14:paraId="518B5120"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5121" w14:textId="77777777" w:rsidR="005C332D" w:rsidRDefault="00B93EAE">
            <w:pPr>
              <w:jc w:val="center"/>
              <w:textAlignment w:val="bottom"/>
            </w:pPr>
            <w:r>
              <w:rPr>
                <w:rFonts w:ascii="Times New Roman" w:eastAsia="宋体" w:hAnsi="Times New Roman"/>
                <w:color w:val="000000"/>
                <w:sz w:val="18"/>
                <w:szCs w:val="18"/>
              </w:rPr>
              <w:t>STOCK REPURCHASE PROGRAM</w:t>
            </w:r>
          </w:p>
        </w:tc>
        <w:tc>
          <w:tcPr>
            <w:tcW w:w="0" w:type="auto"/>
            <w:gridSpan w:val="3"/>
            <w:shd w:val="clear" w:color="auto" w:fill="auto"/>
            <w:tcMar>
              <w:top w:w="0" w:type="dxa"/>
              <w:left w:w="20" w:type="dxa"/>
              <w:bottom w:w="0" w:type="dxa"/>
              <w:right w:w="20" w:type="dxa"/>
            </w:tcMar>
            <w:vAlign w:val="bottom"/>
          </w:tcPr>
          <w:p w14:paraId="518B512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123" w14:textId="77777777" w:rsidR="005C332D" w:rsidRDefault="00B93EAE">
            <w:pPr>
              <w:jc w:val="center"/>
              <w:textAlignment w:val="bottom"/>
            </w:pPr>
            <w:r>
              <w:rPr>
                <w:rFonts w:ascii="Times New Roman" w:eastAsia="宋体" w:hAnsi="Times New Roman"/>
                <w:color w:val="000000"/>
                <w:sz w:val="18"/>
                <w:szCs w:val="18"/>
              </w:rPr>
              <w:t>TOTAL</w:t>
            </w:r>
          </w:p>
        </w:tc>
      </w:tr>
      <w:tr w:rsidR="005C332D" w14:paraId="518B5132" w14:textId="77777777">
        <w:tc>
          <w:tcPr>
            <w:tcW w:w="0" w:type="auto"/>
            <w:gridSpan w:val="3"/>
            <w:shd w:val="clear" w:color="auto" w:fill="auto"/>
            <w:tcMar>
              <w:top w:w="40" w:type="dxa"/>
              <w:left w:w="20" w:type="dxa"/>
              <w:bottom w:w="40" w:type="dxa"/>
              <w:right w:w="20" w:type="dxa"/>
            </w:tcMar>
            <w:vAlign w:val="bottom"/>
          </w:tcPr>
          <w:p w14:paraId="518B5125"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shd w:val="clear" w:color="auto" w:fill="auto"/>
            <w:tcMar>
              <w:top w:w="0" w:type="dxa"/>
              <w:left w:w="20" w:type="dxa"/>
              <w:bottom w:w="0" w:type="dxa"/>
              <w:right w:w="20" w:type="dxa"/>
            </w:tcMar>
            <w:vAlign w:val="bottom"/>
          </w:tcPr>
          <w:p w14:paraId="518B512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127" w14:textId="77777777" w:rsidR="005C332D" w:rsidRDefault="00B93EAE">
            <w:pPr>
              <w:jc w:val="center"/>
              <w:textAlignment w:val="bottom"/>
            </w:pPr>
            <w:r>
              <w:rPr>
                <w:rFonts w:ascii="Times New Roman" w:eastAsia="宋体" w:hAnsi="Times New Roman"/>
                <w:color w:val="000000"/>
                <w:sz w:val="18"/>
                <w:szCs w:val="18"/>
              </w:rPr>
              <w:t>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12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129" w14:textId="77777777" w:rsidR="005C332D" w:rsidRDefault="00B93EAE">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518B512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12B" w14:textId="77777777" w:rsidR="005C332D" w:rsidRDefault="00B93EAE">
            <w:pPr>
              <w:jc w:val="center"/>
              <w:textAlignment w:val="bottom"/>
            </w:pPr>
            <w:r>
              <w:rPr>
                <w:rFonts w:ascii="Times New Roman" w:eastAsia="宋体" w:hAnsi="Times New Roman"/>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12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12D" w14:textId="77777777" w:rsidR="005C332D" w:rsidRDefault="00B93EAE">
            <w:pPr>
              <w:jc w:val="center"/>
              <w:textAlignment w:val="bottom"/>
            </w:pPr>
            <w:r>
              <w:rPr>
                <w:rFonts w:ascii="Times New Roman" w:eastAsia="宋体" w:hAnsi="Times New Roman"/>
                <w:color w:val="000000"/>
                <w:sz w:val="18"/>
                <w:szCs w:val="18"/>
              </w:rPr>
              <w:t>Weighted-Average Price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12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12F" w14:textId="77777777" w:rsidR="005C332D" w:rsidRDefault="00B93EAE">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518B513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131" w14:textId="77777777" w:rsidR="005C332D" w:rsidRDefault="00B93EAE">
            <w:pPr>
              <w:jc w:val="center"/>
              <w:textAlignment w:val="bottom"/>
            </w:pPr>
            <w:r>
              <w:rPr>
                <w:rFonts w:ascii="Times New Roman" w:eastAsia="宋体" w:hAnsi="Times New Roman"/>
                <w:color w:val="000000"/>
                <w:sz w:val="18"/>
                <w:szCs w:val="18"/>
              </w:rPr>
              <w:t>Amount</w:t>
            </w:r>
          </w:p>
        </w:tc>
      </w:tr>
      <w:tr w:rsidR="005C332D" w14:paraId="518B514B" w14:textId="77777777">
        <w:tc>
          <w:tcPr>
            <w:tcW w:w="0" w:type="auto"/>
            <w:gridSpan w:val="3"/>
            <w:shd w:val="clear" w:color="auto" w:fill="CCEEFF"/>
            <w:tcMar>
              <w:top w:w="40" w:type="dxa"/>
              <w:left w:w="20" w:type="dxa"/>
              <w:bottom w:w="40" w:type="dxa"/>
              <w:right w:w="20" w:type="dxa"/>
            </w:tcMar>
            <w:vAlign w:val="bottom"/>
          </w:tcPr>
          <w:p w14:paraId="518B5133" w14:textId="77777777" w:rsidR="005C332D" w:rsidRDefault="00B93EAE">
            <w:pPr>
              <w:textAlignment w:val="bottom"/>
            </w:pPr>
            <w:r>
              <w:rPr>
                <w:rFonts w:ascii="Times New Roman" w:eastAsia="宋体" w:hAnsi="Times New Roman"/>
                <w:b/>
                <w:bCs/>
                <w:color w:val="000000"/>
                <w:sz w:val="20"/>
                <w:szCs w:val="20"/>
              </w:rPr>
              <w:t>July 30, 2022</w:t>
            </w:r>
          </w:p>
        </w:tc>
        <w:tc>
          <w:tcPr>
            <w:tcW w:w="0" w:type="auto"/>
            <w:gridSpan w:val="3"/>
            <w:shd w:val="clear" w:color="auto" w:fill="CCEEFF"/>
            <w:tcMar>
              <w:top w:w="0" w:type="dxa"/>
              <w:left w:w="20" w:type="dxa"/>
              <w:bottom w:w="0" w:type="dxa"/>
              <w:right w:w="20" w:type="dxa"/>
            </w:tcMar>
            <w:vAlign w:val="bottom"/>
          </w:tcPr>
          <w:p w14:paraId="518B513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3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36" w14:textId="77777777" w:rsidR="005C332D" w:rsidRDefault="00B93EAE">
            <w:pPr>
              <w:jc w:val="right"/>
              <w:textAlignment w:val="bottom"/>
            </w:pPr>
            <w:r>
              <w:rPr>
                <w:rFonts w:ascii="Times New Roman" w:eastAsia="宋体" w:hAnsi="Times New Roman"/>
                <w:b/>
                <w:bCs/>
                <w:color w:val="000000"/>
                <w:sz w:val="20"/>
                <w:szCs w:val="20"/>
              </w:rPr>
              <w:t>1.50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3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3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3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3A" w14:textId="77777777" w:rsidR="005C332D" w:rsidRDefault="00B93EAE">
            <w:pPr>
              <w:jc w:val="right"/>
              <w:textAlignment w:val="bottom"/>
            </w:pPr>
            <w:r>
              <w:rPr>
                <w:rFonts w:ascii="Times New Roman" w:eastAsia="宋体" w:hAnsi="Times New Roman"/>
                <w:b/>
                <w:bCs/>
                <w:color w:val="000000"/>
                <w:sz w:val="20"/>
                <w:szCs w:val="20"/>
              </w:rPr>
              <w:t>6,224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3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3C"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13D" w14:textId="77777777" w:rsidR="005C332D" w:rsidRDefault="00B93EAE">
            <w:pPr>
              <w:jc w:val="right"/>
              <w:textAlignment w:val="bottom"/>
            </w:pPr>
            <w:r>
              <w:rPr>
                <w:rFonts w:ascii="Times New Roman" w:eastAsia="宋体" w:hAnsi="Times New Roman"/>
                <w:b/>
                <w:bCs/>
                <w:color w:val="000000"/>
                <w:sz w:val="20"/>
                <w:szCs w:val="20"/>
              </w:rPr>
              <w:t>146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3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3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4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41" w14:textId="77777777" w:rsidR="005C332D" w:rsidRDefault="00B93EAE">
            <w:pPr>
              <w:jc w:val="right"/>
              <w:textAlignment w:val="bottom"/>
            </w:pPr>
            <w:r>
              <w:rPr>
                <w:rFonts w:ascii="Times New Roman" w:eastAsia="宋体" w:hAnsi="Times New Roman"/>
                <w:b/>
                <w:bCs/>
                <w:color w:val="000000"/>
                <w:sz w:val="20"/>
                <w:szCs w:val="20"/>
              </w:rPr>
              <w:t>52.82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4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4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4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45" w14:textId="77777777" w:rsidR="005C332D" w:rsidRDefault="00B93EAE">
            <w:pPr>
              <w:jc w:val="right"/>
              <w:textAlignment w:val="bottom"/>
            </w:pPr>
            <w:r>
              <w:rPr>
                <w:rFonts w:ascii="Times New Roman" w:eastAsia="宋体" w:hAnsi="Times New Roman"/>
                <w:b/>
                <w:bCs/>
                <w:color w:val="000000"/>
                <w:sz w:val="20"/>
                <w:szCs w:val="20"/>
              </w:rPr>
              <w:t>7,734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4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4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48"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49" w14:textId="77777777" w:rsidR="005C332D" w:rsidRDefault="00B93EAE">
            <w:pPr>
              <w:jc w:val="right"/>
              <w:textAlignment w:val="bottom"/>
            </w:pPr>
            <w:r>
              <w:rPr>
                <w:rFonts w:ascii="Times New Roman" w:eastAsia="宋体" w:hAnsi="Times New Roman"/>
                <w:b/>
                <w:bCs/>
                <w:color w:val="000000"/>
                <w:sz w:val="20"/>
                <w:szCs w:val="20"/>
              </w:rPr>
              <w:t>13,958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4A" w14:textId="77777777" w:rsidR="005C332D" w:rsidRDefault="005C332D">
            <w:pPr>
              <w:jc w:val="right"/>
              <w:rPr>
                <w:rFonts w:ascii="宋体"/>
              </w:rPr>
            </w:pPr>
          </w:p>
        </w:tc>
      </w:tr>
      <w:tr w:rsidR="005C332D" w14:paraId="518B5164" w14:textId="77777777">
        <w:tc>
          <w:tcPr>
            <w:tcW w:w="0" w:type="auto"/>
            <w:gridSpan w:val="3"/>
            <w:shd w:val="clear" w:color="auto" w:fill="FFFFFF"/>
            <w:tcMar>
              <w:top w:w="40" w:type="dxa"/>
              <w:left w:w="20" w:type="dxa"/>
              <w:bottom w:w="40" w:type="dxa"/>
              <w:right w:w="20" w:type="dxa"/>
            </w:tcMar>
            <w:vAlign w:val="bottom"/>
          </w:tcPr>
          <w:p w14:paraId="518B514C" w14:textId="77777777" w:rsidR="005C332D" w:rsidRDefault="00B93EAE">
            <w:pPr>
              <w:textAlignment w:val="bottom"/>
            </w:pPr>
            <w:r>
              <w:rPr>
                <w:rFonts w:ascii="Times New Roman" w:eastAsia="宋体" w:hAnsi="Times New Roman"/>
                <w:color w:val="000000"/>
                <w:sz w:val="20"/>
                <w:szCs w:val="20"/>
              </w:rPr>
              <w:t>July 31, 2021</w:t>
            </w:r>
          </w:p>
        </w:tc>
        <w:tc>
          <w:tcPr>
            <w:tcW w:w="0" w:type="auto"/>
            <w:gridSpan w:val="3"/>
            <w:shd w:val="clear" w:color="auto" w:fill="FFFFFF"/>
            <w:tcMar>
              <w:top w:w="0" w:type="dxa"/>
              <w:left w:w="20" w:type="dxa"/>
              <w:bottom w:w="0" w:type="dxa"/>
              <w:right w:w="20" w:type="dxa"/>
            </w:tcMar>
            <w:vAlign w:val="bottom"/>
          </w:tcPr>
          <w:p w14:paraId="518B514D"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14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14F" w14:textId="77777777" w:rsidR="005C332D" w:rsidRDefault="00B93EAE">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518B515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151"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15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153" w14:textId="77777777" w:rsidR="005C332D" w:rsidRDefault="00B93EAE">
            <w:pPr>
              <w:jc w:val="right"/>
              <w:textAlignment w:val="bottom"/>
            </w:pPr>
            <w:r>
              <w:rPr>
                <w:rFonts w:ascii="Times New Roman" w:eastAsia="宋体" w:hAnsi="Times New Roman"/>
                <w:color w:val="000000"/>
                <w:sz w:val="20"/>
                <w:szCs w:val="20"/>
              </w:rPr>
              <w:t>6,163 </w:t>
            </w:r>
          </w:p>
        </w:tc>
        <w:tc>
          <w:tcPr>
            <w:tcW w:w="0" w:type="auto"/>
            <w:shd w:val="clear" w:color="auto" w:fill="FFFFFF"/>
            <w:tcMar>
              <w:top w:w="40" w:type="dxa"/>
              <w:left w:w="0" w:type="dxa"/>
              <w:bottom w:w="40" w:type="dxa"/>
              <w:right w:w="20" w:type="dxa"/>
            </w:tcMar>
            <w:vAlign w:val="bottom"/>
          </w:tcPr>
          <w:p w14:paraId="518B515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15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156" w14:textId="77777777" w:rsidR="005C332D" w:rsidRDefault="00B93EAE">
            <w:pPr>
              <w:jc w:val="right"/>
              <w:textAlignment w:val="bottom"/>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vAlign w:val="bottom"/>
          </w:tcPr>
          <w:p w14:paraId="518B515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158"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15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15A" w14:textId="77777777" w:rsidR="005C332D" w:rsidRDefault="00B93EAE">
            <w:pPr>
              <w:jc w:val="right"/>
              <w:textAlignment w:val="bottom"/>
            </w:pPr>
            <w:r>
              <w:rPr>
                <w:rFonts w:ascii="Times New Roman" w:eastAsia="宋体" w:hAnsi="Times New Roman"/>
                <w:color w:val="000000"/>
                <w:sz w:val="20"/>
                <w:szCs w:val="20"/>
              </w:rPr>
              <w:t>45.48 </w:t>
            </w:r>
          </w:p>
        </w:tc>
        <w:tc>
          <w:tcPr>
            <w:tcW w:w="0" w:type="auto"/>
            <w:shd w:val="clear" w:color="auto" w:fill="FFFFFF"/>
            <w:tcMar>
              <w:top w:w="40" w:type="dxa"/>
              <w:left w:w="0" w:type="dxa"/>
              <w:bottom w:w="40" w:type="dxa"/>
              <w:right w:w="20" w:type="dxa"/>
            </w:tcMar>
            <w:vAlign w:val="bottom"/>
          </w:tcPr>
          <w:p w14:paraId="518B515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15C"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15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15E" w14:textId="77777777" w:rsidR="005C332D" w:rsidRDefault="00B93EAE">
            <w:pPr>
              <w:jc w:val="right"/>
              <w:textAlignment w:val="bottom"/>
            </w:pPr>
            <w:r>
              <w:rPr>
                <w:rFonts w:ascii="Times New Roman" w:eastAsia="宋体" w:hAnsi="Times New Roman"/>
                <w:color w:val="000000"/>
                <w:sz w:val="20"/>
                <w:szCs w:val="20"/>
              </w:rPr>
              <w:t>2,902 </w:t>
            </w:r>
          </w:p>
        </w:tc>
        <w:tc>
          <w:tcPr>
            <w:tcW w:w="0" w:type="auto"/>
            <w:shd w:val="clear" w:color="auto" w:fill="FFFFFF"/>
            <w:tcMar>
              <w:top w:w="40" w:type="dxa"/>
              <w:left w:w="0" w:type="dxa"/>
              <w:bottom w:w="40" w:type="dxa"/>
              <w:right w:w="20" w:type="dxa"/>
            </w:tcMar>
            <w:vAlign w:val="bottom"/>
          </w:tcPr>
          <w:p w14:paraId="518B515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160"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16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162" w14:textId="77777777" w:rsidR="005C332D" w:rsidRDefault="00B93EAE">
            <w:pPr>
              <w:jc w:val="right"/>
              <w:textAlignment w:val="bottom"/>
            </w:pPr>
            <w:r>
              <w:rPr>
                <w:rFonts w:ascii="Times New Roman" w:eastAsia="宋体" w:hAnsi="Times New Roman"/>
                <w:color w:val="000000"/>
                <w:sz w:val="20"/>
                <w:szCs w:val="20"/>
              </w:rPr>
              <w:t>9,065 </w:t>
            </w:r>
          </w:p>
        </w:tc>
        <w:tc>
          <w:tcPr>
            <w:tcW w:w="0" w:type="auto"/>
            <w:shd w:val="clear" w:color="auto" w:fill="FFFFFF"/>
            <w:tcMar>
              <w:top w:w="40" w:type="dxa"/>
              <w:left w:w="0" w:type="dxa"/>
              <w:bottom w:w="40" w:type="dxa"/>
              <w:right w:w="20" w:type="dxa"/>
            </w:tcMar>
            <w:vAlign w:val="bottom"/>
          </w:tcPr>
          <w:p w14:paraId="518B5163" w14:textId="77777777" w:rsidR="005C332D" w:rsidRDefault="005C332D">
            <w:pPr>
              <w:jc w:val="right"/>
              <w:rPr>
                <w:rFonts w:ascii="宋体"/>
              </w:rPr>
            </w:pPr>
          </w:p>
        </w:tc>
      </w:tr>
      <w:tr w:rsidR="005C332D" w14:paraId="518B517D" w14:textId="77777777">
        <w:tc>
          <w:tcPr>
            <w:tcW w:w="0" w:type="auto"/>
            <w:gridSpan w:val="3"/>
            <w:shd w:val="clear" w:color="auto" w:fill="CCEEFF"/>
            <w:tcMar>
              <w:top w:w="40" w:type="dxa"/>
              <w:left w:w="20" w:type="dxa"/>
              <w:bottom w:w="40" w:type="dxa"/>
              <w:right w:w="20" w:type="dxa"/>
            </w:tcMar>
            <w:vAlign w:val="bottom"/>
          </w:tcPr>
          <w:p w14:paraId="518B5165" w14:textId="77777777" w:rsidR="005C332D" w:rsidRDefault="00B93EAE">
            <w:pPr>
              <w:textAlignment w:val="bottom"/>
            </w:pPr>
            <w:r>
              <w:rPr>
                <w:rFonts w:ascii="Times New Roman" w:eastAsia="宋体" w:hAnsi="Times New Roman"/>
                <w:color w:val="000000"/>
                <w:sz w:val="20"/>
                <w:szCs w:val="20"/>
              </w:rPr>
              <w:t>July 25, 20</w:t>
            </w:r>
            <w:r>
              <w:rPr>
                <w:rFonts w:ascii="Times New Roman" w:eastAsia="宋体" w:hAnsi="Times New Roman"/>
                <w:color w:val="000000"/>
                <w:sz w:val="20"/>
                <w:szCs w:val="20"/>
              </w:rPr>
              <w:t>20</w:t>
            </w:r>
          </w:p>
        </w:tc>
        <w:tc>
          <w:tcPr>
            <w:tcW w:w="0" w:type="auto"/>
            <w:gridSpan w:val="3"/>
            <w:shd w:val="clear" w:color="auto" w:fill="CCEEFF"/>
            <w:tcMar>
              <w:top w:w="0" w:type="dxa"/>
              <w:left w:w="20" w:type="dxa"/>
              <w:bottom w:w="0" w:type="dxa"/>
              <w:right w:w="20" w:type="dxa"/>
            </w:tcMar>
            <w:vAlign w:val="bottom"/>
          </w:tcPr>
          <w:p w14:paraId="518B516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16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168" w14:textId="77777777" w:rsidR="005C332D" w:rsidRDefault="00B93EAE">
            <w:pPr>
              <w:jc w:val="right"/>
              <w:textAlignment w:val="bottom"/>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bottom"/>
          </w:tcPr>
          <w:p w14:paraId="518B516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6A"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16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16C" w14:textId="77777777" w:rsidR="005C332D" w:rsidRDefault="00B93EAE">
            <w:pPr>
              <w:jc w:val="right"/>
              <w:textAlignment w:val="bottom"/>
            </w:pPr>
            <w:r>
              <w:rPr>
                <w:rFonts w:ascii="Times New Roman" w:eastAsia="宋体" w:hAnsi="Times New Roman"/>
                <w:color w:val="000000"/>
                <w:sz w:val="20"/>
                <w:szCs w:val="20"/>
              </w:rPr>
              <w:t>6,016 </w:t>
            </w:r>
          </w:p>
        </w:tc>
        <w:tc>
          <w:tcPr>
            <w:tcW w:w="0" w:type="auto"/>
            <w:shd w:val="clear" w:color="auto" w:fill="CCEEFF"/>
            <w:tcMar>
              <w:top w:w="40" w:type="dxa"/>
              <w:left w:w="0" w:type="dxa"/>
              <w:bottom w:w="40" w:type="dxa"/>
              <w:right w:w="20" w:type="dxa"/>
            </w:tcMar>
            <w:vAlign w:val="bottom"/>
          </w:tcPr>
          <w:p w14:paraId="518B516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6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16F" w14:textId="77777777" w:rsidR="005C332D" w:rsidRDefault="00B93EAE">
            <w:pPr>
              <w:jc w:val="right"/>
              <w:textAlignment w:val="bottom"/>
            </w:pPr>
            <w:r>
              <w:rPr>
                <w:rFonts w:ascii="Times New Roman" w:eastAsia="宋体" w:hAnsi="Times New Roman"/>
                <w:color w:val="000000"/>
                <w:sz w:val="20"/>
                <w:szCs w:val="20"/>
              </w:rPr>
              <w:t>59 </w:t>
            </w:r>
          </w:p>
        </w:tc>
        <w:tc>
          <w:tcPr>
            <w:tcW w:w="0" w:type="auto"/>
            <w:shd w:val="clear" w:color="auto" w:fill="CCEEFF"/>
            <w:tcMar>
              <w:top w:w="40" w:type="dxa"/>
              <w:left w:w="0" w:type="dxa"/>
              <w:bottom w:w="40" w:type="dxa"/>
              <w:right w:w="20" w:type="dxa"/>
            </w:tcMar>
            <w:vAlign w:val="bottom"/>
          </w:tcPr>
          <w:p w14:paraId="518B517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71"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17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173" w14:textId="77777777" w:rsidR="005C332D" w:rsidRDefault="00B93EAE">
            <w:pPr>
              <w:jc w:val="right"/>
              <w:textAlignment w:val="bottom"/>
            </w:pPr>
            <w:r>
              <w:rPr>
                <w:rFonts w:ascii="Times New Roman" w:eastAsia="宋体" w:hAnsi="Times New Roman"/>
                <w:color w:val="000000"/>
                <w:sz w:val="20"/>
                <w:szCs w:val="20"/>
              </w:rPr>
              <w:t>44.36 </w:t>
            </w:r>
          </w:p>
        </w:tc>
        <w:tc>
          <w:tcPr>
            <w:tcW w:w="0" w:type="auto"/>
            <w:shd w:val="clear" w:color="auto" w:fill="CCEEFF"/>
            <w:tcMar>
              <w:top w:w="40" w:type="dxa"/>
              <w:left w:w="0" w:type="dxa"/>
              <w:bottom w:w="40" w:type="dxa"/>
              <w:right w:w="20" w:type="dxa"/>
            </w:tcMar>
            <w:vAlign w:val="bottom"/>
          </w:tcPr>
          <w:p w14:paraId="518B517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75"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17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177" w14:textId="77777777" w:rsidR="005C332D" w:rsidRDefault="00B93EAE">
            <w:pPr>
              <w:jc w:val="right"/>
              <w:textAlignment w:val="bottom"/>
            </w:pPr>
            <w:r>
              <w:rPr>
                <w:rFonts w:ascii="Times New Roman" w:eastAsia="宋体" w:hAnsi="Times New Roman"/>
                <w:color w:val="000000"/>
                <w:sz w:val="20"/>
                <w:szCs w:val="20"/>
              </w:rPr>
              <w:t>2,619 </w:t>
            </w:r>
          </w:p>
        </w:tc>
        <w:tc>
          <w:tcPr>
            <w:tcW w:w="0" w:type="auto"/>
            <w:shd w:val="clear" w:color="auto" w:fill="CCEEFF"/>
            <w:tcMar>
              <w:top w:w="40" w:type="dxa"/>
              <w:left w:w="0" w:type="dxa"/>
              <w:bottom w:w="40" w:type="dxa"/>
              <w:right w:w="20" w:type="dxa"/>
            </w:tcMar>
            <w:vAlign w:val="bottom"/>
          </w:tcPr>
          <w:p w14:paraId="518B517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79"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17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17B" w14:textId="77777777" w:rsidR="005C332D" w:rsidRDefault="00B93EAE">
            <w:pPr>
              <w:jc w:val="right"/>
              <w:textAlignment w:val="bottom"/>
            </w:pPr>
            <w:r>
              <w:rPr>
                <w:rFonts w:ascii="Times New Roman" w:eastAsia="宋体" w:hAnsi="Times New Roman"/>
                <w:color w:val="000000"/>
                <w:sz w:val="20"/>
                <w:szCs w:val="20"/>
              </w:rPr>
              <w:t>8,635 </w:t>
            </w:r>
          </w:p>
        </w:tc>
        <w:tc>
          <w:tcPr>
            <w:tcW w:w="0" w:type="auto"/>
            <w:shd w:val="clear" w:color="auto" w:fill="CCEEFF"/>
            <w:tcMar>
              <w:top w:w="40" w:type="dxa"/>
              <w:left w:w="0" w:type="dxa"/>
              <w:bottom w:w="40" w:type="dxa"/>
              <w:right w:w="20" w:type="dxa"/>
            </w:tcMar>
            <w:vAlign w:val="bottom"/>
          </w:tcPr>
          <w:p w14:paraId="518B517C" w14:textId="77777777" w:rsidR="005C332D" w:rsidRDefault="005C332D">
            <w:pPr>
              <w:jc w:val="right"/>
              <w:rPr>
                <w:rFonts w:ascii="宋体"/>
              </w:rPr>
            </w:pPr>
          </w:p>
        </w:tc>
      </w:tr>
    </w:tbl>
    <w:p w14:paraId="518B517E" w14:textId="77777777" w:rsidR="005C332D" w:rsidRDefault="00B93EAE">
      <w:pPr>
        <w:spacing w:before="120"/>
        <w:jc w:val="both"/>
      </w:pPr>
      <w:r>
        <w:rPr>
          <w:rFonts w:ascii="Times New Roman" w:eastAsia="宋体" w:hAnsi="Times New Roman"/>
          <w:color w:val="000000"/>
          <w:sz w:val="20"/>
          <w:szCs w:val="20"/>
        </w:rPr>
        <w:t>On August 2</w:t>
      </w:r>
      <w:r>
        <w:rPr>
          <w:rFonts w:ascii="Times New Roman" w:eastAsia="宋体" w:hAnsi="Times New Roman"/>
          <w:color w:val="000000"/>
          <w:sz w:val="20"/>
          <w:szCs w:val="20"/>
        </w:rPr>
        <w:t>3, 2022, our Board of Directors declared a quarterly dividend of $0.38 per common share to be paid on October 26, 2022, to all stockholders of record as of the close of business on October 5, 2022. Any future dividends are subject to the approval of our Bo</w:t>
      </w:r>
      <w:r>
        <w:rPr>
          <w:rFonts w:ascii="Times New Roman" w:eastAsia="宋体" w:hAnsi="Times New Roman"/>
          <w:color w:val="000000"/>
          <w:sz w:val="20"/>
          <w:szCs w:val="20"/>
        </w:rPr>
        <w:t xml:space="preserve">ard of Directors. </w:t>
      </w:r>
    </w:p>
    <w:p w14:paraId="518B517F" w14:textId="77777777" w:rsidR="005C332D" w:rsidRDefault="00B93EAE">
      <w:pPr>
        <w:spacing w:before="120"/>
        <w:jc w:val="both"/>
      </w:pPr>
      <w:r>
        <w:rPr>
          <w:rFonts w:ascii="Times New Roman" w:eastAsia="宋体" w:hAnsi="Times New Roman"/>
          <w:color w:val="000000"/>
          <w:sz w:val="20"/>
          <w:szCs w:val="20"/>
        </w:rPr>
        <w:t xml:space="preserve">The remaining authorized amount for stock repurchases under this program is approximately $15.2 billion, with no termination date. </w:t>
      </w:r>
    </w:p>
    <w:p w14:paraId="518B5180" w14:textId="77777777" w:rsidR="005C332D" w:rsidRDefault="00B93EAE">
      <w:pPr>
        <w:spacing w:before="120"/>
        <w:jc w:val="both"/>
      </w:pPr>
      <w:r>
        <w:rPr>
          <w:rFonts w:ascii="Times New Roman" w:eastAsia="宋体" w:hAnsi="Times New Roman"/>
          <w:color w:val="000000"/>
          <w:sz w:val="20"/>
          <w:szCs w:val="20"/>
          <w:u w:val="single"/>
        </w:rPr>
        <w:t>Accounts Receivable, Net</w:t>
      </w:r>
      <w:r>
        <w:rPr>
          <w:rFonts w:ascii="Times New Roman" w:eastAsia="宋体" w:hAnsi="Times New Roman"/>
          <w:color w:val="000000"/>
          <w:sz w:val="20"/>
          <w:szCs w:val="20"/>
        </w:rPr>
        <w:t>  The following table summarizes our accounts receivable, net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4883"/>
        <w:gridCol w:w="36"/>
        <w:gridCol w:w="120"/>
        <w:gridCol w:w="920"/>
        <w:gridCol w:w="36"/>
        <w:gridCol w:w="36"/>
        <w:gridCol w:w="36"/>
        <w:gridCol w:w="36"/>
        <w:gridCol w:w="120"/>
        <w:gridCol w:w="880"/>
        <w:gridCol w:w="36"/>
        <w:gridCol w:w="36"/>
        <w:gridCol w:w="36"/>
        <w:gridCol w:w="36"/>
        <w:gridCol w:w="121"/>
        <w:gridCol w:w="882"/>
        <w:gridCol w:w="36"/>
      </w:tblGrid>
      <w:tr w:rsidR="005C332D" w14:paraId="518B5193" w14:textId="77777777">
        <w:tc>
          <w:tcPr>
            <w:tcW w:w="50" w:type="pct"/>
            <w:shd w:val="clear" w:color="auto" w:fill="auto"/>
            <w:vAlign w:val="bottom"/>
          </w:tcPr>
          <w:p w14:paraId="518B5181" w14:textId="77777777" w:rsidR="005C332D" w:rsidRDefault="005C332D">
            <w:pPr>
              <w:rPr>
                <w:rFonts w:ascii="宋体"/>
              </w:rPr>
            </w:pPr>
          </w:p>
        </w:tc>
        <w:tc>
          <w:tcPr>
            <w:tcW w:w="2961" w:type="pct"/>
            <w:shd w:val="clear" w:color="auto" w:fill="auto"/>
            <w:vAlign w:val="bottom"/>
          </w:tcPr>
          <w:p w14:paraId="518B5182" w14:textId="77777777" w:rsidR="005C332D" w:rsidRDefault="005C332D">
            <w:pPr>
              <w:rPr>
                <w:rFonts w:ascii="宋体"/>
              </w:rPr>
            </w:pPr>
          </w:p>
        </w:tc>
        <w:tc>
          <w:tcPr>
            <w:tcW w:w="5" w:type="pct"/>
            <w:shd w:val="clear" w:color="auto" w:fill="auto"/>
            <w:vAlign w:val="bottom"/>
          </w:tcPr>
          <w:p w14:paraId="518B5183" w14:textId="77777777" w:rsidR="005C332D" w:rsidRDefault="005C332D">
            <w:pPr>
              <w:rPr>
                <w:rFonts w:ascii="宋体"/>
              </w:rPr>
            </w:pPr>
          </w:p>
        </w:tc>
        <w:tc>
          <w:tcPr>
            <w:tcW w:w="50" w:type="pct"/>
            <w:shd w:val="clear" w:color="auto" w:fill="auto"/>
            <w:vAlign w:val="bottom"/>
          </w:tcPr>
          <w:p w14:paraId="518B5184" w14:textId="77777777" w:rsidR="005C332D" w:rsidRDefault="005C332D">
            <w:pPr>
              <w:rPr>
                <w:rFonts w:ascii="宋体"/>
              </w:rPr>
            </w:pPr>
          </w:p>
        </w:tc>
        <w:tc>
          <w:tcPr>
            <w:tcW w:w="581" w:type="pct"/>
            <w:shd w:val="clear" w:color="auto" w:fill="auto"/>
            <w:vAlign w:val="bottom"/>
          </w:tcPr>
          <w:p w14:paraId="518B5185" w14:textId="77777777" w:rsidR="005C332D" w:rsidRDefault="005C332D">
            <w:pPr>
              <w:rPr>
                <w:rFonts w:ascii="宋体"/>
              </w:rPr>
            </w:pPr>
          </w:p>
        </w:tc>
        <w:tc>
          <w:tcPr>
            <w:tcW w:w="5" w:type="pct"/>
            <w:shd w:val="clear" w:color="auto" w:fill="auto"/>
            <w:vAlign w:val="bottom"/>
          </w:tcPr>
          <w:p w14:paraId="518B5186" w14:textId="77777777" w:rsidR="005C332D" w:rsidRDefault="005C332D">
            <w:pPr>
              <w:rPr>
                <w:rFonts w:ascii="宋体"/>
              </w:rPr>
            </w:pPr>
          </w:p>
        </w:tc>
        <w:tc>
          <w:tcPr>
            <w:tcW w:w="5" w:type="pct"/>
            <w:shd w:val="clear" w:color="auto" w:fill="auto"/>
            <w:vAlign w:val="bottom"/>
          </w:tcPr>
          <w:p w14:paraId="518B5187" w14:textId="77777777" w:rsidR="005C332D" w:rsidRDefault="005C332D">
            <w:pPr>
              <w:rPr>
                <w:rFonts w:ascii="宋体"/>
              </w:rPr>
            </w:pPr>
          </w:p>
        </w:tc>
        <w:tc>
          <w:tcPr>
            <w:tcW w:w="26" w:type="pct"/>
            <w:shd w:val="clear" w:color="auto" w:fill="auto"/>
            <w:vAlign w:val="bottom"/>
          </w:tcPr>
          <w:p w14:paraId="518B5188" w14:textId="77777777" w:rsidR="005C332D" w:rsidRDefault="005C332D">
            <w:pPr>
              <w:rPr>
                <w:rFonts w:ascii="宋体"/>
              </w:rPr>
            </w:pPr>
          </w:p>
        </w:tc>
        <w:tc>
          <w:tcPr>
            <w:tcW w:w="5" w:type="pct"/>
            <w:shd w:val="clear" w:color="auto" w:fill="auto"/>
            <w:vAlign w:val="bottom"/>
          </w:tcPr>
          <w:p w14:paraId="518B5189" w14:textId="77777777" w:rsidR="005C332D" w:rsidRDefault="005C332D">
            <w:pPr>
              <w:rPr>
                <w:rFonts w:ascii="宋体"/>
              </w:rPr>
            </w:pPr>
          </w:p>
        </w:tc>
        <w:tc>
          <w:tcPr>
            <w:tcW w:w="50" w:type="pct"/>
            <w:shd w:val="clear" w:color="auto" w:fill="auto"/>
            <w:vAlign w:val="bottom"/>
          </w:tcPr>
          <w:p w14:paraId="518B518A" w14:textId="77777777" w:rsidR="005C332D" w:rsidRDefault="005C332D">
            <w:pPr>
              <w:rPr>
                <w:rFonts w:ascii="宋体"/>
              </w:rPr>
            </w:pPr>
          </w:p>
        </w:tc>
        <w:tc>
          <w:tcPr>
            <w:tcW w:w="581" w:type="pct"/>
            <w:shd w:val="clear" w:color="auto" w:fill="auto"/>
            <w:vAlign w:val="bottom"/>
          </w:tcPr>
          <w:p w14:paraId="518B518B" w14:textId="77777777" w:rsidR="005C332D" w:rsidRDefault="005C332D">
            <w:pPr>
              <w:rPr>
                <w:rFonts w:ascii="宋体"/>
              </w:rPr>
            </w:pPr>
          </w:p>
        </w:tc>
        <w:tc>
          <w:tcPr>
            <w:tcW w:w="5" w:type="pct"/>
            <w:shd w:val="clear" w:color="auto" w:fill="auto"/>
            <w:vAlign w:val="bottom"/>
          </w:tcPr>
          <w:p w14:paraId="518B518C" w14:textId="77777777" w:rsidR="005C332D" w:rsidRDefault="005C332D">
            <w:pPr>
              <w:rPr>
                <w:rFonts w:ascii="宋体"/>
              </w:rPr>
            </w:pPr>
          </w:p>
        </w:tc>
        <w:tc>
          <w:tcPr>
            <w:tcW w:w="5" w:type="pct"/>
            <w:shd w:val="clear" w:color="auto" w:fill="auto"/>
            <w:vAlign w:val="bottom"/>
          </w:tcPr>
          <w:p w14:paraId="518B518D" w14:textId="77777777" w:rsidR="005C332D" w:rsidRDefault="005C332D">
            <w:pPr>
              <w:rPr>
                <w:rFonts w:ascii="宋体"/>
              </w:rPr>
            </w:pPr>
          </w:p>
        </w:tc>
        <w:tc>
          <w:tcPr>
            <w:tcW w:w="26" w:type="pct"/>
            <w:shd w:val="clear" w:color="auto" w:fill="auto"/>
            <w:vAlign w:val="bottom"/>
          </w:tcPr>
          <w:p w14:paraId="518B518E" w14:textId="77777777" w:rsidR="005C332D" w:rsidRDefault="005C332D">
            <w:pPr>
              <w:rPr>
                <w:rFonts w:ascii="宋体"/>
              </w:rPr>
            </w:pPr>
          </w:p>
        </w:tc>
        <w:tc>
          <w:tcPr>
            <w:tcW w:w="5" w:type="pct"/>
            <w:shd w:val="clear" w:color="auto" w:fill="auto"/>
            <w:vAlign w:val="bottom"/>
          </w:tcPr>
          <w:p w14:paraId="518B518F" w14:textId="77777777" w:rsidR="005C332D" w:rsidRDefault="005C332D">
            <w:pPr>
              <w:rPr>
                <w:rFonts w:ascii="宋体"/>
              </w:rPr>
            </w:pPr>
          </w:p>
        </w:tc>
        <w:tc>
          <w:tcPr>
            <w:tcW w:w="50" w:type="pct"/>
            <w:shd w:val="clear" w:color="auto" w:fill="auto"/>
            <w:vAlign w:val="bottom"/>
          </w:tcPr>
          <w:p w14:paraId="518B5190" w14:textId="77777777" w:rsidR="005C332D" w:rsidRDefault="005C332D">
            <w:pPr>
              <w:rPr>
                <w:rFonts w:ascii="宋体"/>
              </w:rPr>
            </w:pPr>
          </w:p>
        </w:tc>
        <w:tc>
          <w:tcPr>
            <w:tcW w:w="582" w:type="pct"/>
            <w:shd w:val="clear" w:color="auto" w:fill="auto"/>
            <w:vAlign w:val="bottom"/>
          </w:tcPr>
          <w:p w14:paraId="518B5191" w14:textId="77777777" w:rsidR="005C332D" w:rsidRDefault="005C332D">
            <w:pPr>
              <w:rPr>
                <w:rFonts w:ascii="宋体"/>
              </w:rPr>
            </w:pPr>
          </w:p>
        </w:tc>
        <w:tc>
          <w:tcPr>
            <w:tcW w:w="5" w:type="pct"/>
            <w:shd w:val="clear" w:color="auto" w:fill="auto"/>
            <w:vAlign w:val="bottom"/>
          </w:tcPr>
          <w:p w14:paraId="518B5192" w14:textId="77777777" w:rsidR="005C332D" w:rsidRDefault="005C332D">
            <w:pPr>
              <w:rPr>
                <w:rFonts w:ascii="宋体"/>
              </w:rPr>
            </w:pPr>
          </w:p>
        </w:tc>
      </w:tr>
      <w:tr w:rsidR="005C332D" w14:paraId="518B519A" w14:textId="77777777">
        <w:tc>
          <w:tcPr>
            <w:tcW w:w="0" w:type="auto"/>
            <w:gridSpan w:val="3"/>
            <w:shd w:val="clear" w:color="auto" w:fill="auto"/>
            <w:tcMar>
              <w:top w:w="40" w:type="dxa"/>
              <w:left w:w="20" w:type="dxa"/>
              <w:bottom w:w="40" w:type="dxa"/>
              <w:right w:w="20" w:type="dxa"/>
            </w:tcMar>
            <w:vAlign w:val="bottom"/>
          </w:tcPr>
          <w:p w14:paraId="518B5194"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18B5195"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19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197"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19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199" w14:textId="77777777" w:rsidR="005C332D" w:rsidRDefault="00B93EAE">
            <w:pPr>
              <w:jc w:val="center"/>
              <w:textAlignment w:val="bottom"/>
            </w:pPr>
            <w:r>
              <w:rPr>
                <w:rFonts w:ascii="Times New Roman" w:eastAsia="宋体" w:hAnsi="Times New Roman"/>
                <w:color w:val="000000"/>
                <w:sz w:val="18"/>
                <w:szCs w:val="18"/>
              </w:rPr>
              <w:t>Increase (Decrease)</w:t>
            </w:r>
          </w:p>
        </w:tc>
      </w:tr>
      <w:tr w:rsidR="005C332D" w14:paraId="518B51A7" w14:textId="77777777">
        <w:tc>
          <w:tcPr>
            <w:tcW w:w="0" w:type="auto"/>
            <w:gridSpan w:val="3"/>
            <w:shd w:val="clear" w:color="auto" w:fill="CCEEFF"/>
            <w:tcMar>
              <w:top w:w="40" w:type="dxa"/>
              <w:left w:w="20" w:type="dxa"/>
              <w:bottom w:w="40" w:type="dxa"/>
              <w:right w:w="20" w:type="dxa"/>
            </w:tcMar>
            <w:vAlign w:val="bottom"/>
          </w:tcPr>
          <w:p w14:paraId="518B519B" w14:textId="77777777" w:rsidR="005C332D" w:rsidRDefault="00B93EAE">
            <w:pPr>
              <w:textAlignment w:val="bottom"/>
            </w:pPr>
            <w:r>
              <w:rPr>
                <w:rFonts w:ascii="Times New Roman" w:eastAsia="宋体" w:hAnsi="Times New Roman"/>
                <w:color w:val="000000"/>
                <w:sz w:val="20"/>
                <w:szCs w:val="20"/>
              </w:rPr>
              <w:t>Accounts receivable,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19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9D" w14:textId="77777777" w:rsidR="005C332D" w:rsidRDefault="00B93EAE">
            <w:pPr>
              <w:jc w:val="right"/>
              <w:textAlignment w:val="bottom"/>
            </w:pPr>
            <w:r>
              <w:rPr>
                <w:rFonts w:ascii="Times New Roman" w:eastAsia="宋体" w:hAnsi="Times New Roman"/>
                <w:b/>
                <w:bCs/>
                <w:color w:val="000000"/>
                <w:sz w:val="20"/>
                <w:szCs w:val="20"/>
              </w:rPr>
              <w:t>6,622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9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9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A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A1" w14:textId="77777777" w:rsidR="005C332D" w:rsidRDefault="00B93EAE">
            <w:pPr>
              <w:jc w:val="right"/>
              <w:textAlignment w:val="bottom"/>
            </w:pPr>
            <w:r>
              <w:rPr>
                <w:rFonts w:ascii="Times New Roman" w:eastAsia="宋体" w:hAnsi="Times New Roman"/>
                <w:color w:val="000000"/>
                <w:sz w:val="20"/>
                <w:szCs w:val="20"/>
              </w:rPr>
              <w:t>5,766 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A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A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A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A5" w14:textId="77777777" w:rsidR="005C332D" w:rsidRDefault="00B93EAE">
            <w:pPr>
              <w:jc w:val="right"/>
              <w:textAlignment w:val="bottom"/>
            </w:pPr>
            <w:r>
              <w:rPr>
                <w:rFonts w:ascii="Times New Roman" w:eastAsia="宋体" w:hAnsi="Times New Roman"/>
                <w:color w:val="000000"/>
                <w:sz w:val="20"/>
                <w:szCs w:val="20"/>
              </w:rPr>
              <w:t>856 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A6" w14:textId="77777777" w:rsidR="005C332D" w:rsidRDefault="005C332D">
            <w:pPr>
              <w:jc w:val="right"/>
              <w:rPr>
                <w:rFonts w:ascii="宋体"/>
              </w:rPr>
            </w:pPr>
          </w:p>
        </w:tc>
      </w:tr>
    </w:tbl>
    <w:p w14:paraId="518B51A8" w14:textId="77777777" w:rsidR="005C332D" w:rsidRDefault="00B93EAE">
      <w:pPr>
        <w:spacing w:before="120"/>
        <w:jc w:val="both"/>
      </w:pPr>
      <w:r>
        <w:rPr>
          <w:rFonts w:ascii="Times New Roman" w:eastAsia="宋体" w:hAnsi="Times New Roman"/>
          <w:color w:val="000000"/>
          <w:sz w:val="20"/>
          <w:szCs w:val="20"/>
        </w:rPr>
        <w:t>Our accounts receivable net, as of July 30, 2022 increased by approximately 15% compared with the end of fiscal 2021, primarily due to timing and amount of product and service billings at the end of fiscal 2022 compared wit</w:t>
      </w:r>
      <w:r>
        <w:rPr>
          <w:rFonts w:ascii="Times New Roman" w:eastAsia="宋体" w:hAnsi="Times New Roman"/>
          <w:color w:val="000000"/>
          <w:sz w:val="20"/>
          <w:szCs w:val="20"/>
        </w:rPr>
        <w:t xml:space="preserve">h the end of fiscal 2021. </w:t>
      </w:r>
    </w:p>
    <w:p w14:paraId="518B51A9" w14:textId="77777777" w:rsidR="005C332D" w:rsidRDefault="00B93EAE">
      <w:pPr>
        <w:spacing w:before="120"/>
        <w:jc w:val="both"/>
      </w:pPr>
      <w:r>
        <w:rPr>
          <w:rFonts w:ascii="Times New Roman" w:eastAsia="宋体" w:hAnsi="Times New Roman"/>
          <w:color w:val="000000"/>
          <w:sz w:val="20"/>
          <w:szCs w:val="20"/>
          <w:u w:val="single"/>
        </w:rPr>
        <w:t>Inventory Supply Chain</w:t>
      </w:r>
      <w:r>
        <w:rPr>
          <w:rFonts w:ascii="Times New Roman" w:eastAsia="宋体" w:hAnsi="Times New Roman"/>
          <w:color w:val="000000"/>
          <w:sz w:val="20"/>
          <w:szCs w:val="20"/>
        </w:rPr>
        <w:t xml:space="preserve">  The following table summarizes our inventories and inventory purchase commitments with contract manufacturers and suppliers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647"/>
        <w:gridCol w:w="36"/>
        <w:gridCol w:w="120"/>
        <w:gridCol w:w="902"/>
        <w:gridCol w:w="36"/>
        <w:gridCol w:w="36"/>
        <w:gridCol w:w="36"/>
        <w:gridCol w:w="36"/>
        <w:gridCol w:w="120"/>
        <w:gridCol w:w="846"/>
        <w:gridCol w:w="36"/>
        <w:gridCol w:w="36"/>
        <w:gridCol w:w="36"/>
        <w:gridCol w:w="36"/>
        <w:gridCol w:w="120"/>
        <w:gridCol w:w="846"/>
        <w:gridCol w:w="36"/>
        <w:gridCol w:w="36"/>
        <w:gridCol w:w="36"/>
        <w:gridCol w:w="36"/>
        <w:gridCol w:w="121"/>
        <w:gridCol w:w="903"/>
        <w:gridCol w:w="36"/>
        <w:gridCol w:w="36"/>
        <w:gridCol w:w="36"/>
        <w:gridCol w:w="36"/>
        <w:gridCol w:w="121"/>
        <w:gridCol w:w="903"/>
        <w:gridCol w:w="36"/>
      </w:tblGrid>
      <w:tr w:rsidR="005C332D" w14:paraId="518B51C8" w14:textId="77777777">
        <w:tc>
          <w:tcPr>
            <w:tcW w:w="50" w:type="pct"/>
            <w:shd w:val="clear" w:color="auto" w:fill="auto"/>
            <w:vAlign w:val="bottom"/>
          </w:tcPr>
          <w:p w14:paraId="518B51AA" w14:textId="77777777" w:rsidR="005C332D" w:rsidRDefault="005C332D">
            <w:pPr>
              <w:rPr>
                <w:rFonts w:ascii="宋体"/>
              </w:rPr>
            </w:pPr>
          </w:p>
        </w:tc>
        <w:tc>
          <w:tcPr>
            <w:tcW w:w="1638" w:type="pct"/>
            <w:shd w:val="clear" w:color="auto" w:fill="auto"/>
            <w:vAlign w:val="bottom"/>
          </w:tcPr>
          <w:p w14:paraId="518B51AB" w14:textId="77777777" w:rsidR="005C332D" w:rsidRDefault="005C332D">
            <w:pPr>
              <w:rPr>
                <w:rFonts w:ascii="宋体"/>
              </w:rPr>
            </w:pPr>
          </w:p>
        </w:tc>
        <w:tc>
          <w:tcPr>
            <w:tcW w:w="5" w:type="pct"/>
            <w:shd w:val="clear" w:color="auto" w:fill="auto"/>
            <w:vAlign w:val="bottom"/>
          </w:tcPr>
          <w:p w14:paraId="518B51AC" w14:textId="77777777" w:rsidR="005C332D" w:rsidRDefault="005C332D">
            <w:pPr>
              <w:rPr>
                <w:rFonts w:ascii="宋体"/>
              </w:rPr>
            </w:pPr>
          </w:p>
        </w:tc>
        <w:tc>
          <w:tcPr>
            <w:tcW w:w="50" w:type="pct"/>
            <w:shd w:val="clear" w:color="auto" w:fill="auto"/>
            <w:vAlign w:val="bottom"/>
          </w:tcPr>
          <w:p w14:paraId="518B51AD" w14:textId="77777777" w:rsidR="005C332D" w:rsidRDefault="005C332D">
            <w:pPr>
              <w:rPr>
                <w:rFonts w:ascii="宋体"/>
              </w:rPr>
            </w:pPr>
          </w:p>
        </w:tc>
        <w:tc>
          <w:tcPr>
            <w:tcW w:w="580" w:type="pct"/>
            <w:shd w:val="clear" w:color="auto" w:fill="auto"/>
            <w:vAlign w:val="bottom"/>
          </w:tcPr>
          <w:p w14:paraId="518B51AE" w14:textId="77777777" w:rsidR="005C332D" w:rsidRDefault="005C332D">
            <w:pPr>
              <w:rPr>
                <w:rFonts w:ascii="宋体"/>
              </w:rPr>
            </w:pPr>
          </w:p>
        </w:tc>
        <w:tc>
          <w:tcPr>
            <w:tcW w:w="5" w:type="pct"/>
            <w:shd w:val="clear" w:color="auto" w:fill="auto"/>
            <w:vAlign w:val="bottom"/>
          </w:tcPr>
          <w:p w14:paraId="518B51AF" w14:textId="77777777" w:rsidR="005C332D" w:rsidRDefault="005C332D">
            <w:pPr>
              <w:rPr>
                <w:rFonts w:ascii="宋体"/>
              </w:rPr>
            </w:pPr>
          </w:p>
        </w:tc>
        <w:tc>
          <w:tcPr>
            <w:tcW w:w="5" w:type="pct"/>
            <w:shd w:val="clear" w:color="auto" w:fill="auto"/>
            <w:vAlign w:val="bottom"/>
          </w:tcPr>
          <w:p w14:paraId="518B51B0" w14:textId="77777777" w:rsidR="005C332D" w:rsidRDefault="005C332D">
            <w:pPr>
              <w:rPr>
                <w:rFonts w:ascii="宋体"/>
              </w:rPr>
            </w:pPr>
          </w:p>
        </w:tc>
        <w:tc>
          <w:tcPr>
            <w:tcW w:w="26" w:type="pct"/>
            <w:shd w:val="clear" w:color="auto" w:fill="auto"/>
            <w:vAlign w:val="bottom"/>
          </w:tcPr>
          <w:p w14:paraId="518B51B1" w14:textId="77777777" w:rsidR="005C332D" w:rsidRDefault="005C332D">
            <w:pPr>
              <w:rPr>
                <w:rFonts w:ascii="宋体"/>
              </w:rPr>
            </w:pPr>
          </w:p>
        </w:tc>
        <w:tc>
          <w:tcPr>
            <w:tcW w:w="5" w:type="pct"/>
            <w:shd w:val="clear" w:color="auto" w:fill="auto"/>
            <w:vAlign w:val="bottom"/>
          </w:tcPr>
          <w:p w14:paraId="518B51B2" w14:textId="77777777" w:rsidR="005C332D" w:rsidRDefault="005C332D">
            <w:pPr>
              <w:rPr>
                <w:rFonts w:ascii="宋体"/>
              </w:rPr>
            </w:pPr>
          </w:p>
        </w:tc>
        <w:tc>
          <w:tcPr>
            <w:tcW w:w="50" w:type="pct"/>
            <w:shd w:val="clear" w:color="auto" w:fill="auto"/>
            <w:vAlign w:val="bottom"/>
          </w:tcPr>
          <w:p w14:paraId="518B51B3" w14:textId="77777777" w:rsidR="005C332D" w:rsidRDefault="005C332D">
            <w:pPr>
              <w:rPr>
                <w:rFonts w:ascii="宋体"/>
              </w:rPr>
            </w:pPr>
          </w:p>
        </w:tc>
        <w:tc>
          <w:tcPr>
            <w:tcW w:w="580" w:type="pct"/>
            <w:shd w:val="clear" w:color="auto" w:fill="auto"/>
            <w:vAlign w:val="bottom"/>
          </w:tcPr>
          <w:p w14:paraId="518B51B4" w14:textId="77777777" w:rsidR="005C332D" w:rsidRDefault="005C332D">
            <w:pPr>
              <w:rPr>
                <w:rFonts w:ascii="宋体"/>
              </w:rPr>
            </w:pPr>
          </w:p>
        </w:tc>
        <w:tc>
          <w:tcPr>
            <w:tcW w:w="5" w:type="pct"/>
            <w:shd w:val="clear" w:color="auto" w:fill="auto"/>
            <w:vAlign w:val="bottom"/>
          </w:tcPr>
          <w:p w14:paraId="518B51B5" w14:textId="77777777" w:rsidR="005C332D" w:rsidRDefault="005C332D">
            <w:pPr>
              <w:rPr>
                <w:rFonts w:ascii="宋体"/>
              </w:rPr>
            </w:pPr>
          </w:p>
        </w:tc>
        <w:tc>
          <w:tcPr>
            <w:tcW w:w="5" w:type="pct"/>
            <w:shd w:val="clear" w:color="auto" w:fill="auto"/>
            <w:vAlign w:val="bottom"/>
          </w:tcPr>
          <w:p w14:paraId="518B51B6" w14:textId="77777777" w:rsidR="005C332D" w:rsidRDefault="005C332D">
            <w:pPr>
              <w:rPr>
                <w:rFonts w:ascii="宋体"/>
              </w:rPr>
            </w:pPr>
          </w:p>
        </w:tc>
        <w:tc>
          <w:tcPr>
            <w:tcW w:w="26" w:type="pct"/>
            <w:shd w:val="clear" w:color="auto" w:fill="auto"/>
            <w:vAlign w:val="bottom"/>
          </w:tcPr>
          <w:p w14:paraId="518B51B7" w14:textId="77777777" w:rsidR="005C332D" w:rsidRDefault="005C332D">
            <w:pPr>
              <w:rPr>
                <w:rFonts w:ascii="宋体"/>
              </w:rPr>
            </w:pPr>
          </w:p>
        </w:tc>
        <w:tc>
          <w:tcPr>
            <w:tcW w:w="5" w:type="pct"/>
            <w:shd w:val="clear" w:color="auto" w:fill="auto"/>
            <w:vAlign w:val="bottom"/>
          </w:tcPr>
          <w:p w14:paraId="518B51B8" w14:textId="77777777" w:rsidR="005C332D" w:rsidRDefault="005C332D">
            <w:pPr>
              <w:rPr>
                <w:rFonts w:ascii="宋体"/>
              </w:rPr>
            </w:pPr>
          </w:p>
        </w:tc>
        <w:tc>
          <w:tcPr>
            <w:tcW w:w="50" w:type="pct"/>
            <w:shd w:val="clear" w:color="auto" w:fill="auto"/>
            <w:vAlign w:val="bottom"/>
          </w:tcPr>
          <w:p w14:paraId="518B51B9" w14:textId="77777777" w:rsidR="005C332D" w:rsidRDefault="005C332D">
            <w:pPr>
              <w:rPr>
                <w:rFonts w:ascii="宋体"/>
              </w:rPr>
            </w:pPr>
          </w:p>
        </w:tc>
        <w:tc>
          <w:tcPr>
            <w:tcW w:w="580" w:type="pct"/>
            <w:shd w:val="clear" w:color="auto" w:fill="auto"/>
            <w:vAlign w:val="bottom"/>
          </w:tcPr>
          <w:p w14:paraId="518B51BA" w14:textId="77777777" w:rsidR="005C332D" w:rsidRDefault="005C332D">
            <w:pPr>
              <w:rPr>
                <w:rFonts w:ascii="宋体"/>
              </w:rPr>
            </w:pPr>
          </w:p>
        </w:tc>
        <w:tc>
          <w:tcPr>
            <w:tcW w:w="5" w:type="pct"/>
            <w:shd w:val="clear" w:color="auto" w:fill="auto"/>
            <w:vAlign w:val="bottom"/>
          </w:tcPr>
          <w:p w14:paraId="518B51BB" w14:textId="77777777" w:rsidR="005C332D" w:rsidRDefault="005C332D">
            <w:pPr>
              <w:rPr>
                <w:rFonts w:ascii="宋体"/>
              </w:rPr>
            </w:pPr>
          </w:p>
        </w:tc>
        <w:tc>
          <w:tcPr>
            <w:tcW w:w="5" w:type="pct"/>
            <w:shd w:val="clear" w:color="auto" w:fill="auto"/>
            <w:vAlign w:val="bottom"/>
          </w:tcPr>
          <w:p w14:paraId="518B51BC" w14:textId="77777777" w:rsidR="005C332D" w:rsidRDefault="005C332D">
            <w:pPr>
              <w:rPr>
                <w:rFonts w:ascii="宋体"/>
              </w:rPr>
            </w:pPr>
          </w:p>
        </w:tc>
        <w:tc>
          <w:tcPr>
            <w:tcW w:w="19" w:type="pct"/>
            <w:shd w:val="clear" w:color="auto" w:fill="auto"/>
            <w:vAlign w:val="bottom"/>
          </w:tcPr>
          <w:p w14:paraId="518B51BD" w14:textId="77777777" w:rsidR="005C332D" w:rsidRDefault="005C332D">
            <w:pPr>
              <w:rPr>
                <w:rFonts w:ascii="宋体"/>
              </w:rPr>
            </w:pPr>
          </w:p>
        </w:tc>
        <w:tc>
          <w:tcPr>
            <w:tcW w:w="5" w:type="pct"/>
            <w:shd w:val="clear" w:color="auto" w:fill="auto"/>
            <w:vAlign w:val="bottom"/>
          </w:tcPr>
          <w:p w14:paraId="518B51BE" w14:textId="77777777" w:rsidR="005C332D" w:rsidRDefault="005C332D">
            <w:pPr>
              <w:rPr>
                <w:rFonts w:ascii="宋体"/>
              </w:rPr>
            </w:pPr>
          </w:p>
        </w:tc>
        <w:tc>
          <w:tcPr>
            <w:tcW w:w="50" w:type="pct"/>
            <w:shd w:val="clear" w:color="auto" w:fill="auto"/>
            <w:vAlign w:val="bottom"/>
          </w:tcPr>
          <w:p w14:paraId="518B51BF" w14:textId="77777777" w:rsidR="005C332D" w:rsidRDefault="005C332D">
            <w:pPr>
              <w:rPr>
                <w:rFonts w:ascii="宋体"/>
              </w:rPr>
            </w:pPr>
          </w:p>
        </w:tc>
        <w:tc>
          <w:tcPr>
            <w:tcW w:w="580" w:type="pct"/>
            <w:shd w:val="clear" w:color="auto" w:fill="auto"/>
            <w:vAlign w:val="bottom"/>
          </w:tcPr>
          <w:p w14:paraId="518B51C0" w14:textId="77777777" w:rsidR="005C332D" w:rsidRDefault="005C332D">
            <w:pPr>
              <w:rPr>
                <w:rFonts w:ascii="宋体"/>
              </w:rPr>
            </w:pPr>
          </w:p>
        </w:tc>
        <w:tc>
          <w:tcPr>
            <w:tcW w:w="5" w:type="pct"/>
            <w:shd w:val="clear" w:color="auto" w:fill="auto"/>
            <w:vAlign w:val="bottom"/>
          </w:tcPr>
          <w:p w14:paraId="518B51C1" w14:textId="77777777" w:rsidR="005C332D" w:rsidRDefault="005C332D">
            <w:pPr>
              <w:rPr>
                <w:rFonts w:ascii="宋体"/>
              </w:rPr>
            </w:pPr>
          </w:p>
        </w:tc>
        <w:tc>
          <w:tcPr>
            <w:tcW w:w="5" w:type="pct"/>
            <w:shd w:val="clear" w:color="auto" w:fill="auto"/>
            <w:vAlign w:val="bottom"/>
          </w:tcPr>
          <w:p w14:paraId="518B51C2" w14:textId="77777777" w:rsidR="005C332D" w:rsidRDefault="005C332D">
            <w:pPr>
              <w:rPr>
                <w:rFonts w:ascii="宋体"/>
              </w:rPr>
            </w:pPr>
          </w:p>
        </w:tc>
        <w:tc>
          <w:tcPr>
            <w:tcW w:w="19" w:type="pct"/>
            <w:shd w:val="clear" w:color="auto" w:fill="auto"/>
            <w:vAlign w:val="bottom"/>
          </w:tcPr>
          <w:p w14:paraId="518B51C3" w14:textId="77777777" w:rsidR="005C332D" w:rsidRDefault="005C332D">
            <w:pPr>
              <w:rPr>
                <w:rFonts w:ascii="宋体"/>
              </w:rPr>
            </w:pPr>
          </w:p>
        </w:tc>
        <w:tc>
          <w:tcPr>
            <w:tcW w:w="5" w:type="pct"/>
            <w:shd w:val="clear" w:color="auto" w:fill="auto"/>
            <w:vAlign w:val="bottom"/>
          </w:tcPr>
          <w:p w14:paraId="518B51C4" w14:textId="77777777" w:rsidR="005C332D" w:rsidRDefault="005C332D">
            <w:pPr>
              <w:rPr>
                <w:rFonts w:ascii="宋体"/>
              </w:rPr>
            </w:pPr>
          </w:p>
        </w:tc>
        <w:tc>
          <w:tcPr>
            <w:tcW w:w="50" w:type="pct"/>
            <w:shd w:val="clear" w:color="auto" w:fill="auto"/>
            <w:vAlign w:val="bottom"/>
          </w:tcPr>
          <w:p w14:paraId="518B51C5" w14:textId="77777777" w:rsidR="005C332D" w:rsidRDefault="005C332D">
            <w:pPr>
              <w:rPr>
                <w:rFonts w:ascii="宋体"/>
              </w:rPr>
            </w:pPr>
          </w:p>
        </w:tc>
        <w:tc>
          <w:tcPr>
            <w:tcW w:w="580" w:type="pct"/>
            <w:shd w:val="clear" w:color="auto" w:fill="auto"/>
            <w:vAlign w:val="bottom"/>
          </w:tcPr>
          <w:p w14:paraId="518B51C6" w14:textId="77777777" w:rsidR="005C332D" w:rsidRDefault="005C332D">
            <w:pPr>
              <w:rPr>
                <w:rFonts w:ascii="宋体"/>
              </w:rPr>
            </w:pPr>
          </w:p>
        </w:tc>
        <w:tc>
          <w:tcPr>
            <w:tcW w:w="5" w:type="pct"/>
            <w:shd w:val="clear" w:color="auto" w:fill="auto"/>
            <w:vAlign w:val="bottom"/>
          </w:tcPr>
          <w:p w14:paraId="518B51C7" w14:textId="77777777" w:rsidR="005C332D" w:rsidRDefault="005C332D">
            <w:pPr>
              <w:rPr>
                <w:rFonts w:ascii="宋体"/>
              </w:rPr>
            </w:pPr>
          </w:p>
        </w:tc>
      </w:tr>
      <w:tr w:rsidR="005C332D" w14:paraId="518B51D3" w14:textId="77777777">
        <w:tc>
          <w:tcPr>
            <w:tcW w:w="0" w:type="auto"/>
            <w:gridSpan w:val="3"/>
            <w:shd w:val="clear" w:color="auto" w:fill="auto"/>
            <w:tcMar>
              <w:top w:w="40" w:type="dxa"/>
              <w:left w:w="20" w:type="dxa"/>
              <w:bottom w:w="40" w:type="dxa"/>
              <w:right w:w="20" w:type="dxa"/>
            </w:tcMar>
            <w:vAlign w:val="bottom"/>
          </w:tcPr>
          <w:p w14:paraId="518B51C9"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18B51CA"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1C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1CC"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1C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1CE"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auto"/>
            <w:tcMar>
              <w:top w:w="0" w:type="dxa"/>
              <w:left w:w="20" w:type="dxa"/>
              <w:bottom w:w="0" w:type="dxa"/>
              <w:right w:w="20" w:type="dxa"/>
            </w:tcMar>
            <w:vAlign w:val="bottom"/>
          </w:tcPr>
          <w:p w14:paraId="518B51CF"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1D0" w14:textId="77777777" w:rsidR="005C332D" w:rsidRDefault="00B93EAE">
            <w:pPr>
              <w:jc w:val="center"/>
              <w:textAlignment w:val="bottom"/>
            </w:pPr>
            <w:r>
              <w:rPr>
                <w:rFonts w:ascii="Times New Roman" w:eastAsia="宋体" w:hAnsi="Times New Roman"/>
                <w:color w:val="000000"/>
                <w:sz w:val="18"/>
                <w:szCs w:val="18"/>
              </w:rPr>
              <w:t>Variance vs. July 31, 2021</w:t>
            </w:r>
          </w:p>
        </w:tc>
        <w:tc>
          <w:tcPr>
            <w:tcW w:w="0" w:type="auto"/>
            <w:gridSpan w:val="3"/>
            <w:shd w:val="clear" w:color="auto" w:fill="auto"/>
            <w:tcMar>
              <w:top w:w="0" w:type="dxa"/>
              <w:left w:w="20" w:type="dxa"/>
              <w:bottom w:w="0" w:type="dxa"/>
              <w:right w:w="20" w:type="dxa"/>
            </w:tcMar>
            <w:vAlign w:val="bottom"/>
          </w:tcPr>
          <w:p w14:paraId="518B51D1"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1D2" w14:textId="77777777" w:rsidR="005C332D" w:rsidRDefault="00B93EAE">
            <w:pPr>
              <w:jc w:val="center"/>
              <w:textAlignment w:val="bottom"/>
            </w:pPr>
            <w:r>
              <w:rPr>
                <w:rFonts w:ascii="Times New Roman" w:eastAsia="宋体" w:hAnsi="Times New Roman"/>
                <w:color w:val="000000"/>
                <w:sz w:val="18"/>
                <w:szCs w:val="18"/>
              </w:rPr>
              <w:t>Variance vs. July 25, 2020</w:t>
            </w:r>
          </w:p>
        </w:tc>
      </w:tr>
      <w:tr w:rsidR="005C332D" w14:paraId="518B51E8" w14:textId="77777777">
        <w:tc>
          <w:tcPr>
            <w:tcW w:w="0" w:type="auto"/>
            <w:gridSpan w:val="3"/>
            <w:shd w:val="clear" w:color="auto" w:fill="CCEEFF"/>
            <w:tcMar>
              <w:top w:w="40" w:type="dxa"/>
              <w:left w:w="20" w:type="dxa"/>
              <w:bottom w:w="40" w:type="dxa"/>
              <w:right w:w="20" w:type="dxa"/>
            </w:tcMar>
            <w:vAlign w:val="bottom"/>
          </w:tcPr>
          <w:p w14:paraId="518B51D4" w14:textId="77777777" w:rsidR="005C332D" w:rsidRDefault="00B93EAE">
            <w:pPr>
              <w:textAlignment w:val="bottom"/>
            </w:pPr>
            <w:r>
              <w:rPr>
                <w:rFonts w:ascii="Times New Roman" w:eastAsia="宋体" w:hAnsi="Times New Roman"/>
                <w:color w:val="000000"/>
                <w:sz w:val="20"/>
                <w:szCs w:val="20"/>
              </w:rPr>
              <w:t>Inventories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1D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D6" w14:textId="77777777" w:rsidR="005C332D" w:rsidRDefault="00B93EAE">
            <w:pPr>
              <w:jc w:val="right"/>
              <w:textAlignment w:val="bottom"/>
            </w:pPr>
            <w:r>
              <w:rPr>
                <w:rFonts w:ascii="Times New Roman" w:eastAsia="宋体" w:hAnsi="Times New Roman"/>
                <w:b/>
                <w:bCs/>
                <w:color w:val="000000"/>
                <w:sz w:val="20"/>
                <w:szCs w:val="20"/>
              </w:rPr>
              <w:t>2,568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D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D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D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DA" w14:textId="77777777" w:rsidR="005C332D" w:rsidRDefault="00B93EAE">
            <w:pPr>
              <w:jc w:val="right"/>
              <w:textAlignment w:val="bottom"/>
            </w:pPr>
            <w:r>
              <w:rPr>
                <w:rFonts w:ascii="Times New Roman" w:eastAsia="宋体" w:hAnsi="Times New Roman"/>
                <w:color w:val="000000"/>
                <w:sz w:val="20"/>
                <w:szCs w:val="20"/>
              </w:rPr>
              <w:t>1,559 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D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D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D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DE" w14:textId="77777777" w:rsidR="005C332D" w:rsidRDefault="00B93EAE">
            <w:pPr>
              <w:jc w:val="right"/>
              <w:textAlignment w:val="bottom"/>
            </w:pPr>
            <w:r>
              <w:rPr>
                <w:rFonts w:ascii="Times New Roman" w:eastAsia="宋体" w:hAnsi="Times New Roman"/>
                <w:color w:val="000000"/>
                <w:sz w:val="20"/>
                <w:szCs w:val="20"/>
              </w:rPr>
              <w:t>1,282 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D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E0"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E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E2" w14:textId="77777777" w:rsidR="005C332D" w:rsidRDefault="00B93EAE">
            <w:pPr>
              <w:jc w:val="right"/>
              <w:textAlignment w:val="bottom"/>
            </w:pPr>
            <w:r>
              <w:rPr>
                <w:rFonts w:ascii="Times New Roman" w:eastAsia="宋体" w:hAnsi="Times New Roman"/>
                <w:color w:val="000000"/>
                <w:sz w:val="20"/>
                <w:szCs w:val="20"/>
              </w:rPr>
              <w:t>1,009 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E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1E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1E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1E6" w14:textId="77777777" w:rsidR="005C332D" w:rsidRDefault="00B93EAE">
            <w:pPr>
              <w:jc w:val="right"/>
              <w:textAlignment w:val="bottom"/>
            </w:pPr>
            <w:r>
              <w:rPr>
                <w:rFonts w:ascii="Times New Roman" w:eastAsia="宋体" w:hAnsi="Times New Roman"/>
                <w:color w:val="000000"/>
                <w:sz w:val="20"/>
                <w:szCs w:val="20"/>
              </w:rPr>
              <w:t>1,286 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1E7" w14:textId="77777777" w:rsidR="005C332D" w:rsidRDefault="005C332D">
            <w:pPr>
              <w:jc w:val="right"/>
              <w:rPr>
                <w:rFonts w:ascii="宋体"/>
              </w:rPr>
            </w:pPr>
          </w:p>
        </w:tc>
      </w:tr>
      <w:tr w:rsidR="005C332D" w14:paraId="518B51FD" w14:textId="77777777">
        <w:tc>
          <w:tcPr>
            <w:tcW w:w="0" w:type="auto"/>
            <w:gridSpan w:val="3"/>
            <w:shd w:val="clear" w:color="auto" w:fill="FFFFFF"/>
            <w:tcMar>
              <w:top w:w="40" w:type="dxa"/>
              <w:left w:w="20" w:type="dxa"/>
              <w:bottom w:w="40" w:type="dxa"/>
              <w:right w:w="20" w:type="dxa"/>
            </w:tcMar>
            <w:vAlign w:val="bottom"/>
          </w:tcPr>
          <w:p w14:paraId="518B51E9" w14:textId="77777777" w:rsidR="005C332D" w:rsidRDefault="00B93EAE">
            <w:pPr>
              <w:textAlignment w:val="bottom"/>
            </w:pPr>
            <w:r>
              <w:rPr>
                <w:rFonts w:ascii="Times New Roman" w:eastAsia="宋体" w:hAnsi="Times New Roman"/>
                <w:color w:val="000000"/>
                <w:sz w:val="20"/>
                <w:szCs w:val="20"/>
              </w:rPr>
              <w:t>Inventory purchase commitments</w:t>
            </w:r>
          </w:p>
        </w:tc>
        <w:tc>
          <w:tcPr>
            <w:tcW w:w="0" w:type="auto"/>
            <w:shd w:val="clear" w:color="auto" w:fill="FFFFFF"/>
            <w:tcMar>
              <w:top w:w="40" w:type="dxa"/>
              <w:left w:w="20" w:type="dxa"/>
              <w:bottom w:w="40" w:type="dxa"/>
              <w:right w:w="0" w:type="dxa"/>
            </w:tcMar>
            <w:vAlign w:val="bottom"/>
          </w:tcPr>
          <w:p w14:paraId="518B51EA"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51EB" w14:textId="77777777" w:rsidR="005C332D" w:rsidRDefault="00B93EAE">
            <w:pPr>
              <w:jc w:val="right"/>
              <w:textAlignment w:val="bottom"/>
            </w:pPr>
            <w:r>
              <w:rPr>
                <w:rFonts w:ascii="Times New Roman" w:eastAsia="宋体" w:hAnsi="Times New Roman"/>
                <w:b/>
                <w:bCs/>
                <w:color w:val="000000"/>
                <w:sz w:val="20"/>
                <w:szCs w:val="20"/>
              </w:rPr>
              <w:t>12,964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1E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1ED"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1E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1EF" w14:textId="77777777" w:rsidR="005C332D" w:rsidRDefault="00B93EAE">
            <w:pPr>
              <w:jc w:val="right"/>
              <w:textAlignment w:val="bottom"/>
            </w:pPr>
            <w:r>
              <w:rPr>
                <w:rFonts w:ascii="Times New Roman" w:eastAsia="宋体" w:hAnsi="Times New Roman"/>
                <w:color w:val="000000"/>
                <w:sz w:val="20"/>
                <w:szCs w:val="20"/>
              </w:rPr>
              <w:t>10,254 </w:t>
            </w:r>
          </w:p>
        </w:tc>
        <w:tc>
          <w:tcPr>
            <w:tcW w:w="0" w:type="auto"/>
            <w:shd w:val="clear" w:color="auto" w:fill="FFFFFF"/>
            <w:tcMar>
              <w:top w:w="40" w:type="dxa"/>
              <w:left w:w="0" w:type="dxa"/>
              <w:bottom w:w="40" w:type="dxa"/>
              <w:right w:w="20" w:type="dxa"/>
            </w:tcMar>
            <w:vAlign w:val="bottom"/>
          </w:tcPr>
          <w:p w14:paraId="518B51F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1F1"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1F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1F3" w14:textId="77777777" w:rsidR="005C332D" w:rsidRDefault="00B93EAE">
            <w:pPr>
              <w:jc w:val="right"/>
              <w:textAlignment w:val="bottom"/>
            </w:pPr>
            <w:r>
              <w:rPr>
                <w:rFonts w:ascii="Times New Roman" w:eastAsia="宋体" w:hAnsi="Times New Roman"/>
                <w:color w:val="000000"/>
                <w:sz w:val="20"/>
                <w:szCs w:val="20"/>
              </w:rPr>
              <w:t>4,406 </w:t>
            </w:r>
          </w:p>
        </w:tc>
        <w:tc>
          <w:tcPr>
            <w:tcW w:w="0" w:type="auto"/>
            <w:shd w:val="clear" w:color="auto" w:fill="FFFFFF"/>
            <w:tcMar>
              <w:top w:w="40" w:type="dxa"/>
              <w:left w:w="0" w:type="dxa"/>
              <w:bottom w:w="40" w:type="dxa"/>
              <w:right w:w="20" w:type="dxa"/>
            </w:tcMar>
            <w:vAlign w:val="bottom"/>
          </w:tcPr>
          <w:p w14:paraId="518B51F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1F5"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1F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1F7" w14:textId="77777777" w:rsidR="005C332D" w:rsidRDefault="00B93EAE">
            <w:pPr>
              <w:jc w:val="right"/>
              <w:textAlignment w:val="bottom"/>
            </w:pPr>
            <w:r>
              <w:rPr>
                <w:rFonts w:ascii="Times New Roman" w:eastAsia="宋体" w:hAnsi="Times New Roman"/>
                <w:color w:val="000000"/>
                <w:sz w:val="20"/>
                <w:szCs w:val="20"/>
              </w:rPr>
              <w:t>2,710 </w:t>
            </w:r>
          </w:p>
        </w:tc>
        <w:tc>
          <w:tcPr>
            <w:tcW w:w="0" w:type="auto"/>
            <w:shd w:val="clear" w:color="auto" w:fill="FFFFFF"/>
            <w:tcMar>
              <w:top w:w="40" w:type="dxa"/>
              <w:left w:w="0" w:type="dxa"/>
              <w:bottom w:w="40" w:type="dxa"/>
              <w:right w:w="20" w:type="dxa"/>
            </w:tcMar>
            <w:vAlign w:val="bottom"/>
          </w:tcPr>
          <w:p w14:paraId="518B51F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1F9"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1F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1FB" w14:textId="77777777" w:rsidR="005C332D" w:rsidRDefault="00B93EAE">
            <w:pPr>
              <w:jc w:val="right"/>
              <w:textAlignment w:val="bottom"/>
            </w:pPr>
            <w:r>
              <w:rPr>
                <w:rFonts w:ascii="Times New Roman" w:eastAsia="宋体" w:hAnsi="Times New Roman"/>
                <w:color w:val="000000"/>
                <w:sz w:val="20"/>
                <w:szCs w:val="20"/>
              </w:rPr>
              <w:t>8,558 </w:t>
            </w:r>
          </w:p>
        </w:tc>
        <w:tc>
          <w:tcPr>
            <w:tcW w:w="0" w:type="auto"/>
            <w:shd w:val="clear" w:color="auto" w:fill="FFFFFF"/>
            <w:tcMar>
              <w:top w:w="40" w:type="dxa"/>
              <w:left w:w="0" w:type="dxa"/>
              <w:bottom w:w="40" w:type="dxa"/>
              <w:right w:w="20" w:type="dxa"/>
            </w:tcMar>
            <w:vAlign w:val="bottom"/>
          </w:tcPr>
          <w:p w14:paraId="518B51FC" w14:textId="77777777" w:rsidR="005C332D" w:rsidRDefault="005C332D">
            <w:pPr>
              <w:jc w:val="right"/>
              <w:rPr>
                <w:rFonts w:ascii="宋体"/>
              </w:rPr>
            </w:pPr>
          </w:p>
        </w:tc>
      </w:tr>
      <w:tr w:rsidR="005C332D" w14:paraId="518B5212" w14:textId="77777777">
        <w:tc>
          <w:tcPr>
            <w:tcW w:w="0" w:type="auto"/>
            <w:gridSpan w:val="3"/>
            <w:shd w:val="clear" w:color="auto" w:fill="CCEEFF"/>
            <w:tcMar>
              <w:top w:w="40" w:type="dxa"/>
              <w:left w:w="20" w:type="dxa"/>
              <w:bottom w:w="40" w:type="dxa"/>
              <w:right w:w="20" w:type="dxa"/>
            </w:tcMar>
            <w:vAlign w:val="bottom"/>
          </w:tcPr>
          <w:p w14:paraId="518B51FE" w14:textId="77777777" w:rsidR="005C332D" w:rsidRDefault="00B93EAE">
            <w:pPr>
              <w:textAlignment w:val="bottom"/>
            </w:pPr>
            <w:r>
              <w:rPr>
                <w:rFonts w:ascii="Times New Roman" w:eastAsia="宋体" w:hAnsi="Times New Roman"/>
                <w:color w:val="000000"/>
                <w:sz w:val="20"/>
                <w:szCs w:val="20"/>
              </w:rPr>
              <w:t>Inventory deposits and prepayments</w:t>
            </w:r>
          </w:p>
        </w:tc>
        <w:tc>
          <w:tcPr>
            <w:tcW w:w="0" w:type="auto"/>
            <w:shd w:val="clear" w:color="auto" w:fill="CCEEFF"/>
            <w:tcMar>
              <w:top w:w="40" w:type="dxa"/>
              <w:left w:w="20" w:type="dxa"/>
              <w:bottom w:w="40" w:type="dxa"/>
              <w:right w:w="0" w:type="dxa"/>
            </w:tcMar>
            <w:vAlign w:val="bottom"/>
          </w:tcPr>
          <w:p w14:paraId="518B51FF"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5200" w14:textId="77777777" w:rsidR="005C332D" w:rsidRDefault="00B93EAE">
            <w:pPr>
              <w:jc w:val="right"/>
              <w:textAlignment w:val="bottom"/>
            </w:pPr>
            <w:r>
              <w:rPr>
                <w:rFonts w:ascii="Times New Roman" w:eastAsia="宋体" w:hAnsi="Times New Roman"/>
                <w:b/>
                <w:bCs/>
                <w:color w:val="000000"/>
                <w:sz w:val="20"/>
                <w:szCs w:val="20"/>
              </w:rPr>
              <w:t>1,484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20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02"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203"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204" w14:textId="77777777" w:rsidR="005C332D" w:rsidRDefault="00B93EAE">
            <w:pPr>
              <w:jc w:val="right"/>
              <w:textAlignment w:val="bottom"/>
            </w:pPr>
            <w:r>
              <w:rPr>
                <w:rFonts w:ascii="Times New Roman" w:eastAsia="宋体" w:hAnsi="Times New Roman"/>
                <w:color w:val="000000"/>
                <w:sz w:val="20"/>
                <w:szCs w:val="20"/>
              </w:rPr>
              <w:t>162 </w:t>
            </w:r>
          </w:p>
        </w:tc>
        <w:tc>
          <w:tcPr>
            <w:tcW w:w="0" w:type="auto"/>
            <w:shd w:val="clear" w:color="auto" w:fill="CCEEFF"/>
            <w:tcMar>
              <w:top w:w="40" w:type="dxa"/>
              <w:left w:w="0" w:type="dxa"/>
              <w:bottom w:w="40" w:type="dxa"/>
              <w:right w:w="20" w:type="dxa"/>
            </w:tcMar>
            <w:vAlign w:val="bottom"/>
          </w:tcPr>
          <w:p w14:paraId="518B520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0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20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208" w14:textId="77777777" w:rsidR="005C332D" w:rsidRDefault="00B93EAE">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518B520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0A"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20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20C" w14:textId="77777777" w:rsidR="005C332D" w:rsidRDefault="00B93EAE">
            <w:pPr>
              <w:jc w:val="right"/>
              <w:textAlignment w:val="bottom"/>
            </w:pPr>
            <w:r>
              <w:rPr>
                <w:rFonts w:ascii="Times New Roman" w:eastAsia="宋体" w:hAnsi="Times New Roman"/>
                <w:color w:val="000000"/>
                <w:sz w:val="20"/>
                <w:szCs w:val="20"/>
              </w:rPr>
              <w:t>1,322 </w:t>
            </w:r>
          </w:p>
        </w:tc>
        <w:tc>
          <w:tcPr>
            <w:tcW w:w="0" w:type="auto"/>
            <w:shd w:val="clear" w:color="auto" w:fill="CCEEFF"/>
            <w:tcMar>
              <w:top w:w="40" w:type="dxa"/>
              <w:left w:w="0" w:type="dxa"/>
              <w:bottom w:w="40" w:type="dxa"/>
              <w:right w:w="20" w:type="dxa"/>
            </w:tcMar>
            <w:vAlign w:val="bottom"/>
          </w:tcPr>
          <w:p w14:paraId="518B520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0E"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20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210" w14:textId="77777777" w:rsidR="005C332D" w:rsidRDefault="00B93EAE">
            <w:pPr>
              <w:jc w:val="right"/>
              <w:textAlignment w:val="bottom"/>
            </w:pPr>
            <w:r>
              <w:rPr>
                <w:rFonts w:ascii="Times New Roman" w:eastAsia="宋体" w:hAnsi="Times New Roman"/>
                <w:color w:val="000000"/>
                <w:sz w:val="20"/>
                <w:szCs w:val="20"/>
              </w:rPr>
              <w:t>1,367 </w:t>
            </w:r>
          </w:p>
        </w:tc>
        <w:tc>
          <w:tcPr>
            <w:tcW w:w="0" w:type="auto"/>
            <w:shd w:val="clear" w:color="auto" w:fill="CCEEFF"/>
            <w:tcMar>
              <w:top w:w="40" w:type="dxa"/>
              <w:left w:w="0" w:type="dxa"/>
              <w:bottom w:w="40" w:type="dxa"/>
              <w:right w:w="20" w:type="dxa"/>
            </w:tcMar>
            <w:vAlign w:val="bottom"/>
          </w:tcPr>
          <w:p w14:paraId="518B5211" w14:textId="77777777" w:rsidR="005C332D" w:rsidRDefault="005C332D">
            <w:pPr>
              <w:jc w:val="right"/>
              <w:rPr>
                <w:rFonts w:ascii="宋体"/>
              </w:rPr>
            </w:pPr>
          </w:p>
        </w:tc>
      </w:tr>
    </w:tbl>
    <w:p w14:paraId="518B5213" w14:textId="77777777" w:rsidR="005C332D" w:rsidRDefault="00B93EAE">
      <w:pPr>
        <w:spacing w:before="120"/>
        <w:jc w:val="both"/>
      </w:pPr>
      <w:r>
        <w:rPr>
          <w:rFonts w:ascii="Times New Roman" w:eastAsia="宋体" w:hAnsi="Times New Roman"/>
          <w:color w:val="000000"/>
          <w:sz w:val="20"/>
          <w:szCs w:val="20"/>
        </w:rPr>
        <w:t>The following table summarizes our inventory purchas</w:t>
      </w:r>
      <w:r>
        <w:rPr>
          <w:rFonts w:ascii="Times New Roman" w:eastAsia="宋体" w:hAnsi="Times New Roman"/>
          <w:color w:val="000000"/>
          <w:sz w:val="20"/>
          <w:szCs w:val="20"/>
        </w:rPr>
        <w:t>e commitments with contract manufacturers and suppliers by period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647"/>
        <w:gridCol w:w="37"/>
        <w:gridCol w:w="120"/>
        <w:gridCol w:w="902"/>
        <w:gridCol w:w="36"/>
        <w:gridCol w:w="36"/>
        <w:gridCol w:w="36"/>
        <w:gridCol w:w="36"/>
        <w:gridCol w:w="120"/>
        <w:gridCol w:w="845"/>
        <w:gridCol w:w="36"/>
        <w:gridCol w:w="36"/>
        <w:gridCol w:w="36"/>
        <w:gridCol w:w="36"/>
        <w:gridCol w:w="120"/>
        <w:gridCol w:w="846"/>
        <w:gridCol w:w="36"/>
        <w:gridCol w:w="36"/>
        <w:gridCol w:w="36"/>
        <w:gridCol w:w="36"/>
        <w:gridCol w:w="121"/>
        <w:gridCol w:w="903"/>
        <w:gridCol w:w="36"/>
        <w:gridCol w:w="36"/>
        <w:gridCol w:w="36"/>
        <w:gridCol w:w="36"/>
        <w:gridCol w:w="121"/>
        <w:gridCol w:w="903"/>
        <w:gridCol w:w="36"/>
      </w:tblGrid>
      <w:tr w:rsidR="005C332D" w14:paraId="518B5232" w14:textId="77777777">
        <w:tc>
          <w:tcPr>
            <w:tcW w:w="50" w:type="pct"/>
            <w:shd w:val="clear" w:color="auto" w:fill="auto"/>
            <w:vAlign w:val="bottom"/>
          </w:tcPr>
          <w:p w14:paraId="518B5214" w14:textId="77777777" w:rsidR="005C332D" w:rsidRDefault="005C332D">
            <w:pPr>
              <w:rPr>
                <w:rFonts w:ascii="宋体"/>
              </w:rPr>
            </w:pPr>
          </w:p>
        </w:tc>
        <w:tc>
          <w:tcPr>
            <w:tcW w:w="1638" w:type="pct"/>
            <w:shd w:val="clear" w:color="auto" w:fill="auto"/>
            <w:vAlign w:val="bottom"/>
          </w:tcPr>
          <w:p w14:paraId="518B5215" w14:textId="77777777" w:rsidR="005C332D" w:rsidRDefault="005C332D">
            <w:pPr>
              <w:rPr>
                <w:rFonts w:ascii="宋体"/>
              </w:rPr>
            </w:pPr>
          </w:p>
        </w:tc>
        <w:tc>
          <w:tcPr>
            <w:tcW w:w="5" w:type="pct"/>
            <w:shd w:val="clear" w:color="auto" w:fill="auto"/>
            <w:vAlign w:val="bottom"/>
          </w:tcPr>
          <w:p w14:paraId="518B5216" w14:textId="77777777" w:rsidR="005C332D" w:rsidRDefault="005C332D">
            <w:pPr>
              <w:rPr>
                <w:rFonts w:ascii="宋体"/>
              </w:rPr>
            </w:pPr>
          </w:p>
        </w:tc>
        <w:tc>
          <w:tcPr>
            <w:tcW w:w="50" w:type="pct"/>
            <w:shd w:val="clear" w:color="auto" w:fill="auto"/>
            <w:vAlign w:val="bottom"/>
          </w:tcPr>
          <w:p w14:paraId="518B5217" w14:textId="77777777" w:rsidR="005C332D" w:rsidRDefault="005C332D">
            <w:pPr>
              <w:rPr>
                <w:rFonts w:ascii="宋体"/>
              </w:rPr>
            </w:pPr>
          </w:p>
        </w:tc>
        <w:tc>
          <w:tcPr>
            <w:tcW w:w="580" w:type="pct"/>
            <w:shd w:val="clear" w:color="auto" w:fill="auto"/>
            <w:vAlign w:val="bottom"/>
          </w:tcPr>
          <w:p w14:paraId="518B5218" w14:textId="77777777" w:rsidR="005C332D" w:rsidRDefault="005C332D">
            <w:pPr>
              <w:rPr>
                <w:rFonts w:ascii="宋体"/>
              </w:rPr>
            </w:pPr>
          </w:p>
        </w:tc>
        <w:tc>
          <w:tcPr>
            <w:tcW w:w="5" w:type="pct"/>
            <w:shd w:val="clear" w:color="auto" w:fill="auto"/>
            <w:vAlign w:val="bottom"/>
          </w:tcPr>
          <w:p w14:paraId="518B5219" w14:textId="77777777" w:rsidR="005C332D" w:rsidRDefault="005C332D">
            <w:pPr>
              <w:rPr>
                <w:rFonts w:ascii="宋体"/>
              </w:rPr>
            </w:pPr>
          </w:p>
        </w:tc>
        <w:tc>
          <w:tcPr>
            <w:tcW w:w="5" w:type="pct"/>
            <w:shd w:val="clear" w:color="auto" w:fill="auto"/>
            <w:vAlign w:val="bottom"/>
          </w:tcPr>
          <w:p w14:paraId="518B521A" w14:textId="77777777" w:rsidR="005C332D" w:rsidRDefault="005C332D">
            <w:pPr>
              <w:rPr>
                <w:rFonts w:ascii="宋体"/>
              </w:rPr>
            </w:pPr>
          </w:p>
        </w:tc>
        <w:tc>
          <w:tcPr>
            <w:tcW w:w="26" w:type="pct"/>
            <w:shd w:val="clear" w:color="auto" w:fill="auto"/>
            <w:vAlign w:val="bottom"/>
          </w:tcPr>
          <w:p w14:paraId="518B521B" w14:textId="77777777" w:rsidR="005C332D" w:rsidRDefault="005C332D">
            <w:pPr>
              <w:rPr>
                <w:rFonts w:ascii="宋体"/>
              </w:rPr>
            </w:pPr>
          </w:p>
        </w:tc>
        <w:tc>
          <w:tcPr>
            <w:tcW w:w="5" w:type="pct"/>
            <w:shd w:val="clear" w:color="auto" w:fill="auto"/>
            <w:vAlign w:val="bottom"/>
          </w:tcPr>
          <w:p w14:paraId="518B521C" w14:textId="77777777" w:rsidR="005C332D" w:rsidRDefault="005C332D">
            <w:pPr>
              <w:rPr>
                <w:rFonts w:ascii="宋体"/>
              </w:rPr>
            </w:pPr>
          </w:p>
        </w:tc>
        <w:tc>
          <w:tcPr>
            <w:tcW w:w="50" w:type="pct"/>
            <w:shd w:val="clear" w:color="auto" w:fill="auto"/>
            <w:vAlign w:val="bottom"/>
          </w:tcPr>
          <w:p w14:paraId="518B521D" w14:textId="77777777" w:rsidR="005C332D" w:rsidRDefault="005C332D">
            <w:pPr>
              <w:rPr>
                <w:rFonts w:ascii="宋体"/>
              </w:rPr>
            </w:pPr>
          </w:p>
        </w:tc>
        <w:tc>
          <w:tcPr>
            <w:tcW w:w="580" w:type="pct"/>
            <w:shd w:val="clear" w:color="auto" w:fill="auto"/>
            <w:vAlign w:val="bottom"/>
          </w:tcPr>
          <w:p w14:paraId="518B521E" w14:textId="77777777" w:rsidR="005C332D" w:rsidRDefault="005C332D">
            <w:pPr>
              <w:rPr>
                <w:rFonts w:ascii="宋体"/>
              </w:rPr>
            </w:pPr>
          </w:p>
        </w:tc>
        <w:tc>
          <w:tcPr>
            <w:tcW w:w="5" w:type="pct"/>
            <w:shd w:val="clear" w:color="auto" w:fill="auto"/>
            <w:vAlign w:val="bottom"/>
          </w:tcPr>
          <w:p w14:paraId="518B521F" w14:textId="77777777" w:rsidR="005C332D" w:rsidRDefault="005C332D">
            <w:pPr>
              <w:rPr>
                <w:rFonts w:ascii="宋体"/>
              </w:rPr>
            </w:pPr>
          </w:p>
        </w:tc>
        <w:tc>
          <w:tcPr>
            <w:tcW w:w="5" w:type="pct"/>
            <w:shd w:val="clear" w:color="auto" w:fill="auto"/>
            <w:vAlign w:val="bottom"/>
          </w:tcPr>
          <w:p w14:paraId="518B5220" w14:textId="77777777" w:rsidR="005C332D" w:rsidRDefault="005C332D">
            <w:pPr>
              <w:rPr>
                <w:rFonts w:ascii="宋体"/>
              </w:rPr>
            </w:pPr>
          </w:p>
        </w:tc>
        <w:tc>
          <w:tcPr>
            <w:tcW w:w="26" w:type="pct"/>
            <w:shd w:val="clear" w:color="auto" w:fill="auto"/>
            <w:vAlign w:val="bottom"/>
          </w:tcPr>
          <w:p w14:paraId="518B5221" w14:textId="77777777" w:rsidR="005C332D" w:rsidRDefault="005C332D">
            <w:pPr>
              <w:rPr>
                <w:rFonts w:ascii="宋体"/>
              </w:rPr>
            </w:pPr>
          </w:p>
        </w:tc>
        <w:tc>
          <w:tcPr>
            <w:tcW w:w="5" w:type="pct"/>
            <w:shd w:val="clear" w:color="auto" w:fill="auto"/>
            <w:vAlign w:val="bottom"/>
          </w:tcPr>
          <w:p w14:paraId="518B5222" w14:textId="77777777" w:rsidR="005C332D" w:rsidRDefault="005C332D">
            <w:pPr>
              <w:rPr>
                <w:rFonts w:ascii="宋体"/>
              </w:rPr>
            </w:pPr>
          </w:p>
        </w:tc>
        <w:tc>
          <w:tcPr>
            <w:tcW w:w="50" w:type="pct"/>
            <w:shd w:val="clear" w:color="auto" w:fill="auto"/>
            <w:vAlign w:val="bottom"/>
          </w:tcPr>
          <w:p w14:paraId="518B5223" w14:textId="77777777" w:rsidR="005C332D" w:rsidRDefault="005C332D">
            <w:pPr>
              <w:rPr>
                <w:rFonts w:ascii="宋体"/>
              </w:rPr>
            </w:pPr>
          </w:p>
        </w:tc>
        <w:tc>
          <w:tcPr>
            <w:tcW w:w="580" w:type="pct"/>
            <w:shd w:val="clear" w:color="auto" w:fill="auto"/>
            <w:vAlign w:val="bottom"/>
          </w:tcPr>
          <w:p w14:paraId="518B5224" w14:textId="77777777" w:rsidR="005C332D" w:rsidRDefault="005C332D">
            <w:pPr>
              <w:rPr>
                <w:rFonts w:ascii="宋体"/>
              </w:rPr>
            </w:pPr>
          </w:p>
        </w:tc>
        <w:tc>
          <w:tcPr>
            <w:tcW w:w="5" w:type="pct"/>
            <w:shd w:val="clear" w:color="auto" w:fill="auto"/>
            <w:vAlign w:val="bottom"/>
          </w:tcPr>
          <w:p w14:paraId="518B5225" w14:textId="77777777" w:rsidR="005C332D" w:rsidRDefault="005C332D">
            <w:pPr>
              <w:rPr>
                <w:rFonts w:ascii="宋体"/>
              </w:rPr>
            </w:pPr>
          </w:p>
        </w:tc>
        <w:tc>
          <w:tcPr>
            <w:tcW w:w="5" w:type="pct"/>
            <w:shd w:val="clear" w:color="auto" w:fill="auto"/>
            <w:vAlign w:val="bottom"/>
          </w:tcPr>
          <w:p w14:paraId="518B5226" w14:textId="77777777" w:rsidR="005C332D" w:rsidRDefault="005C332D">
            <w:pPr>
              <w:rPr>
                <w:rFonts w:ascii="宋体"/>
              </w:rPr>
            </w:pPr>
          </w:p>
        </w:tc>
        <w:tc>
          <w:tcPr>
            <w:tcW w:w="19" w:type="pct"/>
            <w:shd w:val="clear" w:color="auto" w:fill="auto"/>
            <w:vAlign w:val="bottom"/>
          </w:tcPr>
          <w:p w14:paraId="518B5227" w14:textId="77777777" w:rsidR="005C332D" w:rsidRDefault="005C332D">
            <w:pPr>
              <w:rPr>
                <w:rFonts w:ascii="宋体"/>
              </w:rPr>
            </w:pPr>
          </w:p>
        </w:tc>
        <w:tc>
          <w:tcPr>
            <w:tcW w:w="5" w:type="pct"/>
            <w:shd w:val="clear" w:color="auto" w:fill="auto"/>
            <w:vAlign w:val="bottom"/>
          </w:tcPr>
          <w:p w14:paraId="518B5228" w14:textId="77777777" w:rsidR="005C332D" w:rsidRDefault="005C332D">
            <w:pPr>
              <w:rPr>
                <w:rFonts w:ascii="宋体"/>
              </w:rPr>
            </w:pPr>
          </w:p>
        </w:tc>
        <w:tc>
          <w:tcPr>
            <w:tcW w:w="50" w:type="pct"/>
            <w:shd w:val="clear" w:color="auto" w:fill="auto"/>
            <w:vAlign w:val="bottom"/>
          </w:tcPr>
          <w:p w14:paraId="518B5229" w14:textId="77777777" w:rsidR="005C332D" w:rsidRDefault="005C332D">
            <w:pPr>
              <w:rPr>
                <w:rFonts w:ascii="宋体"/>
              </w:rPr>
            </w:pPr>
          </w:p>
        </w:tc>
        <w:tc>
          <w:tcPr>
            <w:tcW w:w="580" w:type="pct"/>
            <w:shd w:val="clear" w:color="auto" w:fill="auto"/>
            <w:vAlign w:val="bottom"/>
          </w:tcPr>
          <w:p w14:paraId="518B522A" w14:textId="77777777" w:rsidR="005C332D" w:rsidRDefault="005C332D">
            <w:pPr>
              <w:rPr>
                <w:rFonts w:ascii="宋体"/>
              </w:rPr>
            </w:pPr>
          </w:p>
        </w:tc>
        <w:tc>
          <w:tcPr>
            <w:tcW w:w="5" w:type="pct"/>
            <w:shd w:val="clear" w:color="auto" w:fill="auto"/>
            <w:vAlign w:val="bottom"/>
          </w:tcPr>
          <w:p w14:paraId="518B522B" w14:textId="77777777" w:rsidR="005C332D" w:rsidRDefault="005C332D">
            <w:pPr>
              <w:rPr>
                <w:rFonts w:ascii="宋体"/>
              </w:rPr>
            </w:pPr>
          </w:p>
        </w:tc>
        <w:tc>
          <w:tcPr>
            <w:tcW w:w="5" w:type="pct"/>
            <w:shd w:val="clear" w:color="auto" w:fill="auto"/>
            <w:vAlign w:val="bottom"/>
          </w:tcPr>
          <w:p w14:paraId="518B522C" w14:textId="77777777" w:rsidR="005C332D" w:rsidRDefault="005C332D">
            <w:pPr>
              <w:rPr>
                <w:rFonts w:ascii="宋体"/>
              </w:rPr>
            </w:pPr>
          </w:p>
        </w:tc>
        <w:tc>
          <w:tcPr>
            <w:tcW w:w="19" w:type="pct"/>
            <w:shd w:val="clear" w:color="auto" w:fill="auto"/>
            <w:vAlign w:val="bottom"/>
          </w:tcPr>
          <w:p w14:paraId="518B522D" w14:textId="77777777" w:rsidR="005C332D" w:rsidRDefault="005C332D">
            <w:pPr>
              <w:rPr>
                <w:rFonts w:ascii="宋体"/>
              </w:rPr>
            </w:pPr>
          </w:p>
        </w:tc>
        <w:tc>
          <w:tcPr>
            <w:tcW w:w="5" w:type="pct"/>
            <w:shd w:val="clear" w:color="auto" w:fill="auto"/>
            <w:vAlign w:val="bottom"/>
          </w:tcPr>
          <w:p w14:paraId="518B522E" w14:textId="77777777" w:rsidR="005C332D" w:rsidRDefault="005C332D">
            <w:pPr>
              <w:rPr>
                <w:rFonts w:ascii="宋体"/>
              </w:rPr>
            </w:pPr>
          </w:p>
        </w:tc>
        <w:tc>
          <w:tcPr>
            <w:tcW w:w="50" w:type="pct"/>
            <w:shd w:val="clear" w:color="auto" w:fill="auto"/>
            <w:vAlign w:val="bottom"/>
          </w:tcPr>
          <w:p w14:paraId="518B522F" w14:textId="77777777" w:rsidR="005C332D" w:rsidRDefault="005C332D">
            <w:pPr>
              <w:rPr>
                <w:rFonts w:ascii="宋体"/>
              </w:rPr>
            </w:pPr>
          </w:p>
        </w:tc>
        <w:tc>
          <w:tcPr>
            <w:tcW w:w="580" w:type="pct"/>
            <w:shd w:val="clear" w:color="auto" w:fill="auto"/>
            <w:vAlign w:val="bottom"/>
          </w:tcPr>
          <w:p w14:paraId="518B5230" w14:textId="77777777" w:rsidR="005C332D" w:rsidRDefault="005C332D">
            <w:pPr>
              <w:rPr>
                <w:rFonts w:ascii="宋体"/>
              </w:rPr>
            </w:pPr>
          </w:p>
        </w:tc>
        <w:tc>
          <w:tcPr>
            <w:tcW w:w="5" w:type="pct"/>
            <w:shd w:val="clear" w:color="auto" w:fill="auto"/>
            <w:vAlign w:val="bottom"/>
          </w:tcPr>
          <w:p w14:paraId="518B5231" w14:textId="77777777" w:rsidR="005C332D" w:rsidRDefault="005C332D">
            <w:pPr>
              <w:rPr>
                <w:rFonts w:ascii="宋体"/>
              </w:rPr>
            </w:pPr>
          </w:p>
        </w:tc>
      </w:tr>
      <w:tr w:rsidR="005C332D" w14:paraId="518B523D" w14:textId="77777777">
        <w:tc>
          <w:tcPr>
            <w:tcW w:w="0" w:type="auto"/>
            <w:gridSpan w:val="3"/>
            <w:shd w:val="clear" w:color="auto" w:fill="auto"/>
            <w:tcMar>
              <w:top w:w="40" w:type="dxa"/>
              <w:left w:w="20" w:type="dxa"/>
              <w:bottom w:w="40" w:type="dxa"/>
              <w:right w:w="20" w:type="dxa"/>
            </w:tcMar>
            <w:vAlign w:val="bottom"/>
          </w:tcPr>
          <w:p w14:paraId="518B5233"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18B5234"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23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236"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23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238" w14:textId="77777777" w:rsidR="005C332D" w:rsidRDefault="00B93EAE">
            <w:pPr>
              <w:jc w:val="center"/>
              <w:textAlignment w:val="bottom"/>
            </w:pPr>
            <w:r>
              <w:rPr>
                <w:rFonts w:ascii="Times New Roman" w:eastAsia="宋体" w:hAnsi="Times New Roman"/>
                <w:color w:val="000000"/>
                <w:sz w:val="18"/>
                <w:szCs w:val="18"/>
              </w:rPr>
              <w:t>July 25, 2020</w:t>
            </w:r>
          </w:p>
        </w:tc>
        <w:tc>
          <w:tcPr>
            <w:tcW w:w="0" w:type="auto"/>
            <w:gridSpan w:val="3"/>
            <w:shd w:val="clear" w:color="auto" w:fill="auto"/>
            <w:tcMar>
              <w:top w:w="0" w:type="dxa"/>
              <w:left w:w="20" w:type="dxa"/>
              <w:bottom w:w="0" w:type="dxa"/>
              <w:right w:w="20" w:type="dxa"/>
            </w:tcMar>
            <w:vAlign w:val="bottom"/>
          </w:tcPr>
          <w:p w14:paraId="518B523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23A" w14:textId="77777777" w:rsidR="005C332D" w:rsidRDefault="00B93EAE">
            <w:pPr>
              <w:jc w:val="center"/>
              <w:textAlignment w:val="bottom"/>
            </w:pPr>
            <w:r>
              <w:rPr>
                <w:rFonts w:ascii="Times New Roman" w:eastAsia="宋体" w:hAnsi="Times New Roman"/>
                <w:color w:val="000000"/>
                <w:sz w:val="18"/>
                <w:szCs w:val="18"/>
              </w:rPr>
              <w:t>Variance vs. July 31, 2021</w:t>
            </w:r>
          </w:p>
        </w:tc>
        <w:tc>
          <w:tcPr>
            <w:tcW w:w="0" w:type="auto"/>
            <w:gridSpan w:val="3"/>
            <w:shd w:val="clear" w:color="auto" w:fill="auto"/>
            <w:tcMar>
              <w:top w:w="0" w:type="dxa"/>
              <w:left w:w="20" w:type="dxa"/>
              <w:bottom w:w="0" w:type="dxa"/>
              <w:right w:w="20" w:type="dxa"/>
            </w:tcMar>
            <w:vAlign w:val="bottom"/>
          </w:tcPr>
          <w:p w14:paraId="518B523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23C" w14:textId="77777777" w:rsidR="005C332D" w:rsidRDefault="00B93EAE">
            <w:pPr>
              <w:jc w:val="center"/>
              <w:textAlignment w:val="bottom"/>
            </w:pPr>
            <w:r>
              <w:rPr>
                <w:rFonts w:ascii="Times New Roman" w:eastAsia="宋体" w:hAnsi="Times New Roman"/>
                <w:color w:val="000000"/>
                <w:sz w:val="18"/>
                <w:szCs w:val="18"/>
              </w:rPr>
              <w:t>Variance vs. July 25, 2020</w:t>
            </w:r>
          </w:p>
        </w:tc>
      </w:tr>
      <w:tr w:rsidR="005C332D" w14:paraId="518B5252" w14:textId="77777777">
        <w:tc>
          <w:tcPr>
            <w:tcW w:w="0" w:type="auto"/>
            <w:gridSpan w:val="3"/>
            <w:shd w:val="clear" w:color="auto" w:fill="CCEEFF"/>
            <w:tcMar>
              <w:top w:w="40" w:type="dxa"/>
              <w:left w:w="20" w:type="dxa"/>
              <w:bottom w:w="40" w:type="dxa"/>
              <w:right w:w="20" w:type="dxa"/>
            </w:tcMar>
            <w:vAlign w:val="bottom"/>
          </w:tcPr>
          <w:p w14:paraId="518B523E" w14:textId="77777777" w:rsidR="005C332D" w:rsidRDefault="00B93EAE">
            <w:pPr>
              <w:textAlignment w:val="bottom"/>
            </w:pPr>
            <w:r>
              <w:rPr>
                <w:rFonts w:ascii="Times New Roman" w:eastAsia="宋体" w:hAnsi="Times New Roman"/>
                <w:color w:val="000000"/>
                <w:sz w:val="20"/>
                <w:szCs w:val="20"/>
              </w:rPr>
              <w:t>Less than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23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240" w14:textId="77777777" w:rsidR="005C332D" w:rsidRDefault="00B93EAE">
            <w:pPr>
              <w:jc w:val="right"/>
              <w:textAlignment w:val="bottom"/>
            </w:pPr>
            <w:r>
              <w:rPr>
                <w:rFonts w:ascii="Times New Roman" w:eastAsia="宋体" w:hAnsi="Times New Roman"/>
                <w:b/>
                <w:bCs/>
                <w:color w:val="000000"/>
                <w:sz w:val="20"/>
                <w:szCs w:val="20"/>
              </w:rPr>
              <w:t>9,954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24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4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24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244" w14:textId="77777777" w:rsidR="005C332D" w:rsidRDefault="00B93EAE">
            <w:pPr>
              <w:jc w:val="right"/>
              <w:textAlignment w:val="bottom"/>
            </w:pPr>
            <w:r>
              <w:rPr>
                <w:rFonts w:ascii="Times New Roman" w:eastAsia="宋体" w:hAnsi="Times New Roman"/>
                <w:color w:val="000000"/>
                <w:sz w:val="20"/>
                <w:szCs w:val="20"/>
              </w:rPr>
              <w:t>6,903 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24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4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24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248" w14:textId="77777777" w:rsidR="005C332D" w:rsidRDefault="00B93EAE">
            <w:pPr>
              <w:jc w:val="right"/>
              <w:textAlignment w:val="bottom"/>
            </w:pPr>
            <w:r>
              <w:rPr>
                <w:rFonts w:ascii="Times New Roman" w:eastAsia="宋体" w:hAnsi="Times New Roman"/>
                <w:color w:val="000000"/>
                <w:sz w:val="20"/>
                <w:szCs w:val="20"/>
              </w:rPr>
              <w:t>3,994 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24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4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24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24C" w14:textId="77777777" w:rsidR="005C332D" w:rsidRDefault="00B93EAE">
            <w:pPr>
              <w:jc w:val="right"/>
              <w:textAlignment w:val="bottom"/>
            </w:pPr>
            <w:r>
              <w:rPr>
                <w:rFonts w:ascii="Times New Roman" w:eastAsia="宋体" w:hAnsi="Times New Roman"/>
                <w:color w:val="000000"/>
                <w:sz w:val="20"/>
                <w:szCs w:val="20"/>
              </w:rPr>
              <w:t>3,051 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24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4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24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250" w14:textId="77777777" w:rsidR="005C332D" w:rsidRDefault="00B93EAE">
            <w:pPr>
              <w:jc w:val="right"/>
              <w:textAlignment w:val="bottom"/>
            </w:pPr>
            <w:r>
              <w:rPr>
                <w:rFonts w:ascii="Times New Roman" w:eastAsia="宋体" w:hAnsi="Times New Roman"/>
                <w:color w:val="000000"/>
                <w:sz w:val="20"/>
                <w:szCs w:val="20"/>
              </w:rPr>
              <w:t>5,960 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251" w14:textId="77777777" w:rsidR="005C332D" w:rsidRDefault="005C332D">
            <w:pPr>
              <w:jc w:val="right"/>
              <w:rPr>
                <w:rFonts w:ascii="宋体"/>
              </w:rPr>
            </w:pPr>
          </w:p>
        </w:tc>
      </w:tr>
      <w:tr w:rsidR="005C332D" w14:paraId="518B5262" w14:textId="77777777">
        <w:tc>
          <w:tcPr>
            <w:tcW w:w="0" w:type="auto"/>
            <w:gridSpan w:val="3"/>
            <w:shd w:val="clear" w:color="auto" w:fill="FFFFFF"/>
            <w:tcMar>
              <w:top w:w="40" w:type="dxa"/>
              <w:left w:w="20" w:type="dxa"/>
              <w:bottom w:w="40" w:type="dxa"/>
              <w:right w:w="20" w:type="dxa"/>
            </w:tcMar>
            <w:vAlign w:val="bottom"/>
          </w:tcPr>
          <w:p w14:paraId="518B5253" w14:textId="77777777" w:rsidR="005C332D" w:rsidRDefault="00B93EAE">
            <w:pPr>
              <w:textAlignment w:val="bottom"/>
            </w:pPr>
            <w:r>
              <w:rPr>
                <w:rFonts w:ascii="Times New Roman" w:eastAsia="宋体" w:hAnsi="Times New Roman"/>
                <w:color w:val="000000"/>
                <w:sz w:val="20"/>
                <w:szCs w:val="20"/>
              </w:rPr>
              <w:t>1 to 3 years</w:t>
            </w:r>
          </w:p>
        </w:tc>
        <w:tc>
          <w:tcPr>
            <w:tcW w:w="0" w:type="auto"/>
            <w:gridSpan w:val="2"/>
            <w:shd w:val="clear" w:color="auto" w:fill="FFFFFF"/>
            <w:tcMar>
              <w:top w:w="40" w:type="dxa"/>
              <w:left w:w="20" w:type="dxa"/>
              <w:bottom w:w="40" w:type="dxa"/>
              <w:right w:w="0" w:type="dxa"/>
            </w:tcMar>
            <w:vAlign w:val="bottom"/>
          </w:tcPr>
          <w:p w14:paraId="518B5254" w14:textId="77777777" w:rsidR="005C332D" w:rsidRDefault="00B93EAE">
            <w:pPr>
              <w:jc w:val="right"/>
              <w:textAlignment w:val="bottom"/>
            </w:pPr>
            <w:r>
              <w:rPr>
                <w:rFonts w:ascii="Times New Roman" w:eastAsia="宋体" w:hAnsi="Times New Roman"/>
                <w:b/>
                <w:bCs/>
                <w:color w:val="000000"/>
                <w:sz w:val="20"/>
                <w:szCs w:val="20"/>
              </w:rPr>
              <w:t>2,240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25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25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257" w14:textId="77777777" w:rsidR="005C332D" w:rsidRDefault="00B93EAE">
            <w:pPr>
              <w:jc w:val="right"/>
              <w:textAlignment w:val="bottom"/>
            </w:pPr>
            <w:r>
              <w:rPr>
                <w:rFonts w:ascii="Times New Roman" w:eastAsia="宋体" w:hAnsi="Times New Roman"/>
                <w:color w:val="000000"/>
                <w:sz w:val="20"/>
                <w:szCs w:val="20"/>
              </w:rPr>
              <w:t>1,806 </w:t>
            </w:r>
          </w:p>
        </w:tc>
        <w:tc>
          <w:tcPr>
            <w:tcW w:w="0" w:type="auto"/>
            <w:shd w:val="clear" w:color="auto" w:fill="FFFFFF"/>
            <w:tcMar>
              <w:top w:w="40" w:type="dxa"/>
              <w:left w:w="0" w:type="dxa"/>
              <w:bottom w:w="40" w:type="dxa"/>
              <w:right w:w="20" w:type="dxa"/>
            </w:tcMar>
            <w:vAlign w:val="bottom"/>
          </w:tcPr>
          <w:p w14:paraId="518B525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25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25A" w14:textId="77777777" w:rsidR="005C332D" w:rsidRDefault="00B93EAE">
            <w:pPr>
              <w:jc w:val="right"/>
              <w:textAlignment w:val="bottom"/>
            </w:pPr>
            <w:r>
              <w:rPr>
                <w:rFonts w:ascii="Times New Roman" w:eastAsia="宋体" w:hAnsi="Times New Roman"/>
                <w:color w:val="000000"/>
                <w:sz w:val="20"/>
                <w:szCs w:val="20"/>
              </w:rPr>
              <w:t>412 </w:t>
            </w:r>
          </w:p>
        </w:tc>
        <w:tc>
          <w:tcPr>
            <w:tcW w:w="0" w:type="auto"/>
            <w:shd w:val="clear" w:color="auto" w:fill="FFFFFF"/>
            <w:tcMar>
              <w:top w:w="40" w:type="dxa"/>
              <w:left w:w="0" w:type="dxa"/>
              <w:bottom w:w="40" w:type="dxa"/>
              <w:right w:w="20" w:type="dxa"/>
            </w:tcMar>
            <w:vAlign w:val="bottom"/>
          </w:tcPr>
          <w:p w14:paraId="518B525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25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25D" w14:textId="77777777" w:rsidR="005C332D" w:rsidRDefault="00B93EAE">
            <w:pPr>
              <w:jc w:val="right"/>
              <w:textAlignment w:val="bottom"/>
            </w:pPr>
            <w:r>
              <w:rPr>
                <w:rFonts w:ascii="Times New Roman" w:eastAsia="宋体" w:hAnsi="Times New Roman"/>
                <w:color w:val="000000"/>
                <w:sz w:val="20"/>
                <w:szCs w:val="20"/>
              </w:rPr>
              <w:t>434 </w:t>
            </w:r>
          </w:p>
        </w:tc>
        <w:tc>
          <w:tcPr>
            <w:tcW w:w="0" w:type="auto"/>
            <w:shd w:val="clear" w:color="auto" w:fill="FFFFFF"/>
            <w:tcMar>
              <w:top w:w="40" w:type="dxa"/>
              <w:left w:w="0" w:type="dxa"/>
              <w:bottom w:w="40" w:type="dxa"/>
              <w:right w:w="20" w:type="dxa"/>
            </w:tcMar>
            <w:vAlign w:val="bottom"/>
          </w:tcPr>
          <w:p w14:paraId="518B525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25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260" w14:textId="77777777" w:rsidR="005C332D" w:rsidRDefault="00B93EAE">
            <w:pPr>
              <w:jc w:val="right"/>
              <w:textAlignment w:val="bottom"/>
            </w:pPr>
            <w:r>
              <w:rPr>
                <w:rFonts w:ascii="Times New Roman" w:eastAsia="宋体" w:hAnsi="Times New Roman"/>
                <w:color w:val="000000"/>
                <w:sz w:val="20"/>
                <w:szCs w:val="20"/>
              </w:rPr>
              <w:t>1,828 </w:t>
            </w:r>
          </w:p>
        </w:tc>
        <w:tc>
          <w:tcPr>
            <w:tcW w:w="0" w:type="auto"/>
            <w:shd w:val="clear" w:color="auto" w:fill="FFFFFF"/>
            <w:tcMar>
              <w:top w:w="40" w:type="dxa"/>
              <w:left w:w="0" w:type="dxa"/>
              <w:bottom w:w="40" w:type="dxa"/>
              <w:right w:w="20" w:type="dxa"/>
            </w:tcMar>
            <w:vAlign w:val="bottom"/>
          </w:tcPr>
          <w:p w14:paraId="518B5261" w14:textId="77777777" w:rsidR="005C332D" w:rsidRDefault="005C332D">
            <w:pPr>
              <w:jc w:val="right"/>
              <w:rPr>
                <w:rFonts w:ascii="宋体"/>
              </w:rPr>
            </w:pPr>
          </w:p>
        </w:tc>
      </w:tr>
      <w:tr w:rsidR="005C332D" w14:paraId="518B5272" w14:textId="77777777">
        <w:tc>
          <w:tcPr>
            <w:tcW w:w="0" w:type="auto"/>
            <w:gridSpan w:val="3"/>
            <w:shd w:val="clear" w:color="auto" w:fill="CCEEFF"/>
            <w:tcMar>
              <w:top w:w="40" w:type="dxa"/>
              <w:left w:w="20" w:type="dxa"/>
              <w:bottom w:w="40" w:type="dxa"/>
              <w:right w:w="20" w:type="dxa"/>
            </w:tcMar>
            <w:vAlign w:val="bottom"/>
          </w:tcPr>
          <w:p w14:paraId="518B5263" w14:textId="77777777" w:rsidR="005C332D" w:rsidRDefault="00B93EAE">
            <w:pPr>
              <w:textAlignment w:val="bottom"/>
            </w:pPr>
            <w:r>
              <w:rPr>
                <w:rFonts w:ascii="Times New Roman" w:eastAsia="宋体" w:hAnsi="Times New Roman"/>
                <w:color w:val="000000"/>
                <w:sz w:val="20"/>
                <w:szCs w:val="20"/>
              </w:rPr>
              <w:t>3 to 5 years</w:t>
            </w:r>
          </w:p>
        </w:tc>
        <w:tc>
          <w:tcPr>
            <w:tcW w:w="0" w:type="auto"/>
            <w:gridSpan w:val="2"/>
            <w:shd w:val="clear" w:color="auto" w:fill="CCEEFF"/>
            <w:tcMar>
              <w:top w:w="40" w:type="dxa"/>
              <w:left w:w="20" w:type="dxa"/>
              <w:bottom w:w="40" w:type="dxa"/>
              <w:right w:w="0" w:type="dxa"/>
            </w:tcMar>
            <w:vAlign w:val="bottom"/>
          </w:tcPr>
          <w:p w14:paraId="518B5264" w14:textId="77777777" w:rsidR="005C332D" w:rsidRDefault="00B93EAE">
            <w:pPr>
              <w:jc w:val="right"/>
              <w:textAlignment w:val="bottom"/>
            </w:pPr>
            <w:r>
              <w:rPr>
                <w:rFonts w:ascii="Times New Roman" w:eastAsia="宋体" w:hAnsi="Times New Roman"/>
                <w:b/>
                <w:bCs/>
                <w:color w:val="000000"/>
                <w:sz w:val="20"/>
                <w:szCs w:val="20"/>
              </w:rPr>
              <w:t>770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26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6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267" w14:textId="77777777" w:rsidR="005C332D" w:rsidRDefault="00B93EAE">
            <w:pPr>
              <w:jc w:val="right"/>
              <w:textAlignment w:val="bottom"/>
            </w:pPr>
            <w:r>
              <w:rPr>
                <w:rFonts w:ascii="Times New Roman" w:eastAsia="宋体" w:hAnsi="Times New Roman"/>
                <w:color w:val="000000"/>
                <w:sz w:val="20"/>
                <w:szCs w:val="20"/>
              </w:rPr>
              <w:t>1,545 </w:t>
            </w:r>
          </w:p>
        </w:tc>
        <w:tc>
          <w:tcPr>
            <w:tcW w:w="0" w:type="auto"/>
            <w:shd w:val="clear" w:color="auto" w:fill="CCEEFF"/>
            <w:tcMar>
              <w:top w:w="40" w:type="dxa"/>
              <w:left w:w="0" w:type="dxa"/>
              <w:bottom w:w="40" w:type="dxa"/>
              <w:right w:w="20" w:type="dxa"/>
            </w:tcMar>
            <w:vAlign w:val="bottom"/>
          </w:tcPr>
          <w:p w14:paraId="518B526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6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26A"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26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6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26D" w14:textId="77777777" w:rsidR="005C332D" w:rsidRDefault="00B93EAE">
            <w:pPr>
              <w:jc w:val="right"/>
              <w:textAlignment w:val="bottom"/>
            </w:pPr>
            <w:r>
              <w:rPr>
                <w:rFonts w:ascii="Times New Roman" w:eastAsia="宋体" w:hAnsi="Times New Roman"/>
                <w:color w:val="000000"/>
                <w:sz w:val="20"/>
                <w:szCs w:val="20"/>
              </w:rPr>
              <w:t>(775)</w:t>
            </w:r>
          </w:p>
        </w:tc>
        <w:tc>
          <w:tcPr>
            <w:tcW w:w="0" w:type="auto"/>
            <w:shd w:val="clear" w:color="auto" w:fill="CCEEFF"/>
            <w:tcMar>
              <w:top w:w="40" w:type="dxa"/>
              <w:left w:w="0" w:type="dxa"/>
              <w:bottom w:w="40" w:type="dxa"/>
              <w:right w:w="20" w:type="dxa"/>
            </w:tcMar>
            <w:vAlign w:val="bottom"/>
          </w:tcPr>
          <w:p w14:paraId="518B526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6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270" w14:textId="77777777" w:rsidR="005C332D" w:rsidRDefault="00B93EAE">
            <w:pPr>
              <w:jc w:val="right"/>
              <w:textAlignment w:val="bottom"/>
            </w:pPr>
            <w:r>
              <w:rPr>
                <w:rFonts w:ascii="Times New Roman" w:eastAsia="宋体" w:hAnsi="Times New Roman"/>
                <w:color w:val="000000"/>
                <w:sz w:val="20"/>
                <w:szCs w:val="20"/>
              </w:rPr>
              <w:t>770 </w:t>
            </w:r>
          </w:p>
        </w:tc>
        <w:tc>
          <w:tcPr>
            <w:tcW w:w="0" w:type="auto"/>
            <w:shd w:val="clear" w:color="auto" w:fill="CCEEFF"/>
            <w:tcMar>
              <w:top w:w="40" w:type="dxa"/>
              <w:left w:w="0" w:type="dxa"/>
              <w:bottom w:w="40" w:type="dxa"/>
              <w:right w:w="20" w:type="dxa"/>
            </w:tcMar>
            <w:vAlign w:val="bottom"/>
          </w:tcPr>
          <w:p w14:paraId="518B5271" w14:textId="77777777" w:rsidR="005C332D" w:rsidRDefault="005C332D">
            <w:pPr>
              <w:jc w:val="right"/>
              <w:rPr>
                <w:rFonts w:ascii="宋体"/>
              </w:rPr>
            </w:pPr>
          </w:p>
        </w:tc>
      </w:tr>
      <w:tr w:rsidR="005C332D" w14:paraId="518B5287" w14:textId="77777777">
        <w:tc>
          <w:tcPr>
            <w:tcW w:w="0" w:type="auto"/>
            <w:gridSpan w:val="3"/>
            <w:shd w:val="clear" w:color="auto" w:fill="FFFFFF"/>
            <w:tcMar>
              <w:top w:w="40" w:type="dxa"/>
              <w:left w:w="380" w:type="dxa"/>
              <w:bottom w:w="40" w:type="dxa"/>
              <w:right w:w="20" w:type="dxa"/>
            </w:tcMar>
            <w:vAlign w:val="bottom"/>
          </w:tcPr>
          <w:p w14:paraId="518B5273" w14:textId="77777777" w:rsidR="005C332D" w:rsidRDefault="00B93EAE">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27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275" w14:textId="77777777" w:rsidR="005C332D" w:rsidRDefault="00B93EAE">
            <w:pPr>
              <w:jc w:val="right"/>
              <w:textAlignment w:val="bottom"/>
            </w:pPr>
            <w:r>
              <w:rPr>
                <w:rFonts w:ascii="Times New Roman" w:eastAsia="宋体" w:hAnsi="Times New Roman"/>
                <w:b/>
                <w:bCs/>
                <w:color w:val="000000"/>
                <w:sz w:val="20"/>
                <w:szCs w:val="20"/>
              </w:rPr>
              <w:t>12,964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27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277"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27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279" w14:textId="77777777" w:rsidR="005C332D" w:rsidRDefault="00B93EAE">
            <w:pPr>
              <w:jc w:val="right"/>
              <w:textAlignment w:val="bottom"/>
            </w:pPr>
            <w:r>
              <w:rPr>
                <w:rFonts w:ascii="Times New Roman" w:eastAsia="宋体" w:hAnsi="Times New Roman"/>
                <w:color w:val="000000"/>
                <w:sz w:val="20"/>
                <w:szCs w:val="20"/>
              </w:rPr>
              <w:t>10,254 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27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27B"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27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27D" w14:textId="77777777" w:rsidR="005C332D" w:rsidRDefault="00B93EAE">
            <w:pPr>
              <w:jc w:val="right"/>
              <w:textAlignment w:val="bottom"/>
            </w:pPr>
            <w:r>
              <w:rPr>
                <w:rFonts w:ascii="Times New Roman" w:eastAsia="宋体" w:hAnsi="Times New Roman"/>
                <w:color w:val="000000"/>
                <w:sz w:val="20"/>
                <w:szCs w:val="20"/>
              </w:rPr>
              <w:t>4,406 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27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27F"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28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281" w14:textId="77777777" w:rsidR="005C332D" w:rsidRDefault="00B93EAE">
            <w:pPr>
              <w:jc w:val="right"/>
              <w:textAlignment w:val="bottom"/>
            </w:pPr>
            <w:r>
              <w:rPr>
                <w:rFonts w:ascii="Times New Roman" w:eastAsia="宋体" w:hAnsi="Times New Roman"/>
                <w:color w:val="000000"/>
                <w:sz w:val="20"/>
                <w:szCs w:val="20"/>
              </w:rPr>
              <w:t>2,710 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28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283"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28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285" w14:textId="77777777" w:rsidR="005C332D" w:rsidRDefault="00B93EAE">
            <w:pPr>
              <w:jc w:val="right"/>
              <w:textAlignment w:val="bottom"/>
            </w:pPr>
            <w:r>
              <w:rPr>
                <w:rFonts w:ascii="Times New Roman" w:eastAsia="宋体" w:hAnsi="Times New Roman"/>
                <w:color w:val="000000"/>
                <w:sz w:val="20"/>
                <w:szCs w:val="20"/>
              </w:rPr>
              <w:t>8,558 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286" w14:textId="77777777" w:rsidR="005C332D" w:rsidRDefault="005C332D">
            <w:pPr>
              <w:jc w:val="right"/>
              <w:rPr>
                <w:rFonts w:ascii="宋体"/>
              </w:rPr>
            </w:pPr>
          </w:p>
        </w:tc>
      </w:tr>
    </w:tbl>
    <w:p w14:paraId="518B5288" w14:textId="77777777" w:rsidR="005C332D" w:rsidRDefault="00B93EAE">
      <w:pPr>
        <w:spacing w:before="120"/>
        <w:jc w:val="both"/>
      </w:pPr>
      <w:r>
        <w:rPr>
          <w:rFonts w:ascii="Times New Roman" w:eastAsia="宋体" w:hAnsi="Times New Roman"/>
          <w:color w:val="000000"/>
          <w:sz w:val="20"/>
          <w:szCs w:val="20"/>
        </w:rPr>
        <w:t>Inventory as of</w:t>
      </w:r>
      <w:r>
        <w:rPr>
          <w:rFonts w:ascii="Times New Roman" w:eastAsia="宋体" w:hAnsi="Times New Roman"/>
          <w:color w:val="000000"/>
          <w:sz w:val="20"/>
          <w:szCs w:val="20"/>
        </w:rPr>
        <w:t xml:space="preserve"> July 30, 2022 increased by 65% and 100% from our inventory balances at the end of fiscal 2021 and fiscal 2020, respectively. Inventory purchase commitments with contract manufacturers and suppliers increased by 26% and 194% from our balances at the end of</w:t>
      </w:r>
      <w:r>
        <w:rPr>
          <w:rFonts w:ascii="Times New Roman" w:eastAsia="宋体" w:hAnsi="Times New Roman"/>
          <w:color w:val="000000"/>
          <w:sz w:val="20"/>
          <w:szCs w:val="20"/>
        </w:rPr>
        <w:t xml:space="preserve"> fiscal 2021 and fiscal 2020, respectively. We increased our balances in inventories, inventory purchase commitments, and inventory deposits and prepayments as compared to prior fiscal years in order to address significant supply constraints seen industry-</w:t>
      </w:r>
      <w:r>
        <w:rPr>
          <w:rFonts w:ascii="Times New Roman" w:eastAsia="宋体" w:hAnsi="Times New Roman"/>
          <w:color w:val="000000"/>
          <w:sz w:val="20"/>
          <w:szCs w:val="20"/>
        </w:rPr>
        <w:t xml:space="preserve">wide. The increases were primarily due to arrangements to secure supply and pricing for certain product components and commitments with contract manufacturers to meet customer demand and to address extended </w:t>
      </w:r>
    </w:p>
    <w:p w14:paraId="518B5289" w14:textId="77777777" w:rsidR="005C332D" w:rsidRDefault="00B93EAE">
      <w:pPr>
        <w:jc w:val="center"/>
      </w:pPr>
      <w:r>
        <w:rPr>
          <w:rFonts w:ascii="Times New Roman" w:eastAsia="宋体" w:hAnsi="Times New Roman"/>
          <w:color w:val="000000"/>
          <w:sz w:val="20"/>
          <w:szCs w:val="20"/>
        </w:rPr>
        <w:t>47</w:t>
      </w:r>
    </w:p>
    <w:p w14:paraId="518B528A" w14:textId="77777777" w:rsidR="005C332D" w:rsidRDefault="00B93EAE">
      <w:r>
        <w:pict w14:anchorId="518B8744">
          <v:rect id="_x0000_i1073" style="width:415.3pt;height:1.5pt" o:hralign="center" o:hrstd="t" o:hr="t" fillcolor="#a0a0a0" stroked="f"/>
        </w:pict>
      </w:r>
    </w:p>
    <w:p w14:paraId="518B528B" w14:textId="77777777" w:rsidR="005C332D" w:rsidRDefault="00B93EAE">
      <w:hyperlink r:id="rId101" w:anchor="i049852cab38845aabd2a79d07dacda86_7" w:history="1">
        <w:r>
          <w:rPr>
            <w:rStyle w:val="a5"/>
            <w:rFonts w:ascii="Times New Roman" w:eastAsia="宋体" w:hAnsi="Times New Roman"/>
            <w:sz w:val="20"/>
            <w:szCs w:val="20"/>
          </w:rPr>
          <w:t>Table of Contents</w:t>
        </w:r>
      </w:hyperlink>
    </w:p>
    <w:p w14:paraId="518B528C" w14:textId="77777777" w:rsidR="005C332D" w:rsidRDefault="00B93EAE">
      <w:pPr>
        <w:spacing w:before="120"/>
        <w:jc w:val="both"/>
      </w:pPr>
      <w:r>
        <w:rPr>
          <w:rFonts w:ascii="Times New Roman" w:eastAsia="宋体" w:hAnsi="Times New Roman"/>
          <w:color w:val="000000"/>
          <w:sz w:val="20"/>
          <w:szCs w:val="20"/>
        </w:rPr>
        <w:t>lead times, as well as advance payments with suppliers to secure future supply, as a result of the supply constraints. We have partn</w:t>
      </w:r>
      <w:r>
        <w:rPr>
          <w:rFonts w:ascii="Times New Roman" w:eastAsia="宋体" w:hAnsi="Times New Roman"/>
          <w:color w:val="000000"/>
          <w:sz w:val="20"/>
          <w:szCs w:val="20"/>
        </w:rPr>
        <w:t>ered with several of our key suppliers utilizing our volume purchasing and extending supply coverage, including revising supplier arrangements. As discussed, our risks of future material excess and obsolete inventory and related losses are further outlined</w:t>
      </w:r>
      <w:r>
        <w:rPr>
          <w:rFonts w:ascii="Times New Roman" w:eastAsia="宋体" w:hAnsi="Times New Roman"/>
          <w:color w:val="000000"/>
          <w:sz w:val="20"/>
          <w:szCs w:val="20"/>
        </w:rPr>
        <w:t xml:space="preserve"> in the Result of Operations—Product Gross Margin section.</w:t>
      </w:r>
    </w:p>
    <w:p w14:paraId="518B528D" w14:textId="77777777" w:rsidR="005C332D" w:rsidRDefault="00B93EAE">
      <w:pPr>
        <w:spacing w:before="120"/>
        <w:jc w:val="both"/>
      </w:pPr>
      <w:r>
        <w:rPr>
          <w:rFonts w:ascii="Times New Roman" w:eastAsia="宋体" w:hAnsi="Times New Roman"/>
          <w:color w:val="000000"/>
          <w:sz w:val="20"/>
          <w:szCs w:val="20"/>
        </w:rPr>
        <w:t>We purchase components from a variety of suppliers and use several contract manufacturers to provide manufacturing services for our products. During the normal course of business, in order to manag</w:t>
      </w:r>
      <w:r>
        <w:rPr>
          <w:rFonts w:ascii="Times New Roman" w:eastAsia="宋体" w:hAnsi="Times New Roman"/>
          <w:color w:val="000000"/>
          <w:sz w:val="20"/>
          <w:szCs w:val="20"/>
        </w:rPr>
        <w:t>e manufacturing lead times and help ensure adequate component supply, we enter into agreements with contract manufacturers and suppliers that allow them to procure inventory based upon criteria as defined by us or that establish the parameters defining our</w:t>
      </w:r>
      <w:r>
        <w:rPr>
          <w:rFonts w:ascii="Times New Roman" w:eastAsia="宋体" w:hAnsi="Times New Roman"/>
          <w:color w:val="000000"/>
          <w:sz w:val="20"/>
          <w:szCs w:val="20"/>
        </w:rPr>
        <w:t xml:space="preserve"> requirements and our commitment to securing manufacturing capacity. </w:t>
      </w:r>
    </w:p>
    <w:p w14:paraId="518B528E" w14:textId="77777777" w:rsidR="005C332D" w:rsidRDefault="00B93EAE">
      <w:pPr>
        <w:spacing w:before="120"/>
        <w:jc w:val="both"/>
      </w:pPr>
      <w:r>
        <w:rPr>
          <w:rFonts w:ascii="Times New Roman" w:eastAsia="宋体" w:hAnsi="Times New Roman"/>
          <w:color w:val="000000"/>
          <w:sz w:val="20"/>
          <w:szCs w:val="20"/>
        </w:rPr>
        <w:t>Our inventory purchase commitments are for short-term product manufacturing requirements as well as for commitments to suppliers to secure manufacturing capacity. Certain of our inventor</w:t>
      </w:r>
      <w:r>
        <w:rPr>
          <w:rFonts w:ascii="Times New Roman" w:eastAsia="宋体" w:hAnsi="Times New Roman"/>
          <w:color w:val="000000"/>
          <w:sz w:val="20"/>
          <w:szCs w:val="20"/>
        </w:rPr>
        <w:t>y purchase commitments with contract manufacturers and suppliers relate to arrangements to secure supply and pricing for certain product components for multi-year periods. A significant portion of our reported purchase commitments arising from these agreem</w:t>
      </w:r>
      <w:r>
        <w:rPr>
          <w:rFonts w:ascii="Times New Roman" w:eastAsia="宋体" w:hAnsi="Times New Roman"/>
          <w:color w:val="000000"/>
          <w:sz w:val="20"/>
          <w:szCs w:val="20"/>
        </w:rPr>
        <w:t>ents are firm, noncancelable, and unconditional commitments. In certain instances, these agreements allow us the option to cancel, reschedule, and adjust our requirements based on our business needs prior to firm orders being placed.</w:t>
      </w:r>
    </w:p>
    <w:p w14:paraId="518B528F" w14:textId="77777777" w:rsidR="005C332D" w:rsidRDefault="00B93EAE">
      <w:pPr>
        <w:spacing w:before="120"/>
        <w:jc w:val="both"/>
      </w:pPr>
      <w:r>
        <w:rPr>
          <w:rFonts w:ascii="Times New Roman" w:eastAsia="宋体" w:hAnsi="Times New Roman"/>
          <w:color w:val="000000"/>
          <w:sz w:val="20"/>
          <w:szCs w:val="20"/>
        </w:rPr>
        <w:t>Inventory and supply c</w:t>
      </w:r>
      <w:r>
        <w:rPr>
          <w:rFonts w:ascii="Times New Roman" w:eastAsia="宋体" w:hAnsi="Times New Roman"/>
          <w:color w:val="000000"/>
          <w:sz w:val="20"/>
          <w:szCs w:val="20"/>
        </w:rPr>
        <w:t>hain management remain areas of focus as we balance the need to maintain supply chain flexibility to help ensure competitive lead times with the risk of inventory obsolescence because of supply constraints, rapidly changing technology and customer requirem</w:t>
      </w:r>
      <w:r>
        <w:rPr>
          <w:rFonts w:ascii="Times New Roman" w:eastAsia="宋体" w:hAnsi="Times New Roman"/>
          <w:color w:val="000000"/>
          <w:sz w:val="20"/>
          <w:szCs w:val="20"/>
        </w:rPr>
        <w:t>ents. We believe the amount of our inventory and inventory purchase commitments is appropriate for our current and expected customer demand and revenue levels.</w:t>
      </w:r>
    </w:p>
    <w:p w14:paraId="518B5290" w14:textId="77777777" w:rsidR="005C332D" w:rsidRDefault="00B93EAE">
      <w:pPr>
        <w:spacing w:before="120"/>
        <w:jc w:val="both"/>
      </w:pPr>
      <w:r>
        <w:rPr>
          <w:rFonts w:ascii="Times New Roman" w:eastAsia="宋体" w:hAnsi="Times New Roman"/>
          <w:color w:val="000000"/>
          <w:sz w:val="20"/>
          <w:szCs w:val="20"/>
          <w:u w:val="single"/>
        </w:rPr>
        <w:t>Financing Receivables and Guarantees</w:t>
      </w:r>
      <w:r>
        <w:rPr>
          <w:rFonts w:ascii="Times New Roman" w:eastAsia="宋体" w:hAnsi="Times New Roman"/>
          <w:color w:val="000000"/>
          <w:sz w:val="20"/>
          <w:szCs w:val="20"/>
        </w:rPr>
        <w:t xml:space="preserve"> The following table summarizes our financing receivables (i</w:t>
      </w:r>
      <w:r>
        <w:rPr>
          <w:rFonts w:ascii="Times New Roman" w:eastAsia="宋体" w:hAnsi="Times New Roman"/>
          <w:color w:val="000000"/>
          <w:sz w:val="20"/>
          <w:szCs w:val="20"/>
        </w:rPr>
        <w:t>n millions):</w:t>
      </w:r>
    </w:p>
    <w:tbl>
      <w:tblPr>
        <w:tblW w:w="4971" w:type="pct"/>
        <w:jc w:val="center"/>
        <w:tblCellMar>
          <w:top w:w="15" w:type="dxa"/>
          <w:left w:w="15" w:type="dxa"/>
          <w:bottom w:w="15" w:type="dxa"/>
          <w:right w:w="15" w:type="dxa"/>
        </w:tblCellMar>
        <w:tblLook w:val="04A0" w:firstRow="1" w:lastRow="0" w:firstColumn="1" w:lastColumn="0" w:noHBand="0" w:noVBand="1"/>
      </w:tblPr>
      <w:tblGrid>
        <w:gridCol w:w="38"/>
        <w:gridCol w:w="4846"/>
        <w:gridCol w:w="36"/>
        <w:gridCol w:w="120"/>
        <w:gridCol w:w="921"/>
        <w:gridCol w:w="36"/>
        <w:gridCol w:w="36"/>
        <w:gridCol w:w="36"/>
        <w:gridCol w:w="36"/>
        <w:gridCol w:w="120"/>
        <w:gridCol w:w="881"/>
        <w:gridCol w:w="36"/>
        <w:gridCol w:w="36"/>
        <w:gridCol w:w="36"/>
        <w:gridCol w:w="36"/>
        <w:gridCol w:w="121"/>
        <w:gridCol w:w="881"/>
        <w:gridCol w:w="36"/>
      </w:tblGrid>
      <w:tr w:rsidR="005C332D" w14:paraId="518B52A3" w14:textId="77777777">
        <w:trPr>
          <w:jc w:val="center"/>
        </w:trPr>
        <w:tc>
          <w:tcPr>
            <w:tcW w:w="50" w:type="pct"/>
            <w:shd w:val="clear" w:color="auto" w:fill="auto"/>
            <w:vAlign w:val="bottom"/>
          </w:tcPr>
          <w:p w14:paraId="518B5291" w14:textId="77777777" w:rsidR="005C332D" w:rsidRDefault="005C332D">
            <w:pPr>
              <w:rPr>
                <w:rFonts w:ascii="宋体"/>
              </w:rPr>
            </w:pPr>
          </w:p>
        </w:tc>
        <w:tc>
          <w:tcPr>
            <w:tcW w:w="2952" w:type="pct"/>
            <w:shd w:val="clear" w:color="auto" w:fill="auto"/>
            <w:vAlign w:val="bottom"/>
          </w:tcPr>
          <w:p w14:paraId="518B5292" w14:textId="77777777" w:rsidR="005C332D" w:rsidRDefault="005C332D">
            <w:pPr>
              <w:rPr>
                <w:rFonts w:ascii="宋体"/>
              </w:rPr>
            </w:pPr>
          </w:p>
        </w:tc>
        <w:tc>
          <w:tcPr>
            <w:tcW w:w="5" w:type="pct"/>
            <w:shd w:val="clear" w:color="auto" w:fill="auto"/>
            <w:vAlign w:val="bottom"/>
          </w:tcPr>
          <w:p w14:paraId="518B5293" w14:textId="77777777" w:rsidR="005C332D" w:rsidRDefault="005C332D">
            <w:pPr>
              <w:rPr>
                <w:rFonts w:ascii="宋体"/>
              </w:rPr>
            </w:pPr>
          </w:p>
        </w:tc>
        <w:tc>
          <w:tcPr>
            <w:tcW w:w="50" w:type="pct"/>
            <w:shd w:val="clear" w:color="auto" w:fill="auto"/>
            <w:vAlign w:val="bottom"/>
          </w:tcPr>
          <w:p w14:paraId="518B5294" w14:textId="77777777" w:rsidR="005C332D" w:rsidRDefault="005C332D">
            <w:pPr>
              <w:rPr>
                <w:rFonts w:ascii="宋体"/>
              </w:rPr>
            </w:pPr>
          </w:p>
        </w:tc>
        <w:tc>
          <w:tcPr>
            <w:tcW w:w="584" w:type="pct"/>
            <w:shd w:val="clear" w:color="auto" w:fill="auto"/>
            <w:vAlign w:val="bottom"/>
          </w:tcPr>
          <w:p w14:paraId="518B5295" w14:textId="77777777" w:rsidR="005C332D" w:rsidRDefault="005C332D">
            <w:pPr>
              <w:rPr>
                <w:rFonts w:ascii="宋体"/>
              </w:rPr>
            </w:pPr>
          </w:p>
        </w:tc>
        <w:tc>
          <w:tcPr>
            <w:tcW w:w="5" w:type="pct"/>
            <w:shd w:val="clear" w:color="auto" w:fill="auto"/>
            <w:vAlign w:val="bottom"/>
          </w:tcPr>
          <w:p w14:paraId="518B5296" w14:textId="77777777" w:rsidR="005C332D" w:rsidRDefault="005C332D">
            <w:pPr>
              <w:rPr>
                <w:rFonts w:ascii="宋体"/>
              </w:rPr>
            </w:pPr>
          </w:p>
        </w:tc>
        <w:tc>
          <w:tcPr>
            <w:tcW w:w="5" w:type="pct"/>
            <w:shd w:val="clear" w:color="auto" w:fill="auto"/>
            <w:vAlign w:val="bottom"/>
          </w:tcPr>
          <w:p w14:paraId="518B5297" w14:textId="77777777" w:rsidR="005C332D" w:rsidRDefault="005C332D">
            <w:pPr>
              <w:rPr>
                <w:rFonts w:ascii="宋体"/>
              </w:rPr>
            </w:pPr>
          </w:p>
        </w:tc>
        <w:tc>
          <w:tcPr>
            <w:tcW w:w="26" w:type="pct"/>
            <w:shd w:val="clear" w:color="auto" w:fill="auto"/>
            <w:vAlign w:val="bottom"/>
          </w:tcPr>
          <w:p w14:paraId="518B5298" w14:textId="77777777" w:rsidR="005C332D" w:rsidRDefault="005C332D">
            <w:pPr>
              <w:rPr>
                <w:rFonts w:ascii="宋体"/>
              </w:rPr>
            </w:pPr>
          </w:p>
        </w:tc>
        <w:tc>
          <w:tcPr>
            <w:tcW w:w="5" w:type="pct"/>
            <w:shd w:val="clear" w:color="auto" w:fill="auto"/>
            <w:vAlign w:val="bottom"/>
          </w:tcPr>
          <w:p w14:paraId="518B5299" w14:textId="77777777" w:rsidR="005C332D" w:rsidRDefault="005C332D">
            <w:pPr>
              <w:rPr>
                <w:rFonts w:ascii="宋体"/>
              </w:rPr>
            </w:pPr>
          </w:p>
        </w:tc>
        <w:tc>
          <w:tcPr>
            <w:tcW w:w="50" w:type="pct"/>
            <w:shd w:val="clear" w:color="auto" w:fill="auto"/>
            <w:vAlign w:val="bottom"/>
          </w:tcPr>
          <w:p w14:paraId="518B529A" w14:textId="77777777" w:rsidR="005C332D" w:rsidRDefault="005C332D">
            <w:pPr>
              <w:rPr>
                <w:rFonts w:ascii="宋体"/>
              </w:rPr>
            </w:pPr>
          </w:p>
        </w:tc>
        <w:tc>
          <w:tcPr>
            <w:tcW w:w="584" w:type="pct"/>
            <w:shd w:val="clear" w:color="auto" w:fill="auto"/>
            <w:vAlign w:val="bottom"/>
          </w:tcPr>
          <w:p w14:paraId="518B529B" w14:textId="77777777" w:rsidR="005C332D" w:rsidRDefault="005C332D">
            <w:pPr>
              <w:rPr>
                <w:rFonts w:ascii="宋体"/>
              </w:rPr>
            </w:pPr>
          </w:p>
        </w:tc>
        <w:tc>
          <w:tcPr>
            <w:tcW w:w="5" w:type="pct"/>
            <w:shd w:val="clear" w:color="auto" w:fill="auto"/>
            <w:vAlign w:val="bottom"/>
          </w:tcPr>
          <w:p w14:paraId="518B529C" w14:textId="77777777" w:rsidR="005C332D" w:rsidRDefault="005C332D">
            <w:pPr>
              <w:rPr>
                <w:rFonts w:ascii="宋体"/>
              </w:rPr>
            </w:pPr>
          </w:p>
        </w:tc>
        <w:tc>
          <w:tcPr>
            <w:tcW w:w="5" w:type="pct"/>
            <w:shd w:val="clear" w:color="auto" w:fill="auto"/>
            <w:vAlign w:val="bottom"/>
          </w:tcPr>
          <w:p w14:paraId="518B529D" w14:textId="77777777" w:rsidR="005C332D" w:rsidRDefault="005C332D">
            <w:pPr>
              <w:rPr>
                <w:rFonts w:ascii="宋体"/>
              </w:rPr>
            </w:pPr>
          </w:p>
        </w:tc>
        <w:tc>
          <w:tcPr>
            <w:tcW w:w="26" w:type="pct"/>
            <w:shd w:val="clear" w:color="auto" w:fill="auto"/>
            <w:vAlign w:val="bottom"/>
          </w:tcPr>
          <w:p w14:paraId="518B529E" w14:textId="77777777" w:rsidR="005C332D" w:rsidRDefault="005C332D">
            <w:pPr>
              <w:rPr>
                <w:rFonts w:ascii="宋体"/>
              </w:rPr>
            </w:pPr>
          </w:p>
        </w:tc>
        <w:tc>
          <w:tcPr>
            <w:tcW w:w="5" w:type="pct"/>
            <w:shd w:val="clear" w:color="auto" w:fill="auto"/>
            <w:vAlign w:val="bottom"/>
          </w:tcPr>
          <w:p w14:paraId="518B529F" w14:textId="77777777" w:rsidR="005C332D" w:rsidRDefault="005C332D">
            <w:pPr>
              <w:rPr>
                <w:rFonts w:ascii="宋体"/>
              </w:rPr>
            </w:pPr>
          </w:p>
        </w:tc>
        <w:tc>
          <w:tcPr>
            <w:tcW w:w="50" w:type="pct"/>
            <w:shd w:val="clear" w:color="auto" w:fill="auto"/>
            <w:vAlign w:val="bottom"/>
          </w:tcPr>
          <w:p w14:paraId="518B52A0" w14:textId="77777777" w:rsidR="005C332D" w:rsidRDefault="005C332D">
            <w:pPr>
              <w:rPr>
                <w:rFonts w:ascii="宋体"/>
              </w:rPr>
            </w:pPr>
          </w:p>
        </w:tc>
        <w:tc>
          <w:tcPr>
            <w:tcW w:w="584" w:type="pct"/>
            <w:shd w:val="clear" w:color="auto" w:fill="auto"/>
            <w:vAlign w:val="bottom"/>
          </w:tcPr>
          <w:p w14:paraId="518B52A1" w14:textId="77777777" w:rsidR="005C332D" w:rsidRDefault="005C332D">
            <w:pPr>
              <w:rPr>
                <w:rFonts w:ascii="宋体"/>
              </w:rPr>
            </w:pPr>
          </w:p>
        </w:tc>
        <w:tc>
          <w:tcPr>
            <w:tcW w:w="5" w:type="pct"/>
            <w:shd w:val="clear" w:color="auto" w:fill="auto"/>
            <w:vAlign w:val="bottom"/>
          </w:tcPr>
          <w:p w14:paraId="518B52A2" w14:textId="77777777" w:rsidR="005C332D" w:rsidRDefault="005C332D">
            <w:pPr>
              <w:rPr>
                <w:rFonts w:ascii="宋体"/>
              </w:rPr>
            </w:pPr>
          </w:p>
        </w:tc>
      </w:tr>
      <w:tr w:rsidR="005C332D" w14:paraId="518B52AA" w14:textId="77777777">
        <w:trPr>
          <w:jc w:val="center"/>
        </w:trPr>
        <w:tc>
          <w:tcPr>
            <w:tcW w:w="0" w:type="auto"/>
            <w:gridSpan w:val="3"/>
            <w:shd w:val="clear" w:color="auto" w:fill="auto"/>
            <w:tcMar>
              <w:top w:w="40" w:type="dxa"/>
              <w:left w:w="20" w:type="dxa"/>
              <w:bottom w:w="40" w:type="dxa"/>
              <w:right w:w="20" w:type="dxa"/>
            </w:tcMar>
            <w:vAlign w:val="bottom"/>
          </w:tcPr>
          <w:p w14:paraId="518B52A4"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18B52A5"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2A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2A7"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2A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2A9" w14:textId="77777777" w:rsidR="005C332D" w:rsidRDefault="00B93EAE">
            <w:pPr>
              <w:jc w:val="center"/>
              <w:textAlignment w:val="bottom"/>
            </w:pPr>
            <w:r>
              <w:rPr>
                <w:rFonts w:ascii="Times New Roman" w:eastAsia="宋体" w:hAnsi="Times New Roman"/>
                <w:color w:val="000000"/>
                <w:sz w:val="18"/>
                <w:szCs w:val="18"/>
              </w:rPr>
              <w:t>Increase (Decrease)</w:t>
            </w:r>
          </w:p>
        </w:tc>
      </w:tr>
      <w:tr w:rsidR="005C332D" w14:paraId="518B52B7" w14:textId="77777777">
        <w:trPr>
          <w:jc w:val="center"/>
        </w:trPr>
        <w:tc>
          <w:tcPr>
            <w:tcW w:w="0" w:type="auto"/>
            <w:gridSpan w:val="3"/>
            <w:shd w:val="clear" w:color="auto" w:fill="CCEEFF"/>
            <w:tcMar>
              <w:top w:w="40" w:type="dxa"/>
              <w:left w:w="20" w:type="dxa"/>
              <w:bottom w:w="40" w:type="dxa"/>
              <w:right w:w="20" w:type="dxa"/>
            </w:tcMar>
            <w:vAlign w:val="bottom"/>
          </w:tcPr>
          <w:p w14:paraId="518B52AB" w14:textId="77777777" w:rsidR="005C332D" w:rsidRDefault="00B93EAE">
            <w:pPr>
              <w:textAlignment w:val="bottom"/>
            </w:pPr>
            <w:r>
              <w:rPr>
                <w:rFonts w:ascii="Times New Roman" w:eastAsia="宋体" w:hAnsi="Times New Roman"/>
                <w:color w:val="000000"/>
                <w:sz w:val="20"/>
                <w:szCs w:val="20"/>
              </w:rPr>
              <w:t>Lease receivables,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2A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2AD" w14:textId="77777777" w:rsidR="005C332D" w:rsidRDefault="00B93EAE">
            <w:pPr>
              <w:jc w:val="right"/>
              <w:textAlignment w:val="bottom"/>
            </w:pPr>
            <w:r>
              <w:rPr>
                <w:rFonts w:ascii="Times New Roman" w:eastAsia="宋体" w:hAnsi="Times New Roman"/>
                <w:b/>
                <w:bCs/>
                <w:color w:val="000000"/>
                <w:sz w:val="20"/>
                <w:szCs w:val="20"/>
              </w:rPr>
              <w:t>1,175</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2A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A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2B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2B1" w14:textId="77777777" w:rsidR="005C332D" w:rsidRDefault="00B93EAE">
            <w:pPr>
              <w:jc w:val="right"/>
              <w:textAlignment w:val="bottom"/>
            </w:pPr>
            <w:r>
              <w:rPr>
                <w:rFonts w:ascii="Times New Roman" w:eastAsia="宋体" w:hAnsi="Times New Roman"/>
                <w:color w:val="000000"/>
                <w:sz w:val="20"/>
                <w:szCs w:val="20"/>
              </w:rPr>
              <w:t>1,697 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2B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B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2B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2B5" w14:textId="77777777" w:rsidR="005C332D" w:rsidRDefault="00B93EAE">
            <w:pPr>
              <w:jc w:val="right"/>
              <w:textAlignment w:val="bottom"/>
            </w:pPr>
            <w:r>
              <w:rPr>
                <w:rFonts w:ascii="Times New Roman" w:eastAsia="宋体" w:hAnsi="Times New Roman"/>
                <w:color w:val="000000"/>
                <w:sz w:val="20"/>
                <w:szCs w:val="20"/>
              </w:rPr>
              <w:t>(522)</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2B6" w14:textId="77777777" w:rsidR="005C332D" w:rsidRDefault="005C332D">
            <w:pPr>
              <w:jc w:val="right"/>
              <w:rPr>
                <w:rFonts w:ascii="宋体"/>
              </w:rPr>
            </w:pPr>
          </w:p>
        </w:tc>
      </w:tr>
      <w:tr w:rsidR="005C332D" w14:paraId="518B52C1" w14:textId="77777777">
        <w:trPr>
          <w:jc w:val="center"/>
        </w:trPr>
        <w:tc>
          <w:tcPr>
            <w:tcW w:w="0" w:type="auto"/>
            <w:gridSpan w:val="3"/>
            <w:shd w:val="clear" w:color="auto" w:fill="auto"/>
            <w:tcMar>
              <w:top w:w="40" w:type="dxa"/>
              <w:left w:w="20" w:type="dxa"/>
              <w:bottom w:w="40" w:type="dxa"/>
              <w:right w:w="20" w:type="dxa"/>
            </w:tcMar>
            <w:vAlign w:val="bottom"/>
          </w:tcPr>
          <w:p w14:paraId="518B52B8" w14:textId="77777777" w:rsidR="005C332D" w:rsidRDefault="00B93EAE">
            <w:pPr>
              <w:textAlignment w:val="bottom"/>
            </w:pPr>
            <w:r>
              <w:rPr>
                <w:rFonts w:ascii="Times New Roman" w:eastAsia="宋体" w:hAnsi="Times New Roman"/>
                <w:color w:val="000000"/>
                <w:sz w:val="20"/>
                <w:szCs w:val="20"/>
              </w:rPr>
              <w:t>Loan receivables, net</w:t>
            </w:r>
          </w:p>
        </w:tc>
        <w:tc>
          <w:tcPr>
            <w:tcW w:w="0" w:type="auto"/>
            <w:gridSpan w:val="2"/>
            <w:shd w:val="clear" w:color="auto" w:fill="auto"/>
            <w:tcMar>
              <w:top w:w="40" w:type="dxa"/>
              <w:left w:w="20" w:type="dxa"/>
              <w:bottom w:w="40" w:type="dxa"/>
              <w:right w:w="0" w:type="dxa"/>
            </w:tcMar>
            <w:vAlign w:val="bottom"/>
          </w:tcPr>
          <w:p w14:paraId="518B52B9" w14:textId="77777777" w:rsidR="005C332D" w:rsidRDefault="00B93EAE">
            <w:pPr>
              <w:jc w:val="right"/>
              <w:textAlignment w:val="bottom"/>
            </w:pPr>
            <w:r>
              <w:rPr>
                <w:rFonts w:ascii="Times New Roman" w:eastAsia="宋体" w:hAnsi="Times New Roman"/>
                <w:b/>
                <w:bCs/>
                <w:color w:val="000000"/>
                <w:sz w:val="20"/>
                <w:szCs w:val="20"/>
              </w:rPr>
              <w:t>4,556</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52BA"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52BB"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52BC" w14:textId="77777777" w:rsidR="005C332D" w:rsidRDefault="00B93EAE">
            <w:pPr>
              <w:jc w:val="right"/>
              <w:textAlignment w:val="bottom"/>
            </w:pPr>
            <w:r>
              <w:rPr>
                <w:rFonts w:ascii="Times New Roman" w:eastAsia="宋体" w:hAnsi="Times New Roman"/>
                <w:color w:val="000000"/>
                <w:sz w:val="20"/>
                <w:szCs w:val="20"/>
              </w:rPr>
              <w:t>5,117 </w:t>
            </w:r>
          </w:p>
        </w:tc>
        <w:tc>
          <w:tcPr>
            <w:tcW w:w="0" w:type="auto"/>
            <w:shd w:val="clear" w:color="auto" w:fill="auto"/>
            <w:tcMar>
              <w:top w:w="40" w:type="dxa"/>
              <w:left w:w="0" w:type="dxa"/>
              <w:bottom w:w="40" w:type="dxa"/>
              <w:right w:w="20" w:type="dxa"/>
            </w:tcMar>
            <w:vAlign w:val="bottom"/>
          </w:tcPr>
          <w:p w14:paraId="518B52BD"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52BE"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52BF" w14:textId="77777777" w:rsidR="005C332D" w:rsidRDefault="00B93EAE">
            <w:pPr>
              <w:jc w:val="right"/>
              <w:textAlignment w:val="bottom"/>
            </w:pPr>
            <w:r>
              <w:rPr>
                <w:rFonts w:ascii="Times New Roman" w:eastAsia="宋体" w:hAnsi="Times New Roman"/>
                <w:color w:val="000000"/>
                <w:sz w:val="20"/>
                <w:szCs w:val="20"/>
              </w:rPr>
              <w:t>(561)</w:t>
            </w:r>
          </w:p>
        </w:tc>
        <w:tc>
          <w:tcPr>
            <w:tcW w:w="0" w:type="auto"/>
            <w:shd w:val="clear" w:color="auto" w:fill="auto"/>
            <w:tcMar>
              <w:top w:w="40" w:type="dxa"/>
              <w:left w:w="0" w:type="dxa"/>
              <w:bottom w:w="40" w:type="dxa"/>
              <w:right w:w="20" w:type="dxa"/>
            </w:tcMar>
            <w:vAlign w:val="bottom"/>
          </w:tcPr>
          <w:p w14:paraId="518B52C0" w14:textId="77777777" w:rsidR="005C332D" w:rsidRDefault="005C332D">
            <w:pPr>
              <w:jc w:val="right"/>
              <w:rPr>
                <w:rFonts w:ascii="宋体"/>
              </w:rPr>
            </w:pPr>
          </w:p>
        </w:tc>
      </w:tr>
      <w:tr w:rsidR="005C332D" w14:paraId="518B52CB" w14:textId="77777777">
        <w:trPr>
          <w:jc w:val="center"/>
        </w:trPr>
        <w:tc>
          <w:tcPr>
            <w:tcW w:w="0" w:type="auto"/>
            <w:gridSpan w:val="3"/>
            <w:shd w:val="clear" w:color="auto" w:fill="CCEEFF"/>
            <w:tcMar>
              <w:top w:w="40" w:type="dxa"/>
              <w:left w:w="35" w:type="dxa"/>
              <w:bottom w:w="40" w:type="dxa"/>
              <w:right w:w="20" w:type="dxa"/>
            </w:tcMar>
            <w:vAlign w:val="bottom"/>
          </w:tcPr>
          <w:p w14:paraId="518B52C2" w14:textId="77777777" w:rsidR="005C332D" w:rsidRDefault="00B93EAE">
            <w:pPr>
              <w:textAlignment w:val="bottom"/>
            </w:pPr>
            <w:r>
              <w:rPr>
                <w:rFonts w:ascii="Times New Roman" w:eastAsia="宋体" w:hAnsi="Times New Roman"/>
                <w:color w:val="000000"/>
                <w:sz w:val="20"/>
                <w:szCs w:val="20"/>
              </w:rPr>
              <w:t>Financed service contracts, net</w:t>
            </w:r>
          </w:p>
        </w:tc>
        <w:tc>
          <w:tcPr>
            <w:tcW w:w="0" w:type="auto"/>
            <w:gridSpan w:val="2"/>
            <w:shd w:val="clear" w:color="auto" w:fill="CCEEFF"/>
            <w:tcMar>
              <w:top w:w="40" w:type="dxa"/>
              <w:left w:w="20" w:type="dxa"/>
              <w:bottom w:w="40" w:type="dxa"/>
              <w:right w:w="0" w:type="dxa"/>
            </w:tcMar>
            <w:vAlign w:val="bottom"/>
          </w:tcPr>
          <w:p w14:paraId="518B52C3" w14:textId="77777777" w:rsidR="005C332D" w:rsidRDefault="00B93EAE">
            <w:pPr>
              <w:jc w:val="right"/>
              <w:textAlignment w:val="bottom"/>
            </w:pPr>
            <w:r>
              <w:rPr>
                <w:rFonts w:ascii="Times New Roman" w:eastAsia="宋体" w:hAnsi="Times New Roman"/>
                <w:b/>
                <w:bCs/>
                <w:color w:val="000000"/>
                <w:sz w:val="20"/>
                <w:szCs w:val="20"/>
              </w:rPr>
              <w:t>2,183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2C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C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2C6" w14:textId="77777777" w:rsidR="005C332D" w:rsidRDefault="00B93EAE">
            <w:pPr>
              <w:jc w:val="right"/>
              <w:textAlignment w:val="bottom"/>
            </w:pPr>
            <w:r>
              <w:rPr>
                <w:rFonts w:ascii="Times New Roman" w:eastAsia="宋体" w:hAnsi="Times New Roman"/>
                <w:color w:val="000000"/>
                <w:sz w:val="20"/>
                <w:szCs w:val="20"/>
              </w:rPr>
              <w:t>2,450 </w:t>
            </w:r>
          </w:p>
        </w:tc>
        <w:tc>
          <w:tcPr>
            <w:tcW w:w="0" w:type="auto"/>
            <w:shd w:val="clear" w:color="auto" w:fill="CCEEFF"/>
            <w:tcMar>
              <w:top w:w="40" w:type="dxa"/>
              <w:left w:w="0" w:type="dxa"/>
              <w:bottom w:w="40" w:type="dxa"/>
              <w:right w:w="20" w:type="dxa"/>
            </w:tcMar>
            <w:vAlign w:val="bottom"/>
          </w:tcPr>
          <w:p w14:paraId="518B52C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2C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2C9" w14:textId="77777777" w:rsidR="005C332D" w:rsidRDefault="00B93EAE">
            <w:pPr>
              <w:jc w:val="right"/>
              <w:textAlignment w:val="bottom"/>
            </w:pPr>
            <w:r>
              <w:rPr>
                <w:rFonts w:ascii="Times New Roman" w:eastAsia="宋体" w:hAnsi="Times New Roman"/>
                <w:color w:val="000000"/>
                <w:sz w:val="20"/>
                <w:szCs w:val="20"/>
              </w:rPr>
              <w:t>(267)</w:t>
            </w:r>
          </w:p>
        </w:tc>
        <w:tc>
          <w:tcPr>
            <w:tcW w:w="0" w:type="auto"/>
            <w:shd w:val="clear" w:color="auto" w:fill="CCEEFF"/>
            <w:tcMar>
              <w:top w:w="40" w:type="dxa"/>
              <w:left w:w="0" w:type="dxa"/>
              <w:bottom w:w="40" w:type="dxa"/>
              <w:right w:w="20" w:type="dxa"/>
            </w:tcMar>
            <w:vAlign w:val="bottom"/>
          </w:tcPr>
          <w:p w14:paraId="518B52CA" w14:textId="77777777" w:rsidR="005C332D" w:rsidRDefault="005C332D">
            <w:pPr>
              <w:jc w:val="right"/>
              <w:rPr>
                <w:rFonts w:ascii="宋体"/>
              </w:rPr>
            </w:pPr>
          </w:p>
        </w:tc>
      </w:tr>
      <w:tr w:rsidR="005C332D" w14:paraId="518B52D8" w14:textId="77777777">
        <w:trPr>
          <w:jc w:val="center"/>
        </w:trPr>
        <w:tc>
          <w:tcPr>
            <w:tcW w:w="0" w:type="auto"/>
            <w:gridSpan w:val="3"/>
            <w:shd w:val="clear" w:color="auto" w:fill="FFFFFF"/>
            <w:tcMar>
              <w:top w:w="40" w:type="dxa"/>
              <w:left w:w="395" w:type="dxa"/>
              <w:bottom w:w="40" w:type="dxa"/>
              <w:right w:w="20" w:type="dxa"/>
            </w:tcMar>
            <w:vAlign w:val="bottom"/>
          </w:tcPr>
          <w:p w14:paraId="518B52CC" w14:textId="77777777" w:rsidR="005C332D" w:rsidRDefault="00B93EAE">
            <w:pPr>
              <w:textAlignment w:val="bottom"/>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2C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2CE" w14:textId="77777777" w:rsidR="005C332D" w:rsidRDefault="00B93EAE">
            <w:pPr>
              <w:jc w:val="right"/>
              <w:textAlignment w:val="bottom"/>
            </w:pPr>
            <w:r>
              <w:rPr>
                <w:rFonts w:ascii="Times New Roman" w:eastAsia="宋体" w:hAnsi="Times New Roman"/>
                <w:b/>
                <w:bCs/>
                <w:color w:val="000000"/>
                <w:sz w:val="20"/>
                <w:szCs w:val="20"/>
              </w:rPr>
              <w:t>7,914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2C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2D0"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2D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2D2" w14:textId="77777777" w:rsidR="005C332D" w:rsidRDefault="00B93EAE">
            <w:pPr>
              <w:jc w:val="right"/>
              <w:textAlignment w:val="bottom"/>
            </w:pPr>
            <w:r>
              <w:rPr>
                <w:rFonts w:ascii="Times New Roman" w:eastAsia="宋体" w:hAnsi="Times New Roman"/>
                <w:color w:val="000000"/>
                <w:sz w:val="20"/>
                <w:szCs w:val="20"/>
              </w:rPr>
              <w:t>9,264 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2D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2D4"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2D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2D6" w14:textId="77777777" w:rsidR="005C332D" w:rsidRDefault="00B93EAE">
            <w:pPr>
              <w:jc w:val="right"/>
              <w:textAlignment w:val="bottom"/>
            </w:pPr>
            <w:r>
              <w:rPr>
                <w:rFonts w:ascii="Times New Roman" w:eastAsia="宋体" w:hAnsi="Times New Roman"/>
                <w:color w:val="000000"/>
                <w:sz w:val="20"/>
                <w:szCs w:val="20"/>
              </w:rPr>
              <w:t>(1,350)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2D7" w14:textId="77777777" w:rsidR="005C332D" w:rsidRDefault="005C332D">
            <w:pPr>
              <w:jc w:val="right"/>
              <w:rPr>
                <w:rFonts w:ascii="宋体"/>
              </w:rPr>
            </w:pPr>
          </w:p>
        </w:tc>
      </w:tr>
    </w:tbl>
    <w:p w14:paraId="518B52D9" w14:textId="77777777" w:rsidR="005C332D" w:rsidRDefault="00B93EAE">
      <w:pPr>
        <w:spacing w:before="120"/>
        <w:jc w:val="both"/>
      </w:pPr>
      <w:r>
        <w:rPr>
          <w:rFonts w:ascii="Times New Roman" w:eastAsia="宋体" w:hAnsi="Times New Roman"/>
          <w:i/>
          <w:iCs/>
          <w:color w:val="000000"/>
          <w:sz w:val="20"/>
          <w:szCs w:val="20"/>
          <w:u w:val="single"/>
        </w:rPr>
        <w:t>Financing Receivables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Our financing arrangements include leases, loans, and financed service contracts. Lease receivables include sales-type leases. Arrangements related to leases are generally </w:t>
      </w:r>
      <w:r>
        <w:rPr>
          <w:rFonts w:ascii="Times New Roman" w:eastAsia="宋体" w:hAnsi="Times New Roman"/>
          <w:color w:val="000000"/>
          <w:sz w:val="20"/>
          <w:szCs w:val="20"/>
        </w:rPr>
        <w:t xml:space="preserve">collateralized by a security interest in the underlying assets. Our loan receivables include customer financing for purchases of our hardware, software and services and also may include additional funds for other costs associated with network installation </w:t>
      </w:r>
      <w:r>
        <w:rPr>
          <w:rFonts w:ascii="Times New Roman" w:eastAsia="宋体" w:hAnsi="Times New Roman"/>
          <w:color w:val="000000"/>
          <w:sz w:val="20"/>
          <w:szCs w:val="20"/>
        </w:rPr>
        <w:t xml:space="preserve">and integration of our products and services. We also provide financing to certain qualified customers for long-term service contracts, which primarily relate to technical support services. The majority of the revenue from these financed service contracts </w:t>
      </w:r>
      <w:r>
        <w:rPr>
          <w:rFonts w:ascii="Times New Roman" w:eastAsia="宋体" w:hAnsi="Times New Roman"/>
          <w:color w:val="000000"/>
          <w:sz w:val="20"/>
          <w:szCs w:val="20"/>
        </w:rPr>
        <w:t>is deferred and is recognized ratably over the period during which the services are performed. Financing receivables decreased by 15%.</w:t>
      </w:r>
    </w:p>
    <w:p w14:paraId="518B52DA" w14:textId="77777777" w:rsidR="005C332D" w:rsidRDefault="00B93EAE">
      <w:pPr>
        <w:spacing w:before="120"/>
        <w:jc w:val="both"/>
      </w:pPr>
      <w:r>
        <w:rPr>
          <w:rFonts w:ascii="Times New Roman" w:eastAsia="宋体" w:hAnsi="Times New Roman"/>
          <w:i/>
          <w:iCs/>
          <w:color w:val="000000"/>
          <w:sz w:val="20"/>
          <w:szCs w:val="20"/>
          <w:u w:val="single"/>
        </w:rPr>
        <w:t>Financing Guarantees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the normal course of business, third parties may provide financing arrangements to our customers</w:t>
      </w:r>
      <w:r>
        <w:rPr>
          <w:rFonts w:ascii="Times New Roman" w:eastAsia="宋体" w:hAnsi="Times New Roman"/>
          <w:color w:val="000000"/>
          <w:sz w:val="20"/>
          <w:szCs w:val="20"/>
        </w:rPr>
        <w:t xml:space="preserve"> and channel partners under financing programs. The financing arrangements provided by third parties are related to leases and loans and typically have terms of up to three years. In some cases, we provide guarantees to third parties for these lease and lo</w:t>
      </w:r>
      <w:r>
        <w:rPr>
          <w:rFonts w:ascii="Times New Roman" w:eastAsia="宋体" w:hAnsi="Times New Roman"/>
          <w:color w:val="000000"/>
          <w:sz w:val="20"/>
          <w:szCs w:val="20"/>
        </w:rPr>
        <w:t>an arrangements. The financing arrangements to channel partners consist of revolving short-term financing provided by third parties, with payment terms generally ranging from 60 to 90 days. In certain instances, these financing arrangements result in a tra</w:t>
      </w:r>
      <w:r>
        <w:rPr>
          <w:rFonts w:ascii="Times New Roman" w:eastAsia="宋体" w:hAnsi="Times New Roman"/>
          <w:color w:val="000000"/>
          <w:sz w:val="20"/>
          <w:szCs w:val="20"/>
        </w:rPr>
        <w:t xml:space="preserve">nsfer of our receivables to the third party. The receivables are derecognized upon transfer, as these transfers qualify as true sales, and we receive payments for the receivables from the third party based on our standard payment terms. </w:t>
      </w:r>
    </w:p>
    <w:p w14:paraId="518B52DB" w14:textId="77777777" w:rsidR="005C332D" w:rsidRDefault="00B93EAE">
      <w:pPr>
        <w:spacing w:before="120"/>
        <w:jc w:val="both"/>
      </w:pPr>
      <w:r>
        <w:rPr>
          <w:rFonts w:ascii="Times New Roman" w:eastAsia="宋体" w:hAnsi="Times New Roman"/>
          <w:color w:val="000000"/>
          <w:sz w:val="20"/>
          <w:szCs w:val="20"/>
        </w:rPr>
        <w:t>The volume of chan</w:t>
      </w:r>
      <w:r>
        <w:rPr>
          <w:rFonts w:ascii="Times New Roman" w:eastAsia="宋体" w:hAnsi="Times New Roman"/>
          <w:color w:val="000000"/>
          <w:sz w:val="20"/>
          <w:szCs w:val="20"/>
        </w:rPr>
        <w:t>nel partner financing was $27.9 billion, $26.7 billion, and $26.9 billion in fiscal 2022, 2021, and 2020, respectively. These financing arrangements facilitate the working capital requirements of the channel partners, and in some cases, we guarantee a port</w:t>
      </w:r>
      <w:r>
        <w:rPr>
          <w:rFonts w:ascii="Times New Roman" w:eastAsia="宋体" w:hAnsi="Times New Roman"/>
          <w:color w:val="000000"/>
          <w:sz w:val="20"/>
          <w:szCs w:val="20"/>
        </w:rPr>
        <w:t>ion of these arrangements. The balance of the channel partner financing subject to guarantees was $1.4 billion and $1.3 billion as of July 30, 2022 and July 31, 2021, respectively. We could be called upon to make payments under these guarantees in the even</w:t>
      </w:r>
      <w:r>
        <w:rPr>
          <w:rFonts w:ascii="Times New Roman" w:eastAsia="宋体" w:hAnsi="Times New Roman"/>
          <w:color w:val="000000"/>
          <w:sz w:val="20"/>
          <w:szCs w:val="20"/>
        </w:rPr>
        <w:t>t of nonpayment by the channel partners. Historically, our payments under these arrangements have been immaterial. Where we provide a guarantee, we defer the revenue associated with the channel partner financing arrangement in accordance with revenue recog</w:t>
      </w:r>
      <w:r>
        <w:rPr>
          <w:rFonts w:ascii="Times New Roman" w:eastAsia="宋体" w:hAnsi="Times New Roman"/>
          <w:color w:val="000000"/>
          <w:sz w:val="20"/>
          <w:szCs w:val="20"/>
        </w:rPr>
        <w:t>nition policies, or we record a liability for the fair value of the guarantees. In either case, the deferred revenue is recognized as revenue when the guarantee is removed. As of July 30, 2022, the total maximum potential future payments related to these g</w:t>
      </w:r>
      <w:r>
        <w:rPr>
          <w:rFonts w:ascii="Times New Roman" w:eastAsia="宋体" w:hAnsi="Times New Roman"/>
          <w:color w:val="000000"/>
          <w:sz w:val="20"/>
          <w:szCs w:val="20"/>
        </w:rPr>
        <w:t>uarantees was approximately $179 million, of which approximately $9 million was recorded as deferred revenue.</w:t>
      </w:r>
    </w:p>
    <w:p w14:paraId="518B52DC" w14:textId="77777777" w:rsidR="005C332D" w:rsidRDefault="005C332D">
      <w:pPr>
        <w:spacing w:before="120"/>
        <w:jc w:val="both"/>
      </w:pPr>
    </w:p>
    <w:p w14:paraId="518B52DD" w14:textId="77777777" w:rsidR="005C332D" w:rsidRDefault="00B93EAE">
      <w:pPr>
        <w:jc w:val="center"/>
      </w:pPr>
      <w:r>
        <w:rPr>
          <w:rFonts w:ascii="Times New Roman" w:eastAsia="宋体" w:hAnsi="Times New Roman"/>
          <w:color w:val="000000"/>
          <w:sz w:val="20"/>
          <w:szCs w:val="20"/>
        </w:rPr>
        <w:t>48</w:t>
      </w:r>
    </w:p>
    <w:p w14:paraId="518B52DE" w14:textId="77777777" w:rsidR="005C332D" w:rsidRDefault="00B93EAE">
      <w:r>
        <w:pict w14:anchorId="518B8745">
          <v:rect id="_x0000_i1074" style="width:415.3pt;height:1.5pt" o:hralign="center" o:hrstd="t" o:hr="t" fillcolor="#a0a0a0" stroked="f"/>
        </w:pict>
      </w:r>
    </w:p>
    <w:p w14:paraId="518B52DF" w14:textId="77777777" w:rsidR="005C332D" w:rsidRDefault="00B93EAE">
      <w:hyperlink r:id="rId102" w:anchor="i049852cab38845aabd2a79d07dacda86_7" w:history="1">
        <w:r>
          <w:rPr>
            <w:rStyle w:val="a5"/>
            <w:rFonts w:ascii="Times New Roman" w:eastAsia="宋体" w:hAnsi="Times New Roman"/>
            <w:sz w:val="20"/>
            <w:szCs w:val="20"/>
          </w:rPr>
          <w:t>Table of Contents</w:t>
        </w:r>
      </w:hyperlink>
    </w:p>
    <w:p w14:paraId="518B52E0" w14:textId="77777777" w:rsidR="005C332D" w:rsidRDefault="00B93EAE">
      <w:pPr>
        <w:spacing w:before="120"/>
        <w:jc w:val="both"/>
      </w:pPr>
      <w:r>
        <w:rPr>
          <w:rFonts w:ascii="Times New Roman" w:eastAsia="宋体" w:hAnsi="Times New Roman"/>
          <w:color w:val="000000"/>
          <w:sz w:val="20"/>
          <w:szCs w:val="20"/>
          <w:u w:val="single"/>
        </w:rPr>
        <w:t>Borrowings</w:t>
      </w:r>
    </w:p>
    <w:p w14:paraId="518B52E1" w14:textId="77777777" w:rsidR="005C332D" w:rsidRDefault="00B93EAE">
      <w:pPr>
        <w:spacing w:before="120"/>
        <w:jc w:val="both"/>
      </w:pPr>
      <w:r>
        <w:rPr>
          <w:rFonts w:ascii="Times New Roman" w:eastAsia="宋体" w:hAnsi="Times New Roman"/>
          <w:i/>
          <w:iCs/>
          <w:color w:val="000000"/>
          <w:sz w:val="20"/>
          <w:szCs w:val="20"/>
          <w:u w:val="single"/>
        </w:rPr>
        <w:t>Senior Notes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following table summarizes the principal amount of our senior notes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3979"/>
        <w:gridCol w:w="38"/>
        <w:gridCol w:w="46"/>
        <w:gridCol w:w="1859"/>
        <w:gridCol w:w="37"/>
        <w:gridCol w:w="36"/>
        <w:gridCol w:w="36"/>
        <w:gridCol w:w="36"/>
        <w:gridCol w:w="120"/>
        <w:gridCol w:w="900"/>
        <w:gridCol w:w="36"/>
        <w:gridCol w:w="36"/>
        <w:gridCol w:w="36"/>
        <w:gridCol w:w="36"/>
        <w:gridCol w:w="120"/>
        <w:gridCol w:w="903"/>
        <w:gridCol w:w="36"/>
      </w:tblGrid>
      <w:tr w:rsidR="005C332D" w14:paraId="518B52F4" w14:textId="77777777">
        <w:trPr>
          <w:jc w:val="center"/>
        </w:trPr>
        <w:tc>
          <w:tcPr>
            <w:tcW w:w="50" w:type="pct"/>
            <w:shd w:val="clear" w:color="auto" w:fill="auto"/>
            <w:vAlign w:val="bottom"/>
          </w:tcPr>
          <w:p w14:paraId="518B52E2" w14:textId="77777777" w:rsidR="005C332D" w:rsidRDefault="005C332D">
            <w:pPr>
              <w:rPr>
                <w:rFonts w:ascii="宋体"/>
              </w:rPr>
            </w:pPr>
          </w:p>
        </w:tc>
        <w:tc>
          <w:tcPr>
            <w:tcW w:w="2408" w:type="pct"/>
            <w:shd w:val="clear" w:color="auto" w:fill="auto"/>
            <w:vAlign w:val="bottom"/>
          </w:tcPr>
          <w:p w14:paraId="518B52E3" w14:textId="77777777" w:rsidR="005C332D" w:rsidRDefault="005C332D">
            <w:pPr>
              <w:rPr>
                <w:rFonts w:ascii="宋体"/>
              </w:rPr>
            </w:pPr>
          </w:p>
        </w:tc>
        <w:tc>
          <w:tcPr>
            <w:tcW w:w="5" w:type="pct"/>
            <w:shd w:val="clear" w:color="auto" w:fill="auto"/>
            <w:vAlign w:val="bottom"/>
          </w:tcPr>
          <w:p w14:paraId="518B52E4" w14:textId="77777777" w:rsidR="005C332D" w:rsidRDefault="005C332D">
            <w:pPr>
              <w:rPr>
                <w:rFonts w:ascii="宋体"/>
              </w:rPr>
            </w:pPr>
          </w:p>
        </w:tc>
        <w:tc>
          <w:tcPr>
            <w:tcW w:w="50" w:type="pct"/>
            <w:shd w:val="clear" w:color="auto" w:fill="auto"/>
            <w:vAlign w:val="bottom"/>
          </w:tcPr>
          <w:p w14:paraId="518B52E5" w14:textId="77777777" w:rsidR="005C332D" w:rsidRDefault="005C332D">
            <w:pPr>
              <w:rPr>
                <w:rFonts w:ascii="宋体"/>
              </w:rPr>
            </w:pPr>
          </w:p>
        </w:tc>
        <w:tc>
          <w:tcPr>
            <w:tcW w:w="1136" w:type="pct"/>
            <w:shd w:val="clear" w:color="auto" w:fill="auto"/>
            <w:vAlign w:val="bottom"/>
          </w:tcPr>
          <w:p w14:paraId="518B52E6" w14:textId="77777777" w:rsidR="005C332D" w:rsidRDefault="005C332D">
            <w:pPr>
              <w:rPr>
                <w:rFonts w:ascii="宋体"/>
              </w:rPr>
            </w:pPr>
          </w:p>
        </w:tc>
        <w:tc>
          <w:tcPr>
            <w:tcW w:w="5" w:type="pct"/>
            <w:shd w:val="clear" w:color="auto" w:fill="auto"/>
            <w:vAlign w:val="bottom"/>
          </w:tcPr>
          <w:p w14:paraId="518B52E7" w14:textId="77777777" w:rsidR="005C332D" w:rsidRDefault="005C332D">
            <w:pPr>
              <w:rPr>
                <w:rFonts w:ascii="宋体"/>
              </w:rPr>
            </w:pPr>
          </w:p>
        </w:tc>
        <w:tc>
          <w:tcPr>
            <w:tcW w:w="5" w:type="pct"/>
            <w:shd w:val="clear" w:color="auto" w:fill="auto"/>
            <w:vAlign w:val="bottom"/>
          </w:tcPr>
          <w:p w14:paraId="518B52E8" w14:textId="77777777" w:rsidR="005C332D" w:rsidRDefault="005C332D">
            <w:pPr>
              <w:rPr>
                <w:rFonts w:ascii="宋体"/>
              </w:rPr>
            </w:pPr>
          </w:p>
        </w:tc>
        <w:tc>
          <w:tcPr>
            <w:tcW w:w="26" w:type="pct"/>
            <w:shd w:val="clear" w:color="auto" w:fill="auto"/>
            <w:vAlign w:val="bottom"/>
          </w:tcPr>
          <w:p w14:paraId="518B52E9" w14:textId="77777777" w:rsidR="005C332D" w:rsidRDefault="005C332D">
            <w:pPr>
              <w:rPr>
                <w:rFonts w:ascii="宋体"/>
              </w:rPr>
            </w:pPr>
          </w:p>
        </w:tc>
        <w:tc>
          <w:tcPr>
            <w:tcW w:w="5" w:type="pct"/>
            <w:shd w:val="clear" w:color="auto" w:fill="auto"/>
            <w:vAlign w:val="bottom"/>
          </w:tcPr>
          <w:p w14:paraId="518B52EA" w14:textId="77777777" w:rsidR="005C332D" w:rsidRDefault="005C332D">
            <w:pPr>
              <w:rPr>
                <w:rFonts w:ascii="宋体"/>
              </w:rPr>
            </w:pPr>
          </w:p>
        </w:tc>
        <w:tc>
          <w:tcPr>
            <w:tcW w:w="50" w:type="pct"/>
            <w:shd w:val="clear" w:color="auto" w:fill="auto"/>
            <w:vAlign w:val="bottom"/>
          </w:tcPr>
          <w:p w14:paraId="518B52EB" w14:textId="77777777" w:rsidR="005C332D" w:rsidRDefault="005C332D">
            <w:pPr>
              <w:rPr>
                <w:rFonts w:ascii="宋体"/>
              </w:rPr>
            </w:pPr>
          </w:p>
        </w:tc>
        <w:tc>
          <w:tcPr>
            <w:tcW w:w="580" w:type="pct"/>
            <w:shd w:val="clear" w:color="auto" w:fill="auto"/>
            <w:vAlign w:val="bottom"/>
          </w:tcPr>
          <w:p w14:paraId="518B52EC" w14:textId="77777777" w:rsidR="005C332D" w:rsidRDefault="005C332D">
            <w:pPr>
              <w:rPr>
                <w:rFonts w:ascii="宋体"/>
              </w:rPr>
            </w:pPr>
          </w:p>
        </w:tc>
        <w:tc>
          <w:tcPr>
            <w:tcW w:w="5" w:type="pct"/>
            <w:shd w:val="clear" w:color="auto" w:fill="auto"/>
            <w:vAlign w:val="bottom"/>
          </w:tcPr>
          <w:p w14:paraId="518B52ED" w14:textId="77777777" w:rsidR="005C332D" w:rsidRDefault="005C332D">
            <w:pPr>
              <w:rPr>
                <w:rFonts w:ascii="宋体"/>
              </w:rPr>
            </w:pPr>
          </w:p>
        </w:tc>
        <w:tc>
          <w:tcPr>
            <w:tcW w:w="5" w:type="pct"/>
            <w:shd w:val="clear" w:color="auto" w:fill="auto"/>
            <w:vAlign w:val="bottom"/>
          </w:tcPr>
          <w:p w14:paraId="518B52EE" w14:textId="77777777" w:rsidR="005C332D" w:rsidRDefault="005C332D">
            <w:pPr>
              <w:rPr>
                <w:rFonts w:ascii="宋体"/>
              </w:rPr>
            </w:pPr>
          </w:p>
        </w:tc>
        <w:tc>
          <w:tcPr>
            <w:tcW w:w="26" w:type="pct"/>
            <w:shd w:val="clear" w:color="auto" w:fill="auto"/>
            <w:vAlign w:val="bottom"/>
          </w:tcPr>
          <w:p w14:paraId="518B52EF" w14:textId="77777777" w:rsidR="005C332D" w:rsidRDefault="005C332D">
            <w:pPr>
              <w:rPr>
                <w:rFonts w:ascii="宋体"/>
              </w:rPr>
            </w:pPr>
          </w:p>
        </w:tc>
        <w:tc>
          <w:tcPr>
            <w:tcW w:w="5" w:type="pct"/>
            <w:shd w:val="clear" w:color="auto" w:fill="auto"/>
            <w:vAlign w:val="bottom"/>
          </w:tcPr>
          <w:p w14:paraId="518B52F0" w14:textId="77777777" w:rsidR="005C332D" w:rsidRDefault="005C332D">
            <w:pPr>
              <w:rPr>
                <w:rFonts w:ascii="宋体"/>
              </w:rPr>
            </w:pPr>
          </w:p>
        </w:tc>
        <w:tc>
          <w:tcPr>
            <w:tcW w:w="50" w:type="pct"/>
            <w:shd w:val="clear" w:color="auto" w:fill="auto"/>
            <w:vAlign w:val="bottom"/>
          </w:tcPr>
          <w:p w14:paraId="518B52F1" w14:textId="77777777" w:rsidR="005C332D" w:rsidRDefault="005C332D">
            <w:pPr>
              <w:rPr>
                <w:rFonts w:ascii="宋体"/>
              </w:rPr>
            </w:pPr>
          </w:p>
        </w:tc>
        <w:tc>
          <w:tcPr>
            <w:tcW w:w="581" w:type="pct"/>
            <w:shd w:val="clear" w:color="auto" w:fill="auto"/>
            <w:vAlign w:val="bottom"/>
          </w:tcPr>
          <w:p w14:paraId="518B52F2" w14:textId="77777777" w:rsidR="005C332D" w:rsidRDefault="005C332D">
            <w:pPr>
              <w:rPr>
                <w:rFonts w:ascii="宋体"/>
              </w:rPr>
            </w:pPr>
          </w:p>
        </w:tc>
        <w:tc>
          <w:tcPr>
            <w:tcW w:w="5" w:type="pct"/>
            <w:shd w:val="clear" w:color="auto" w:fill="auto"/>
            <w:vAlign w:val="bottom"/>
          </w:tcPr>
          <w:p w14:paraId="518B52F3" w14:textId="77777777" w:rsidR="005C332D" w:rsidRDefault="005C332D">
            <w:pPr>
              <w:rPr>
                <w:rFonts w:ascii="宋体"/>
              </w:rPr>
            </w:pPr>
          </w:p>
        </w:tc>
      </w:tr>
      <w:tr w:rsidR="005C332D" w14:paraId="518B52FB" w14:textId="77777777">
        <w:trPr>
          <w:jc w:val="center"/>
        </w:trPr>
        <w:tc>
          <w:tcPr>
            <w:tcW w:w="0" w:type="auto"/>
            <w:gridSpan w:val="3"/>
            <w:shd w:val="clear" w:color="auto" w:fill="auto"/>
            <w:tcMar>
              <w:top w:w="40" w:type="dxa"/>
              <w:left w:w="20" w:type="dxa"/>
              <w:bottom w:w="40" w:type="dxa"/>
              <w:right w:w="20" w:type="dxa"/>
            </w:tcMar>
            <w:vAlign w:val="bottom"/>
          </w:tcPr>
          <w:p w14:paraId="518B52F5"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18B52F6" w14:textId="77777777" w:rsidR="005C332D" w:rsidRDefault="00B93EAE">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vAlign w:val="bottom"/>
          </w:tcPr>
          <w:p w14:paraId="518B52F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2F8"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2F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2FA"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5302" w14:textId="77777777">
        <w:trPr>
          <w:jc w:val="center"/>
        </w:trPr>
        <w:tc>
          <w:tcPr>
            <w:tcW w:w="0" w:type="auto"/>
            <w:gridSpan w:val="3"/>
            <w:shd w:val="clear" w:color="auto" w:fill="CCEEFF"/>
            <w:tcMar>
              <w:top w:w="40" w:type="dxa"/>
              <w:left w:w="20" w:type="dxa"/>
              <w:bottom w:w="40" w:type="dxa"/>
              <w:right w:w="20" w:type="dxa"/>
            </w:tcMar>
          </w:tcPr>
          <w:p w14:paraId="518B52FC" w14:textId="77777777" w:rsidR="005C332D" w:rsidRDefault="00B93EAE">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2F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2FE"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2F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300"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301" w14:textId="77777777" w:rsidR="005C332D" w:rsidRDefault="005C332D">
            <w:pPr>
              <w:rPr>
                <w:rFonts w:ascii="宋体"/>
              </w:rPr>
            </w:pPr>
          </w:p>
        </w:tc>
      </w:tr>
      <w:tr w:rsidR="005C332D" w14:paraId="518B5309" w14:textId="77777777">
        <w:trPr>
          <w:jc w:val="center"/>
        </w:trPr>
        <w:tc>
          <w:tcPr>
            <w:tcW w:w="0" w:type="auto"/>
            <w:gridSpan w:val="3"/>
            <w:shd w:val="clear" w:color="auto" w:fill="FFFFFF"/>
            <w:tcMar>
              <w:top w:w="40" w:type="dxa"/>
              <w:left w:w="155" w:type="dxa"/>
              <w:bottom w:w="40" w:type="dxa"/>
              <w:right w:w="20" w:type="dxa"/>
            </w:tcMar>
          </w:tcPr>
          <w:p w14:paraId="518B5303" w14:textId="77777777" w:rsidR="005C332D" w:rsidRDefault="00B93EAE">
            <w:pPr>
              <w:textAlignment w:val="top"/>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vAlign w:val="bottom"/>
          </w:tcPr>
          <w:p w14:paraId="518B530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30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30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30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308" w14:textId="77777777" w:rsidR="005C332D" w:rsidRDefault="005C332D">
            <w:pPr>
              <w:rPr>
                <w:rFonts w:ascii="宋体"/>
              </w:rPr>
            </w:pPr>
          </w:p>
        </w:tc>
      </w:tr>
      <w:tr w:rsidR="005C332D" w14:paraId="518B5314" w14:textId="77777777">
        <w:trPr>
          <w:jc w:val="center"/>
        </w:trPr>
        <w:tc>
          <w:tcPr>
            <w:tcW w:w="0" w:type="auto"/>
            <w:gridSpan w:val="3"/>
            <w:shd w:val="clear" w:color="auto" w:fill="CCEEFF"/>
            <w:tcMar>
              <w:top w:w="40" w:type="dxa"/>
              <w:left w:w="380" w:type="dxa"/>
              <w:bottom w:w="40" w:type="dxa"/>
              <w:right w:w="20" w:type="dxa"/>
            </w:tcMar>
            <w:vAlign w:val="center"/>
          </w:tcPr>
          <w:p w14:paraId="518B530A" w14:textId="77777777" w:rsidR="005C332D" w:rsidRDefault="00B93EAE">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518B530B" w14:textId="77777777" w:rsidR="005C332D" w:rsidRDefault="00B93EAE">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vAlign w:val="bottom"/>
          </w:tcPr>
          <w:p w14:paraId="518B530C"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30D"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530E"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30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10"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31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312" w14:textId="77777777" w:rsidR="005C332D" w:rsidRDefault="00B93EAE">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518B5313" w14:textId="77777777" w:rsidR="005C332D" w:rsidRDefault="005C332D">
            <w:pPr>
              <w:jc w:val="right"/>
              <w:rPr>
                <w:rFonts w:ascii="宋体"/>
              </w:rPr>
            </w:pPr>
          </w:p>
        </w:tc>
      </w:tr>
      <w:tr w:rsidR="005C332D" w14:paraId="518B531D" w14:textId="77777777">
        <w:trPr>
          <w:jc w:val="center"/>
        </w:trPr>
        <w:tc>
          <w:tcPr>
            <w:tcW w:w="0" w:type="auto"/>
            <w:gridSpan w:val="3"/>
            <w:shd w:val="clear" w:color="auto" w:fill="FFFFFF"/>
            <w:tcMar>
              <w:top w:w="40" w:type="dxa"/>
              <w:left w:w="380" w:type="dxa"/>
              <w:bottom w:w="40" w:type="dxa"/>
              <w:right w:w="20" w:type="dxa"/>
            </w:tcMar>
            <w:vAlign w:val="center"/>
          </w:tcPr>
          <w:p w14:paraId="518B5315" w14:textId="77777777" w:rsidR="005C332D" w:rsidRDefault="00B93EAE">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518B5316" w14:textId="77777777" w:rsidR="005C332D" w:rsidRDefault="00B93EAE">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vAlign w:val="bottom"/>
          </w:tcPr>
          <w:p w14:paraId="518B531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18"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31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31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1B" w14:textId="77777777" w:rsidR="005C332D" w:rsidRDefault="00B93EAE">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518B531C" w14:textId="77777777" w:rsidR="005C332D" w:rsidRDefault="005C332D">
            <w:pPr>
              <w:jc w:val="right"/>
              <w:rPr>
                <w:rFonts w:ascii="宋体"/>
              </w:rPr>
            </w:pPr>
          </w:p>
        </w:tc>
      </w:tr>
      <w:tr w:rsidR="005C332D" w14:paraId="518B5326" w14:textId="77777777">
        <w:trPr>
          <w:jc w:val="center"/>
        </w:trPr>
        <w:tc>
          <w:tcPr>
            <w:tcW w:w="0" w:type="auto"/>
            <w:gridSpan w:val="3"/>
            <w:shd w:val="clear" w:color="auto" w:fill="CCEEFF"/>
            <w:tcMar>
              <w:top w:w="40" w:type="dxa"/>
              <w:left w:w="380" w:type="dxa"/>
              <w:bottom w:w="40" w:type="dxa"/>
              <w:right w:w="20" w:type="dxa"/>
            </w:tcMar>
            <w:vAlign w:val="center"/>
          </w:tcPr>
          <w:p w14:paraId="518B531E" w14:textId="77777777" w:rsidR="005C332D" w:rsidRDefault="00B93EAE">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518B531F" w14:textId="77777777" w:rsidR="005C332D" w:rsidRDefault="00B93EAE">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vAlign w:val="bottom"/>
          </w:tcPr>
          <w:p w14:paraId="518B532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321" w14:textId="77777777" w:rsidR="005C332D" w:rsidRDefault="00B93EAE">
            <w:pPr>
              <w:jc w:val="right"/>
              <w:textAlignment w:val="bottom"/>
            </w:pPr>
            <w:r>
              <w:rPr>
                <w:rFonts w:ascii="Times New Roman" w:eastAsia="宋体" w:hAnsi="Times New Roman"/>
                <w:b/>
                <w:bCs/>
                <w:color w:val="000000"/>
                <w:sz w:val="20"/>
                <w:szCs w:val="20"/>
              </w:rPr>
              <w:t>500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32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2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324" w14:textId="77777777" w:rsidR="005C332D" w:rsidRDefault="00B93EAE">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518B5325" w14:textId="77777777" w:rsidR="005C332D" w:rsidRDefault="005C332D">
            <w:pPr>
              <w:jc w:val="right"/>
              <w:rPr>
                <w:rFonts w:ascii="宋体"/>
              </w:rPr>
            </w:pPr>
          </w:p>
        </w:tc>
      </w:tr>
      <w:tr w:rsidR="005C332D" w14:paraId="518B532F" w14:textId="77777777">
        <w:trPr>
          <w:jc w:val="center"/>
        </w:trPr>
        <w:tc>
          <w:tcPr>
            <w:tcW w:w="0" w:type="auto"/>
            <w:gridSpan w:val="3"/>
            <w:shd w:val="clear" w:color="auto" w:fill="FFFFFF"/>
            <w:tcMar>
              <w:top w:w="40" w:type="dxa"/>
              <w:left w:w="380" w:type="dxa"/>
              <w:bottom w:w="40" w:type="dxa"/>
              <w:right w:w="20" w:type="dxa"/>
            </w:tcMar>
            <w:vAlign w:val="center"/>
          </w:tcPr>
          <w:p w14:paraId="518B5327" w14:textId="77777777" w:rsidR="005C332D" w:rsidRDefault="00B93EAE">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518B5328" w14:textId="77777777" w:rsidR="005C332D" w:rsidRDefault="00B93EAE">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vAlign w:val="bottom"/>
          </w:tcPr>
          <w:p w14:paraId="518B532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2A" w14:textId="77777777" w:rsidR="005C332D" w:rsidRDefault="00B93EAE">
            <w:pPr>
              <w:jc w:val="right"/>
              <w:textAlignment w:val="bottom"/>
            </w:pPr>
            <w:r>
              <w:rPr>
                <w:rFonts w:ascii="Times New Roman" w:eastAsia="宋体" w:hAnsi="Times New Roman"/>
                <w:b/>
                <w:bCs/>
                <w:color w:val="000000"/>
                <w:sz w:val="20"/>
                <w:szCs w:val="20"/>
              </w:rPr>
              <w:t>750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32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32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2D" w14:textId="77777777" w:rsidR="005C332D" w:rsidRDefault="00B93EAE">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518B532E" w14:textId="77777777" w:rsidR="005C332D" w:rsidRDefault="005C332D">
            <w:pPr>
              <w:jc w:val="right"/>
              <w:rPr>
                <w:rFonts w:ascii="宋体"/>
              </w:rPr>
            </w:pPr>
          </w:p>
        </w:tc>
      </w:tr>
      <w:tr w:rsidR="005C332D" w14:paraId="518B5338" w14:textId="77777777">
        <w:trPr>
          <w:jc w:val="center"/>
        </w:trPr>
        <w:tc>
          <w:tcPr>
            <w:tcW w:w="0" w:type="auto"/>
            <w:gridSpan w:val="3"/>
            <w:shd w:val="clear" w:color="auto" w:fill="CCEEFF"/>
            <w:tcMar>
              <w:top w:w="40" w:type="dxa"/>
              <w:left w:w="380" w:type="dxa"/>
              <w:bottom w:w="40" w:type="dxa"/>
              <w:right w:w="20" w:type="dxa"/>
            </w:tcMar>
            <w:vAlign w:val="center"/>
          </w:tcPr>
          <w:p w14:paraId="518B5330" w14:textId="77777777" w:rsidR="005C332D" w:rsidRDefault="00B93EAE">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518B5331" w14:textId="77777777" w:rsidR="005C332D" w:rsidRDefault="00B93EAE">
            <w:pPr>
              <w:textAlignment w:val="bottom"/>
            </w:pPr>
            <w:r>
              <w:rPr>
                <w:rFonts w:ascii="Times New Roman" w:eastAsia="宋体" w:hAnsi="Times New Roman"/>
                <w:color w:val="000000"/>
                <w:sz w:val="20"/>
                <w:szCs w:val="20"/>
              </w:rPr>
              <w:t>March 4, 2024</w:t>
            </w:r>
          </w:p>
        </w:tc>
        <w:tc>
          <w:tcPr>
            <w:tcW w:w="0" w:type="auto"/>
            <w:gridSpan w:val="3"/>
            <w:shd w:val="clear" w:color="auto" w:fill="CCEEFF"/>
            <w:tcMar>
              <w:top w:w="0" w:type="dxa"/>
              <w:left w:w="20" w:type="dxa"/>
              <w:bottom w:w="0" w:type="dxa"/>
              <w:right w:w="20" w:type="dxa"/>
            </w:tcMar>
            <w:vAlign w:val="bottom"/>
          </w:tcPr>
          <w:p w14:paraId="518B533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333" w14:textId="77777777" w:rsidR="005C332D" w:rsidRDefault="00B93EAE">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33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3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336" w14:textId="77777777" w:rsidR="005C332D" w:rsidRDefault="00B93EAE">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518B5337" w14:textId="77777777" w:rsidR="005C332D" w:rsidRDefault="005C332D">
            <w:pPr>
              <w:jc w:val="right"/>
              <w:rPr>
                <w:rFonts w:ascii="宋体"/>
              </w:rPr>
            </w:pPr>
          </w:p>
        </w:tc>
      </w:tr>
      <w:tr w:rsidR="005C332D" w14:paraId="518B5341" w14:textId="77777777">
        <w:trPr>
          <w:jc w:val="center"/>
        </w:trPr>
        <w:tc>
          <w:tcPr>
            <w:tcW w:w="0" w:type="auto"/>
            <w:gridSpan w:val="3"/>
            <w:shd w:val="clear" w:color="auto" w:fill="FFFFFF"/>
            <w:tcMar>
              <w:top w:w="40" w:type="dxa"/>
              <w:left w:w="380" w:type="dxa"/>
              <w:bottom w:w="40" w:type="dxa"/>
              <w:right w:w="20" w:type="dxa"/>
            </w:tcMar>
            <w:vAlign w:val="center"/>
          </w:tcPr>
          <w:p w14:paraId="518B5339" w14:textId="77777777" w:rsidR="005C332D" w:rsidRDefault="00B93EAE">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518B533A" w14:textId="77777777" w:rsidR="005C332D" w:rsidRDefault="00B93EAE">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vAlign w:val="bottom"/>
          </w:tcPr>
          <w:p w14:paraId="518B533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3C" w14:textId="77777777" w:rsidR="005C332D" w:rsidRDefault="00B93EAE">
            <w:pPr>
              <w:jc w:val="right"/>
              <w:textAlignment w:val="bottom"/>
            </w:pPr>
            <w:r>
              <w:rPr>
                <w:rFonts w:ascii="Times New Roman" w:eastAsia="宋体" w:hAnsi="Times New Roman"/>
                <w:b/>
                <w:bCs/>
                <w:color w:val="000000"/>
                <w:sz w:val="20"/>
                <w:szCs w:val="20"/>
              </w:rPr>
              <w:t>500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33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33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3F" w14:textId="77777777" w:rsidR="005C332D" w:rsidRDefault="00B93EAE">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518B5340" w14:textId="77777777" w:rsidR="005C332D" w:rsidRDefault="005C332D">
            <w:pPr>
              <w:jc w:val="right"/>
              <w:rPr>
                <w:rFonts w:ascii="宋体"/>
              </w:rPr>
            </w:pPr>
          </w:p>
        </w:tc>
      </w:tr>
      <w:tr w:rsidR="005C332D" w14:paraId="518B534A" w14:textId="77777777">
        <w:trPr>
          <w:jc w:val="center"/>
        </w:trPr>
        <w:tc>
          <w:tcPr>
            <w:tcW w:w="0" w:type="auto"/>
            <w:gridSpan w:val="3"/>
            <w:shd w:val="clear" w:color="auto" w:fill="CCEEFF"/>
            <w:tcMar>
              <w:top w:w="40" w:type="dxa"/>
              <w:left w:w="380" w:type="dxa"/>
              <w:bottom w:w="40" w:type="dxa"/>
              <w:right w:w="20" w:type="dxa"/>
            </w:tcMar>
            <w:vAlign w:val="center"/>
          </w:tcPr>
          <w:p w14:paraId="518B5342" w14:textId="77777777" w:rsidR="005C332D" w:rsidRDefault="00B93EAE">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518B5343" w14:textId="77777777" w:rsidR="005C332D" w:rsidRDefault="00B93EAE">
            <w:pPr>
              <w:textAlignment w:val="bottom"/>
            </w:pPr>
            <w:r>
              <w:rPr>
                <w:rFonts w:ascii="Times New Roman" w:eastAsia="宋体" w:hAnsi="Times New Roman"/>
                <w:color w:val="000000"/>
                <w:sz w:val="20"/>
                <w:szCs w:val="20"/>
              </w:rPr>
              <w:t xml:space="preserve">February 28, </w:t>
            </w:r>
            <w:r>
              <w:rPr>
                <w:rFonts w:ascii="Times New Roman" w:eastAsia="宋体" w:hAnsi="Times New Roman"/>
                <w:color w:val="000000"/>
                <w:sz w:val="20"/>
                <w:szCs w:val="20"/>
              </w:rPr>
              <w:t>2026</w:t>
            </w:r>
          </w:p>
        </w:tc>
        <w:tc>
          <w:tcPr>
            <w:tcW w:w="0" w:type="auto"/>
            <w:gridSpan w:val="3"/>
            <w:shd w:val="clear" w:color="auto" w:fill="CCEEFF"/>
            <w:tcMar>
              <w:top w:w="0" w:type="dxa"/>
              <w:left w:w="20" w:type="dxa"/>
              <w:bottom w:w="0" w:type="dxa"/>
              <w:right w:w="20" w:type="dxa"/>
            </w:tcMar>
            <w:vAlign w:val="bottom"/>
          </w:tcPr>
          <w:p w14:paraId="518B534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345" w14:textId="77777777" w:rsidR="005C332D" w:rsidRDefault="00B93EAE">
            <w:pPr>
              <w:jc w:val="right"/>
              <w:textAlignment w:val="bottom"/>
            </w:pPr>
            <w:r>
              <w:rPr>
                <w:rFonts w:ascii="Times New Roman" w:eastAsia="宋体" w:hAnsi="Times New Roman"/>
                <w:b/>
                <w:bCs/>
                <w:color w:val="000000"/>
                <w:sz w:val="20"/>
                <w:szCs w:val="20"/>
              </w:rPr>
              <w:t>750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34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4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348" w14:textId="77777777" w:rsidR="005C332D" w:rsidRDefault="00B93EAE">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518B5349" w14:textId="77777777" w:rsidR="005C332D" w:rsidRDefault="005C332D">
            <w:pPr>
              <w:jc w:val="right"/>
              <w:rPr>
                <w:rFonts w:ascii="宋体"/>
              </w:rPr>
            </w:pPr>
          </w:p>
        </w:tc>
      </w:tr>
      <w:tr w:rsidR="005C332D" w14:paraId="518B5353" w14:textId="77777777">
        <w:trPr>
          <w:jc w:val="center"/>
        </w:trPr>
        <w:tc>
          <w:tcPr>
            <w:tcW w:w="0" w:type="auto"/>
            <w:gridSpan w:val="3"/>
            <w:shd w:val="clear" w:color="auto" w:fill="FFFFFF"/>
            <w:tcMar>
              <w:top w:w="40" w:type="dxa"/>
              <w:left w:w="380" w:type="dxa"/>
              <w:bottom w:w="40" w:type="dxa"/>
              <w:right w:w="20" w:type="dxa"/>
            </w:tcMar>
            <w:vAlign w:val="center"/>
          </w:tcPr>
          <w:p w14:paraId="518B534B" w14:textId="77777777" w:rsidR="005C332D" w:rsidRDefault="00B93EAE">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518B534C" w14:textId="77777777" w:rsidR="005C332D" w:rsidRDefault="00B93EAE">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vAlign w:val="bottom"/>
          </w:tcPr>
          <w:p w14:paraId="518B534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4E" w14:textId="77777777" w:rsidR="005C332D" w:rsidRDefault="00B93EAE">
            <w:pPr>
              <w:jc w:val="right"/>
              <w:textAlignment w:val="bottom"/>
            </w:pPr>
            <w:r>
              <w:rPr>
                <w:rFonts w:ascii="Times New Roman" w:eastAsia="宋体" w:hAnsi="Times New Roman"/>
                <w:b/>
                <w:bCs/>
                <w:color w:val="000000"/>
                <w:sz w:val="20"/>
                <w:szCs w:val="20"/>
              </w:rPr>
              <w:t>1,500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34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35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51" w14:textId="77777777" w:rsidR="005C332D" w:rsidRDefault="00B93EAE">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518B5352" w14:textId="77777777" w:rsidR="005C332D" w:rsidRDefault="005C332D">
            <w:pPr>
              <w:jc w:val="right"/>
              <w:rPr>
                <w:rFonts w:ascii="宋体"/>
              </w:rPr>
            </w:pPr>
          </w:p>
        </w:tc>
      </w:tr>
      <w:tr w:rsidR="005C332D" w14:paraId="518B535C" w14:textId="77777777">
        <w:trPr>
          <w:jc w:val="center"/>
        </w:trPr>
        <w:tc>
          <w:tcPr>
            <w:tcW w:w="0" w:type="auto"/>
            <w:gridSpan w:val="3"/>
            <w:shd w:val="clear" w:color="auto" w:fill="CCEEFF"/>
            <w:tcMar>
              <w:top w:w="40" w:type="dxa"/>
              <w:left w:w="380" w:type="dxa"/>
              <w:bottom w:w="40" w:type="dxa"/>
              <w:right w:w="20" w:type="dxa"/>
            </w:tcMar>
            <w:vAlign w:val="center"/>
          </w:tcPr>
          <w:p w14:paraId="518B5354" w14:textId="77777777" w:rsidR="005C332D" w:rsidRDefault="00B93EAE">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518B5355" w14:textId="77777777" w:rsidR="005C332D" w:rsidRDefault="00B93EAE">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vAlign w:val="bottom"/>
          </w:tcPr>
          <w:p w14:paraId="518B535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357" w14:textId="77777777" w:rsidR="005C332D" w:rsidRDefault="00B93EAE">
            <w:pPr>
              <w:jc w:val="right"/>
              <w:textAlignment w:val="bottom"/>
            </w:pPr>
            <w:r>
              <w:rPr>
                <w:rFonts w:ascii="Times New Roman" w:eastAsia="宋体" w:hAnsi="Times New Roman"/>
                <w:b/>
                <w:bCs/>
                <w:color w:val="000000"/>
                <w:sz w:val="20"/>
                <w:szCs w:val="20"/>
              </w:rPr>
              <w:t>2,000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35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5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35A" w14:textId="77777777" w:rsidR="005C332D" w:rsidRDefault="00B93EAE">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518B535B" w14:textId="77777777" w:rsidR="005C332D" w:rsidRDefault="005C332D">
            <w:pPr>
              <w:jc w:val="right"/>
              <w:rPr>
                <w:rFonts w:ascii="宋体"/>
              </w:rPr>
            </w:pPr>
          </w:p>
        </w:tc>
      </w:tr>
      <w:tr w:rsidR="005C332D" w14:paraId="518B5365" w14:textId="77777777">
        <w:trPr>
          <w:jc w:val="center"/>
        </w:trPr>
        <w:tc>
          <w:tcPr>
            <w:tcW w:w="0" w:type="auto"/>
            <w:gridSpan w:val="3"/>
            <w:shd w:val="clear" w:color="auto" w:fill="FFFFFF"/>
            <w:tcMar>
              <w:top w:w="40" w:type="dxa"/>
              <w:left w:w="380" w:type="dxa"/>
              <w:bottom w:w="40" w:type="dxa"/>
              <w:right w:w="20" w:type="dxa"/>
            </w:tcMar>
            <w:vAlign w:val="center"/>
          </w:tcPr>
          <w:p w14:paraId="518B535D" w14:textId="77777777" w:rsidR="005C332D" w:rsidRDefault="00B93EAE">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518B535E" w14:textId="77777777" w:rsidR="005C332D" w:rsidRDefault="00B93EAE">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vAlign w:val="bottom"/>
          </w:tcPr>
          <w:p w14:paraId="518B535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60" w14:textId="77777777" w:rsidR="005C332D" w:rsidRDefault="00B93EAE">
            <w:pPr>
              <w:jc w:val="right"/>
              <w:textAlignment w:val="bottom"/>
            </w:pPr>
            <w:r>
              <w:rPr>
                <w:rFonts w:ascii="Times New Roman" w:eastAsia="宋体" w:hAnsi="Times New Roman"/>
                <w:b/>
                <w:bCs/>
                <w:color w:val="000000"/>
                <w:sz w:val="20"/>
                <w:szCs w:val="20"/>
              </w:rPr>
              <w:t>2,000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36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36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63" w14:textId="77777777" w:rsidR="005C332D" w:rsidRDefault="00B93EAE">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518B5364" w14:textId="77777777" w:rsidR="005C332D" w:rsidRDefault="005C332D">
            <w:pPr>
              <w:jc w:val="right"/>
              <w:rPr>
                <w:rFonts w:ascii="宋体"/>
              </w:rPr>
            </w:pPr>
          </w:p>
        </w:tc>
      </w:tr>
      <w:tr w:rsidR="005C332D" w14:paraId="518B5370" w14:textId="77777777">
        <w:trPr>
          <w:jc w:val="center"/>
        </w:trPr>
        <w:tc>
          <w:tcPr>
            <w:tcW w:w="0" w:type="auto"/>
            <w:gridSpan w:val="3"/>
            <w:shd w:val="clear" w:color="auto" w:fill="CCEEFF"/>
            <w:tcMar>
              <w:top w:w="40" w:type="dxa"/>
              <w:left w:w="740" w:type="dxa"/>
              <w:bottom w:w="40" w:type="dxa"/>
              <w:right w:w="20" w:type="dxa"/>
            </w:tcMar>
          </w:tcPr>
          <w:p w14:paraId="518B5366"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536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368"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36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36A" w14:textId="77777777" w:rsidR="005C332D" w:rsidRDefault="00B93EAE">
            <w:pPr>
              <w:jc w:val="right"/>
              <w:textAlignment w:val="bottom"/>
            </w:pPr>
            <w:r>
              <w:rPr>
                <w:rFonts w:ascii="Times New Roman" w:eastAsia="宋体" w:hAnsi="Times New Roman"/>
                <w:b/>
                <w:bCs/>
                <w:color w:val="000000"/>
                <w:sz w:val="20"/>
                <w:szCs w:val="20"/>
              </w:rPr>
              <w:t>9,000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36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6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36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36E" w14:textId="77777777" w:rsidR="005C332D" w:rsidRDefault="00B93EAE">
            <w:pPr>
              <w:jc w:val="right"/>
              <w:textAlignment w:val="bottom"/>
            </w:pPr>
            <w:r>
              <w:rPr>
                <w:rFonts w:ascii="Times New Roman" w:eastAsia="宋体" w:hAnsi="Times New Roman"/>
                <w:color w:val="000000"/>
                <w:sz w:val="20"/>
                <w:szCs w:val="20"/>
              </w:rPr>
              <w:t>11,500 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36F" w14:textId="77777777" w:rsidR="005C332D" w:rsidRDefault="005C332D">
            <w:pPr>
              <w:jc w:val="right"/>
              <w:rPr>
                <w:rFonts w:ascii="宋体"/>
              </w:rPr>
            </w:pPr>
          </w:p>
        </w:tc>
      </w:tr>
    </w:tbl>
    <w:p w14:paraId="518B5371" w14:textId="77777777" w:rsidR="005C332D" w:rsidRDefault="00B93EAE">
      <w:pPr>
        <w:spacing w:before="120"/>
        <w:jc w:val="both"/>
      </w:pPr>
      <w:r>
        <w:rPr>
          <w:rFonts w:ascii="Times New Roman" w:eastAsia="宋体" w:hAnsi="Times New Roman"/>
          <w:color w:val="000000"/>
          <w:sz w:val="20"/>
          <w:szCs w:val="20"/>
        </w:rPr>
        <w:t>Inter</w:t>
      </w:r>
      <w:r>
        <w:rPr>
          <w:rFonts w:ascii="Times New Roman" w:eastAsia="宋体" w:hAnsi="Times New Roman"/>
          <w:color w:val="000000"/>
          <w:sz w:val="20"/>
          <w:szCs w:val="20"/>
        </w:rPr>
        <w:t>est is payable semiannually on each class of the senior fixed-rate notes, each of which is redeemable by us at any time, subject to a make-whole premium. We were in compliance with all debt covenants as of July 30, 2022.</w:t>
      </w:r>
    </w:p>
    <w:p w14:paraId="518B5372" w14:textId="77777777" w:rsidR="005C332D" w:rsidRDefault="00B93EAE">
      <w:pPr>
        <w:spacing w:before="120"/>
        <w:jc w:val="both"/>
      </w:pPr>
      <w:r>
        <w:rPr>
          <w:rFonts w:ascii="Times New Roman" w:eastAsia="宋体" w:hAnsi="Times New Roman"/>
          <w:i/>
          <w:iCs/>
          <w:color w:val="000000"/>
          <w:sz w:val="20"/>
          <w:szCs w:val="20"/>
          <w:u w:val="single"/>
        </w:rPr>
        <w:t>Commercial Paper</w:t>
      </w:r>
      <w:r>
        <w:rPr>
          <w:rFonts w:ascii="Times New Roman" w:eastAsia="宋体" w:hAnsi="Times New Roman"/>
          <w:color w:val="000000"/>
          <w:sz w:val="20"/>
          <w:szCs w:val="20"/>
        </w:rPr>
        <w:t xml:space="preserve"> We have a short-te</w:t>
      </w:r>
      <w:r>
        <w:rPr>
          <w:rFonts w:ascii="Times New Roman" w:eastAsia="宋体" w:hAnsi="Times New Roman"/>
          <w:color w:val="000000"/>
          <w:sz w:val="20"/>
          <w:szCs w:val="20"/>
        </w:rPr>
        <w:t>rm debt financing program in which up to $10.0 billion is available through the issuance of commercial paper notes. We use the proceeds from the issuance of commercial paper notes for general corporate purposes. We had $0.6 billion in commercial paper note</w:t>
      </w:r>
      <w:r>
        <w:rPr>
          <w:rFonts w:ascii="Times New Roman" w:eastAsia="宋体" w:hAnsi="Times New Roman"/>
          <w:color w:val="000000"/>
          <w:sz w:val="20"/>
          <w:szCs w:val="20"/>
        </w:rPr>
        <w:t>s outstanding as of July 30, 2022, and no commercial paper outstanding as of July 31, 2021.</w:t>
      </w:r>
    </w:p>
    <w:p w14:paraId="518B5373" w14:textId="77777777" w:rsidR="005C332D" w:rsidRDefault="00B93EAE">
      <w:pPr>
        <w:spacing w:before="120"/>
        <w:jc w:val="both"/>
      </w:pPr>
      <w:r>
        <w:rPr>
          <w:rFonts w:ascii="Times New Roman" w:eastAsia="宋体" w:hAnsi="Times New Roman"/>
          <w:i/>
          <w:iCs/>
          <w:color w:val="000000"/>
          <w:sz w:val="20"/>
          <w:szCs w:val="20"/>
          <w:u w:val="single"/>
        </w:rPr>
        <w:t>Credit Facility</w:t>
      </w:r>
      <w:r>
        <w:rPr>
          <w:rFonts w:ascii="Times New Roman" w:eastAsia="宋体" w:hAnsi="Times New Roman"/>
          <w:color w:val="000000"/>
          <w:sz w:val="20"/>
          <w:szCs w:val="20"/>
        </w:rPr>
        <w:t xml:space="preserve"> On May 13, 2021, we entered into a 5-year credit agreement with certain institutional lenders that provides for a $3.0 billion unsecured revolving c</w:t>
      </w:r>
      <w:r>
        <w:rPr>
          <w:rFonts w:ascii="Times New Roman" w:eastAsia="宋体" w:hAnsi="Times New Roman"/>
          <w:color w:val="000000"/>
          <w:sz w:val="20"/>
          <w:szCs w:val="20"/>
        </w:rPr>
        <w:t>redit facility that is scheduled to expire on May 13, 2026. As of July 30, 2022, we were in compliance with the required interest coverage ratio and the other covenants, and we had not borrowed any funds under the credit agreement. Any advances under the 5</w:t>
      </w:r>
      <w:r>
        <w:rPr>
          <w:rFonts w:ascii="Times New Roman" w:eastAsia="宋体" w:hAnsi="Times New Roman"/>
          <w:color w:val="000000"/>
          <w:sz w:val="20"/>
          <w:szCs w:val="20"/>
        </w:rPr>
        <w:t xml:space="preserve">-year credit agreement will accrue interest at rates that are equal to, based on certain conditions, either (a) with respect to loans in U.S. dollars, (i) LIBOR or (ii) the Base Rate (to be defined as the highest of (x) the Bank of America prime rate, (y) </w:t>
      </w:r>
      <w:r>
        <w:rPr>
          <w:rFonts w:ascii="Times New Roman" w:eastAsia="宋体" w:hAnsi="Times New Roman"/>
          <w:color w:val="000000"/>
          <w:sz w:val="20"/>
          <w:szCs w:val="20"/>
        </w:rPr>
        <w:t>the Federal Funds rate plus 0.50% and (z) a daily rate equal to one-month LIBOR plus 1.0%), (b) with respect to loans in Euros, EURIBOR, (c) with respect to loans in Yen, TIBOR and (d) with respect to loans in Pounds Sterling, SONIA plus a credit spread ad</w:t>
      </w:r>
      <w:r>
        <w:rPr>
          <w:rFonts w:ascii="Times New Roman" w:eastAsia="宋体" w:hAnsi="Times New Roman"/>
          <w:color w:val="000000"/>
          <w:sz w:val="20"/>
          <w:szCs w:val="20"/>
        </w:rPr>
        <w:t>justment, plus a margin that is based on our senior debt credit ratings as published by Standard &amp; Poor’s Financial Services, LLC and Moody’s Investors Service, Inc., provided that in no event will the interest rate be less than 0.0%. We will pay a quarter</w:t>
      </w:r>
      <w:r>
        <w:rPr>
          <w:rFonts w:ascii="Times New Roman" w:eastAsia="宋体" w:hAnsi="Times New Roman"/>
          <w:color w:val="000000"/>
          <w:sz w:val="20"/>
          <w:szCs w:val="20"/>
        </w:rPr>
        <w:t xml:space="preserve">ly commitment fee during the term of the 5-year credit agreement which may vary depending on our senior debt credit ratings. In addition, the 5-year credit agreement incorporates certain sustainability-linked metrics. Specifically, our applicable interest </w:t>
      </w:r>
      <w:r>
        <w:rPr>
          <w:rFonts w:ascii="Times New Roman" w:eastAsia="宋体" w:hAnsi="Times New Roman"/>
          <w:color w:val="000000"/>
          <w:sz w:val="20"/>
          <w:szCs w:val="20"/>
        </w:rPr>
        <w:t>rate and commitment fee are subject to upward or downward adjustments if we achieve, or fail to achieve, certain specified targets based on two key performance indicator metrics: (i) social impact and (ii) foam reduction. We may also, upon the agreement of</w:t>
      </w:r>
      <w:r>
        <w:rPr>
          <w:rFonts w:ascii="Times New Roman" w:eastAsia="宋体" w:hAnsi="Times New Roman"/>
          <w:color w:val="000000"/>
          <w:sz w:val="20"/>
          <w:szCs w:val="20"/>
        </w:rPr>
        <w:t xml:space="preserve"> either the then-existing lenders or additional lenders not currently parties to the agreement, increase the commitments under the credit facility by up to an additional $2.0 billion and, at our option, extend the maturity of the facility for an additional</w:t>
      </w:r>
      <w:r>
        <w:rPr>
          <w:rFonts w:ascii="Times New Roman" w:eastAsia="宋体" w:hAnsi="Times New Roman"/>
          <w:color w:val="000000"/>
          <w:sz w:val="20"/>
          <w:szCs w:val="20"/>
        </w:rPr>
        <w:t xml:space="preserve"> year up to two times. The credit agreement requires that we comply with certain covenants, including that we maintain an interest coverage ratio as defined in the agreement.</w:t>
      </w:r>
    </w:p>
    <w:p w14:paraId="518B5374" w14:textId="77777777" w:rsidR="005C332D" w:rsidRDefault="00B93EAE">
      <w:pPr>
        <w:jc w:val="center"/>
      </w:pPr>
      <w:r>
        <w:rPr>
          <w:rFonts w:ascii="Times New Roman" w:eastAsia="宋体" w:hAnsi="Times New Roman"/>
          <w:color w:val="000000"/>
          <w:sz w:val="20"/>
          <w:szCs w:val="20"/>
        </w:rPr>
        <w:t>49</w:t>
      </w:r>
    </w:p>
    <w:p w14:paraId="518B5375" w14:textId="77777777" w:rsidR="005C332D" w:rsidRDefault="00B93EAE">
      <w:r>
        <w:pict w14:anchorId="518B8746">
          <v:rect id="_x0000_i1075" style="width:415.3pt;height:1.5pt" o:hralign="center" o:hrstd="t" o:hr="t" fillcolor="#a0a0a0" stroked="f"/>
        </w:pict>
      </w:r>
    </w:p>
    <w:p w14:paraId="518B5376" w14:textId="77777777" w:rsidR="005C332D" w:rsidRDefault="00B93EAE">
      <w:hyperlink r:id="rId103" w:anchor="i049852cab38845aabd2a79d07dacda86_7" w:history="1">
        <w:r>
          <w:rPr>
            <w:rStyle w:val="a5"/>
            <w:rFonts w:ascii="Times New Roman" w:eastAsia="宋体" w:hAnsi="Times New Roman"/>
            <w:sz w:val="20"/>
            <w:szCs w:val="20"/>
          </w:rPr>
          <w:t>Table of Contents</w:t>
        </w:r>
      </w:hyperlink>
    </w:p>
    <w:p w14:paraId="518B5377" w14:textId="77777777" w:rsidR="005C332D" w:rsidRDefault="00B93EAE">
      <w:pPr>
        <w:spacing w:before="120"/>
        <w:jc w:val="both"/>
      </w:pPr>
      <w:r>
        <w:rPr>
          <w:rFonts w:ascii="Times New Roman" w:eastAsia="宋体" w:hAnsi="Times New Roman"/>
          <w:color w:val="000000"/>
          <w:sz w:val="20"/>
          <w:szCs w:val="20"/>
          <w:u w:val="single"/>
        </w:rPr>
        <w:t>Remaining Performance Obligations</w:t>
      </w:r>
      <w:r>
        <w:rPr>
          <w:rFonts w:ascii="Times New Roman" w:eastAsia="宋体" w:hAnsi="Times New Roman"/>
          <w:color w:val="000000"/>
          <w:sz w:val="20"/>
          <w:szCs w:val="20"/>
        </w:rPr>
        <w:t xml:space="preserve"> The following table presents the breakdown of remaining performance obligations (in millions):</w:t>
      </w:r>
    </w:p>
    <w:tbl>
      <w:tblPr>
        <w:tblW w:w="4927" w:type="pct"/>
        <w:jc w:val="center"/>
        <w:tblCellMar>
          <w:top w:w="15" w:type="dxa"/>
          <w:left w:w="15" w:type="dxa"/>
          <w:bottom w:w="15" w:type="dxa"/>
          <w:right w:w="15" w:type="dxa"/>
        </w:tblCellMar>
        <w:tblLook w:val="04A0" w:firstRow="1" w:lastRow="0" w:firstColumn="1" w:lastColumn="0" w:noHBand="0" w:noVBand="1"/>
      </w:tblPr>
      <w:tblGrid>
        <w:gridCol w:w="40"/>
        <w:gridCol w:w="4768"/>
        <w:gridCol w:w="36"/>
        <w:gridCol w:w="120"/>
        <w:gridCol w:w="921"/>
        <w:gridCol w:w="36"/>
        <w:gridCol w:w="36"/>
        <w:gridCol w:w="36"/>
        <w:gridCol w:w="36"/>
        <w:gridCol w:w="120"/>
        <w:gridCol w:w="881"/>
        <w:gridCol w:w="36"/>
        <w:gridCol w:w="36"/>
        <w:gridCol w:w="36"/>
        <w:gridCol w:w="36"/>
        <w:gridCol w:w="121"/>
        <w:gridCol w:w="883"/>
        <w:gridCol w:w="36"/>
      </w:tblGrid>
      <w:tr w:rsidR="005C332D" w14:paraId="518B538A" w14:textId="77777777">
        <w:trPr>
          <w:jc w:val="center"/>
        </w:trPr>
        <w:tc>
          <w:tcPr>
            <w:tcW w:w="50" w:type="pct"/>
            <w:shd w:val="clear" w:color="auto" w:fill="auto"/>
            <w:vAlign w:val="bottom"/>
          </w:tcPr>
          <w:p w14:paraId="518B5378" w14:textId="77777777" w:rsidR="005C332D" w:rsidRDefault="005C332D">
            <w:pPr>
              <w:rPr>
                <w:rFonts w:ascii="宋体"/>
              </w:rPr>
            </w:pPr>
          </w:p>
        </w:tc>
        <w:tc>
          <w:tcPr>
            <w:tcW w:w="2934" w:type="pct"/>
            <w:shd w:val="clear" w:color="auto" w:fill="auto"/>
            <w:vAlign w:val="bottom"/>
          </w:tcPr>
          <w:p w14:paraId="518B5379" w14:textId="77777777" w:rsidR="005C332D" w:rsidRDefault="005C332D">
            <w:pPr>
              <w:rPr>
                <w:rFonts w:ascii="宋体"/>
              </w:rPr>
            </w:pPr>
          </w:p>
        </w:tc>
        <w:tc>
          <w:tcPr>
            <w:tcW w:w="5" w:type="pct"/>
            <w:shd w:val="clear" w:color="auto" w:fill="auto"/>
            <w:vAlign w:val="bottom"/>
          </w:tcPr>
          <w:p w14:paraId="518B537A" w14:textId="77777777" w:rsidR="005C332D" w:rsidRDefault="005C332D">
            <w:pPr>
              <w:rPr>
                <w:rFonts w:ascii="宋体"/>
              </w:rPr>
            </w:pPr>
          </w:p>
        </w:tc>
        <w:tc>
          <w:tcPr>
            <w:tcW w:w="50" w:type="pct"/>
            <w:shd w:val="clear" w:color="auto" w:fill="auto"/>
            <w:vAlign w:val="bottom"/>
          </w:tcPr>
          <w:p w14:paraId="518B537B" w14:textId="77777777" w:rsidR="005C332D" w:rsidRDefault="005C332D">
            <w:pPr>
              <w:rPr>
                <w:rFonts w:ascii="宋体"/>
              </w:rPr>
            </w:pPr>
          </w:p>
        </w:tc>
        <w:tc>
          <w:tcPr>
            <w:tcW w:w="590" w:type="pct"/>
            <w:shd w:val="clear" w:color="auto" w:fill="auto"/>
            <w:vAlign w:val="bottom"/>
          </w:tcPr>
          <w:p w14:paraId="518B537C" w14:textId="77777777" w:rsidR="005C332D" w:rsidRDefault="005C332D">
            <w:pPr>
              <w:rPr>
                <w:rFonts w:ascii="宋体"/>
              </w:rPr>
            </w:pPr>
          </w:p>
        </w:tc>
        <w:tc>
          <w:tcPr>
            <w:tcW w:w="5" w:type="pct"/>
            <w:shd w:val="clear" w:color="auto" w:fill="auto"/>
            <w:vAlign w:val="bottom"/>
          </w:tcPr>
          <w:p w14:paraId="518B537D" w14:textId="77777777" w:rsidR="005C332D" w:rsidRDefault="005C332D">
            <w:pPr>
              <w:rPr>
                <w:rFonts w:ascii="宋体"/>
              </w:rPr>
            </w:pPr>
          </w:p>
        </w:tc>
        <w:tc>
          <w:tcPr>
            <w:tcW w:w="5" w:type="pct"/>
            <w:shd w:val="clear" w:color="auto" w:fill="auto"/>
            <w:vAlign w:val="bottom"/>
          </w:tcPr>
          <w:p w14:paraId="518B537E" w14:textId="77777777" w:rsidR="005C332D" w:rsidRDefault="005C332D">
            <w:pPr>
              <w:rPr>
                <w:rFonts w:ascii="宋体"/>
              </w:rPr>
            </w:pPr>
          </w:p>
        </w:tc>
        <w:tc>
          <w:tcPr>
            <w:tcW w:w="27" w:type="pct"/>
            <w:shd w:val="clear" w:color="auto" w:fill="auto"/>
            <w:vAlign w:val="bottom"/>
          </w:tcPr>
          <w:p w14:paraId="518B537F" w14:textId="77777777" w:rsidR="005C332D" w:rsidRDefault="005C332D">
            <w:pPr>
              <w:rPr>
                <w:rFonts w:ascii="宋体"/>
              </w:rPr>
            </w:pPr>
          </w:p>
        </w:tc>
        <w:tc>
          <w:tcPr>
            <w:tcW w:w="5" w:type="pct"/>
            <w:shd w:val="clear" w:color="auto" w:fill="auto"/>
            <w:vAlign w:val="bottom"/>
          </w:tcPr>
          <w:p w14:paraId="518B5380" w14:textId="77777777" w:rsidR="005C332D" w:rsidRDefault="005C332D">
            <w:pPr>
              <w:rPr>
                <w:rFonts w:ascii="宋体"/>
              </w:rPr>
            </w:pPr>
          </w:p>
        </w:tc>
        <w:tc>
          <w:tcPr>
            <w:tcW w:w="50" w:type="pct"/>
            <w:shd w:val="clear" w:color="auto" w:fill="auto"/>
            <w:vAlign w:val="bottom"/>
          </w:tcPr>
          <w:p w14:paraId="518B5381" w14:textId="77777777" w:rsidR="005C332D" w:rsidRDefault="005C332D">
            <w:pPr>
              <w:rPr>
                <w:rFonts w:ascii="宋体"/>
              </w:rPr>
            </w:pPr>
          </w:p>
        </w:tc>
        <w:tc>
          <w:tcPr>
            <w:tcW w:w="590" w:type="pct"/>
            <w:shd w:val="clear" w:color="auto" w:fill="auto"/>
            <w:vAlign w:val="bottom"/>
          </w:tcPr>
          <w:p w14:paraId="518B5382" w14:textId="77777777" w:rsidR="005C332D" w:rsidRDefault="005C332D">
            <w:pPr>
              <w:rPr>
                <w:rFonts w:ascii="宋体"/>
              </w:rPr>
            </w:pPr>
          </w:p>
        </w:tc>
        <w:tc>
          <w:tcPr>
            <w:tcW w:w="5" w:type="pct"/>
            <w:shd w:val="clear" w:color="auto" w:fill="auto"/>
            <w:vAlign w:val="bottom"/>
          </w:tcPr>
          <w:p w14:paraId="518B5383" w14:textId="77777777" w:rsidR="005C332D" w:rsidRDefault="005C332D">
            <w:pPr>
              <w:rPr>
                <w:rFonts w:ascii="宋体"/>
              </w:rPr>
            </w:pPr>
          </w:p>
        </w:tc>
        <w:tc>
          <w:tcPr>
            <w:tcW w:w="5" w:type="pct"/>
            <w:shd w:val="clear" w:color="auto" w:fill="auto"/>
            <w:vAlign w:val="bottom"/>
          </w:tcPr>
          <w:p w14:paraId="518B5384" w14:textId="77777777" w:rsidR="005C332D" w:rsidRDefault="005C332D">
            <w:pPr>
              <w:rPr>
                <w:rFonts w:ascii="宋体"/>
              </w:rPr>
            </w:pPr>
          </w:p>
        </w:tc>
        <w:tc>
          <w:tcPr>
            <w:tcW w:w="27" w:type="pct"/>
            <w:shd w:val="clear" w:color="auto" w:fill="auto"/>
            <w:vAlign w:val="bottom"/>
          </w:tcPr>
          <w:p w14:paraId="518B5385" w14:textId="77777777" w:rsidR="005C332D" w:rsidRDefault="005C332D">
            <w:pPr>
              <w:rPr>
                <w:rFonts w:ascii="宋体"/>
              </w:rPr>
            </w:pPr>
          </w:p>
        </w:tc>
        <w:tc>
          <w:tcPr>
            <w:tcW w:w="5" w:type="pct"/>
            <w:shd w:val="clear" w:color="auto" w:fill="auto"/>
            <w:vAlign w:val="bottom"/>
          </w:tcPr>
          <w:p w14:paraId="518B5386" w14:textId="77777777" w:rsidR="005C332D" w:rsidRDefault="005C332D">
            <w:pPr>
              <w:rPr>
                <w:rFonts w:ascii="宋体"/>
              </w:rPr>
            </w:pPr>
          </w:p>
        </w:tc>
        <w:tc>
          <w:tcPr>
            <w:tcW w:w="50" w:type="pct"/>
            <w:shd w:val="clear" w:color="auto" w:fill="auto"/>
            <w:vAlign w:val="bottom"/>
          </w:tcPr>
          <w:p w14:paraId="518B5387" w14:textId="77777777" w:rsidR="005C332D" w:rsidRDefault="005C332D">
            <w:pPr>
              <w:rPr>
                <w:rFonts w:ascii="宋体"/>
              </w:rPr>
            </w:pPr>
          </w:p>
        </w:tc>
        <w:tc>
          <w:tcPr>
            <w:tcW w:w="590" w:type="pct"/>
            <w:shd w:val="clear" w:color="auto" w:fill="auto"/>
            <w:vAlign w:val="bottom"/>
          </w:tcPr>
          <w:p w14:paraId="518B5388" w14:textId="77777777" w:rsidR="005C332D" w:rsidRDefault="005C332D">
            <w:pPr>
              <w:rPr>
                <w:rFonts w:ascii="宋体"/>
              </w:rPr>
            </w:pPr>
          </w:p>
        </w:tc>
        <w:tc>
          <w:tcPr>
            <w:tcW w:w="5" w:type="pct"/>
            <w:shd w:val="clear" w:color="auto" w:fill="auto"/>
            <w:vAlign w:val="bottom"/>
          </w:tcPr>
          <w:p w14:paraId="518B5389" w14:textId="77777777" w:rsidR="005C332D" w:rsidRDefault="005C332D">
            <w:pPr>
              <w:rPr>
                <w:rFonts w:ascii="宋体"/>
              </w:rPr>
            </w:pPr>
          </w:p>
        </w:tc>
      </w:tr>
      <w:tr w:rsidR="005C332D" w14:paraId="518B5391" w14:textId="77777777">
        <w:trPr>
          <w:jc w:val="center"/>
        </w:trPr>
        <w:tc>
          <w:tcPr>
            <w:tcW w:w="0" w:type="auto"/>
            <w:gridSpan w:val="3"/>
            <w:shd w:val="clear" w:color="auto" w:fill="auto"/>
            <w:tcMar>
              <w:top w:w="40" w:type="dxa"/>
              <w:left w:w="20" w:type="dxa"/>
              <w:bottom w:w="40" w:type="dxa"/>
              <w:right w:w="20" w:type="dxa"/>
            </w:tcMar>
            <w:vAlign w:val="bottom"/>
          </w:tcPr>
          <w:p w14:paraId="518B538B"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18B538C" w14:textId="77777777" w:rsidR="005C332D" w:rsidRDefault="00B93EAE">
            <w:pPr>
              <w:jc w:val="center"/>
              <w:textAlignment w:val="bottom"/>
            </w:pPr>
            <w:r>
              <w:rPr>
                <w:rFonts w:ascii="Times New Roman" w:eastAsia="宋体" w:hAnsi="Times New Roman"/>
                <w:b/>
                <w:bCs/>
                <w:color w:val="000000"/>
                <w:sz w:val="18"/>
                <w:szCs w:val="18"/>
              </w:rPr>
              <w:t xml:space="preserve">July 30, </w:t>
            </w:r>
            <w:r>
              <w:rPr>
                <w:rFonts w:ascii="Times New Roman" w:eastAsia="宋体" w:hAnsi="Times New Roman"/>
                <w:b/>
                <w:bCs/>
                <w:color w:val="000000"/>
                <w:sz w:val="18"/>
                <w:szCs w:val="18"/>
              </w:rPr>
              <w:t>2022</w:t>
            </w:r>
          </w:p>
        </w:tc>
        <w:tc>
          <w:tcPr>
            <w:tcW w:w="0" w:type="auto"/>
            <w:gridSpan w:val="3"/>
            <w:shd w:val="clear" w:color="auto" w:fill="auto"/>
            <w:tcMar>
              <w:top w:w="0" w:type="dxa"/>
              <w:left w:w="20" w:type="dxa"/>
              <w:bottom w:w="0" w:type="dxa"/>
              <w:right w:w="20" w:type="dxa"/>
            </w:tcMar>
            <w:vAlign w:val="bottom"/>
          </w:tcPr>
          <w:p w14:paraId="518B538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38E"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38F"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390" w14:textId="77777777" w:rsidR="005C332D" w:rsidRDefault="00B93EAE">
            <w:pPr>
              <w:jc w:val="center"/>
              <w:textAlignment w:val="bottom"/>
            </w:pPr>
            <w:r>
              <w:rPr>
                <w:rFonts w:ascii="Times New Roman" w:eastAsia="宋体" w:hAnsi="Times New Roman"/>
                <w:color w:val="000000"/>
                <w:sz w:val="18"/>
                <w:szCs w:val="18"/>
              </w:rPr>
              <w:t>Increase (Decrease)</w:t>
            </w:r>
          </w:p>
        </w:tc>
      </w:tr>
      <w:tr w:rsidR="005C332D" w14:paraId="518B539E" w14:textId="77777777">
        <w:trPr>
          <w:jc w:val="center"/>
        </w:trPr>
        <w:tc>
          <w:tcPr>
            <w:tcW w:w="0" w:type="auto"/>
            <w:gridSpan w:val="3"/>
            <w:shd w:val="clear" w:color="auto" w:fill="CCEEFF"/>
            <w:tcMar>
              <w:top w:w="40" w:type="dxa"/>
              <w:left w:w="20" w:type="dxa"/>
              <w:bottom w:w="40" w:type="dxa"/>
              <w:right w:w="20" w:type="dxa"/>
            </w:tcMar>
            <w:vAlign w:val="bottom"/>
          </w:tcPr>
          <w:p w14:paraId="518B5392" w14:textId="77777777" w:rsidR="005C332D" w:rsidRDefault="00B93EAE">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39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394" w14:textId="77777777" w:rsidR="005C332D" w:rsidRDefault="00B93EAE">
            <w:pPr>
              <w:jc w:val="right"/>
              <w:textAlignment w:val="bottom"/>
            </w:pPr>
            <w:r>
              <w:rPr>
                <w:rFonts w:ascii="Times New Roman" w:eastAsia="宋体" w:hAnsi="Times New Roman"/>
                <w:b/>
                <w:bCs/>
                <w:color w:val="000000"/>
                <w:sz w:val="20"/>
                <w:szCs w:val="20"/>
              </w:rPr>
              <w:t>14,090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39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9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39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398" w14:textId="77777777" w:rsidR="005C332D" w:rsidRDefault="00B93EAE">
            <w:pPr>
              <w:jc w:val="right"/>
              <w:textAlignment w:val="bottom"/>
            </w:pPr>
            <w:r>
              <w:rPr>
                <w:rFonts w:ascii="Times New Roman" w:eastAsia="宋体" w:hAnsi="Times New Roman"/>
                <w:color w:val="000000"/>
                <w:sz w:val="20"/>
                <w:szCs w:val="20"/>
              </w:rPr>
              <w:t>13,270 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39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9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39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39C" w14:textId="77777777" w:rsidR="005C332D" w:rsidRDefault="00B93EAE">
            <w:pPr>
              <w:jc w:val="right"/>
              <w:textAlignment w:val="bottom"/>
            </w:pPr>
            <w:r>
              <w:rPr>
                <w:rFonts w:ascii="Times New Roman" w:eastAsia="宋体" w:hAnsi="Times New Roman"/>
                <w:color w:val="000000"/>
                <w:sz w:val="20"/>
                <w:szCs w:val="20"/>
              </w:rPr>
              <w:t>820 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39D" w14:textId="77777777" w:rsidR="005C332D" w:rsidRDefault="005C332D">
            <w:pPr>
              <w:jc w:val="right"/>
              <w:rPr>
                <w:rFonts w:ascii="宋体"/>
              </w:rPr>
            </w:pPr>
          </w:p>
        </w:tc>
      </w:tr>
      <w:tr w:rsidR="005C332D" w14:paraId="518B53A8" w14:textId="77777777">
        <w:trPr>
          <w:jc w:val="center"/>
        </w:trPr>
        <w:tc>
          <w:tcPr>
            <w:tcW w:w="0" w:type="auto"/>
            <w:gridSpan w:val="3"/>
            <w:shd w:val="clear" w:color="auto" w:fill="FFFFFF"/>
            <w:tcMar>
              <w:top w:w="40" w:type="dxa"/>
              <w:left w:w="20" w:type="dxa"/>
              <w:bottom w:w="40" w:type="dxa"/>
              <w:right w:w="20" w:type="dxa"/>
            </w:tcMar>
            <w:vAlign w:val="bottom"/>
          </w:tcPr>
          <w:p w14:paraId="518B539F" w14:textId="77777777" w:rsidR="005C332D" w:rsidRDefault="00B93EAE">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518B53A0" w14:textId="77777777" w:rsidR="005C332D" w:rsidRDefault="00B93EAE">
            <w:pPr>
              <w:jc w:val="right"/>
              <w:textAlignment w:val="bottom"/>
            </w:pPr>
            <w:r>
              <w:rPr>
                <w:rFonts w:ascii="Times New Roman" w:eastAsia="宋体" w:hAnsi="Times New Roman"/>
                <w:b/>
                <w:bCs/>
                <w:color w:val="000000"/>
                <w:sz w:val="20"/>
                <w:szCs w:val="20"/>
              </w:rPr>
              <w:t>17,449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3A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3A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A3" w14:textId="77777777" w:rsidR="005C332D" w:rsidRDefault="00B93EAE">
            <w:pPr>
              <w:jc w:val="right"/>
              <w:textAlignment w:val="bottom"/>
            </w:pPr>
            <w:r>
              <w:rPr>
                <w:rFonts w:ascii="Times New Roman" w:eastAsia="宋体" w:hAnsi="Times New Roman"/>
                <w:color w:val="000000"/>
                <w:sz w:val="20"/>
                <w:szCs w:val="20"/>
              </w:rPr>
              <w:t>17,623 </w:t>
            </w:r>
          </w:p>
        </w:tc>
        <w:tc>
          <w:tcPr>
            <w:tcW w:w="0" w:type="auto"/>
            <w:shd w:val="clear" w:color="auto" w:fill="FFFFFF"/>
            <w:tcMar>
              <w:top w:w="40" w:type="dxa"/>
              <w:left w:w="0" w:type="dxa"/>
              <w:bottom w:w="40" w:type="dxa"/>
              <w:right w:w="20" w:type="dxa"/>
            </w:tcMar>
            <w:vAlign w:val="bottom"/>
          </w:tcPr>
          <w:p w14:paraId="518B53A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3A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A6" w14:textId="77777777" w:rsidR="005C332D" w:rsidRDefault="00B93EAE">
            <w:pPr>
              <w:jc w:val="right"/>
              <w:textAlignment w:val="bottom"/>
            </w:pPr>
            <w:r>
              <w:rPr>
                <w:rFonts w:ascii="Times New Roman" w:eastAsia="宋体" w:hAnsi="Times New Roman"/>
                <w:color w:val="000000"/>
                <w:sz w:val="20"/>
                <w:szCs w:val="20"/>
              </w:rPr>
              <w:t>(174)</w:t>
            </w:r>
          </w:p>
        </w:tc>
        <w:tc>
          <w:tcPr>
            <w:tcW w:w="0" w:type="auto"/>
            <w:shd w:val="clear" w:color="auto" w:fill="FFFFFF"/>
            <w:tcMar>
              <w:top w:w="40" w:type="dxa"/>
              <w:left w:w="0" w:type="dxa"/>
              <w:bottom w:w="40" w:type="dxa"/>
              <w:right w:w="20" w:type="dxa"/>
            </w:tcMar>
            <w:vAlign w:val="bottom"/>
          </w:tcPr>
          <w:p w14:paraId="518B53A7" w14:textId="77777777" w:rsidR="005C332D" w:rsidRDefault="005C332D">
            <w:pPr>
              <w:jc w:val="right"/>
              <w:rPr>
                <w:rFonts w:ascii="宋体"/>
              </w:rPr>
            </w:pPr>
          </w:p>
        </w:tc>
      </w:tr>
      <w:tr w:rsidR="005C332D" w14:paraId="518B53B5" w14:textId="77777777">
        <w:trPr>
          <w:jc w:val="center"/>
        </w:trPr>
        <w:tc>
          <w:tcPr>
            <w:tcW w:w="0" w:type="auto"/>
            <w:gridSpan w:val="3"/>
            <w:shd w:val="clear" w:color="auto" w:fill="CCEEFF"/>
            <w:tcMar>
              <w:top w:w="40" w:type="dxa"/>
              <w:left w:w="155" w:type="dxa"/>
              <w:bottom w:w="40" w:type="dxa"/>
              <w:right w:w="20" w:type="dxa"/>
            </w:tcMar>
            <w:vAlign w:val="bottom"/>
          </w:tcPr>
          <w:p w14:paraId="518B53A9" w14:textId="77777777" w:rsidR="005C332D" w:rsidRDefault="00B93EAE">
            <w:pPr>
              <w:textAlignment w:val="bottom"/>
            </w:pPr>
            <w:r>
              <w:rPr>
                <w:rFonts w:ascii="Times New Roman" w:eastAsia="宋体" w:hAnsi="Times New Roman"/>
                <w:color w:val="000000"/>
                <w:sz w:val="20"/>
                <w:szCs w:val="20"/>
              </w:rPr>
              <w:t>    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3A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3AB" w14:textId="77777777" w:rsidR="005C332D" w:rsidRDefault="00B93EAE">
            <w:pPr>
              <w:jc w:val="right"/>
              <w:textAlignment w:val="bottom"/>
            </w:pPr>
            <w:r>
              <w:rPr>
                <w:rFonts w:ascii="Times New Roman" w:eastAsia="宋体" w:hAnsi="Times New Roman"/>
                <w:b/>
                <w:bCs/>
                <w:color w:val="000000"/>
                <w:sz w:val="20"/>
                <w:szCs w:val="20"/>
              </w:rPr>
              <w:t>31,539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3A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A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3A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3AF" w14:textId="77777777" w:rsidR="005C332D" w:rsidRDefault="00B93EAE">
            <w:pPr>
              <w:jc w:val="right"/>
              <w:textAlignment w:val="bottom"/>
            </w:pPr>
            <w:r>
              <w:rPr>
                <w:rFonts w:ascii="Times New Roman" w:eastAsia="宋体" w:hAnsi="Times New Roman"/>
                <w:color w:val="000000"/>
                <w:sz w:val="20"/>
                <w:szCs w:val="20"/>
              </w:rPr>
              <w:t>30,893 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3B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B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3B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3B3" w14:textId="77777777" w:rsidR="005C332D" w:rsidRDefault="00B93EAE">
            <w:pPr>
              <w:jc w:val="right"/>
              <w:textAlignment w:val="bottom"/>
            </w:pPr>
            <w:r>
              <w:rPr>
                <w:rFonts w:ascii="Times New Roman" w:eastAsia="宋体" w:hAnsi="Times New Roman"/>
                <w:color w:val="000000"/>
                <w:sz w:val="20"/>
                <w:szCs w:val="20"/>
              </w:rPr>
              <w:t>646 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3B4" w14:textId="77777777" w:rsidR="005C332D" w:rsidRDefault="005C332D">
            <w:pPr>
              <w:jc w:val="right"/>
              <w:rPr>
                <w:rFonts w:ascii="宋体"/>
              </w:rPr>
            </w:pPr>
          </w:p>
        </w:tc>
      </w:tr>
      <w:tr w:rsidR="005C332D" w14:paraId="518B53BC" w14:textId="77777777">
        <w:trPr>
          <w:trHeight w:val="300"/>
          <w:jc w:val="center"/>
        </w:trPr>
        <w:tc>
          <w:tcPr>
            <w:tcW w:w="0" w:type="auto"/>
            <w:gridSpan w:val="3"/>
            <w:shd w:val="clear" w:color="auto" w:fill="FFFFFF"/>
            <w:tcMar>
              <w:top w:w="0" w:type="dxa"/>
              <w:left w:w="20" w:type="dxa"/>
              <w:bottom w:w="0" w:type="dxa"/>
              <w:right w:w="20" w:type="dxa"/>
            </w:tcMar>
            <w:vAlign w:val="bottom"/>
          </w:tcPr>
          <w:p w14:paraId="518B53B6"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53B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3B8"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53B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3BA"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53BB" w14:textId="77777777" w:rsidR="005C332D" w:rsidRDefault="005C332D">
            <w:pPr>
              <w:rPr>
                <w:rFonts w:ascii="宋体"/>
              </w:rPr>
            </w:pPr>
          </w:p>
        </w:tc>
      </w:tr>
      <w:tr w:rsidR="005C332D" w14:paraId="518B53C9" w14:textId="77777777">
        <w:trPr>
          <w:jc w:val="center"/>
        </w:trPr>
        <w:tc>
          <w:tcPr>
            <w:tcW w:w="0" w:type="auto"/>
            <w:gridSpan w:val="3"/>
            <w:shd w:val="clear" w:color="auto" w:fill="CCEEFF"/>
            <w:tcMar>
              <w:top w:w="40" w:type="dxa"/>
              <w:left w:w="20" w:type="dxa"/>
              <w:bottom w:w="40" w:type="dxa"/>
              <w:right w:w="20" w:type="dxa"/>
            </w:tcMar>
            <w:vAlign w:val="bottom"/>
          </w:tcPr>
          <w:p w14:paraId="518B53BD" w14:textId="77777777" w:rsidR="005C332D" w:rsidRDefault="00B93EAE">
            <w:pPr>
              <w:textAlignment w:val="bottom"/>
            </w:pPr>
            <w:r>
              <w:rPr>
                <w:rFonts w:ascii="Times New Roman" w:eastAsia="宋体" w:hAnsi="Times New Roman"/>
                <w:color w:val="000000"/>
                <w:sz w:val="20"/>
                <w:szCs w:val="20"/>
              </w:rPr>
              <w:t>Short-term RPO</w:t>
            </w:r>
          </w:p>
        </w:tc>
        <w:tc>
          <w:tcPr>
            <w:tcW w:w="0" w:type="auto"/>
            <w:shd w:val="clear" w:color="auto" w:fill="CCEEFF"/>
            <w:tcMar>
              <w:top w:w="40" w:type="dxa"/>
              <w:left w:w="20" w:type="dxa"/>
              <w:bottom w:w="40" w:type="dxa"/>
              <w:right w:w="0" w:type="dxa"/>
            </w:tcMar>
            <w:vAlign w:val="bottom"/>
          </w:tcPr>
          <w:p w14:paraId="518B53BE"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53BF" w14:textId="77777777" w:rsidR="005C332D" w:rsidRDefault="00B93EAE">
            <w:pPr>
              <w:jc w:val="right"/>
              <w:textAlignment w:val="bottom"/>
            </w:pPr>
            <w:r>
              <w:rPr>
                <w:rFonts w:ascii="Times New Roman" w:eastAsia="宋体" w:hAnsi="Times New Roman"/>
                <w:b/>
                <w:bCs/>
                <w:color w:val="000000"/>
                <w:sz w:val="20"/>
                <w:szCs w:val="20"/>
              </w:rPr>
              <w:t>16,936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3C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C1"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3C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3C3" w14:textId="77777777" w:rsidR="005C332D" w:rsidRDefault="00B93EAE">
            <w:pPr>
              <w:jc w:val="right"/>
              <w:textAlignment w:val="bottom"/>
            </w:pPr>
            <w:r>
              <w:rPr>
                <w:rFonts w:ascii="Times New Roman" w:eastAsia="宋体" w:hAnsi="Times New Roman"/>
                <w:color w:val="000000"/>
                <w:sz w:val="20"/>
                <w:szCs w:val="20"/>
              </w:rPr>
              <w:t>16,289 </w:t>
            </w:r>
          </w:p>
        </w:tc>
        <w:tc>
          <w:tcPr>
            <w:tcW w:w="0" w:type="auto"/>
            <w:shd w:val="clear" w:color="auto" w:fill="CCEEFF"/>
            <w:tcMar>
              <w:top w:w="40" w:type="dxa"/>
              <w:left w:w="0" w:type="dxa"/>
              <w:bottom w:w="40" w:type="dxa"/>
              <w:right w:w="20" w:type="dxa"/>
            </w:tcMar>
            <w:vAlign w:val="bottom"/>
          </w:tcPr>
          <w:p w14:paraId="518B53C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C5"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3C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3C7" w14:textId="77777777" w:rsidR="005C332D" w:rsidRDefault="00B93EAE">
            <w:pPr>
              <w:jc w:val="right"/>
              <w:textAlignment w:val="bottom"/>
            </w:pPr>
            <w:r>
              <w:rPr>
                <w:rFonts w:ascii="Times New Roman" w:eastAsia="宋体" w:hAnsi="Times New Roman"/>
                <w:color w:val="000000"/>
                <w:sz w:val="20"/>
                <w:szCs w:val="20"/>
              </w:rPr>
              <w:t>647 </w:t>
            </w:r>
          </w:p>
        </w:tc>
        <w:tc>
          <w:tcPr>
            <w:tcW w:w="0" w:type="auto"/>
            <w:shd w:val="clear" w:color="auto" w:fill="CCEEFF"/>
            <w:tcMar>
              <w:top w:w="40" w:type="dxa"/>
              <w:left w:w="0" w:type="dxa"/>
              <w:bottom w:w="40" w:type="dxa"/>
              <w:right w:w="20" w:type="dxa"/>
            </w:tcMar>
            <w:vAlign w:val="bottom"/>
          </w:tcPr>
          <w:p w14:paraId="518B53C8" w14:textId="77777777" w:rsidR="005C332D" w:rsidRDefault="005C332D">
            <w:pPr>
              <w:jc w:val="right"/>
              <w:rPr>
                <w:rFonts w:ascii="宋体"/>
              </w:rPr>
            </w:pPr>
          </w:p>
        </w:tc>
      </w:tr>
      <w:tr w:rsidR="005C332D" w14:paraId="518B53D3" w14:textId="77777777">
        <w:trPr>
          <w:jc w:val="center"/>
        </w:trPr>
        <w:tc>
          <w:tcPr>
            <w:tcW w:w="0" w:type="auto"/>
            <w:gridSpan w:val="3"/>
            <w:shd w:val="clear" w:color="auto" w:fill="FFFFFF"/>
            <w:tcMar>
              <w:top w:w="40" w:type="dxa"/>
              <w:left w:w="20" w:type="dxa"/>
              <w:bottom w:w="40" w:type="dxa"/>
              <w:right w:w="20" w:type="dxa"/>
            </w:tcMar>
            <w:vAlign w:val="bottom"/>
          </w:tcPr>
          <w:p w14:paraId="518B53CA" w14:textId="77777777" w:rsidR="005C332D" w:rsidRDefault="00B93EAE">
            <w:pPr>
              <w:textAlignment w:val="bottom"/>
            </w:pPr>
            <w:r>
              <w:rPr>
                <w:rFonts w:ascii="Times New Roman" w:eastAsia="宋体" w:hAnsi="Times New Roman"/>
                <w:color w:val="000000"/>
                <w:sz w:val="20"/>
                <w:szCs w:val="20"/>
              </w:rPr>
              <w:t>Long-term RPO</w:t>
            </w:r>
          </w:p>
        </w:tc>
        <w:tc>
          <w:tcPr>
            <w:tcW w:w="0" w:type="auto"/>
            <w:gridSpan w:val="2"/>
            <w:shd w:val="clear" w:color="auto" w:fill="FFFFFF"/>
            <w:tcMar>
              <w:top w:w="40" w:type="dxa"/>
              <w:left w:w="20" w:type="dxa"/>
              <w:bottom w:w="40" w:type="dxa"/>
              <w:right w:w="0" w:type="dxa"/>
            </w:tcMar>
            <w:vAlign w:val="bottom"/>
          </w:tcPr>
          <w:p w14:paraId="518B53CB" w14:textId="77777777" w:rsidR="005C332D" w:rsidRDefault="00B93EAE">
            <w:pPr>
              <w:jc w:val="right"/>
              <w:textAlignment w:val="bottom"/>
            </w:pPr>
            <w:r>
              <w:rPr>
                <w:rFonts w:ascii="Times New Roman" w:eastAsia="宋体" w:hAnsi="Times New Roman"/>
                <w:b/>
                <w:bCs/>
                <w:color w:val="000000"/>
                <w:sz w:val="20"/>
                <w:szCs w:val="20"/>
              </w:rPr>
              <w:t>14,603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3C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3C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CE" w14:textId="77777777" w:rsidR="005C332D" w:rsidRDefault="00B93EAE">
            <w:pPr>
              <w:jc w:val="right"/>
              <w:textAlignment w:val="bottom"/>
            </w:pPr>
            <w:r>
              <w:rPr>
                <w:rFonts w:ascii="Times New Roman" w:eastAsia="宋体" w:hAnsi="Times New Roman"/>
                <w:color w:val="000000"/>
                <w:sz w:val="20"/>
                <w:szCs w:val="20"/>
              </w:rPr>
              <w:t>14,604 </w:t>
            </w:r>
          </w:p>
        </w:tc>
        <w:tc>
          <w:tcPr>
            <w:tcW w:w="0" w:type="auto"/>
            <w:shd w:val="clear" w:color="auto" w:fill="FFFFFF"/>
            <w:tcMar>
              <w:top w:w="40" w:type="dxa"/>
              <w:left w:w="0" w:type="dxa"/>
              <w:bottom w:w="40" w:type="dxa"/>
              <w:right w:w="20" w:type="dxa"/>
            </w:tcMar>
            <w:vAlign w:val="bottom"/>
          </w:tcPr>
          <w:p w14:paraId="518B53C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3D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3D1" w14:textId="77777777" w:rsidR="005C332D" w:rsidRDefault="00B93EAE">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518B53D2" w14:textId="77777777" w:rsidR="005C332D" w:rsidRDefault="005C332D">
            <w:pPr>
              <w:jc w:val="right"/>
              <w:rPr>
                <w:rFonts w:ascii="宋体"/>
              </w:rPr>
            </w:pPr>
          </w:p>
        </w:tc>
      </w:tr>
      <w:tr w:rsidR="005C332D" w14:paraId="518B53E0" w14:textId="77777777">
        <w:trPr>
          <w:jc w:val="center"/>
        </w:trPr>
        <w:tc>
          <w:tcPr>
            <w:tcW w:w="0" w:type="auto"/>
            <w:gridSpan w:val="3"/>
            <w:shd w:val="clear" w:color="auto" w:fill="CCEEFF"/>
            <w:tcMar>
              <w:top w:w="40" w:type="dxa"/>
              <w:left w:w="395" w:type="dxa"/>
              <w:bottom w:w="40" w:type="dxa"/>
              <w:right w:w="20" w:type="dxa"/>
            </w:tcMar>
            <w:vAlign w:val="bottom"/>
          </w:tcPr>
          <w:p w14:paraId="518B53D4" w14:textId="77777777" w:rsidR="005C332D" w:rsidRDefault="00B93EAE">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3D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3D6" w14:textId="77777777" w:rsidR="005C332D" w:rsidRDefault="00B93EAE">
            <w:pPr>
              <w:jc w:val="right"/>
              <w:textAlignment w:val="bottom"/>
            </w:pPr>
            <w:r>
              <w:rPr>
                <w:rFonts w:ascii="Times New Roman" w:eastAsia="宋体" w:hAnsi="Times New Roman"/>
                <w:b/>
                <w:bCs/>
                <w:color w:val="000000"/>
                <w:sz w:val="20"/>
                <w:szCs w:val="20"/>
              </w:rPr>
              <w:t>31,539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3D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D8"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3D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3DA" w14:textId="77777777" w:rsidR="005C332D" w:rsidRDefault="00B93EAE">
            <w:pPr>
              <w:jc w:val="right"/>
              <w:textAlignment w:val="bottom"/>
            </w:pPr>
            <w:r>
              <w:rPr>
                <w:rFonts w:ascii="Times New Roman" w:eastAsia="宋体" w:hAnsi="Times New Roman"/>
                <w:color w:val="000000"/>
                <w:sz w:val="20"/>
                <w:szCs w:val="20"/>
              </w:rPr>
              <w:t>30,893 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3D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3D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3D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3DE" w14:textId="77777777" w:rsidR="005C332D" w:rsidRDefault="00B93EAE">
            <w:pPr>
              <w:jc w:val="right"/>
              <w:textAlignment w:val="bottom"/>
            </w:pPr>
            <w:r>
              <w:rPr>
                <w:rFonts w:ascii="Times New Roman" w:eastAsia="宋体" w:hAnsi="Times New Roman"/>
                <w:color w:val="000000"/>
                <w:sz w:val="20"/>
                <w:szCs w:val="20"/>
              </w:rPr>
              <w:t>646 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3DF" w14:textId="77777777" w:rsidR="005C332D" w:rsidRDefault="005C332D">
            <w:pPr>
              <w:jc w:val="right"/>
              <w:rPr>
                <w:rFonts w:ascii="宋体"/>
              </w:rPr>
            </w:pPr>
          </w:p>
        </w:tc>
      </w:tr>
    </w:tbl>
    <w:p w14:paraId="518B53E1" w14:textId="77777777" w:rsidR="005C332D" w:rsidRDefault="00B93EAE">
      <w:pPr>
        <w:spacing w:before="120"/>
        <w:jc w:val="both"/>
      </w:pPr>
      <w:r>
        <w:rPr>
          <w:rFonts w:ascii="Times New Roman" w:eastAsia="宋体" w:hAnsi="Times New Roman"/>
          <w:color w:val="000000"/>
          <w:sz w:val="20"/>
          <w:szCs w:val="20"/>
        </w:rPr>
        <w:t>Total remaining performance obligations increased 2% in fiscal 2022. Remaining performance obligations for product increased 6% and remaining product obligations for service decreased 1%, compare</w:t>
      </w:r>
      <w:r>
        <w:rPr>
          <w:rFonts w:ascii="Times New Roman" w:eastAsia="宋体" w:hAnsi="Times New Roman"/>
          <w:color w:val="000000"/>
          <w:sz w:val="20"/>
          <w:szCs w:val="20"/>
        </w:rPr>
        <w:t>d to fiscal 2021. We expect approximately 54% of total remaining performance obligations to be recognized as revenue over the next 12 months.</w:t>
      </w:r>
    </w:p>
    <w:p w14:paraId="518B53E2" w14:textId="77777777" w:rsidR="005C332D" w:rsidRDefault="00B93EAE">
      <w:pPr>
        <w:spacing w:before="120"/>
      </w:pPr>
      <w:r>
        <w:rPr>
          <w:rFonts w:ascii="Times New Roman" w:eastAsia="宋体" w:hAnsi="Times New Roman"/>
          <w:color w:val="000000"/>
          <w:sz w:val="20"/>
          <w:szCs w:val="20"/>
          <w:u w:val="single"/>
        </w:rPr>
        <w:t>Deferred Revenue</w:t>
      </w:r>
      <w:r>
        <w:rPr>
          <w:rFonts w:ascii="Times New Roman" w:eastAsia="宋体" w:hAnsi="Times New Roman"/>
          <w:color w:val="000000"/>
          <w:sz w:val="20"/>
          <w:szCs w:val="20"/>
        </w:rPr>
        <w:t xml:space="preserve">   The following table presents the breakdown of deferred revenue (in millions):</w:t>
      </w:r>
    </w:p>
    <w:tbl>
      <w:tblPr>
        <w:tblW w:w="4927" w:type="pct"/>
        <w:tblCellMar>
          <w:top w:w="15" w:type="dxa"/>
          <w:left w:w="15" w:type="dxa"/>
          <w:bottom w:w="15" w:type="dxa"/>
          <w:right w:w="15" w:type="dxa"/>
        </w:tblCellMar>
        <w:tblLook w:val="04A0" w:firstRow="1" w:lastRow="0" w:firstColumn="1" w:lastColumn="0" w:noHBand="0" w:noVBand="1"/>
      </w:tblPr>
      <w:tblGrid>
        <w:gridCol w:w="40"/>
        <w:gridCol w:w="4768"/>
        <w:gridCol w:w="36"/>
        <w:gridCol w:w="120"/>
        <w:gridCol w:w="921"/>
        <w:gridCol w:w="36"/>
        <w:gridCol w:w="36"/>
        <w:gridCol w:w="36"/>
        <w:gridCol w:w="36"/>
        <w:gridCol w:w="120"/>
        <w:gridCol w:w="881"/>
        <w:gridCol w:w="36"/>
        <w:gridCol w:w="36"/>
        <w:gridCol w:w="36"/>
        <w:gridCol w:w="36"/>
        <w:gridCol w:w="121"/>
        <w:gridCol w:w="883"/>
        <w:gridCol w:w="36"/>
      </w:tblGrid>
      <w:tr w:rsidR="005C332D" w14:paraId="518B53F5" w14:textId="77777777">
        <w:tc>
          <w:tcPr>
            <w:tcW w:w="50" w:type="pct"/>
            <w:shd w:val="clear" w:color="auto" w:fill="auto"/>
            <w:vAlign w:val="bottom"/>
          </w:tcPr>
          <w:p w14:paraId="518B53E3" w14:textId="77777777" w:rsidR="005C332D" w:rsidRDefault="005C332D">
            <w:pPr>
              <w:rPr>
                <w:rFonts w:ascii="宋体"/>
              </w:rPr>
            </w:pPr>
          </w:p>
        </w:tc>
        <w:tc>
          <w:tcPr>
            <w:tcW w:w="2934" w:type="pct"/>
            <w:shd w:val="clear" w:color="auto" w:fill="auto"/>
            <w:vAlign w:val="bottom"/>
          </w:tcPr>
          <w:p w14:paraId="518B53E4" w14:textId="77777777" w:rsidR="005C332D" w:rsidRDefault="005C332D">
            <w:pPr>
              <w:rPr>
                <w:rFonts w:ascii="宋体"/>
              </w:rPr>
            </w:pPr>
          </w:p>
        </w:tc>
        <w:tc>
          <w:tcPr>
            <w:tcW w:w="5" w:type="pct"/>
            <w:shd w:val="clear" w:color="auto" w:fill="auto"/>
            <w:vAlign w:val="bottom"/>
          </w:tcPr>
          <w:p w14:paraId="518B53E5" w14:textId="77777777" w:rsidR="005C332D" w:rsidRDefault="005C332D">
            <w:pPr>
              <w:rPr>
                <w:rFonts w:ascii="宋体"/>
              </w:rPr>
            </w:pPr>
          </w:p>
        </w:tc>
        <w:tc>
          <w:tcPr>
            <w:tcW w:w="50" w:type="pct"/>
            <w:shd w:val="clear" w:color="auto" w:fill="auto"/>
            <w:vAlign w:val="bottom"/>
          </w:tcPr>
          <w:p w14:paraId="518B53E6" w14:textId="77777777" w:rsidR="005C332D" w:rsidRDefault="005C332D">
            <w:pPr>
              <w:rPr>
                <w:rFonts w:ascii="宋体"/>
              </w:rPr>
            </w:pPr>
          </w:p>
        </w:tc>
        <w:tc>
          <w:tcPr>
            <w:tcW w:w="590" w:type="pct"/>
            <w:shd w:val="clear" w:color="auto" w:fill="auto"/>
            <w:vAlign w:val="bottom"/>
          </w:tcPr>
          <w:p w14:paraId="518B53E7" w14:textId="77777777" w:rsidR="005C332D" w:rsidRDefault="005C332D">
            <w:pPr>
              <w:rPr>
                <w:rFonts w:ascii="宋体"/>
              </w:rPr>
            </w:pPr>
          </w:p>
        </w:tc>
        <w:tc>
          <w:tcPr>
            <w:tcW w:w="5" w:type="pct"/>
            <w:shd w:val="clear" w:color="auto" w:fill="auto"/>
            <w:vAlign w:val="bottom"/>
          </w:tcPr>
          <w:p w14:paraId="518B53E8" w14:textId="77777777" w:rsidR="005C332D" w:rsidRDefault="005C332D">
            <w:pPr>
              <w:rPr>
                <w:rFonts w:ascii="宋体"/>
              </w:rPr>
            </w:pPr>
          </w:p>
        </w:tc>
        <w:tc>
          <w:tcPr>
            <w:tcW w:w="5" w:type="pct"/>
            <w:shd w:val="clear" w:color="auto" w:fill="auto"/>
            <w:vAlign w:val="bottom"/>
          </w:tcPr>
          <w:p w14:paraId="518B53E9" w14:textId="77777777" w:rsidR="005C332D" w:rsidRDefault="005C332D">
            <w:pPr>
              <w:rPr>
                <w:rFonts w:ascii="宋体"/>
              </w:rPr>
            </w:pPr>
          </w:p>
        </w:tc>
        <w:tc>
          <w:tcPr>
            <w:tcW w:w="27" w:type="pct"/>
            <w:shd w:val="clear" w:color="auto" w:fill="auto"/>
            <w:vAlign w:val="bottom"/>
          </w:tcPr>
          <w:p w14:paraId="518B53EA" w14:textId="77777777" w:rsidR="005C332D" w:rsidRDefault="005C332D">
            <w:pPr>
              <w:rPr>
                <w:rFonts w:ascii="宋体"/>
              </w:rPr>
            </w:pPr>
          </w:p>
        </w:tc>
        <w:tc>
          <w:tcPr>
            <w:tcW w:w="5" w:type="pct"/>
            <w:shd w:val="clear" w:color="auto" w:fill="auto"/>
            <w:vAlign w:val="bottom"/>
          </w:tcPr>
          <w:p w14:paraId="518B53EB" w14:textId="77777777" w:rsidR="005C332D" w:rsidRDefault="005C332D">
            <w:pPr>
              <w:rPr>
                <w:rFonts w:ascii="宋体"/>
              </w:rPr>
            </w:pPr>
          </w:p>
        </w:tc>
        <w:tc>
          <w:tcPr>
            <w:tcW w:w="50" w:type="pct"/>
            <w:shd w:val="clear" w:color="auto" w:fill="auto"/>
            <w:vAlign w:val="bottom"/>
          </w:tcPr>
          <w:p w14:paraId="518B53EC" w14:textId="77777777" w:rsidR="005C332D" w:rsidRDefault="005C332D">
            <w:pPr>
              <w:rPr>
                <w:rFonts w:ascii="宋体"/>
              </w:rPr>
            </w:pPr>
          </w:p>
        </w:tc>
        <w:tc>
          <w:tcPr>
            <w:tcW w:w="590" w:type="pct"/>
            <w:shd w:val="clear" w:color="auto" w:fill="auto"/>
            <w:vAlign w:val="bottom"/>
          </w:tcPr>
          <w:p w14:paraId="518B53ED" w14:textId="77777777" w:rsidR="005C332D" w:rsidRDefault="005C332D">
            <w:pPr>
              <w:rPr>
                <w:rFonts w:ascii="宋体"/>
              </w:rPr>
            </w:pPr>
          </w:p>
        </w:tc>
        <w:tc>
          <w:tcPr>
            <w:tcW w:w="5" w:type="pct"/>
            <w:shd w:val="clear" w:color="auto" w:fill="auto"/>
            <w:vAlign w:val="bottom"/>
          </w:tcPr>
          <w:p w14:paraId="518B53EE" w14:textId="77777777" w:rsidR="005C332D" w:rsidRDefault="005C332D">
            <w:pPr>
              <w:rPr>
                <w:rFonts w:ascii="宋体"/>
              </w:rPr>
            </w:pPr>
          </w:p>
        </w:tc>
        <w:tc>
          <w:tcPr>
            <w:tcW w:w="5" w:type="pct"/>
            <w:shd w:val="clear" w:color="auto" w:fill="auto"/>
            <w:vAlign w:val="bottom"/>
          </w:tcPr>
          <w:p w14:paraId="518B53EF" w14:textId="77777777" w:rsidR="005C332D" w:rsidRDefault="005C332D">
            <w:pPr>
              <w:rPr>
                <w:rFonts w:ascii="宋体"/>
              </w:rPr>
            </w:pPr>
          </w:p>
        </w:tc>
        <w:tc>
          <w:tcPr>
            <w:tcW w:w="27" w:type="pct"/>
            <w:shd w:val="clear" w:color="auto" w:fill="auto"/>
            <w:vAlign w:val="bottom"/>
          </w:tcPr>
          <w:p w14:paraId="518B53F0" w14:textId="77777777" w:rsidR="005C332D" w:rsidRDefault="005C332D">
            <w:pPr>
              <w:rPr>
                <w:rFonts w:ascii="宋体"/>
              </w:rPr>
            </w:pPr>
          </w:p>
        </w:tc>
        <w:tc>
          <w:tcPr>
            <w:tcW w:w="5" w:type="pct"/>
            <w:shd w:val="clear" w:color="auto" w:fill="auto"/>
            <w:vAlign w:val="bottom"/>
          </w:tcPr>
          <w:p w14:paraId="518B53F1" w14:textId="77777777" w:rsidR="005C332D" w:rsidRDefault="005C332D">
            <w:pPr>
              <w:rPr>
                <w:rFonts w:ascii="宋体"/>
              </w:rPr>
            </w:pPr>
          </w:p>
        </w:tc>
        <w:tc>
          <w:tcPr>
            <w:tcW w:w="50" w:type="pct"/>
            <w:shd w:val="clear" w:color="auto" w:fill="auto"/>
            <w:vAlign w:val="bottom"/>
          </w:tcPr>
          <w:p w14:paraId="518B53F2" w14:textId="77777777" w:rsidR="005C332D" w:rsidRDefault="005C332D">
            <w:pPr>
              <w:rPr>
                <w:rFonts w:ascii="宋体"/>
              </w:rPr>
            </w:pPr>
          </w:p>
        </w:tc>
        <w:tc>
          <w:tcPr>
            <w:tcW w:w="590" w:type="pct"/>
            <w:shd w:val="clear" w:color="auto" w:fill="auto"/>
            <w:vAlign w:val="bottom"/>
          </w:tcPr>
          <w:p w14:paraId="518B53F3" w14:textId="77777777" w:rsidR="005C332D" w:rsidRDefault="005C332D">
            <w:pPr>
              <w:rPr>
                <w:rFonts w:ascii="宋体"/>
              </w:rPr>
            </w:pPr>
          </w:p>
        </w:tc>
        <w:tc>
          <w:tcPr>
            <w:tcW w:w="5" w:type="pct"/>
            <w:shd w:val="clear" w:color="auto" w:fill="auto"/>
            <w:vAlign w:val="bottom"/>
          </w:tcPr>
          <w:p w14:paraId="518B53F4" w14:textId="77777777" w:rsidR="005C332D" w:rsidRDefault="005C332D">
            <w:pPr>
              <w:rPr>
                <w:rFonts w:ascii="宋体"/>
              </w:rPr>
            </w:pPr>
          </w:p>
        </w:tc>
      </w:tr>
      <w:tr w:rsidR="005C332D" w14:paraId="518B53FC" w14:textId="77777777">
        <w:tc>
          <w:tcPr>
            <w:tcW w:w="0" w:type="auto"/>
            <w:gridSpan w:val="3"/>
            <w:shd w:val="clear" w:color="auto" w:fill="auto"/>
            <w:tcMar>
              <w:top w:w="40" w:type="dxa"/>
              <w:left w:w="20" w:type="dxa"/>
              <w:bottom w:w="40" w:type="dxa"/>
              <w:right w:w="20" w:type="dxa"/>
            </w:tcMar>
            <w:vAlign w:val="bottom"/>
          </w:tcPr>
          <w:p w14:paraId="518B53F6"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18B53F7"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3F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3F9"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3F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3FB" w14:textId="77777777" w:rsidR="005C332D" w:rsidRDefault="00B93EAE">
            <w:pPr>
              <w:jc w:val="center"/>
              <w:textAlignment w:val="bottom"/>
            </w:pPr>
            <w:r>
              <w:rPr>
                <w:rFonts w:ascii="Times New Roman" w:eastAsia="宋体" w:hAnsi="Times New Roman"/>
                <w:color w:val="000000"/>
                <w:sz w:val="18"/>
                <w:szCs w:val="18"/>
              </w:rPr>
              <w:t>Increase (Decrease)</w:t>
            </w:r>
          </w:p>
        </w:tc>
      </w:tr>
      <w:tr w:rsidR="005C332D" w14:paraId="518B5409" w14:textId="77777777">
        <w:tc>
          <w:tcPr>
            <w:tcW w:w="0" w:type="auto"/>
            <w:gridSpan w:val="3"/>
            <w:shd w:val="clear" w:color="auto" w:fill="CCEEFF"/>
            <w:tcMar>
              <w:top w:w="40" w:type="dxa"/>
              <w:left w:w="20" w:type="dxa"/>
              <w:bottom w:w="40" w:type="dxa"/>
              <w:right w:w="20" w:type="dxa"/>
            </w:tcMar>
            <w:vAlign w:val="bottom"/>
          </w:tcPr>
          <w:p w14:paraId="518B53FD" w14:textId="77777777" w:rsidR="005C332D" w:rsidRDefault="00B93EAE">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3F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3FF" w14:textId="77777777" w:rsidR="005C332D" w:rsidRDefault="00B93EAE">
            <w:pPr>
              <w:jc w:val="right"/>
              <w:textAlignment w:val="bottom"/>
            </w:pPr>
            <w:r>
              <w:rPr>
                <w:rFonts w:ascii="Times New Roman" w:eastAsia="宋体" w:hAnsi="Times New Roman"/>
                <w:b/>
                <w:bCs/>
                <w:color w:val="000000"/>
                <w:sz w:val="20"/>
                <w:szCs w:val="20"/>
              </w:rPr>
              <w:t>10,427</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0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0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0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03" w14:textId="77777777" w:rsidR="005C332D" w:rsidRDefault="00B93EAE">
            <w:pPr>
              <w:jc w:val="right"/>
              <w:textAlignment w:val="bottom"/>
            </w:pPr>
            <w:r>
              <w:rPr>
                <w:rFonts w:ascii="Times New Roman" w:eastAsia="宋体" w:hAnsi="Times New Roman"/>
                <w:color w:val="000000"/>
                <w:sz w:val="20"/>
                <w:szCs w:val="20"/>
              </w:rPr>
              <w:t>9,416 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0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0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0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07" w14:textId="77777777" w:rsidR="005C332D" w:rsidRDefault="00B93EAE">
            <w:pPr>
              <w:jc w:val="right"/>
              <w:textAlignment w:val="bottom"/>
            </w:pPr>
            <w:r>
              <w:rPr>
                <w:rFonts w:ascii="Times New Roman" w:eastAsia="宋体" w:hAnsi="Times New Roman"/>
                <w:color w:val="000000"/>
                <w:sz w:val="20"/>
                <w:szCs w:val="20"/>
              </w:rPr>
              <w:t>1,011 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08" w14:textId="77777777" w:rsidR="005C332D" w:rsidRDefault="005C332D">
            <w:pPr>
              <w:jc w:val="right"/>
              <w:rPr>
                <w:rFonts w:ascii="宋体"/>
              </w:rPr>
            </w:pPr>
          </w:p>
        </w:tc>
      </w:tr>
      <w:tr w:rsidR="005C332D" w14:paraId="518B5413" w14:textId="77777777">
        <w:tc>
          <w:tcPr>
            <w:tcW w:w="0" w:type="auto"/>
            <w:gridSpan w:val="3"/>
            <w:shd w:val="clear" w:color="auto" w:fill="FFFFFF"/>
            <w:tcMar>
              <w:top w:w="40" w:type="dxa"/>
              <w:left w:w="35" w:type="dxa"/>
              <w:bottom w:w="40" w:type="dxa"/>
              <w:right w:w="20" w:type="dxa"/>
            </w:tcMar>
            <w:vAlign w:val="bottom"/>
          </w:tcPr>
          <w:p w14:paraId="518B540A" w14:textId="77777777" w:rsidR="005C332D" w:rsidRDefault="00B93EAE">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518B540B" w14:textId="77777777" w:rsidR="005C332D" w:rsidRDefault="00B93EAE">
            <w:pPr>
              <w:jc w:val="right"/>
              <w:textAlignment w:val="bottom"/>
            </w:pPr>
            <w:r>
              <w:rPr>
                <w:rFonts w:ascii="Times New Roman" w:eastAsia="宋体" w:hAnsi="Times New Roman"/>
                <w:b/>
                <w:bCs/>
                <w:color w:val="000000"/>
                <w:sz w:val="20"/>
                <w:szCs w:val="20"/>
              </w:rPr>
              <w:t>12,837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40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0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0E" w14:textId="77777777" w:rsidR="005C332D" w:rsidRDefault="00B93EAE">
            <w:pPr>
              <w:jc w:val="right"/>
              <w:textAlignment w:val="bottom"/>
            </w:pPr>
            <w:r>
              <w:rPr>
                <w:rFonts w:ascii="Times New Roman" w:eastAsia="宋体" w:hAnsi="Times New Roman"/>
                <w:color w:val="000000"/>
                <w:sz w:val="20"/>
                <w:szCs w:val="20"/>
              </w:rPr>
              <w:t>12,748 </w:t>
            </w:r>
          </w:p>
        </w:tc>
        <w:tc>
          <w:tcPr>
            <w:tcW w:w="0" w:type="auto"/>
            <w:shd w:val="clear" w:color="auto" w:fill="FFFFFF"/>
            <w:tcMar>
              <w:top w:w="40" w:type="dxa"/>
              <w:left w:w="0" w:type="dxa"/>
              <w:bottom w:w="40" w:type="dxa"/>
              <w:right w:w="20" w:type="dxa"/>
            </w:tcMar>
            <w:vAlign w:val="bottom"/>
          </w:tcPr>
          <w:p w14:paraId="518B540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1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11" w14:textId="77777777" w:rsidR="005C332D" w:rsidRDefault="00B93EAE">
            <w:pPr>
              <w:jc w:val="right"/>
              <w:textAlignment w:val="bottom"/>
            </w:pPr>
            <w:r>
              <w:rPr>
                <w:rFonts w:ascii="Times New Roman" w:eastAsia="宋体" w:hAnsi="Times New Roman"/>
                <w:color w:val="000000"/>
                <w:sz w:val="20"/>
                <w:szCs w:val="20"/>
              </w:rPr>
              <w:t>89 </w:t>
            </w:r>
          </w:p>
        </w:tc>
        <w:tc>
          <w:tcPr>
            <w:tcW w:w="0" w:type="auto"/>
            <w:shd w:val="clear" w:color="auto" w:fill="FFFFFF"/>
            <w:tcMar>
              <w:top w:w="40" w:type="dxa"/>
              <w:left w:w="0" w:type="dxa"/>
              <w:bottom w:w="40" w:type="dxa"/>
              <w:right w:w="20" w:type="dxa"/>
            </w:tcMar>
            <w:vAlign w:val="bottom"/>
          </w:tcPr>
          <w:p w14:paraId="518B5412" w14:textId="77777777" w:rsidR="005C332D" w:rsidRDefault="005C332D">
            <w:pPr>
              <w:jc w:val="right"/>
              <w:rPr>
                <w:rFonts w:ascii="宋体"/>
              </w:rPr>
            </w:pPr>
          </w:p>
        </w:tc>
      </w:tr>
      <w:tr w:rsidR="005C332D" w14:paraId="518B5420" w14:textId="77777777">
        <w:tc>
          <w:tcPr>
            <w:tcW w:w="0" w:type="auto"/>
            <w:gridSpan w:val="3"/>
            <w:shd w:val="clear" w:color="auto" w:fill="CCEEFF"/>
            <w:tcMar>
              <w:top w:w="40" w:type="dxa"/>
              <w:left w:w="155" w:type="dxa"/>
              <w:bottom w:w="40" w:type="dxa"/>
              <w:right w:w="20" w:type="dxa"/>
            </w:tcMar>
            <w:vAlign w:val="bottom"/>
          </w:tcPr>
          <w:p w14:paraId="518B5414" w14:textId="77777777" w:rsidR="005C332D" w:rsidRDefault="00B93EAE">
            <w:pPr>
              <w:textAlignment w:val="bottom"/>
            </w:pPr>
            <w:r>
              <w:rPr>
                <w:rFonts w:ascii="Times New Roman" w:eastAsia="宋体" w:hAnsi="Times New Roman"/>
                <w:color w:val="000000"/>
                <w:sz w:val="20"/>
                <w:szCs w:val="20"/>
              </w:rPr>
              <w:t>    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41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16" w14:textId="77777777" w:rsidR="005C332D" w:rsidRDefault="00B93EAE">
            <w:pPr>
              <w:jc w:val="right"/>
              <w:textAlignment w:val="bottom"/>
            </w:pPr>
            <w:r>
              <w:rPr>
                <w:rFonts w:ascii="Times New Roman" w:eastAsia="宋体" w:hAnsi="Times New Roman"/>
                <w:b/>
                <w:bCs/>
                <w:color w:val="000000"/>
                <w:sz w:val="20"/>
                <w:szCs w:val="20"/>
              </w:rPr>
              <w:t>23,264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1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1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1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1A" w14:textId="77777777" w:rsidR="005C332D" w:rsidRDefault="00B93EAE">
            <w:pPr>
              <w:jc w:val="right"/>
              <w:textAlignment w:val="bottom"/>
            </w:pPr>
            <w:r>
              <w:rPr>
                <w:rFonts w:ascii="Times New Roman" w:eastAsia="宋体" w:hAnsi="Times New Roman"/>
                <w:color w:val="000000"/>
                <w:sz w:val="20"/>
                <w:szCs w:val="20"/>
              </w:rPr>
              <w:t>22,164 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1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1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1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1E" w14:textId="77777777" w:rsidR="005C332D" w:rsidRDefault="00B93EAE">
            <w:pPr>
              <w:jc w:val="right"/>
              <w:textAlignment w:val="bottom"/>
            </w:pPr>
            <w:r>
              <w:rPr>
                <w:rFonts w:ascii="Times New Roman" w:eastAsia="宋体" w:hAnsi="Times New Roman"/>
                <w:color w:val="000000"/>
                <w:sz w:val="20"/>
                <w:szCs w:val="20"/>
              </w:rPr>
              <w:t>1,100 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1F" w14:textId="77777777" w:rsidR="005C332D" w:rsidRDefault="005C332D">
            <w:pPr>
              <w:jc w:val="right"/>
              <w:rPr>
                <w:rFonts w:ascii="宋体"/>
              </w:rPr>
            </w:pPr>
          </w:p>
        </w:tc>
      </w:tr>
      <w:tr w:rsidR="005C332D" w14:paraId="518B5427" w14:textId="77777777">
        <w:tc>
          <w:tcPr>
            <w:tcW w:w="0" w:type="auto"/>
            <w:gridSpan w:val="3"/>
            <w:shd w:val="clear" w:color="auto" w:fill="FFFFFF"/>
            <w:tcMar>
              <w:top w:w="40" w:type="dxa"/>
              <w:left w:w="20" w:type="dxa"/>
              <w:bottom w:w="40" w:type="dxa"/>
              <w:right w:w="20" w:type="dxa"/>
            </w:tcMar>
            <w:vAlign w:val="bottom"/>
          </w:tcPr>
          <w:p w14:paraId="518B5421" w14:textId="77777777" w:rsidR="005C332D" w:rsidRDefault="00B93EAE">
            <w:pPr>
              <w:textAlignment w:val="bottom"/>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542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423"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542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425"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5426" w14:textId="77777777" w:rsidR="005C332D" w:rsidRDefault="005C332D">
            <w:pPr>
              <w:rPr>
                <w:rFonts w:ascii="宋体"/>
              </w:rPr>
            </w:pPr>
          </w:p>
        </w:tc>
      </w:tr>
      <w:tr w:rsidR="005C332D" w14:paraId="518B5434" w14:textId="77777777">
        <w:tc>
          <w:tcPr>
            <w:tcW w:w="0" w:type="auto"/>
            <w:gridSpan w:val="3"/>
            <w:shd w:val="clear" w:color="auto" w:fill="CCEEFF"/>
            <w:tcMar>
              <w:top w:w="40" w:type="dxa"/>
              <w:left w:w="155" w:type="dxa"/>
              <w:bottom w:w="40" w:type="dxa"/>
              <w:right w:w="20" w:type="dxa"/>
            </w:tcMar>
            <w:vAlign w:val="bottom"/>
          </w:tcPr>
          <w:p w14:paraId="518B5428" w14:textId="77777777" w:rsidR="005C332D" w:rsidRDefault="00B93EAE">
            <w:pPr>
              <w:textAlignment w:val="bottom"/>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518B5429"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542A" w14:textId="77777777" w:rsidR="005C332D" w:rsidRDefault="00B93EAE">
            <w:pPr>
              <w:jc w:val="right"/>
              <w:textAlignment w:val="bottom"/>
            </w:pPr>
            <w:r>
              <w:rPr>
                <w:rFonts w:ascii="Times New Roman" w:eastAsia="宋体" w:hAnsi="Times New Roman"/>
                <w:b/>
                <w:bCs/>
                <w:color w:val="000000"/>
                <w:sz w:val="20"/>
                <w:szCs w:val="20"/>
              </w:rPr>
              <w:t>12,784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42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2C"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42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42E" w14:textId="77777777" w:rsidR="005C332D" w:rsidRDefault="00B93EAE">
            <w:pPr>
              <w:jc w:val="right"/>
              <w:textAlignment w:val="bottom"/>
            </w:pPr>
            <w:r>
              <w:rPr>
                <w:rFonts w:ascii="Times New Roman" w:eastAsia="宋体" w:hAnsi="Times New Roman"/>
                <w:color w:val="000000"/>
                <w:sz w:val="20"/>
                <w:szCs w:val="20"/>
              </w:rPr>
              <w:t>12,148 </w:t>
            </w:r>
          </w:p>
        </w:tc>
        <w:tc>
          <w:tcPr>
            <w:tcW w:w="0" w:type="auto"/>
            <w:shd w:val="clear" w:color="auto" w:fill="CCEEFF"/>
            <w:tcMar>
              <w:top w:w="40" w:type="dxa"/>
              <w:left w:w="0" w:type="dxa"/>
              <w:bottom w:w="40" w:type="dxa"/>
              <w:right w:w="20" w:type="dxa"/>
            </w:tcMar>
            <w:vAlign w:val="bottom"/>
          </w:tcPr>
          <w:p w14:paraId="518B542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30"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43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432" w14:textId="77777777" w:rsidR="005C332D" w:rsidRDefault="00B93EAE">
            <w:pPr>
              <w:jc w:val="right"/>
              <w:textAlignment w:val="bottom"/>
            </w:pPr>
            <w:r>
              <w:rPr>
                <w:rFonts w:ascii="Times New Roman" w:eastAsia="宋体" w:hAnsi="Times New Roman"/>
                <w:color w:val="000000"/>
                <w:sz w:val="20"/>
                <w:szCs w:val="20"/>
              </w:rPr>
              <w:t>636 </w:t>
            </w:r>
          </w:p>
        </w:tc>
        <w:tc>
          <w:tcPr>
            <w:tcW w:w="0" w:type="auto"/>
            <w:shd w:val="clear" w:color="auto" w:fill="CCEEFF"/>
            <w:tcMar>
              <w:top w:w="40" w:type="dxa"/>
              <w:left w:w="0" w:type="dxa"/>
              <w:bottom w:w="40" w:type="dxa"/>
              <w:right w:w="20" w:type="dxa"/>
            </w:tcMar>
            <w:vAlign w:val="bottom"/>
          </w:tcPr>
          <w:p w14:paraId="518B5433" w14:textId="77777777" w:rsidR="005C332D" w:rsidRDefault="005C332D">
            <w:pPr>
              <w:jc w:val="right"/>
              <w:rPr>
                <w:rFonts w:ascii="宋体"/>
              </w:rPr>
            </w:pPr>
          </w:p>
        </w:tc>
      </w:tr>
      <w:tr w:rsidR="005C332D" w14:paraId="518B543E" w14:textId="77777777">
        <w:tc>
          <w:tcPr>
            <w:tcW w:w="0" w:type="auto"/>
            <w:gridSpan w:val="3"/>
            <w:shd w:val="clear" w:color="auto" w:fill="FFFFFF"/>
            <w:tcMar>
              <w:top w:w="40" w:type="dxa"/>
              <w:left w:w="155" w:type="dxa"/>
              <w:bottom w:w="40" w:type="dxa"/>
              <w:right w:w="20" w:type="dxa"/>
            </w:tcMar>
            <w:vAlign w:val="bottom"/>
          </w:tcPr>
          <w:p w14:paraId="518B5435" w14:textId="77777777" w:rsidR="005C332D" w:rsidRDefault="00B93EAE">
            <w:pPr>
              <w:textAlignment w:val="bottom"/>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518B5436" w14:textId="77777777" w:rsidR="005C332D" w:rsidRDefault="00B93EAE">
            <w:pPr>
              <w:jc w:val="right"/>
              <w:textAlignment w:val="bottom"/>
            </w:pPr>
            <w:r>
              <w:rPr>
                <w:rFonts w:ascii="Times New Roman" w:eastAsia="宋体" w:hAnsi="Times New Roman"/>
                <w:b/>
                <w:bCs/>
                <w:color w:val="000000"/>
                <w:sz w:val="20"/>
                <w:szCs w:val="20"/>
              </w:rPr>
              <w:t>10,480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43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3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39" w14:textId="77777777" w:rsidR="005C332D" w:rsidRDefault="00B93EAE">
            <w:pPr>
              <w:jc w:val="right"/>
              <w:textAlignment w:val="bottom"/>
            </w:pPr>
            <w:r>
              <w:rPr>
                <w:rFonts w:ascii="Times New Roman" w:eastAsia="宋体" w:hAnsi="Times New Roman"/>
                <w:color w:val="000000"/>
                <w:sz w:val="20"/>
                <w:szCs w:val="20"/>
              </w:rPr>
              <w:t>10,016 </w:t>
            </w:r>
          </w:p>
        </w:tc>
        <w:tc>
          <w:tcPr>
            <w:tcW w:w="0" w:type="auto"/>
            <w:shd w:val="clear" w:color="auto" w:fill="FFFFFF"/>
            <w:tcMar>
              <w:top w:w="40" w:type="dxa"/>
              <w:left w:w="0" w:type="dxa"/>
              <w:bottom w:w="40" w:type="dxa"/>
              <w:right w:w="20" w:type="dxa"/>
            </w:tcMar>
            <w:vAlign w:val="bottom"/>
          </w:tcPr>
          <w:p w14:paraId="518B543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3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3C" w14:textId="77777777" w:rsidR="005C332D" w:rsidRDefault="00B93EAE">
            <w:pPr>
              <w:jc w:val="right"/>
              <w:textAlignment w:val="bottom"/>
            </w:pPr>
            <w:r>
              <w:rPr>
                <w:rFonts w:ascii="Times New Roman" w:eastAsia="宋体" w:hAnsi="Times New Roman"/>
                <w:color w:val="000000"/>
                <w:sz w:val="20"/>
                <w:szCs w:val="20"/>
              </w:rPr>
              <w:t>464 </w:t>
            </w:r>
          </w:p>
        </w:tc>
        <w:tc>
          <w:tcPr>
            <w:tcW w:w="0" w:type="auto"/>
            <w:shd w:val="clear" w:color="auto" w:fill="FFFFFF"/>
            <w:tcMar>
              <w:top w:w="40" w:type="dxa"/>
              <w:left w:w="0" w:type="dxa"/>
              <w:bottom w:w="40" w:type="dxa"/>
              <w:right w:w="20" w:type="dxa"/>
            </w:tcMar>
            <w:vAlign w:val="bottom"/>
          </w:tcPr>
          <w:p w14:paraId="518B543D" w14:textId="77777777" w:rsidR="005C332D" w:rsidRDefault="005C332D">
            <w:pPr>
              <w:jc w:val="right"/>
              <w:rPr>
                <w:rFonts w:ascii="宋体"/>
              </w:rPr>
            </w:pPr>
          </w:p>
        </w:tc>
      </w:tr>
      <w:tr w:rsidR="005C332D" w14:paraId="518B544B" w14:textId="77777777">
        <w:tc>
          <w:tcPr>
            <w:tcW w:w="0" w:type="auto"/>
            <w:gridSpan w:val="3"/>
            <w:shd w:val="clear" w:color="auto" w:fill="CCEEFF"/>
            <w:tcMar>
              <w:top w:w="40" w:type="dxa"/>
              <w:left w:w="155" w:type="dxa"/>
              <w:bottom w:w="40" w:type="dxa"/>
              <w:right w:w="20" w:type="dxa"/>
            </w:tcMar>
            <w:vAlign w:val="bottom"/>
          </w:tcPr>
          <w:p w14:paraId="518B543F" w14:textId="77777777" w:rsidR="005C332D" w:rsidRDefault="00B93EAE">
            <w:pPr>
              <w:textAlignment w:val="bottom"/>
            </w:pPr>
            <w:r>
              <w:rPr>
                <w:rFonts w:ascii="Times New Roman" w:eastAsia="宋体" w:hAnsi="Times New Roman"/>
                <w:color w:val="000000"/>
                <w:sz w:val="20"/>
                <w:szCs w:val="20"/>
              </w:rPr>
              <w:t>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44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441" w14:textId="77777777" w:rsidR="005C332D" w:rsidRDefault="00B93EAE">
            <w:pPr>
              <w:jc w:val="right"/>
              <w:textAlignment w:val="bottom"/>
            </w:pPr>
            <w:r>
              <w:rPr>
                <w:rFonts w:ascii="Times New Roman" w:eastAsia="宋体" w:hAnsi="Times New Roman"/>
                <w:b/>
                <w:bCs/>
                <w:color w:val="000000"/>
                <w:sz w:val="20"/>
                <w:szCs w:val="20"/>
              </w:rPr>
              <w:t>23,264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44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43"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44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445" w14:textId="77777777" w:rsidR="005C332D" w:rsidRDefault="00B93EAE">
            <w:pPr>
              <w:jc w:val="right"/>
              <w:textAlignment w:val="bottom"/>
            </w:pPr>
            <w:r>
              <w:rPr>
                <w:rFonts w:ascii="Times New Roman" w:eastAsia="宋体" w:hAnsi="Times New Roman"/>
                <w:color w:val="000000"/>
                <w:sz w:val="20"/>
                <w:szCs w:val="20"/>
              </w:rPr>
              <w:t>22,164 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44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47"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44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449" w14:textId="77777777" w:rsidR="005C332D" w:rsidRDefault="00B93EAE">
            <w:pPr>
              <w:jc w:val="right"/>
              <w:textAlignment w:val="bottom"/>
            </w:pPr>
            <w:r>
              <w:rPr>
                <w:rFonts w:ascii="Times New Roman" w:eastAsia="宋体" w:hAnsi="Times New Roman"/>
                <w:color w:val="000000"/>
                <w:sz w:val="20"/>
                <w:szCs w:val="20"/>
              </w:rPr>
              <w:t>1,100 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44A" w14:textId="77777777" w:rsidR="005C332D" w:rsidRDefault="005C332D">
            <w:pPr>
              <w:jc w:val="right"/>
              <w:rPr>
                <w:rFonts w:ascii="宋体"/>
              </w:rPr>
            </w:pPr>
          </w:p>
        </w:tc>
      </w:tr>
    </w:tbl>
    <w:p w14:paraId="518B544C" w14:textId="77777777" w:rsidR="005C332D" w:rsidRDefault="00B93EAE">
      <w:pPr>
        <w:spacing w:before="120"/>
        <w:jc w:val="both"/>
      </w:pPr>
      <w:r>
        <w:rPr>
          <w:rFonts w:ascii="Times New Roman" w:eastAsia="宋体" w:hAnsi="Times New Roman"/>
          <w:color w:val="000000"/>
          <w:sz w:val="20"/>
          <w:szCs w:val="20"/>
        </w:rPr>
        <w:t xml:space="preserve">Total deferred revenue increased 5% in fiscal 2022. The increase in deferred product revenue of 11% was primarily due to increased deferrals related to our recurring software offerings. The slight </w:t>
      </w:r>
      <w:r>
        <w:rPr>
          <w:rFonts w:ascii="Times New Roman" w:eastAsia="宋体" w:hAnsi="Times New Roman"/>
          <w:color w:val="000000"/>
          <w:sz w:val="20"/>
          <w:szCs w:val="20"/>
        </w:rPr>
        <w:t>increase in deferred service revenue was driven by the impact of contract renewals, partially offset by amortization of deferred service revenue.</w:t>
      </w:r>
    </w:p>
    <w:p w14:paraId="518B544D" w14:textId="77777777" w:rsidR="005C332D" w:rsidRDefault="00B93EAE">
      <w:pPr>
        <w:spacing w:before="120"/>
        <w:jc w:val="both"/>
      </w:pPr>
      <w:r>
        <w:rPr>
          <w:rFonts w:ascii="Times New Roman" w:eastAsia="宋体" w:hAnsi="Times New Roman"/>
          <w:b/>
          <w:bCs/>
          <w:color w:val="000000"/>
          <w:sz w:val="20"/>
          <w:szCs w:val="20"/>
        </w:rPr>
        <w:t>Contractual Obligations</w:t>
      </w:r>
    </w:p>
    <w:p w14:paraId="518B544E" w14:textId="77777777" w:rsidR="005C332D" w:rsidRDefault="00B93EAE">
      <w:pPr>
        <w:spacing w:before="120"/>
        <w:jc w:val="both"/>
      </w:pPr>
      <w:r>
        <w:rPr>
          <w:rFonts w:ascii="Times New Roman" w:eastAsia="宋体" w:hAnsi="Times New Roman"/>
          <w:color w:val="000000"/>
          <w:sz w:val="20"/>
          <w:szCs w:val="20"/>
        </w:rPr>
        <w:t>The impact of contractual obligations on our liquidity and capital resources in future</w:t>
      </w:r>
      <w:r>
        <w:rPr>
          <w:rFonts w:ascii="Times New Roman" w:eastAsia="宋体" w:hAnsi="Times New Roman"/>
          <w:color w:val="000000"/>
          <w:sz w:val="20"/>
          <w:szCs w:val="20"/>
        </w:rPr>
        <w:t xml:space="preserve"> periods should be analyzed in conjunction with the factors that impact our cash flows from operations discussed previously. In addition, we plan for and measure our liquidity and capital resources through an annual budgeting process. The following table s</w:t>
      </w:r>
      <w:r>
        <w:rPr>
          <w:rFonts w:ascii="Times New Roman" w:eastAsia="宋体" w:hAnsi="Times New Roman"/>
          <w:color w:val="000000"/>
          <w:sz w:val="20"/>
          <w:szCs w:val="20"/>
        </w:rPr>
        <w:t xml:space="preserve">ummarizes our contractual obligations at July 30, 2022 (in millions): </w:t>
      </w:r>
    </w:p>
    <w:tbl>
      <w:tblPr>
        <w:tblW w:w="4985" w:type="pct"/>
        <w:tblCellMar>
          <w:top w:w="15" w:type="dxa"/>
          <w:left w:w="15" w:type="dxa"/>
          <w:bottom w:w="15" w:type="dxa"/>
          <w:right w:w="15" w:type="dxa"/>
        </w:tblCellMar>
        <w:tblLook w:val="04A0" w:firstRow="1" w:lastRow="0" w:firstColumn="1" w:lastColumn="0" w:noHBand="0" w:noVBand="1"/>
      </w:tblPr>
      <w:tblGrid>
        <w:gridCol w:w="39"/>
        <w:gridCol w:w="4006"/>
        <w:gridCol w:w="38"/>
        <w:gridCol w:w="120"/>
        <w:gridCol w:w="604"/>
        <w:gridCol w:w="36"/>
        <w:gridCol w:w="36"/>
        <w:gridCol w:w="36"/>
        <w:gridCol w:w="36"/>
        <w:gridCol w:w="120"/>
        <w:gridCol w:w="600"/>
        <w:gridCol w:w="36"/>
        <w:gridCol w:w="36"/>
        <w:gridCol w:w="36"/>
        <w:gridCol w:w="36"/>
        <w:gridCol w:w="120"/>
        <w:gridCol w:w="549"/>
        <w:gridCol w:w="36"/>
        <w:gridCol w:w="36"/>
        <w:gridCol w:w="36"/>
        <w:gridCol w:w="36"/>
        <w:gridCol w:w="120"/>
        <w:gridCol w:w="569"/>
        <w:gridCol w:w="36"/>
        <w:gridCol w:w="36"/>
        <w:gridCol w:w="36"/>
        <w:gridCol w:w="36"/>
        <w:gridCol w:w="121"/>
        <w:gridCol w:w="693"/>
        <w:gridCol w:w="36"/>
      </w:tblGrid>
      <w:tr w:rsidR="005C332D" w14:paraId="518B546D" w14:textId="77777777">
        <w:tc>
          <w:tcPr>
            <w:tcW w:w="50" w:type="pct"/>
            <w:shd w:val="clear" w:color="auto" w:fill="auto"/>
            <w:vAlign w:val="bottom"/>
          </w:tcPr>
          <w:p w14:paraId="518B544F" w14:textId="77777777" w:rsidR="005C332D" w:rsidRDefault="005C332D">
            <w:pPr>
              <w:rPr>
                <w:rFonts w:ascii="宋体"/>
              </w:rPr>
            </w:pPr>
          </w:p>
        </w:tc>
        <w:tc>
          <w:tcPr>
            <w:tcW w:w="2459" w:type="pct"/>
            <w:shd w:val="clear" w:color="auto" w:fill="auto"/>
            <w:vAlign w:val="bottom"/>
          </w:tcPr>
          <w:p w14:paraId="518B5450" w14:textId="77777777" w:rsidR="005C332D" w:rsidRDefault="005C332D">
            <w:pPr>
              <w:rPr>
                <w:rFonts w:ascii="宋体"/>
              </w:rPr>
            </w:pPr>
          </w:p>
        </w:tc>
        <w:tc>
          <w:tcPr>
            <w:tcW w:w="5" w:type="pct"/>
            <w:shd w:val="clear" w:color="auto" w:fill="auto"/>
            <w:vAlign w:val="bottom"/>
          </w:tcPr>
          <w:p w14:paraId="518B5451" w14:textId="77777777" w:rsidR="005C332D" w:rsidRDefault="005C332D">
            <w:pPr>
              <w:rPr>
                <w:rFonts w:ascii="宋体"/>
              </w:rPr>
            </w:pPr>
          </w:p>
        </w:tc>
        <w:tc>
          <w:tcPr>
            <w:tcW w:w="50" w:type="pct"/>
            <w:shd w:val="clear" w:color="auto" w:fill="auto"/>
            <w:vAlign w:val="bottom"/>
          </w:tcPr>
          <w:p w14:paraId="518B5452" w14:textId="77777777" w:rsidR="005C332D" w:rsidRDefault="005C332D">
            <w:pPr>
              <w:rPr>
                <w:rFonts w:ascii="宋体"/>
              </w:rPr>
            </w:pPr>
          </w:p>
        </w:tc>
        <w:tc>
          <w:tcPr>
            <w:tcW w:w="406" w:type="pct"/>
            <w:shd w:val="clear" w:color="auto" w:fill="auto"/>
            <w:vAlign w:val="bottom"/>
          </w:tcPr>
          <w:p w14:paraId="518B5453" w14:textId="77777777" w:rsidR="005C332D" w:rsidRDefault="005C332D">
            <w:pPr>
              <w:rPr>
                <w:rFonts w:ascii="宋体"/>
              </w:rPr>
            </w:pPr>
          </w:p>
        </w:tc>
        <w:tc>
          <w:tcPr>
            <w:tcW w:w="5" w:type="pct"/>
            <w:shd w:val="clear" w:color="auto" w:fill="auto"/>
            <w:vAlign w:val="bottom"/>
          </w:tcPr>
          <w:p w14:paraId="518B5454" w14:textId="77777777" w:rsidR="005C332D" w:rsidRDefault="005C332D">
            <w:pPr>
              <w:rPr>
                <w:rFonts w:ascii="宋体"/>
              </w:rPr>
            </w:pPr>
          </w:p>
        </w:tc>
        <w:tc>
          <w:tcPr>
            <w:tcW w:w="5" w:type="pct"/>
            <w:shd w:val="clear" w:color="auto" w:fill="auto"/>
            <w:vAlign w:val="bottom"/>
          </w:tcPr>
          <w:p w14:paraId="518B5455" w14:textId="77777777" w:rsidR="005C332D" w:rsidRDefault="005C332D">
            <w:pPr>
              <w:rPr>
                <w:rFonts w:ascii="宋体"/>
              </w:rPr>
            </w:pPr>
          </w:p>
        </w:tc>
        <w:tc>
          <w:tcPr>
            <w:tcW w:w="26" w:type="pct"/>
            <w:shd w:val="clear" w:color="auto" w:fill="auto"/>
            <w:vAlign w:val="bottom"/>
          </w:tcPr>
          <w:p w14:paraId="518B5456" w14:textId="77777777" w:rsidR="005C332D" w:rsidRDefault="005C332D">
            <w:pPr>
              <w:rPr>
                <w:rFonts w:ascii="宋体"/>
              </w:rPr>
            </w:pPr>
          </w:p>
        </w:tc>
        <w:tc>
          <w:tcPr>
            <w:tcW w:w="5" w:type="pct"/>
            <w:shd w:val="clear" w:color="auto" w:fill="auto"/>
            <w:vAlign w:val="bottom"/>
          </w:tcPr>
          <w:p w14:paraId="518B5457" w14:textId="77777777" w:rsidR="005C332D" w:rsidRDefault="005C332D">
            <w:pPr>
              <w:rPr>
                <w:rFonts w:ascii="宋体"/>
              </w:rPr>
            </w:pPr>
          </w:p>
        </w:tc>
        <w:tc>
          <w:tcPr>
            <w:tcW w:w="50" w:type="pct"/>
            <w:shd w:val="clear" w:color="auto" w:fill="auto"/>
            <w:vAlign w:val="bottom"/>
          </w:tcPr>
          <w:p w14:paraId="518B5458" w14:textId="77777777" w:rsidR="005C332D" w:rsidRDefault="005C332D">
            <w:pPr>
              <w:rPr>
                <w:rFonts w:ascii="宋体"/>
              </w:rPr>
            </w:pPr>
          </w:p>
        </w:tc>
        <w:tc>
          <w:tcPr>
            <w:tcW w:w="414" w:type="pct"/>
            <w:shd w:val="clear" w:color="auto" w:fill="auto"/>
            <w:vAlign w:val="bottom"/>
          </w:tcPr>
          <w:p w14:paraId="518B5459" w14:textId="77777777" w:rsidR="005C332D" w:rsidRDefault="005C332D">
            <w:pPr>
              <w:rPr>
                <w:rFonts w:ascii="宋体"/>
              </w:rPr>
            </w:pPr>
          </w:p>
        </w:tc>
        <w:tc>
          <w:tcPr>
            <w:tcW w:w="5" w:type="pct"/>
            <w:shd w:val="clear" w:color="auto" w:fill="auto"/>
            <w:vAlign w:val="bottom"/>
          </w:tcPr>
          <w:p w14:paraId="518B545A" w14:textId="77777777" w:rsidR="005C332D" w:rsidRDefault="005C332D">
            <w:pPr>
              <w:rPr>
                <w:rFonts w:ascii="宋体"/>
              </w:rPr>
            </w:pPr>
          </w:p>
        </w:tc>
        <w:tc>
          <w:tcPr>
            <w:tcW w:w="5" w:type="pct"/>
            <w:shd w:val="clear" w:color="auto" w:fill="auto"/>
            <w:vAlign w:val="bottom"/>
          </w:tcPr>
          <w:p w14:paraId="518B545B" w14:textId="77777777" w:rsidR="005C332D" w:rsidRDefault="005C332D">
            <w:pPr>
              <w:rPr>
                <w:rFonts w:ascii="宋体"/>
              </w:rPr>
            </w:pPr>
          </w:p>
        </w:tc>
        <w:tc>
          <w:tcPr>
            <w:tcW w:w="26" w:type="pct"/>
            <w:shd w:val="clear" w:color="auto" w:fill="auto"/>
            <w:vAlign w:val="bottom"/>
          </w:tcPr>
          <w:p w14:paraId="518B545C" w14:textId="77777777" w:rsidR="005C332D" w:rsidRDefault="005C332D">
            <w:pPr>
              <w:rPr>
                <w:rFonts w:ascii="宋体"/>
              </w:rPr>
            </w:pPr>
          </w:p>
        </w:tc>
        <w:tc>
          <w:tcPr>
            <w:tcW w:w="5" w:type="pct"/>
            <w:shd w:val="clear" w:color="auto" w:fill="auto"/>
            <w:vAlign w:val="bottom"/>
          </w:tcPr>
          <w:p w14:paraId="518B545D" w14:textId="77777777" w:rsidR="005C332D" w:rsidRDefault="005C332D">
            <w:pPr>
              <w:rPr>
                <w:rFonts w:ascii="宋体"/>
              </w:rPr>
            </w:pPr>
          </w:p>
        </w:tc>
        <w:tc>
          <w:tcPr>
            <w:tcW w:w="50" w:type="pct"/>
            <w:shd w:val="clear" w:color="auto" w:fill="auto"/>
            <w:vAlign w:val="bottom"/>
          </w:tcPr>
          <w:p w14:paraId="518B545E" w14:textId="77777777" w:rsidR="005C332D" w:rsidRDefault="005C332D">
            <w:pPr>
              <w:rPr>
                <w:rFonts w:ascii="宋体"/>
              </w:rPr>
            </w:pPr>
          </w:p>
        </w:tc>
        <w:tc>
          <w:tcPr>
            <w:tcW w:w="414" w:type="pct"/>
            <w:shd w:val="clear" w:color="auto" w:fill="auto"/>
            <w:vAlign w:val="bottom"/>
          </w:tcPr>
          <w:p w14:paraId="518B545F" w14:textId="77777777" w:rsidR="005C332D" w:rsidRDefault="005C332D">
            <w:pPr>
              <w:rPr>
                <w:rFonts w:ascii="宋体"/>
              </w:rPr>
            </w:pPr>
          </w:p>
        </w:tc>
        <w:tc>
          <w:tcPr>
            <w:tcW w:w="5" w:type="pct"/>
            <w:shd w:val="clear" w:color="auto" w:fill="auto"/>
            <w:vAlign w:val="bottom"/>
          </w:tcPr>
          <w:p w14:paraId="518B5460" w14:textId="77777777" w:rsidR="005C332D" w:rsidRDefault="005C332D">
            <w:pPr>
              <w:rPr>
                <w:rFonts w:ascii="宋体"/>
              </w:rPr>
            </w:pPr>
          </w:p>
        </w:tc>
        <w:tc>
          <w:tcPr>
            <w:tcW w:w="5" w:type="pct"/>
            <w:shd w:val="clear" w:color="auto" w:fill="auto"/>
            <w:vAlign w:val="bottom"/>
          </w:tcPr>
          <w:p w14:paraId="518B5461" w14:textId="77777777" w:rsidR="005C332D" w:rsidRDefault="005C332D">
            <w:pPr>
              <w:rPr>
                <w:rFonts w:ascii="宋体"/>
              </w:rPr>
            </w:pPr>
          </w:p>
        </w:tc>
        <w:tc>
          <w:tcPr>
            <w:tcW w:w="26" w:type="pct"/>
            <w:shd w:val="clear" w:color="auto" w:fill="auto"/>
            <w:vAlign w:val="bottom"/>
          </w:tcPr>
          <w:p w14:paraId="518B5462" w14:textId="77777777" w:rsidR="005C332D" w:rsidRDefault="005C332D">
            <w:pPr>
              <w:rPr>
                <w:rFonts w:ascii="宋体"/>
              </w:rPr>
            </w:pPr>
          </w:p>
        </w:tc>
        <w:tc>
          <w:tcPr>
            <w:tcW w:w="5" w:type="pct"/>
            <w:shd w:val="clear" w:color="auto" w:fill="auto"/>
            <w:vAlign w:val="bottom"/>
          </w:tcPr>
          <w:p w14:paraId="518B5463" w14:textId="77777777" w:rsidR="005C332D" w:rsidRDefault="005C332D">
            <w:pPr>
              <w:rPr>
                <w:rFonts w:ascii="宋体"/>
              </w:rPr>
            </w:pPr>
          </w:p>
        </w:tc>
        <w:tc>
          <w:tcPr>
            <w:tcW w:w="50" w:type="pct"/>
            <w:shd w:val="clear" w:color="auto" w:fill="auto"/>
            <w:vAlign w:val="bottom"/>
          </w:tcPr>
          <w:p w14:paraId="518B5464" w14:textId="77777777" w:rsidR="005C332D" w:rsidRDefault="005C332D">
            <w:pPr>
              <w:rPr>
                <w:rFonts w:ascii="宋体"/>
              </w:rPr>
            </w:pPr>
          </w:p>
        </w:tc>
        <w:tc>
          <w:tcPr>
            <w:tcW w:w="414" w:type="pct"/>
            <w:shd w:val="clear" w:color="auto" w:fill="auto"/>
            <w:vAlign w:val="bottom"/>
          </w:tcPr>
          <w:p w14:paraId="518B5465" w14:textId="77777777" w:rsidR="005C332D" w:rsidRDefault="005C332D">
            <w:pPr>
              <w:rPr>
                <w:rFonts w:ascii="宋体"/>
              </w:rPr>
            </w:pPr>
          </w:p>
        </w:tc>
        <w:tc>
          <w:tcPr>
            <w:tcW w:w="5" w:type="pct"/>
            <w:shd w:val="clear" w:color="auto" w:fill="auto"/>
            <w:vAlign w:val="bottom"/>
          </w:tcPr>
          <w:p w14:paraId="518B5466" w14:textId="77777777" w:rsidR="005C332D" w:rsidRDefault="005C332D">
            <w:pPr>
              <w:rPr>
                <w:rFonts w:ascii="宋体"/>
              </w:rPr>
            </w:pPr>
          </w:p>
        </w:tc>
        <w:tc>
          <w:tcPr>
            <w:tcW w:w="5" w:type="pct"/>
            <w:shd w:val="clear" w:color="auto" w:fill="auto"/>
            <w:vAlign w:val="bottom"/>
          </w:tcPr>
          <w:p w14:paraId="518B5467" w14:textId="77777777" w:rsidR="005C332D" w:rsidRDefault="005C332D">
            <w:pPr>
              <w:rPr>
                <w:rFonts w:ascii="宋体"/>
              </w:rPr>
            </w:pPr>
          </w:p>
        </w:tc>
        <w:tc>
          <w:tcPr>
            <w:tcW w:w="26" w:type="pct"/>
            <w:shd w:val="clear" w:color="auto" w:fill="auto"/>
            <w:vAlign w:val="bottom"/>
          </w:tcPr>
          <w:p w14:paraId="518B5468" w14:textId="77777777" w:rsidR="005C332D" w:rsidRDefault="005C332D">
            <w:pPr>
              <w:rPr>
                <w:rFonts w:ascii="宋体"/>
              </w:rPr>
            </w:pPr>
          </w:p>
        </w:tc>
        <w:tc>
          <w:tcPr>
            <w:tcW w:w="5" w:type="pct"/>
            <w:shd w:val="clear" w:color="auto" w:fill="auto"/>
            <w:vAlign w:val="bottom"/>
          </w:tcPr>
          <w:p w14:paraId="518B5469" w14:textId="77777777" w:rsidR="005C332D" w:rsidRDefault="005C332D">
            <w:pPr>
              <w:rPr>
                <w:rFonts w:ascii="宋体"/>
              </w:rPr>
            </w:pPr>
          </w:p>
        </w:tc>
        <w:tc>
          <w:tcPr>
            <w:tcW w:w="50" w:type="pct"/>
            <w:shd w:val="clear" w:color="auto" w:fill="auto"/>
            <w:vAlign w:val="bottom"/>
          </w:tcPr>
          <w:p w14:paraId="518B546A" w14:textId="77777777" w:rsidR="005C332D" w:rsidRDefault="005C332D">
            <w:pPr>
              <w:rPr>
                <w:rFonts w:ascii="宋体"/>
              </w:rPr>
            </w:pPr>
          </w:p>
        </w:tc>
        <w:tc>
          <w:tcPr>
            <w:tcW w:w="414" w:type="pct"/>
            <w:shd w:val="clear" w:color="auto" w:fill="auto"/>
            <w:vAlign w:val="bottom"/>
          </w:tcPr>
          <w:p w14:paraId="518B546B" w14:textId="77777777" w:rsidR="005C332D" w:rsidRDefault="005C332D">
            <w:pPr>
              <w:rPr>
                <w:rFonts w:ascii="宋体"/>
              </w:rPr>
            </w:pPr>
          </w:p>
        </w:tc>
        <w:tc>
          <w:tcPr>
            <w:tcW w:w="5" w:type="pct"/>
            <w:shd w:val="clear" w:color="auto" w:fill="auto"/>
            <w:vAlign w:val="bottom"/>
          </w:tcPr>
          <w:p w14:paraId="518B546C" w14:textId="77777777" w:rsidR="005C332D" w:rsidRDefault="005C332D">
            <w:pPr>
              <w:rPr>
                <w:rFonts w:ascii="宋体"/>
              </w:rPr>
            </w:pPr>
          </w:p>
        </w:tc>
      </w:tr>
      <w:tr w:rsidR="005C332D" w14:paraId="518B5470" w14:textId="77777777">
        <w:tc>
          <w:tcPr>
            <w:tcW w:w="0" w:type="auto"/>
            <w:gridSpan w:val="3"/>
            <w:shd w:val="clear" w:color="auto" w:fill="auto"/>
            <w:tcMar>
              <w:top w:w="40" w:type="dxa"/>
              <w:left w:w="20" w:type="dxa"/>
              <w:bottom w:w="40" w:type="dxa"/>
              <w:right w:w="20" w:type="dxa"/>
            </w:tcMar>
            <w:vAlign w:val="bottom"/>
          </w:tcPr>
          <w:p w14:paraId="518B546E" w14:textId="77777777" w:rsidR="005C332D" w:rsidRDefault="00B93EAE">
            <w:pPr>
              <w:textAlignment w:val="bottom"/>
            </w:pPr>
            <w:r>
              <w:rPr>
                <w:rFonts w:ascii="Times New Roman" w:eastAsia="宋体" w:hAnsi="Times New Roman"/>
                <w:color w:val="000000"/>
                <w:sz w:val="18"/>
                <w:szCs w:val="18"/>
              </w:rPr>
              <w:t> </w:t>
            </w:r>
          </w:p>
        </w:tc>
        <w:tc>
          <w:tcPr>
            <w:tcW w:w="0" w:type="auto"/>
            <w:gridSpan w:val="27"/>
            <w:shd w:val="clear" w:color="auto" w:fill="auto"/>
            <w:tcMar>
              <w:top w:w="40" w:type="dxa"/>
              <w:left w:w="20" w:type="dxa"/>
              <w:bottom w:w="40" w:type="dxa"/>
              <w:right w:w="20" w:type="dxa"/>
            </w:tcMar>
            <w:vAlign w:val="bottom"/>
          </w:tcPr>
          <w:p w14:paraId="518B546F" w14:textId="77777777" w:rsidR="005C332D" w:rsidRDefault="00B93EAE">
            <w:pPr>
              <w:jc w:val="center"/>
              <w:textAlignment w:val="bottom"/>
            </w:pPr>
            <w:r>
              <w:rPr>
                <w:rFonts w:ascii="Times New Roman" w:eastAsia="宋体" w:hAnsi="Times New Roman"/>
                <w:color w:val="000000"/>
                <w:sz w:val="18"/>
                <w:szCs w:val="18"/>
              </w:rPr>
              <w:t>PAYMENTS DUE BY PERIOD</w:t>
            </w:r>
          </w:p>
        </w:tc>
      </w:tr>
      <w:tr w:rsidR="005C332D" w14:paraId="518B547B" w14:textId="77777777">
        <w:tc>
          <w:tcPr>
            <w:tcW w:w="0" w:type="auto"/>
            <w:gridSpan w:val="3"/>
            <w:shd w:val="clear" w:color="auto" w:fill="auto"/>
            <w:tcMar>
              <w:top w:w="40" w:type="dxa"/>
              <w:left w:w="20" w:type="dxa"/>
              <w:bottom w:w="40" w:type="dxa"/>
              <w:right w:w="20" w:type="dxa"/>
            </w:tcMar>
            <w:vAlign w:val="bottom"/>
          </w:tcPr>
          <w:p w14:paraId="518B5471" w14:textId="77777777" w:rsidR="005C332D" w:rsidRDefault="00B93EAE">
            <w:pPr>
              <w:textAlignment w:val="bottom"/>
            </w:pPr>
            <w:r>
              <w:rPr>
                <w:rFonts w:ascii="Times New Roman" w:eastAsia="宋体" w:hAnsi="Times New Roman"/>
                <w:color w:val="000000"/>
                <w:sz w:val="18"/>
                <w:szCs w:val="18"/>
                <w:u w:val="single"/>
              </w:rPr>
              <w:t>July 30,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472" w14:textId="77777777" w:rsidR="005C332D" w:rsidRDefault="00B93EAE">
            <w:pPr>
              <w:jc w:val="center"/>
              <w:textAlignment w:val="bottom"/>
            </w:pPr>
            <w:r>
              <w:rPr>
                <w:rFonts w:ascii="Times New Roman" w:eastAsia="宋体" w:hAnsi="Times New Roman"/>
                <w:color w:val="000000"/>
                <w:sz w:val="18"/>
                <w:szCs w:val="18"/>
              </w:rPr>
              <w:t>Total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473"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474" w14:textId="77777777" w:rsidR="005C332D" w:rsidRDefault="00B93EAE">
            <w:pPr>
              <w:jc w:val="center"/>
              <w:textAlignment w:val="bottom"/>
            </w:pPr>
            <w:r>
              <w:rPr>
                <w:rFonts w:ascii="Times New Roman" w:eastAsia="宋体" w:hAnsi="Times New Roman"/>
                <w:color w:val="000000"/>
                <w:sz w:val="18"/>
                <w:szCs w:val="18"/>
              </w:rPr>
              <w:t>Less than 1 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475"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476" w14:textId="77777777" w:rsidR="005C332D" w:rsidRDefault="00B93EAE">
            <w:pPr>
              <w:jc w:val="center"/>
              <w:textAlignment w:val="bottom"/>
            </w:pPr>
            <w:r>
              <w:rPr>
                <w:rFonts w:ascii="Times New Roman" w:eastAsia="宋体" w:hAnsi="Times New Roman"/>
                <w:color w:val="000000"/>
                <w:sz w:val="18"/>
                <w:szCs w:val="18"/>
              </w:rPr>
              <w:t>1 to 3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477"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478" w14:textId="77777777" w:rsidR="005C332D" w:rsidRDefault="00B93EAE">
            <w:pPr>
              <w:jc w:val="center"/>
              <w:textAlignment w:val="bottom"/>
            </w:pPr>
            <w:r>
              <w:rPr>
                <w:rFonts w:ascii="Times New Roman" w:eastAsia="宋体" w:hAnsi="Times New Roman"/>
                <w:color w:val="000000"/>
                <w:sz w:val="18"/>
                <w:szCs w:val="18"/>
              </w:rPr>
              <w:t>3 to 5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479"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47A" w14:textId="77777777" w:rsidR="005C332D" w:rsidRDefault="00B93EAE">
            <w:pPr>
              <w:jc w:val="center"/>
              <w:textAlignment w:val="bottom"/>
            </w:pPr>
            <w:r>
              <w:rPr>
                <w:rFonts w:ascii="Times New Roman" w:eastAsia="宋体" w:hAnsi="Times New Roman"/>
                <w:color w:val="000000"/>
                <w:sz w:val="18"/>
                <w:szCs w:val="18"/>
              </w:rPr>
              <w:t>More than 5 Years</w:t>
            </w:r>
          </w:p>
        </w:tc>
      </w:tr>
      <w:tr w:rsidR="005C332D" w14:paraId="518B5490" w14:textId="77777777">
        <w:tc>
          <w:tcPr>
            <w:tcW w:w="0" w:type="auto"/>
            <w:gridSpan w:val="3"/>
            <w:shd w:val="clear" w:color="auto" w:fill="CCEEFF"/>
            <w:tcMar>
              <w:top w:w="40" w:type="dxa"/>
              <w:left w:w="20" w:type="dxa"/>
              <w:bottom w:w="40" w:type="dxa"/>
              <w:right w:w="20" w:type="dxa"/>
            </w:tcMar>
          </w:tcPr>
          <w:p w14:paraId="518B547C" w14:textId="77777777" w:rsidR="005C332D" w:rsidRDefault="00B93EAE">
            <w:pPr>
              <w:textAlignment w:val="top"/>
            </w:pPr>
            <w:r>
              <w:rPr>
                <w:rFonts w:ascii="Times New Roman" w:eastAsia="宋体" w:hAnsi="Times New Roman"/>
                <w:color w:val="000000"/>
                <w:sz w:val="20"/>
                <w:szCs w:val="20"/>
              </w:rPr>
              <w:t>Operating leases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47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7E" w14:textId="77777777" w:rsidR="005C332D" w:rsidRDefault="00B93EAE">
            <w:pPr>
              <w:jc w:val="right"/>
              <w:textAlignment w:val="bottom"/>
            </w:pPr>
            <w:r>
              <w:rPr>
                <w:rFonts w:ascii="Times New Roman" w:eastAsia="宋体" w:hAnsi="Times New Roman"/>
                <w:color w:val="000000"/>
                <w:sz w:val="20"/>
                <w:szCs w:val="20"/>
              </w:rPr>
              <w:t>1,127 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7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80"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8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82" w14:textId="77777777" w:rsidR="005C332D" w:rsidRDefault="00B93EAE">
            <w:pPr>
              <w:jc w:val="right"/>
              <w:textAlignment w:val="bottom"/>
            </w:pPr>
            <w:r>
              <w:rPr>
                <w:rFonts w:ascii="Times New Roman" w:eastAsia="宋体" w:hAnsi="Times New Roman"/>
                <w:color w:val="000000"/>
                <w:sz w:val="20"/>
                <w:szCs w:val="20"/>
              </w:rPr>
              <w:t>343 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8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8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8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86" w14:textId="77777777" w:rsidR="005C332D" w:rsidRDefault="00B93EAE">
            <w:pPr>
              <w:jc w:val="right"/>
              <w:textAlignment w:val="bottom"/>
            </w:pPr>
            <w:r>
              <w:rPr>
                <w:rFonts w:ascii="Times New Roman" w:eastAsia="宋体" w:hAnsi="Times New Roman"/>
                <w:color w:val="000000"/>
                <w:sz w:val="20"/>
                <w:szCs w:val="20"/>
              </w:rPr>
              <w:t>431 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8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8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8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8A" w14:textId="77777777" w:rsidR="005C332D" w:rsidRDefault="00B93EAE">
            <w:pPr>
              <w:jc w:val="right"/>
              <w:textAlignment w:val="bottom"/>
            </w:pPr>
            <w:r>
              <w:rPr>
                <w:rFonts w:ascii="Times New Roman" w:eastAsia="宋体" w:hAnsi="Times New Roman"/>
                <w:color w:val="000000"/>
                <w:sz w:val="20"/>
                <w:szCs w:val="20"/>
              </w:rPr>
              <w:t>168 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8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8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8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8E" w14:textId="77777777" w:rsidR="005C332D" w:rsidRDefault="00B93EAE">
            <w:pPr>
              <w:jc w:val="right"/>
              <w:textAlignment w:val="bottom"/>
            </w:pPr>
            <w:r>
              <w:rPr>
                <w:rFonts w:ascii="Times New Roman" w:eastAsia="宋体" w:hAnsi="Times New Roman"/>
                <w:color w:val="000000"/>
                <w:sz w:val="20"/>
                <w:szCs w:val="20"/>
              </w:rPr>
              <w:t>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8F" w14:textId="77777777" w:rsidR="005C332D" w:rsidRDefault="005C332D">
            <w:pPr>
              <w:jc w:val="right"/>
              <w:rPr>
                <w:rFonts w:ascii="宋体"/>
              </w:rPr>
            </w:pPr>
          </w:p>
        </w:tc>
      </w:tr>
      <w:tr w:rsidR="005C332D" w14:paraId="518B54A0" w14:textId="77777777">
        <w:tc>
          <w:tcPr>
            <w:tcW w:w="0" w:type="auto"/>
            <w:gridSpan w:val="3"/>
            <w:shd w:val="clear" w:color="auto" w:fill="FFFFFF"/>
            <w:tcMar>
              <w:top w:w="40" w:type="dxa"/>
              <w:left w:w="20" w:type="dxa"/>
              <w:bottom w:w="40" w:type="dxa"/>
              <w:right w:w="20" w:type="dxa"/>
            </w:tcMar>
          </w:tcPr>
          <w:p w14:paraId="518B5491" w14:textId="77777777" w:rsidR="005C332D" w:rsidRDefault="00B93EAE">
            <w:pPr>
              <w:textAlignment w:val="top"/>
            </w:pPr>
            <w:r>
              <w:rPr>
                <w:rFonts w:ascii="Times New Roman" w:eastAsia="宋体" w:hAnsi="Times New Roman"/>
                <w:color w:val="000000"/>
                <w:sz w:val="20"/>
                <w:szCs w:val="20"/>
              </w:rPr>
              <w:t>Purchase commitments with contract manuf</w:t>
            </w:r>
            <w:r>
              <w:rPr>
                <w:rFonts w:ascii="Times New Roman" w:eastAsia="宋体" w:hAnsi="Times New Roman"/>
                <w:color w:val="000000"/>
                <w:sz w:val="20"/>
                <w:szCs w:val="20"/>
              </w:rPr>
              <w:t>acturers and suppliers</w:t>
            </w:r>
          </w:p>
        </w:tc>
        <w:tc>
          <w:tcPr>
            <w:tcW w:w="0" w:type="auto"/>
            <w:gridSpan w:val="2"/>
            <w:shd w:val="clear" w:color="auto" w:fill="FFFFFF"/>
            <w:tcMar>
              <w:top w:w="40" w:type="dxa"/>
              <w:left w:w="20" w:type="dxa"/>
              <w:bottom w:w="40" w:type="dxa"/>
              <w:right w:w="0" w:type="dxa"/>
            </w:tcMar>
            <w:vAlign w:val="bottom"/>
          </w:tcPr>
          <w:p w14:paraId="518B5492" w14:textId="77777777" w:rsidR="005C332D" w:rsidRDefault="00B93EAE">
            <w:pPr>
              <w:jc w:val="right"/>
              <w:textAlignment w:val="bottom"/>
            </w:pPr>
            <w:r>
              <w:rPr>
                <w:rFonts w:ascii="Times New Roman" w:eastAsia="宋体" w:hAnsi="Times New Roman"/>
                <w:color w:val="000000"/>
                <w:sz w:val="20"/>
                <w:szCs w:val="20"/>
              </w:rPr>
              <w:t>12,964 </w:t>
            </w:r>
          </w:p>
        </w:tc>
        <w:tc>
          <w:tcPr>
            <w:tcW w:w="0" w:type="auto"/>
            <w:shd w:val="clear" w:color="auto" w:fill="FFFFFF"/>
            <w:tcMar>
              <w:top w:w="40" w:type="dxa"/>
              <w:left w:w="0" w:type="dxa"/>
              <w:bottom w:w="40" w:type="dxa"/>
              <w:right w:w="20" w:type="dxa"/>
            </w:tcMar>
            <w:vAlign w:val="bottom"/>
          </w:tcPr>
          <w:p w14:paraId="518B549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94"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5495" w14:textId="77777777" w:rsidR="005C332D" w:rsidRDefault="00B93EAE">
            <w:pPr>
              <w:jc w:val="right"/>
              <w:textAlignment w:val="bottom"/>
            </w:pPr>
            <w:r>
              <w:rPr>
                <w:rFonts w:ascii="Times New Roman" w:eastAsia="宋体" w:hAnsi="Times New Roman"/>
                <w:color w:val="000000"/>
                <w:sz w:val="20"/>
                <w:szCs w:val="20"/>
              </w:rPr>
              <w:t>9,954 </w:t>
            </w:r>
          </w:p>
        </w:tc>
        <w:tc>
          <w:tcPr>
            <w:tcW w:w="0" w:type="auto"/>
            <w:shd w:val="clear" w:color="auto" w:fill="auto"/>
            <w:tcMar>
              <w:top w:w="40" w:type="dxa"/>
              <w:left w:w="0" w:type="dxa"/>
              <w:bottom w:w="40" w:type="dxa"/>
              <w:right w:w="20" w:type="dxa"/>
            </w:tcMar>
            <w:vAlign w:val="bottom"/>
          </w:tcPr>
          <w:p w14:paraId="518B549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9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98" w14:textId="77777777" w:rsidR="005C332D" w:rsidRDefault="00B93EAE">
            <w:pPr>
              <w:jc w:val="right"/>
              <w:textAlignment w:val="bottom"/>
            </w:pPr>
            <w:r>
              <w:rPr>
                <w:rFonts w:ascii="Times New Roman" w:eastAsia="宋体" w:hAnsi="Times New Roman"/>
                <w:color w:val="000000"/>
                <w:sz w:val="20"/>
                <w:szCs w:val="20"/>
              </w:rPr>
              <w:t>2,240 </w:t>
            </w:r>
          </w:p>
        </w:tc>
        <w:tc>
          <w:tcPr>
            <w:tcW w:w="0" w:type="auto"/>
            <w:shd w:val="clear" w:color="auto" w:fill="FFFFFF"/>
            <w:tcMar>
              <w:top w:w="40" w:type="dxa"/>
              <w:left w:w="0" w:type="dxa"/>
              <w:bottom w:w="40" w:type="dxa"/>
              <w:right w:w="20" w:type="dxa"/>
            </w:tcMar>
            <w:vAlign w:val="bottom"/>
          </w:tcPr>
          <w:p w14:paraId="518B549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9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9B" w14:textId="77777777" w:rsidR="005C332D" w:rsidRDefault="00B93EAE">
            <w:pPr>
              <w:jc w:val="right"/>
              <w:textAlignment w:val="bottom"/>
            </w:pPr>
            <w:r>
              <w:rPr>
                <w:rFonts w:ascii="Times New Roman" w:eastAsia="宋体" w:hAnsi="Times New Roman"/>
                <w:color w:val="000000"/>
                <w:sz w:val="20"/>
                <w:szCs w:val="20"/>
              </w:rPr>
              <w:t>770 </w:t>
            </w:r>
          </w:p>
        </w:tc>
        <w:tc>
          <w:tcPr>
            <w:tcW w:w="0" w:type="auto"/>
            <w:shd w:val="clear" w:color="auto" w:fill="FFFFFF"/>
            <w:tcMar>
              <w:top w:w="40" w:type="dxa"/>
              <w:left w:w="0" w:type="dxa"/>
              <w:bottom w:w="40" w:type="dxa"/>
              <w:right w:w="20" w:type="dxa"/>
            </w:tcMar>
            <w:vAlign w:val="bottom"/>
          </w:tcPr>
          <w:p w14:paraId="518B549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9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9E"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49F" w14:textId="77777777" w:rsidR="005C332D" w:rsidRDefault="005C332D">
            <w:pPr>
              <w:jc w:val="right"/>
              <w:rPr>
                <w:rFonts w:ascii="宋体"/>
              </w:rPr>
            </w:pPr>
          </w:p>
        </w:tc>
      </w:tr>
      <w:tr w:rsidR="005C332D" w14:paraId="518B54B0" w14:textId="77777777">
        <w:tc>
          <w:tcPr>
            <w:tcW w:w="0" w:type="auto"/>
            <w:gridSpan w:val="3"/>
            <w:shd w:val="clear" w:color="auto" w:fill="CCEEFF"/>
            <w:tcMar>
              <w:top w:w="40" w:type="dxa"/>
              <w:left w:w="20" w:type="dxa"/>
              <w:bottom w:w="40" w:type="dxa"/>
              <w:right w:w="20" w:type="dxa"/>
            </w:tcMar>
          </w:tcPr>
          <w:p w14:paraId="518B54A1" w14:textId="77777777" w:rsidR="005C332D" w:rsidRDefault="00B93EAE">
            <w:pPr>
              <w:textAlignment w:val="top"/>
            </w:pPr>
            <w:r>
              <w:rPr>
                <w:rFonts w:ascii="Times New Roman" w:eastAsia="宋体" w:hAnsi="Times New Roman"/>
                <w:color w:val="000000"/>
                <w:sz w:val="20"/>
                <w:szCs w:val="20"/>
              </w:rPr>
              <w:t>Other purchase obligations</w:t>
            </w:r>
          </w:p>
        </w:tc>
        <w:tc>
          <w:tcPr>
            <w:tcW w:w="0" w:type="auto"/>
            <w:gridSpan w:val="2"/>
            <w:shd w:val="clear" w:color="auto" w:fill="CCEEFF"/>
            <w:tcMar>
              <w:top w:w="40" w:type="dxa"/>
              <w:left w:w="20" w:type="dxa"/>
              <w:bottom w:w="40" w:type="dxa"/>
              <w:right w:w="0" w:type="dxa"/>
            </w:tcMar>
            <w:vAlign w:val="bottom"/>
          </w:tcPr>
          <w:p w14:paraId="518B54A2" w14:textId="77777777" w:rsidR="005C332D" w:rsidRDefault="00B93EAE">
            <w:pPr>
              <w:jc w:val="right"/>
              <w:textAlignment w:val="bottom"/>
            </w:pPr>
            <w:r>
              <w:rPr>
                <w:rFonts w:ascii="Times New Roman" w:eastAsia="宋体" w:hAnsi="Times New Roman"/>
                <w:color w:val="000000"/>
                <w:sz w:val="20"/>
                <w:szCs w:val="20"/>
              </w:rPr>
              <w:t>2,601 </w:t>
            </w:r>
          </w:p>
        </w:tc>
        <w:tc>
          <w:tcPr>
            <w:tcW w:w="0" w:type="auto"/>
            <w:shd w:val="clear" w:color="auto" w:fill="CCEEFF"/>
            <w:tcMar>
              <w:top w:w="40" w:type="dxa"/>
              <w:left w:w="0" w:type="dxa"/>
              <w:bottom w:w="40" w:type="dxa"/>
              <w:right w:w="20" w:type="dxa"/>
            </w:tcMar>
            <w:vAlign w:val="bottom"/>
          </w:tcPr>
          <w:p w14:paraId="518B54A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A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4A5" w14:textId="77777777" w:rsidR="005C332D" w:rsidRDefault="00B93EAE">
            <w:pPr>
              <w:jc w:val="right"/>
              <w:textAlignment w:val="bottom"/>
            </w:pPr>
            <w:r>
              <w:rPr>
                <w:rFonts w:ascii="Times New Roman" w:eastAsia="宋体" w:hAnsi="Times New Roman"/>
                <w:color w:val="000000"/>
                <w:sz w:val="20"/>
                <w:szCs w:val="20"/>
              </w:rPr>
              <w:t>1,030 </w:t>
            </w:r>
          </w:p>
        </w:tc>
        <w:tc>
          <w:tcPr>
            <w:tcW w:w="0" w:type="auto"/>
            <w:shd w:val="clear" w:color="auto" w:fill="CCEEFF"/>
            <w:tcMar>
              <w:top w:w="40" w:type="dxa"/>
              <w:left w:w="0" w:type="dxa"/>
              <w:bottom w:w="40" w:type="dxa"/>
              <w:right w:w="20" w:type="dxa"/>
            </w:tcMar>
            <w:vAlign w:val="bottom"/>
          </w:tcPr>
          <w:p w14:paraId="518B54A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A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4A8" w14:textId="77777777" w:rsidR="005C332D" w:rsidRDefault="00B93EAE">
            <w:pPr>
              <w:jc w:val="right"/>
              <w:textAlignment w:val="bottom"/>
            </w:pPr>
            <w:r>
              <w:rPr>
                <w:rFonts w:ascii="Times New Roman" w:eastAsia="宋体" w:hAnsi="Times New Roman"/>
                <w:color w:val="000000"/>
                <w:sz w:val="20"/>
                <w:szCs w:val="20"/>
              </w:rPr>
              <w:t>879 </w:t>
            </w:r>
          </w:p>
        </w:tc>
        <w:tc>
          <w:tcPr>
            <w:tcW w:w="0" w:type="auto"/>
            <w:shd w:val="clear" w:color="auto" w:fill="CCEEFF"/>
            <w:tcMar>
              <w:top w:w="40" w:type="dxa"/>
              <w:left w:w="0" w:type="dxa"/>
              <w:bottom w:w="40" w:type="dxa"/>
              <w:right w:w="20" w:type="dxa"/>
            </w:tcMar>
            <w:vAlign w:val="bottom"/>
          </w:tcPr>
          <w:p w14:paraId="518B54A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A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4AB" w14:textId="77777777" w:rsidR="005C332D" w:rsidRDefault="00B93EAE">
            <w:pPr>
              <w:jc w:val="right"/>
              <w:textAlignment w:val="bottom"/>
            </w:pPr>
            <w:r>
              <w:rPr>
                <w:rFonts w:ascii="Times New Roman" w:eastAsia="宋体" w:hAnsi="Times New Roman"/>
                <w:color w:val="000000"/>
                <w:sz w:val="20"/>
                <w:szCs w:val="20"/>
              </w:rPr>
              <w:t>662 </w:t>
            </w:r>
          </w:p>
        </w:tc>
        <w:tc>
          <w:tcPr>
            <w:tcW w:w="0" w:type="auto"/>
            <w:shd w:val="clear" w:color="auto" w:fill="CCEEFF"/>
            <w:tcMar>
              <w:top w:w="40" w:type="dxa"/>
              <w:left w:w="0" w:type="dxa"/>
              <w:bottom w:w="40" w:type="dxa"/>
              <w:right w:w="20" w:type="dxa"/>
            </w:tcMar>
            <w:vAlign w:val="bottom"/>
          </w:tcPr>
          <w:p w14:paraId="518B54A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A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4AE" w14:textId="77777777" w:rsidR="005C332D" w:rsidRDefault="00B93EAE">
            <w:pPr>
              <w:jc w:val="right"/>
              <w:textAlignment w:val="bottom"/>
            </w:pPr>
            <w:r>
              <w:rPr>
                <w:rFonts w:ascii="Times New Roman" w:eastAsia="宋体" w:hAnsi="Times New Roman"/>
                <w:color w:val="000000"/>
                <w:sz w:val="20"/>
                <w:szCs w:val="20"/>
              </w:rPr>
              <w:t>30 </w:t>
            </w:r>
          </w:p>
        </w:tc>
        <w:tc>
          <w:tcPr>
            <w:tcW w:w="0" w:type="auto"/>
            <w:shd w:val="clear" w:color="auto" w:fill="CCEEFF"/>
            <w:tcMar>
              <w:top w:w="40" w:type="dxa"/>
              <w:left w:w="0" w:type="dxa"/>
              <w:bottom w:w="40" w:type="dxa"/>
              <w:right w:w="20" w:type="dxa"/>
            </w:tcMar>
            <w:vAlign w:val="bottom"/>
          </w:tcPr>
          <w:p w14:paraId="518B54AF" w14:textId="77777777" w:rsidR="005C332D" w:rsidRDefault="005C332D">
            <w:pPr>
              <w:jc w:val="right"/>
              <w:rPr>
                <w:rFonts w:ascii="宋体"/>
              </w:rPr>
            </w:pPr>
          </w:p>
        </w:tc>
      </w:tr>
      <w:tr w:rsidR="005C332D" w14:paraId="518B54C0" w14:textId="77777777">
        <w:tc>
          <w:tcPr>
            <w:tcW w:w="0" w:type="auto"/>
            <w:gridSpan w:val="3"/>
            <w:shd w:val="clear" w:color="auto" w:fill="FFFFFF"/>
            <w:tcMar>
              <w:top w:w="40" w:type="dxa"/>
              <w:left w:w="20" w:type="dxa"/>
              <w:bottom w:w="40" w:type="dxa"/>
              <w:right w:w="20" w:type="dxa"/>
            </w:tcMar>
          </w:tcPr>
          <w:p w14:paraId="518B54B1" w14:textId="77777777" w:rsidR="005C332D" w:rsidRDefault="00B93EAE">
            <w:pPr>
              <w:textAlignment w:val="top"/>
            </w:pPr>
            <w:r>
              <w:rPr>
                <w:rFonts w:ascii="Times New Roman" w:eastAsia="宋体" w:hAnsi="Times New Roman"/>
                <w:color w:val="000000"/>
                <w:sz w:val="20"/>
                <w:szCs w:val="20"/>
              </w:rPr>
              <w:t>Senior notes</w:t>
            </w:r>
          </w:p>
        </w:tc>
        <w:tc>
          <w:tcPr>
            <w:tcW w:w="0" w:type="auto"/>
            <w:gridSpan w:val="2"/>
            <w:shd w:val="clear" w:color="auto" w:fill="FFFFFF"/>
            <w:tcMar>
              <w:top w:w="40" w:type="dxa"/>
              <w:left w:w="20" w:type="dxa"/>
              <w:bottom w:w="40" w:type="dxa"/>
              <w:right w:w="0" w:type="dxa"/>
            </w:tcMar>
            <w:vAlign w:val="bottom"/>
          </w:tcPr>
          <w:p w14:paraId="518B54B2" w14:textId="77777777" w:rsidR="005C332D" w:rsidRDefault="00B93EAE">
            <w:pPr>
              <w:jc w:val="right"/>
              <w:textAlignment w:val="bottom"/>
            </w:pPr>
            <w:r>
              <w:rPr>
                <w:rFonts w:ascii="Times New Roman" w:eastAsia="宋体" w:hAnsi="Times New Roman"/>
                <w:color w:val="000000"/>
                <w:sz w:val="20"/>
                <w:szCs w:val="20"/>
              </w:rPr>
              <w:t>9,000 </w:t>
            </w:r>
          </w:p>
        </w:tc>
        <w:tc>
          <w:tcPr>
            <w:tcW w:w="0" w:type="auto"/>
            <w:shd w:val="clear" w:color="auto" w:fill="FFFFFF"/>
            <w:tcMar>
              <w:top w:w="40" w:type="dxa"/>
              <w:left w:w="0" w:type="dxa"/>
              <w:bottom w:w="40" w:type="dxa"/>
              <w:right w:w="20" w:type="dxa"/>
            </w:tcMar>
            <w:vAlign w:val="bottom"/>
          </w:tcPr>
          <w:p w14:paraId="518B54B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B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B5" w14:textId="77777777" w:rsidR="005C332D" w:rsidRDefault="00B93EAE">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518B54B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B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B8" w14:textId="77777777" w:rsidR="005C332D" w:rsidRDefault="00B93EAE">
            <w:pPr>
              <w:jc w:val="right"/>
              <w:textAlignment w:val="bottom"/>
            </w:pPr>
            <w:r>
              <w:rPr>
                <w:rFonts w:ascii="Times New Roman" w:eastAsia="宋体" w:hAnsi="Times New Roman"/>
                <w:color w:val="000000"/>
                <w:sz w:val="20"/>
                <w:szCs w:val="20"/>
              </w:rPr>
              <w:t>2,250 </w:t>
            </w:r>
          </w:p>
        </w:tc>
        <w:tc>
          <w:tcPr>
            <w:tcW w:w="0" w:type="auto"/>
            <w:shd w:val="clear" w:color="auto" w:fill="FFFFFF"/>
            <w:tcMar>
              <w:top w:w="40" w:type="dxa"/>
              <w:left w:w="0" w:type="dxa"/>
              <w:bottom w:w="40" w:type="dxa"/>
              <w:right w:w="20" w:type="dxa"/>
            </w:tcMar>
            <w:vAlign w:val="bottom"/>
          </w:tcPr>
          <w:p w14:paraId="518B54B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B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BB" w14:textId="77777777" w:rsidR="005C332D" w:rsidRDefault="00B93EAE">
            <w:pPr>
              <w:jc w:val="right"/>
              <w:textAlignment w:val="bottom"/>
            </w:pPr>
            <w:r>
              <w:rPr>
                <w:rFonts w:ascii="Times New Roman" w:eastAsia="宋体" w:hAnsi="Times New Roman"/>
                <w:color w:val="000000"/>
                <w:sz w:val="20"/>
                <w:szCs w:val="20"/>
              </w:rPr>
              <w:t>2,250 </w:t>
            </w:r>
          </w:p>
        </w:tc>
        <w:tc>
          <w:tcPr>
            <w:tcW w:w="0" w:type="auto"/>
            <w:shd w:val="clear" w:color="auto" w:fill="FFFFFF"/>
            <w:tcMar>
              <w:top w:w="40" w:type="dxa"/>
              <w:left w:w="0" w:type="dxa"/>
              <w:bottom w:w="40" w:type="dxa"/>
              <w:right w:w="20" w:type="dxa"/>
            </w:tcMar>
            <w:vAlign w:val="bottom"/>
          </w:tcPr>
          <w:p w14:paraId="518B54B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B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BE" w14:textId="77777777" w:rsidR="005C332D" w:rsidRDefault="00B93EAE">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518B54BF" w14:textId="77777777" w:rsidR="005C332D" w:rsidRDefault="005C332D">
            <w:pPr>
              <w:jc w:val="right"/>
              <w:rPr>
                <w:rFonts w:ascii="宋体"/>
              </w:rPr>
            </w:pPr>
          </w:p>
        </w:tc>
      </w:tr>
      <w:tr w:rsidR="005C332D" w14:paraId="518B54D0" w14:textId="77777777">
        <w:tc>
          <w:tcPr>
            <w:tcW w:w="0" w:type="auto"/>
            <w:gridSpan w:val="3"/>
            <w:shd w:val="clear" w:color="auto" w:fill="CCEEFF"/>
            <w:tcMar>
              <w:top w:w="40" w:type="dxa"/>
              <w:left w:w="20" w:type="dxa"/>
              <w:bottom w:w="40" w:type="dxa"/>
              <w:right w:w="20" w:type="dxa"/>
            </w:tcMar>
          </w:tcPr>
          <w:p w14:paraId="518B54C1" w14:textId="77777777" w:rsidR="005C332D" w:rsidRDefault="00B93EAE">
            <w:pPr>
              <w:textAlignment w:val="top"/>
            </w:pPr>
            <w:r>
              <w:rPr>
                <w:rFonts w:ascii="Times New Roman" w:eastAsia="宋体" w:hAnsi="Times New Roman"/>
                <w:color w:val="000000"/>
                <w:sz w:val="20"/>
                <w:szCs w:val="20"/>
              </w:rPr>
              <w:t>Transition tax payable</w:t>
            </w:r>
          </w:p>
        </w:tc>
        <w:tc>
          <w:tcPr>
            <w:tcW w:w="0" w:type="auto"/>
            <w:gridSpan w:val="2"/>
            <w:shd w:val="clear" w:color="auto" w:fill="CCEEFF"/>
            <w:tcMar>
              <w:top w:w="40" w:type="dxa"/>
              <w:left w:w="20" w:type="dxa"/>
              <w:bottom w:w="40" w:type="dxa"/>
              <w:right w:w="0" w:type="dxa"/>
            </w:tcMar>
            <w:vAlign w:val="bottom"/>
          </w:tcPr>
          <w:p w14:paraId="518B54C2" w14:textId="77777777" w:rsidR="005C332D" w:rsidRDefault="00B93EAE">
            <w:pPr>
              <w:jc w:val="right"/>
              <w:textAlignment w:val="bottom"/>
            </w:pPr>
            <w:r>
              <w:rPr>
                <w:rFonts w:ascii="Times New Roman" w:eastAsia="宋体" w:hAnsi="Times New Roman"/>
                <w:color w:val="000000"/>
                <w:sz w:val="20"/>
                <w:szCs w:val="20"/>
              </w:rPr>
              <w:t>6,183 </w:t>
            </w:r>
          </w:p>
        </w:tc>
        <w:tc>
          <w:tcPr>
            <w:tcW w:w="0" w:type="auto"/>
            <w:shd w:val="clear" w:color="auto" w:fill="CCEEFF"/>
            <w:tcMar>
              <w:top w:w="40" w:type="dxa"/>
              <w:left w:w="0" w:type="dxa"/>
              <w:bottom w:w="40" w:type="dxa"/>
              <w:right w:w="20" w:type="dxa"/>
            </w:tcMar>
            <w:vAlign w:val="bottom"/>
          </w:tcPr>
          <w:p w14:paraId="518B54C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C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4C5" w14:textId="77777777" w:rsidR="005C332D" w:rsidRDefault="00B93EAE">
            <w:pPr>
              <w:jc w:val="right"/>
              <w:textAlignment w:val="bottom"/>
            </w:pPr>
            <w:r>
              <w:rPr>
                <w:rFonts w:ascii="Times New Roman" w:eastAsia="宋体" w:hAnsi="Times New Roman"/>
                <w:color w:val="000000"/>
                <w:sz w:val="20"/>
                <w:szCs w:val="20"/>
              </w:rPr>
              <w:t>727 </w:t>
            </w:r>
          </w:p>
        </w:tc>
        <w:tc>
          <w:tcPr>
            <w:tcW w:w="0" w:type="auto"/>
            <w:shd w:val="clear" w:color="auto" w:fill="CCEEFF"/>
            <w:tcMar>
              <w:top w:w="40" w:type="dxa"/>
              <w:left w:w="0" w:type="dxa"/>
              <w:bottom w:w="40" w:type="dxa"/>
              <w:right w:w="20" w:type="dxa"/>
            </w:tcMar>
            <w:vAlign w:val="bottom"/>
          </w:tcPr>
          <w:p w14:paraId="518B54C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C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4C8" w14:textId="77777777" w:rsidR="005C332D" w:rsidRDefault="00B93EAE">
            <w:pPr>
              <w:jc w:val="right"/>
              <w:textAlignment w:val="bottom"/>
            </w:pPr>
            <w:r>
              <w:rPr>
                <w:rFonts w:ascii="Times New Roman" w:eastAsia="宋体" w:hAnsi="Times New Roman"/>
                <w:color w:val="000000"/>
                <w:sz w:val="20"/>
                <w:szCs w:val="20"/>
              </w:rPr>
              <w:t>3,183 </w:t>
            </w:r>
          </w:p>
        </w:tc>
        <w:tc>
          <w:tcPr>
            <w:tcW w:w="0" w:type="auto"/>
            <w:shd w:val="clear" w:color="auto" w:fill="CCEEFF"/>
            <w:tcMar>
              <w:top w:w="40" w:type="dxa"/>
              <w:left w:w="0" w:type="dxa"/>
              <w:bottom w:w="40" w:type="dxa"/>
              <w:right w:w="20" w:type="dxa"/>
            </w:tcMar>
            <w:vAlign w:val="bottom"/>
          </w:tcPr>
          <w:p w14:paraId="518B54C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C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4CB" w14:textId="77777777" w:rsidR="005C332D" w:rsidRDefault="00B93EAE">
            <w:pPr>
              <w:jc w:val="right"/>
              <w:textAlignment w:val="bottom"/>
            </w:pPr>
            <w:r>
              <w:rPr>
                <w:rFonts w:ascii="Times New Roman" w:eastAsia="宋体" w:hAnsi="Times New Roman"/>
                <w:color w:val="000000"/>
                <w:sz w:val="20"/>
                <w:szCs w:val="20"/>
              </w:rPr>
              <w:t>2,273 </w:t>
            </w:r>
          </w:p>
        </w:tc>
        <w:tc>
          <w:tcPr>
            <w:tcW w:w="0" w:type="auto"/>
            <w:shd w:val="clear" w:color="auto" w:fill="CCEEFF"/>
            <w:tcMar>
              <w:top w:w="40" w:type="dxa"/>
              <w:left w:w="0" w:type="dxa"/>
              <w:bottom w:w="40" w:type="dxa"/>
              <w:right w:w="20" w:type="dxa"/>
            </w:tcMar>
            <w:vAlign w:val="bottom"/>
          </w:tcPr>
          <w:p w14:paraId="518B54C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C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4CE"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4CF" w14:textId="77777777" w:rsidR="005C332D" w:rsidRDefault="005C332D">
            <w:pPr>
              <w:jc w:val="right"/>
              <w:rPr>
                <w:rFonts w:ascii="宋体"/>
              </w:rPr>
            </w:pPr>
          </w:p>
        </w:tc>
      </w:tr>
      <w:tr w:rsidR="005C332D" w14:paraId="518B54E0" w14:textId="77777777">
        <w:tc>
          <w:tcPr>
            <w:tcW w:w="0" w:type="auto"/>
            <w:gridSpan w:val="3"/>
            <w:shd w:val="clear" w:color="auto" w:fill="FFFFFF"/>
            <w:tcMar>
              <w:top w:w="40" w:type="dxa"/>
              <w:left w:w="20" w:type="dxa"/>
              <w:bottom w:w="40" w:type="dxa"/>
              <w:right w:w="20" w:type="dxa"/>
            </w:tcMar>
          </w:tcPr>
          <w:p w14:paraId="518B54D1" w14:textId="77777777" w:rsidR="005C332D" w:rsidRDefault="00B93EAE">
            <w:pPr>
              <w:textAlignment w:val="top"/>
            </w:pPr>
            <w:r>
              <w:rPr>
                <w:rFonts w:ascii="Times New Roman" w:eastAsia="宋体" w:hAnsi="Times New Roman"/>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518B54D2" w14:textId="77777777" w:rsidR="005C332D" w:rsidRDefault="00B93EAE">
            <w:pPr>
              <w:jc w:val="right"/>
              <w:textAlignment w:val="bottom"/>
            </w:pPr>
            <w:r>
              <w:rPr>
                <w:rFonts w:ascii="Times New Roman" w:eastAsia="宋体" w:hAnsi="Times New Roman"/>
                <w:color w:val="000000"/>
                <w:sz w:val="20"/>
                <w:szCs w:val="20"/>
              </w:rPr>
              <w:t>1,189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4D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D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D5"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4D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D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D8" w14:textId="77777777" w:rsidR="005C332D" w:rsidRDefault="00B93EAE">
            <w:pPr>
              <w:jc w:val="right"/>
              <w:textAlignment w:val="bottom"/>
            </w:pPr>
            <w:r>
              <w:rPr>
                <w:rFonts w:ascii="Times New Roman" w:eastAsia="宋体" w:hAnsi="Times New Roman"/>
                <w:color w:val="000000"/>
                <w:sz w:val="20"/>
                <w:szCs w:val="20"/>
              </w:rPr>
              <w:t>187 </w:t>
            </w:r>
          </w:p>
        </w:tc>
        <w:tc>
          <w:tcPr>
            <w:tcW w:w="0" w:type="auto"/>
            <w:shd w:val="clear" w:color="auto" w:fill="FFFFFF"/>
            <w:tcMar>
              <w:top w:w="40" w:type="dxa"/>
              <w:left w:w="0" w:type="dxa"/>
              <w:bottom w:w="40" w:type="dxa"/>
              <w:right w:w="20" w:type="dxa"/>
            </w:tcMar>
            <w:vAlign w:val="bottom"/>
          </w:tcPr>
          <w:p w14:paraId="518B54D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D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DB" w14:textId="77777777" w:rsidR="005C332D" w:rsidRDefault="00B93EAE">
            <w:pPr>
              <w:jc w:val="right"/>
              <w:textAlignment w:val="bottom"/>
            </w:pPr>
            <w:r>
              <w:rPr>
                <w:rFonts w:ascii="Times New Roman" w:eastAsia="宋体" w:hAnsi="Times New Roman"/>
                <w:color w:val="000000"/>
                <w:sz w:val="20"/>
                <w:szCs w:val="20"/>
              </w:rPr>
              <w:t>135 </w:t>
            </w:r>
          </w:p>
        </w:tc>
        <w:tc>
          <w:tcPr>
            <w:tcW w:w="0" w:type="auto"/>
            <w:shd w:val="clear" w:color="auto" w:fill="FFFFFF"/>
            <w:tcMar>
              <w:top w:w="40" w:type="dxa"/>
              <w:left w:w="0" w:type="dxa"/>
              <w:bottom w:w="40" w:type="dxa"/>
              <w:right w:w="20" w:type="dxa"/>
            </w:tcMar>
            <w:vAlign w:val="bottom"/>
          </w:tcPr>
          <w:p w14:paraId="518B54D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D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4DE" w14:textId="77777777" w:rsidR="005C332D" w:rsidRDefault="00B93EAE">
            <w:pPr>
              <w:jc w:val="right"/>
              <w:textAlignment w:val="bottom"/>
            </w:pPr>
            <w:r>
              <w:rPr>
                <w:rFonts w:ascii="Times New Roman" w:eastAsia="宋体" w:hAnsi="Times New Roman"/>
                <w:color w:val="000000"/>
                <w:sz w:val="20"/>
                <w:szCs w:val="20"/>
              </w:rPr>
              <w:t>867 </w:t>
            </w:r>
          </w:p>
        </w:tc>
        <w:tc>
          <w:tcPr>
            <w:tcW w:w="0" w:type="auto"/>
            <w:shd w:val="clear" w:color="auto" w:fill="FFFFFF"/>
            <w:tcMar>
              <w:top w:w="40" w:type="dxa"/>
              <w:left w:w="0" w:type="dxa"/>
              <w:bottom w:w="40" w:type="dxa"/>
              <w:right w:w="20" w:type="dxa"/>
            </w:tcMar>
            <w:vAlign w:val="bottom"/>
          </w:tcPr>
          <w:p w14:paraId="518B54DF" w14:textId="77777777" w:rsidR="005C332D" w:rsidRDefault="005C332D">
            <w:pPr>
              <w:jc w:val="right"/>
              <w:rPr>
                <w:rFonts w:ascii="宋体"/>
              </w:rPr>
            </w:pPr>
          </w:p>
        </w:tc>
      </w:tr>
      <w:tr w:rsidR="005C332D" w14:paraId="518B54F5" w14:textId="77777777">
        <w:tc>
          <w:tcPr>
            <w:tcW w:w="0" w:type="auto"/>
            <w:gridSpan w:val="3"/>
            <w:shd w:val="clear" w:color="auto" w:fill="CCEEFF"/>
            <w:tcMar>
              <w:top w:w="40" w:type="dxa"/>
              <w:left w:w="380" w:type="dxa"/>
              <w:bottom w:w="40" w:type="dxa"/>
              <w:right w:w="20" w:type="dxa"/>
            </w:tcMar>
          </w:tcPr>
          <w:p w14:paraId="518B54E1" w14:textId="77777777" w:rsidR="005C332D" w:rsidRDefault="00B93EAE">
            <w:pPr>
              <w:textAlignment w:val="top"/>
            </w:pPr>
            <w:r>
              <w:rPr>
                <w:rFonts w:ascii="Times New Roman" w:eastAsia="宋体" w:hAnsi="Times New Roman"/>
                <w:color w:val="000000"/>
                <w:sz w:val="20"/>
                <w:szCs w:val="20"/>
              </w:rPr>
              <w:t>Total by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4E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E3" w14:textId="77777777" w:rsidR="005C332D" w:rsidRDefault="00B93EAE">
            <w:pPr>
              <w:jc w:val="right"/>
              <w:textAlignment w:val="bottom"/>
            </w:pPr>
            <w:r>
              <w:rPr>
                <w:rFonts w:ascii="Times New Roman" w:eastAsia="宋体" w:hAnsi="Times New Roman"/>
                <w:color w:val="000000"/>
                <w:sz w:val="20"/>
                <w:szCs w:val="20"/>
              </w:rPr>
              <w:t>33,064 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E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E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E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E7" w14:textId="77777777" w:rsidR="005C332D" w:rsidRDefault="00B93EAE">
            <w:pPr>
              <w:jc w:val="right"/>
              <w:textAlignment w:val="bottom"/>
            </w:pPr>
            <w:r>
              <w:rPr>
                <w:rFonts w:ascii="Times New Roman" w:eastAsia="宋体" w:hAnsi="Times New Roman"/>
                <w:color w:val="000000"/>
                <w:sz w:val="20"/>
                <w:szCs w:val="20"/>
              </w:rPr>
              <w:t>12,554 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E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E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E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EB" w14:textId="77777777" w:rsidR="005C332D" w:rsidRDefault="00B93EAE">
            <w:pPr>
              <w:jc w:val="right"/>
              <w:textAlignment w:val="bottom"/>
            </w:pPr>
            <w:r>
              <w:rPr>
                <w:rFonts w:ascii="Times New Roman" w:eastAsia="宋体" w:hAnsi="Times New Roman"/>
                <w:color w:val="000000"/>
                <w:sz w:val="20"/>
                <w:szCs w:val="20"/>
              </w:rPr>
              <w:t>9,170 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E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E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E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EF" w14:textId="77777777" w:rsidR="005C332D" w:rsidRDefault="00B93EAE">
            <w:pPr>
              <w:jc w:val="right"/>
              <w:textAlignment w:val="bottom"/>
            </w:pPr>
            <w:r>
              <w:rPr>
                <w:rFonts w:ascii="Times New Roman" w:eastAsia="宋体" w:hAnsi="Times New Roman"/>
                <w:color w:val="000000"/>
                <w:sz w:val="20"/>
                <w:szCs w:val="20"/>
              </w:rPr>
              <w:t>6,258 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F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4F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4F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4F3" w14:textId="77777777" w:rsidR="005C332D" w:rsidRDefault="00B93EAE">
            <w:pPr>
              <w:jc w:val="right"/>
              <w:textAlignment w:val="bottom"/>
            </w:pPr>
            <w:r>
              <w:rPr>
                <w:rFonts w:ascii="Times New Roman" w:eastAsia="宋体" w:hAnsi="Times New Roman"/>
                <w:color w:val="000000"/>
                <w:sz w:val="20"/>
                <w:szCs w:val="20"/>
              </w:rPr>
              <w:t>5,082 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4F4" w14:textId="77777777" w:rsidR="005C332D" w:rsidRDefault="005C332D">
            <w:pPr>
              <w:jc w:val="right"/>
              <w:rPr>
                <w:rFonts w:ascii="宋体"/>
              </w:rPr>
            </w:pPr>
          </w:p>
        </w:tc>
      </w:tr>
      <w:tr w:rsidR="005C332D" w14:paraId="518B5501" w14:textId="77777777">
        <w:tc>
          <w:tcPr>
            <w:tcW w:w="0" w:type="auto"/>
            <w:gridSpan w:val="3"/>
            <w:shd w:val="clear" w:color="auto" w:fill="FFFFFF"/>
            <w:tcMar>
              <w:top w:w="40" w:type="dxa"/>
              <w:left w:w="20" w:type="dxa"/>
              <w:bottom w:w="40" w:type="dxa"/>
              <w:right w:w="20" w:type="dxa"/>
            </w:tcMar>
          </w:tcPr>
          <w:p w14:paraId="518B54F6" w14:textId="77777777" w:rsidR="005C332D" w:rsidRDefault="00B93EAE">
            <w:pPr>
              <w:textAlignment w:val="top"/>
            </w:pPr>
            <w:r>
              <w:rPr>
                <w:rFonts w:ascii="Times New Roman" w:eastAsia="宋体" w:hAnsi="Times New Roman"/>
                <w:color w:val="000000"/>
                <w:sz w:val="20"/>
                <w:szCs w:val="20"/>
              </w:rPr>
              <w:t>Other long-term liabilities (uncertainty in the ti</w:t>
            </w:r>
            <w:r>
              <w:rPr>
                <w:rFonts w:ascii="Times New Roman" w:eastAsia="宋体" w:hAnsi="Times New Roman"/>
                <w:color w:val="000000"/>
                <w:sz w:val="20"/>
                <w:szCs w:val="20"/>
              </w:rPr>
              <w:t>ming of future payments)</w:t>
            </w:r>
          </w:p>
        </w:tc>
        <w:tc>
          <w:tcPr>
            <w:tcW w:w="0" w:type="auto"/>
            <w:gridSpan w:val="2"/>
            <w:shd w:val="clear" w:color="auto" w:fill="FFFFFF"/>
            <w:tcMar>
              <w:top w:w="40" w:type="dxa"/>
              <w:left w:w="20" w:type="dxa"/>
              <w:bottom w:w="40" w:type="dxa"/>
              <w:right w:w="0" w:type="dxa"/>
            </w:tcMar>
            <w:vAlign w:val="bottom"/>
          </w:tcPr>
          <w:p w14:paraId="518B54F7" w14:textId="77777777" w:rsidR="005C332D" w:rsidRDefault="00B93EAE">
            <w:pPr>
              <w:jc w:val="right"/>
              <w:textAlignment w:val="bottom"/>
            </w:pPr>
            <w:r>
              <w:rPr>
                <w:rFonts w:ascii="Times New Roman" w:eastAsia="宋体" w:hAnsi="Times New Roman"/>
                <w:color w:val="000000"/>
                <w:sz w:val="20"/>
                <w:szCs w:val="20"/>
              </w:rPr>
              <w:t>2,324 </w:t>
            </w:r>
          </w:p>
        </w:tc>
        <w:tc>
          <w:tcPr>
            <w:tcW w:w="0" w:type="auto"/>
            <w:shd w:val="clear" w:color="auto" w:fill="FFFFFF"/>
            <w:tcMar>
              <w:top w:w="40" w:type="dxa"/>
              <w:left w:w="0" w:type="dxa"/>
              <w:bottom w:w="40" w:type="dxa"/>
              <w:right w:w="20" w:type="dxa"/>
            </w:tcMar>
            <w:vAlign w:val="bottom"/>
          </w:tcPr>
          <w:p w14:paraId="518B54F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4F9"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54F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4FB"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54F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4FD"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54F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4FF"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5500" w14:textId="77777777" w:rsidR="005C332D" w:rsidRDefault="005C332D">
            <w:pPr>
              <w:rPr>
                <w:rFonts w:ascii="宋体"/>
              </w:rPr>
            </w:pPr>
          </w:p>
        </w:tc>
      </w:tr>
      <w:tr w:rsidR="005C332D" w14:paraId="518B550E" w14:textId="77777777">
        <w:tc>
          <w:tcPr>
            <w:tcW w:w="0" w:type="auto"/>
            <w:gridSpan w:val="3"/>
            <w:shd w:val="clear" w:color="auto" w:fill="CCEEFF"/>
            <w:tcMar>
              <w:top w:w="40" w:type="dxa"/>
              <w:left w:w="740" w:type="dxa"/>
              <w:bottom w:w="40" w:type="dxa"/>
              <w:right w:w="20" w:type="dxa"/>
            </w:tcMar>
          </w:tcPr>
          <w:p w14:paraId="518B5502"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50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504" w14:textId="77777777" w:rsidR="005C332D" w:rsidRDefault="00B93EAE">
            <w:pPr>
              <w:jc w:val="right"/>
              <w:textAlignment w:val="bottom"/>
            </w:pPr>
            <w:r>
              <w:rPr>
                <w:rFonts w:ascii="Times New Roman" w:eastAsia="宋体" w:hAnsi="Times New Roman"/>
                <w:color w:val="000000"/>
                <w:sz w:val="20"/>
                <w:szCs w:val="20"/>
              </w:rPr>
              <w:t>35,388 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50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50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50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50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50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50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50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50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50D" w14:textId="77777777" w:rsidR="005C332D" w:rsidRDefault="005C332D">
            <w:pPr>
              <w:rPr>
                <w:rFonts w:ascii="宋体"/>
              </w:rPr>
            </w:pPr>
          </w:p>
        </w:tc>
      </w:tr>
    </w:tbl>
    <w:p w14:paraId="518B550F" w14:textId="77777777" w:rsidR="005C332D" w:rsidRDefault="005C332D">
      <w:pPr>
        <w:spacing w:before="120"/>
        <w:jc w:val="both"/>
      </w:pPr>
    </w:p>
    <w:p w14:paraId="518B5510" w14:textId="77777777" w:rsidR="005C332D" w:rsidRDefault="00B93EAE">
      <w:pPr>
        <w:jc w:val="center"/>
      </w:pPr>
      <w:r>
        <w:rPr>
          <w:rFonts w:ascii="Times New Roman" w:eastAsia="宋体" w:hAnsi="Times New Roman"/>
          <w:color w:val="000000"/>
          <w:sz w:val="20"/>
          <w:szCs w:val="20"/>
        </w:rPr>
        <w:t>50</w:t>
      </w:r>
    </w:p>
    <w:p w14:paraId="518B5511" w14:textId="77777777" w:rsidR="005C332D" w:rsidRDefault="00B93EAE">
      <w:r>
        <w:pict w14:anchorId="518B8747">
          <v:rect id="_x0000_i1076" style="width:415.3pt;height:1.5pt" o:hralign="center" o:hrstd="t" o:hr="t" fillcolor="#a0a0a0" stroked="f"/>
        </w:pict>
      </w:r>
    </w:p>
    <w:p w14:paraId="518B5512" w14:textId="77777777" w:rsidR="005C332D" w:rsidRDefault="00B93EAE">
      <w:hyperlink r:id="rId104" w:anchor="i049852cab38845aabd2a79d07dacda86_7" w:history="1">
        <w:r>
          <w:rPr>
            <w:rStyle w:val="a5"/>
            <w:rFonts w:ascii="Times New Roman" w:eastAsia="宋体" w:hAnsi="Times New Roman"/>
            <w:sz w:val="20"/>
            <w:szCs w:val="20"/>
          </w:rPr>
          <w:t>Table of Contents</w:t>
        </w:r>
      </w:hyperlink>
    </w:p>
    <w:p w14:paraId="518B5513" w14:textId="77777777" w:rsidR="005C332D" w:rsidRDefault="00B93EAE">
      <w:pPr>
        <w:spacing w:before="120"/>
        <w:jc w:val="both"/>
      </w:pPr>
      <w:r>
        <w:rPr>
          <w:rFonts w:ascii="Times New Roman" w:eastAsia="宋体" w:hAnsi="Times New Roman"/>
          <w:i/>
          <w:iCs/>
          <w:color w:val="000000"/>
          <w:sz w:val="20"/>
          <w:szCs w:val="20"/>
          <w:u w:val="single"/>
        </w:rPr>
        <w:t>Operating Leases</w:t>
      </w:r>
      <w:r>
        <w:rPr>
          <w:rFonts w:ascii="Times New Roman" w:eastAsia="宋体" w:hAnsi="Times New Roman"/>
          <w:color w:val="000000"/>
          <w:sz w:val="20"/>
          <w:szCs w:val="20"/>
        </w:rPr>
        <w:t xml:space="preserve">  For more information on our operating leases, see Note 8 to the Consolidated Financial Statements.</w:t>
      </w:r>
    </w:p>
    <w:p w14:paraId="518B5514" w14:textId="77777777" w:rsidR="005C332D" w:rsidRDefault="00B93EAE">
      <w:pPr>
        <w:spacing w:before="120"/>
        <w:jc w:val="both"/>
      </w:pPr>
      <w:r>
        <w:rPr>
          <w:rFonts w:ascii="Times New Roman" w:eastAsia="宋体" w:hAnsi="Times New Roman"/>
          <w:i/>
          <w:iCs/>
          <w:color w:val="000000"/>
          <w:sz w:val="20"/>
          <w:szCs w:val="20"/>
          <w:u w:val="single"/>
        </w:rPr>
        <w:t>Purchase Commitments with Contract Manufacturers and Suppliers</w:t>
      </w:r>
      <w:r>
        <w:rPr>
          <w:rFonts w:ascii="Times New Roman" w:eastAsia="宋体" w:hAnsi="Times New Roman"/>
          <w:color w:val="000000"/>
          <w:sz w:val="20"/>
          <w:szCs w:val="20"/>
        </w:rPr>
        <w:t xml:space="preserve">  We purchase components from a variety of suppliers and use several contract manufacturers t</w:t>
      </w:r>
      <w:r>
        <w:rPr>
          <w:rFonts w:ascii="Times New Roman" w:eastAsia="宋体" w:hAnsi="Times New Roman"/>
          <w:color w:val="000000"/>
          <w:sz w:val="20"/>
          <w:szCs w:val="20"/>
        </w:rPr>
        <w:t>o provide manufacturing services for our products. Our inventory purchase commitments are for short-term product manufacturing requirements as well as for commitments to suppliers to secure manufacturing capacity. Certain of our inventory purchase commitme</w:t>
      </w:r>
      <w:r>
        <w:rPr>
          <w:rFonts w:ascii="Times New Roman" w:eastAsia="宋体" w:hAnsi="Times New Roman"/>
          <w:color w:val="000000"/>
          <w:sz w:val="20"/>
          <w:szCs w:val="20"/>
        </w:rPr>
        <w:t>nts with contract manufacturers and suppliers relate to arrangements to secure supply and pricing for certain product components for multi-year periods. A significant portion of our reported purchase commitments arising from these agreements are firm, nonc</w:t>
      </w:r>
      <w:r>
        <w:rPr>
          <w:rFonts w:ascii="Times New Roman" w:eastAsia="宋体" w:hAnsi="Times New Roman"/>
          <w:color w:val="000000"/>
          <w:sz w:val="20"/>
          <w:szCs w:val="20"/>
        </w:rPr>
        <w:t xml:space="preserve">ancelable, and unconditional commitments. We record a liability for firm, noncancelable, and unconditional purchase commitments for quantities in excess of our future demand forecasts consistent with the valuation of our excess and obsolete inventory. See </w:t>
      </w:r>
      <w:r>
        <w:rPr>
          <w:rFonts w:ascii="Times New Roman" w:eastAsia="宋体" w:hAnsi="Times New Roman"/>
          <w:color w:val="000000"/>
          <w:sz w:val="20"/>
          <w:szCs w:val="20"/>
        </w:rPr>
        <w:t xml:space="preserve">further discussion in “Inventory Supply Chain.” </w:t>
      </w:r>
    </w:p>
    <w:p w14:paraId="518B5515" w14:textId="77777777" w:rsidR="005C332D" w:rsidRDefault="00B93EAE">
      <w:pPr>
        <w:spacing w:before="120"/>
        <w:jc w:val="both"/>
      </w:pPr>
      <w:r>
        <w:rPr>
          <w:rFonts w:ascii="Times New Roman" w:eastAsia="宋体" w:hAnsi="Times New Roman"/>
          <w:i/>
          <w:iCs/>
          <w:color w:val="000000"/>
          <w:sz w:val="20"/>
          <w:szCs w:val="20"/>
          <w:u w:val="single"/>
        </w:rPr>
        <w:t>Other Purchase Obligations</w:t>
      </w:r>
      <w:r>
        <w:rPr>
          <w:rFonts w:ascii="Times New Roman" w:eastAsia="宋体" w:hAnsi="Times New Roman"/>
          <w:color w:val="000000"/>
          <w:sz w:val="20"/>
          <w:szCs w:val="20"/>
        </w:rPr>
        <w:t xml:space="preserve">  Other purchase obligations represent an estimate of all contractual obligations in the ordinary course of business, other than operating leases and commitments with contract manuf</w:t>
      </w:r>
      <w:r>
        <w:rPr>
          <w:rFonts w:ascii="Times New Roman" w:eastAsia="宋体" w:hAnsi="Times New Roman"/>
          <w:color w:val="000000"/>
          <w:sz w:val="20"/>
          <w:szCs w:val="20"/>
        </w:rPr>
        <w:t>acturers and suppliers, for which we have not received the goods or services. Purchase orders are not included in the preceding table as they typically represent our authorization to purchase rather than binding contractual purchase obligations.</w:t>
      </w:r>
    </w:p>
    <w:p w14:paraId="518B5516" w14:textId="77777777" w:rsidR="005C332D" w:rsidRDefault="00B93EAE">
      <w:pPr>
        <w:spacing w:before="120"/>
        <w:jc w:val="both"/>
      </w:pPr>
      <w:r>
        <w:rPr>
          <w:rFonts w:ascii="Times New Roman" w:eastAsia="宋体" w:hAnsi="Times New Roman"/>
          <w:i/>
          <w:iCs/>
          <w:color w:val="000000"/>
          <w:sz w:val="20"/>
          <w:szCs w:val="20"/>
          <w:u w:val="single"/>
        </w:rPr>
        <w:t xml:space="preserve">Long-Term </w:t>
      </w:r>
      <w:r>
        <w:rPr>
          <w:rFonts w:ascii="Times New Roman" w:eastAsia="宋体" w:hAnsi="Times New Roman"/>
          <w:i/>
          <w:iCs/>
          <w:color w:val="000000"/>
          <w:sz w:val="20"/>
          <w:szCs w:val="20"/>
          <w:u w:val="single"/>
        </w:rPr>
        <w:t>Debt</w:t>
      </w:r>
      <w:r>
        <w:rPr>
          <w:rFonts w:ascii="Times New Roman" w:eastAsia="宋体" w:hAnsi="Times New Roman"/>
          <w:color w:val="000000"/>
          <w:sz w:val="20"/>
          <w:szCs w:val="20"/>
        </w:rPr>
        <w:t xml:space="preserve">  The amount of long-term debt in the preceding table represents the principal amount of the respective debt instruments. See Note 12 to the Consolidated Financial Statements.</w:t>
      </w:r>
    </w:p>
    <w:p w14:paraId="518B5517" w14:textId="77777777" w:rsidR="005C332D" w:rsidRDefault="00B93EAE">
      <w:pPr>
        <w:spacing w:before="120"/>
        <w:jc w:val="both"/>
      </w:pPr>
      <w:r>
        <w:rPr>
          <w:rFonts w:ascii="Times New Roman" w:eastAsia="宋体" w:hAnsi="Times New Roman"/>
          <w:i/>
          <w:iCs/>
          <w:color w:val="000000"/>
          <w:sz w:val="20"/>
          <w:szCs w:val="20"/>
          <w:u w:val="single"/>
        </w:rPr>
        <w:t>Transition Tax Payable</w:t>
      </w:r>
      <w:r>
        <w:rPr>
          <w:rFonts w:ascii="Times New Roman" w:eastAsia="宋体" w:hAnsi="Times New Roman"/>
          <w:color w:val="000000"/>
          <w:sz w:val="20"/>
          <w:szCs w:val="20"/>
        </w:rPr>
        <w:t xml:space="preserve"> Transition tax payable represents future cash tax pay</w:t>
      </w:r>
      <w:r>
        <w:rPr>
          <w:rFonts w:ascii="Times New Roman" w:eastAsia="宋体" w:hAnsi="Times New Roman"/>
          <w:color w:val="000000"/>
          <w:sz w:val="20"/>
          <w:szCs w:val="20"/>
        </w:rPr>
        <w:t>ments associated with the one-time U.S. transition tax on accumulated earnings for foreign subsidiaries as a result of the Tax Cuts and Jobs Act (“the Tax Act”).</w:t>
      </w:r>
    </w:p>
    <w:p w14:paraId="518B5518" w14:textId="77777777" w:rsidR="005C332D" w:rsidRDefault="00B93EAE">
      <w:pPr>
        <w:spacing w:before="120"/>
        <w:jc w:val="both"/>
      </w:pPr>
      <w:r>
        <w:rPr>
          <w:rFonts w:ascii="Times New Roman" w:eastAsia="宋体" w:hAnsi="Times New Roman"/>
          <w:i/>
          <w:iCs/>
          <w:color w:val="000000"/>
          <w:sz w:val="20"/>
          <w:szCs w:val="20"/>
          <w:u w:val="single"/>
        </w:rPr>
        <w:t>Other Long-Term Liabilities</w:t>
      </w:r>
      <w:r>
        <w:rPr>
          <w:rFonts w:ascii="Times New Roman" w:eastAsia="宋体" w:hAnsi="Times New Roman"/>
          <w:color w:val="000000"/>
          <w:sz w:val="20"/>
          <w:szCs w:val="20"/>
        </w:rPr>
        <w:t xml:space="preserve">  Other long-term liabilities primarily include noncurrent income t</w:t>
      </w:r>
      <w:r>
        <w:rPr>
          <w:rFonts w:ascii="Times New Roman" w:eastAsia="宋体" w:hAnsi="Times New Roman"/>
          <w:color w:val="000000"/>
          <w:sz w:val="20"/>
          <w:szCs w:val="20"/>
        </w:rPr>
        <w:t>axes payable, accrued liabilities for deferred compensation, deferred tax liabilities, and certain other long-term liabilities. Due to the uncertainty in the timing of future payments, our noncurrent income taxes payable of approximately $2.3 billion and d</w:t>
      </w:r>
      <w:r>
        <w:rPr>
          <w:rFonts w:ascii="Times New Roman" w:eastAsia="宋体" w:hAnsi="Times New Roman"/>
          <w:color w:val="000000"/>
          <w:sz w:val="20"/>
          <w:szCs w:val="20"/>
        </w:rPr>
        <w:t>eferred tax liabilities of $55 million were presented as one aggregated amount in the total column on a separate line in the preceding table. Noncurrent income taxes payable include uncertain tax positions. See Note 18 to the Consolidated Financial Stateme</w:t>
      </w:r>
      <w:r>
        <w:rPr>
          <w:rFonts w:ascii="Times New Roman" w:eastAsia="宋体" w:hAnsi="Times New Roman"/>
          <w:color w:val="000000"/>
          <w:sz w:val="20"/>
          <w:szCs w:val="20"/>
        </w:rPr>
        <w:t>nts.</w:t>
      </w:r>
    </w:p>
    <w:p w14:paraId="518B5519" w14:textId="77777777" w:rsidR="005C332D" w:rsidRDefault="00B93EAE">
      <w:pPr>
        <w:spacing w:before="120"/>
        <w:jc w:val="both"/>
      </w:pPr>
      <w:r>
        <w:rPr>
          <w:rFonts w:ascii="Times New Roman" w:eastAsia="宋体" w:hAnsi="Times New Roman"/>
          <w:b/>
          <w:bCs/>
          <w:color w:val="000000"/>
          <w:sz w:val="20"/>
          <w:szCs w:val="20"/>
        </w:rPr>
        <w:t>Other Commitments</w:t>
      </w:r>
    </w:p>
    <w:p w14:paraId="518B551A" w14:textId="77777777" w:rsidR="005C332D" w:rsidRDefault="00B93EAE">
      <w:pPr>
        <w:spacing w:before="120"/>
        <w:jc w:val="both"/>
      </w:pPr>
      <w:r>
        <w:rPr>
          <w:rFonts w:ascii="Times New Roman" w:eastAsia="宋体" w:hAnsi="Times New Roman"/>
          <w:color w:val="000000"/>
          <w:sz w:val="20"/>
          <w:szCs w:val="20"/>
        </w:rPr>
        <w:t>In connection with our acquisitions, we have agreed to pay certain additional amounts contingent upon the achievement of certain agreed-upon technology, development, product, or other milestones or the continued employment with us of</w:t>
      </w:r>
      <w:r>
        <w:rPr>
          <w:rFonts w:ascii="Times New Roman" w:eastAsia="宋体" w:hAnsi="Times New Roman"/>
          <w:color w:val="000000"/>
          <w:sz w:val="20"/>
          <w:szCs w:val="20"/>
        </w:rPr>
        <w:t xml:space="preserve"> certain employees of the acquired entities. See Note 14 to the Consolidated Financial Statements.</w:t>
      </w:r>
    </w:p>
    <w:p w14:paraId="518B551B" w14:textId="77777777" w:rsidR="005C332D" w:rsidRDefault="00B93EAE">
      <w:pPr>
        <w:spacing w:before="120"/>
        <w:jc w:val="both"/>
      </w:pPr>
      <w:r>
        <w:rPr>
          <w:rFonts w:ascii="Times New Roman" w:eastAsia="宋体" w:hAnsi="Times New Roman"/>
          <w:color w:val="000000"/>
          <w:sz w:val="20"/>
          <w:szCs w:val="20"/>
        </w:rPr>
        <w:t>We also have certain funding commitments primarily related to our privately held investments, some of which may be based on the achievement of certain agreed</w:t>
      </w:r>
      <w:r>
        <w:rPr>
          <w:rFonts w:ascii="Times New Roman" w:eastAsia="宋体" w:hAnsi="Times New Roman"/>
          <w:color w:val="000000"/>
          <w:sz w:val="20"/>
          <w:szCs w:val="20"/>
        </w:rPr>
        <w:t>-upon milestones or are required to be funded on demand. The funding commitments were $0.4 billion and $0.2 billion as of July 30, 2022 and July 31, 2021, respectively.</w:t>
      </w:r>
    </w:p>
    <w:p w14:paraId="518B551C" w14:textId="77777777" w:rsidR="005C332D" w:rsidRDefault="00B93EAE">
      <w:pPr>
        <w:spacing w:before="120"/>
        <w:jc w:val="both"/>
      </w:pPr>
      <w:r>
        <w:rPr>
          <w:rFonts w:ascii="Times New Roman" w:eastAsia="宋体" w:hAnsi="Times New Roman"/>
          <w:color w:val="000000"/>
          <w:sz w:val="20"/>
          <w:szCs w:val="20"/>
        </w:rPr>
        <w:t>In the ordinary course of business, we have privately held investments and provide fina</w:t>
      </w:r>
      <w:r>
        <w:rPr>
          <w:rFonts w:ascii="Times New Roman" w:eastAsia="宋体" w:hAnsi="Times New Roman"/>
          <w:color w:val="000000"/>
          <w:sz w:val="20"/>
          <w:szCs w:val="20"/>
        </w:rPr>
        <w:t xml:space="preserve">ncing to certain customers. Certain of these investments are considered to be variable interest entities. We evaluate on an ongoing basis our privately held investments and customer financings, and we have determined that as of July 30, 2022 there were no </w:t>
      </w:r>
      <w:r>
        <w:rPr>
          <w:rFonts w:ascii="Times New Roman" w:eastAsia="宋体" w:hAnsi="Times New Roman"/>
          <w:color w:val="000000"/>
          <w:sz w:val="20"/>
          <w:szCs w:val="20"/>
        </w:rPr>
        <w:t>material unconsolidated variable interest entities.</w:t>
      </w:r>
    </w:p>
    <w:p w14:paraId="518B551D" w14:textId="77777777" w:rsidR="005C332D" w:rsidRDefault="00B93EAE">
      <w:pPr>
        <w:spacing w:before="120"/>
        <w:jc w:val="both"/>
      </w:pPr>
      <w:r>
        <w:rPr>
          <w:rFonts w:ascii="Times New Roman" w:eastAsia="宋体" w:hAnsi="Times New Roman"/>
          <w:color w:val="000000"/>
          <w:sz w:val="20"/>
          <w:szCs w:val="20"/>
        </w:rPr>
        <w:t xml:space="preserve">On an ongoing basis, we reassess our privately held investments and customer financings to determine if they are variable interest entities and if we would be regarded as the primary beneficiary pursuant </w:t>
      </w:r>
      <w:r>
        <w:rPr>
          <w:rFonts w:ascii="Times New Roman" w:eastAsia="宋体" w:hAnsi="Times New Roman"/>
          <w:color w:val="000000"/>
          <w:sz w:val="20"/>
          <w:szCs w:val="20"/>
        </w:rPr>
        <w:t>to the applicable accounting guidance. As a result of this ongoing assessment, we may be required to make additional disclosures or consolidate these entities. Because we may not control these entities, we may not have the ability to influence these events</w:t>
      </w:r>
      <w:r>
        <w:rPr>
          <w:rFonts w:ascii="Times New Roman" w:eastAsia="宋体" w:hAnsi="Times New Roman"/>
          <w:color w:val="000000"/>
          <w:sz w:val="20"/>
          <w:szCs w:val="20"/>
        </w:rPr>
        <w:t>.</w:t>
      </w:r>
    </w:p>
    <w:p w14:paraId="518B551E" w14:textId="77777777" w:rsidR="005C332D" w:rsidRDefault="00B93EAE">
      <w:pPr>
        <w:spacing w:before="120"/>
        <w:jc w:val="both"/>
      </w:pPr>
      <w:r>
        <w:rPr>
          <w:rFonts w:ascii="Times New Roman" w:eastAsia="宋体" w:hAnsi="Times New Roman"/>
          <w:color w:val="000000"/>
          <w:sz w:val="20"/>
          <w:szCs w:val="20"/>
        </w:rPr>
        <w:t xml:space="preserve">We provide financing guarantees, which are generally for various third-party financing arrangements extended to our channel partners. We could be called upon to make payments under these guarantees in the event of nonpayment by the channel partners. See </w:t>
      </w:r>
      <w:r>
        <w:rPr>
          <w:rFonts w:ascii="Times New Roman" w:eastAsia="宋体" w:hAnsi="Times New Roman"/>
          <w:color w:val="000000"/>
          <w:sz w:val="20"/>
          <w:szCs w:val="20"/>
        </w:rPr>
        <w:t>the previous discussion of these financing guarantees under “Financing Receivables and Guarantees.”</w:t>
      </w:r>
    </w:p>
    <w:p w14:paraId="518B551F" w14:textId="77777777" w:rsidR="005C332D" w:rsidRDefault="00B93EAE">
      <w:pPr>
        <w:spacing w:before="120"/>
        <w:jc w:val="both"/>
      </w:pPr>
      <w:r>
        <w:rPr>
          <w:rFonts w:ascii="Times New Roman" w:eastAsia="宋体" w:hAnsi="Times New Roman"/>
          <w:b/>
          <w:bCs/>
          <w:color w:val="000000"/>
          <w:sz w:val="20"/>
          <w:szCs w:val="20"/>
        </w:rPr>
        <w:t>Liquidity and Capital Resource Requirements</w:t>
      </w:r>
    </w:p>
    <w:p w14:paraId="518B5520" w14:textId="77777777" w:rsidR="005C332D" w:rsidRDefault="00B93EAE">
      <w:pPr>
        <w:spacing w:before="120"/>
        <w:jc w:val="both"/>
      </w:pPr>
      <w:r>
        <w:rPr>
          <w:rFonts w:ascii="Times New Roman" w:eastAsia="宋体" w:hAnsi="Times New Roman"/>
          <w:color w:val="000000"/>
          <w:sz w:val="20"/>
          <w:szCs w:val="20"/>
        </w:rPr>
        <w:t>While the COVID-19 pandemic and the Russia and Ukraine war have not materially impacted our liquidity and capita</w:t>
      </w:r>
      <w:r>
        <w:rPr>
          <w:rFonts w:ascii="Times New Roman" w:eastAsia="宋体" w:hAnsi="Times New Roman"/>
          <w:color w:val="000000"/>
          <w:sz w:val="20"/>
          <w:szCs w:val="20"/>
        </w:rPr>
        <w:t>l resources to date, it has led to increased disruption and volatility in capital markets and credit markets. These events and resulting economic uncertainty could adversely affect our liquidity and capital resources in the future. Based on past performanc</w:t>
      </w:r>
      <w:r>
        <w:rPr>
          <w:rFonts w:ascii="Times New Roman" w:eastAsia="宋体" w:hAnsi="Times New Roman"/>
          <w:color w:val="000000"/>
          <w:sz w:val="20"/>
          <w:szCs w:val="20"/>
        </w:rPr>
        <w:t>e and current expectations, we believe our cash and cash equivalents, investments, cash generated from operations, and ability to access capital markets and committed credit lines will satisfy, through at least the next 12 months, our liquidity requirement</w:t>
      </w:r>
      <w:r>
        <w:rPr>
          <w:rFonts w:ascii="Times New Roman" w:eastAsia="宋体" w:hAnsi="Times New Roman"/>
          <w:color w:val="000000"/>
          <w:sz w:val="20"/>
          <w:szCs w:val="20"/>
        </w:rPr>
        <w:t>s, both in total and domestically, including the following: working capital needs (including inventory and other supply related payments), capital expenditures, investment requirements, stock repurchases, cash dividends, contractual obligations, commitment</w:t>
      </w:r>
      <w:r>
        <w:rPr>
          <w:rFonts w:ascii="Times New Roman" w:eastAsia="宋体" w:hAnsi="Times New Roman"/>
          <w:color w:val="000000"/>
          <w:sz w:val="20"/>
          <w:szCs w:val="20"/>
        </w:rPr>
        <w:t>s, principal and interest payments on debt, pending acquisitions, future customer financings, and other liquidity requirements associated with our operations. We expect increased payments related to inventory and other supply related payments through at le</w:t>
      </w:r>
      <w:r>
        <w:rPr>
          <w:rFonts w:ascii="Times New Roman" w:eastAsia="宋体" w:hAnsi="Times New Roman"/>
          <w:color w:val="000000"/>
          <w:sz w:val="20"/>
          <w:szCs w:val="20"/>
        </w:rPr>
        <w:t xml:space="preserve">ast the next 12 months. There are no other transactions, arrangements, or relationships with </w:t>
      </w:r>
    </w:p>
    <w:p w14:paraId="518B5521" w14:textId="77777777" w:rsidR="005C332D" w:rsidRDefault="00B93EAE">
      <w:pPr>
        <w:jc w:val="center"/>
      </w:pPr>
      <w:r>
        <w:rPr>
          <w:rFonts w:ascii="Times New Roman" w:eastAsia="宋体" w:hAnsi="Times New Roman"/>
          <w:color w:val="000000"/>
          <w:sz w:val="20"/>
          <w:szCs w:val="20"/>
        </w:rPr>
        <w:t>51</w:t>
      </w:r>
    </w:p>
    <w:p w14:paraId="518B5522" w14:textId="77777777" w:rsidR="005C332D" w:rsidRDefault="00B93EAE">
      <w:r>
        <w:pict w14:anchorId="518B8748">
          <v:rect id="_x0000_i1077" style="width:415.3pt;height:1.5pt" o:hralign="center" o:hrstd="t" o:hr="t" fillcolor="#a0a0a0" stroked="f"/>
        </w:pict>
      </w:r>
    </w:p>
    <w:p w14:paraId="518B5523" w14:textId="77777777" w:rsidR="005C332D" w:rsidRDefault="00B93EAE">
      <w:hyperlink r:id="rId105" w:anchor="i049852cab38845aabd2a79d07dacda86_7" w:history="1">
        <w:r>
          <w:rPr>
            <w:rStyle w:val="a5"/>
            <w:rFonts w:ascii="Times New Roman" w:eastAsia="宋体" w:hAnsi="Times New Roman"/>
            <w:sz w:val="20"/>
            <w:szCs w:val="20"/>
          </w:rPr>
          <w:t>Table of Co</w:t>
        </w:r>
        <w:r>
          <w:rPr>
            <w:rStyle w:val="a5"/>
            <w:rFonts w:ascii="Times New Roman" w:eastAsia="宋体" w:hAnsi="Times New Roman"/>
            <w:sz w:val="20"/>
            <w:szCs w:val="20"/>
          </w:rPr>
          <w:t>ntents</w:t>
        </w:r>
      </w:hyperlink>
    </w:p>
    <w:p w14:paraId="518B5524" w14:textId="77777777" w:rsidR="005C332D" w:rsidRDefault="00B93EAE">
      <w:pPr>
        <w:spacing w:before="120"/>
        <w:jc w:val="both"/>
      </w:pPr>
      <w:r>
        <w:rPr>
          <w:rFonts w:ascii="Times New Roman" w:eastAsia="宋体" w:hAnsi="Times New Roman"/>
          <w:color w:val="000000"/>
          <w:sz w:val="20"/>
          <w:szCs w:val="20"/>
        </w:rPr>
        <w:t>unconsolidated entities or other persons that are reasonably likely to materially affect the liquidity and the availability of, as well as our requirements for, capital resources.  </w:t>
      </w:r>
    </w:p>
    <w:p w14:paraId="518B5525" w14:textId="77777777" w:rsidR="005C332D" w:rsidRDefault="00B93EAE">
      <w:pPr>
        <w:jc w:val="center"/>
      </w:pPr>
      <w:r>
        <w:rPr>
          <w:rFonts w:ascii="Times New Roman" w:eastAsia="宋体" w:hAnsi="Times New Roman"/>
          <w:color w:val="000000"/>
          <w:sz w:val="20"/>
          <w:szCs w:val="20"/>
        </w:rPr>
        <w:t>52</w:t>
      </w:r>
    </w:p>
    <w:p w14:paraId="518B5526" w14:textId="77777777" w:rsidR="005C332D" w:rsidRDefault="00B93EAE">
      <w:r>
        <w:pict w14:anchorId="518B8749">
          <v:rect id="_x0000_i1078" style="width:415.3pt;height:1.5pt" o:hralign="center" o:hrstd="t" o:hr="t" fillcolor="#a0a0a0" stroked="f"/>
        </w:pict>
      </w:r>
    </w:p>
    <w:p w14:paraId="518B5527" w14:textId="77777777" w:rsidR="005C332D" w:rsidRDefault="00B93EAE">
      <w:hyperlink r:id="rId106" w:anchor="i049852cab38845aabd2a79d07dacda86_7" w:history="1">
        <w:r>
          <w:rPr>
            <w:rStyle w:val="a5"/>
            <w:rFonts w:ascii="Times New Roman" w:eastAsia="宋体" w:hAnsi="Times New Roman"/>
            <w:sz w:val="20"/>
            <w:szCs w:val="20"/>
          </w:rPr>
          <w:t>Table of Contents</w:t>
        </w:r>
      </w:hyperlink>
    </w:p>
    <w:tbl>
      <w:tblPr>
        <w:tblW w:w="4203" w:type="pct"/>
        <w:tblCellMar>
          <w:top w:w="15" w:type="dxa"/>
          <w:left w:w="15" w:type="dxa"/>
          <w:bottom w:w="15" w:type="dxa"/>
          <w:right w:w="15" w:type="dxa"/>
        </w:tblCellMar>
        <w:tblLook w:val="04A0" w:firstRow="1" w:lastRow="0" w:firstColumn="1" w:lastColumn="0" w:noHBand="0" w:noVBand="1"/>
      </w:tblPr>
      <w:tblGrid>
        <w:gridCol w:w="57"/>
        <w:gridCol w:w="880"/>
        <w:gridCol w:w="36"/>
        <w:gridCol w:w="56"/>
        <w:gridCol w:w="5942"/>
        <w:gridCol w:w="36"/>
      </w:tblGrid>
      <w:tr w:rsidR="005C332D" w14:paraId="518B552E" w14:textId="77777777">
        <w:tc>
          <w:tcPr>
            <w:tcW w:w="50" w:type="pct"/>
            <w:shd w:val="clear" w:color="auto" w:fill="auto"/>
            <w:vAlign w:val="bottom"/>
          </w:tcPr>
          <w:p w14:paraId="518B5528" w14:textId="77777777" w:rsidR="005C332D" w:rsidRDefault="005C332D">
            <w:pPr>
              <w:rPr>
                <w:rFonts w:ascii="宋体"/>
              </w:rPr>
            </w:pPr>
          </w:p>
        </w:tc>
        <w:tc>
          <w:tcPr>
            <w:tcW w:w="640" w:type="pct"/>
            <w:shd w:val="clear" w:color="auto" w:fill="auto"/>
            <w:vAlign w:val="bottom"/>
          </w:tcPr>
          <w:p w14:paraId="518B5529" w14:textId="77777777" w:rsidR="005C332D" w:rsidRDefault="005C332D">
            <w:pPr>
              <w:rPr>
                <w:rFonts w:ascii="宋体"/>
              </w:rPr>
            </w:pPr>
          </w:p>
        </w:tc>
        <w:tc>
          <w:tcPr>
            <w:tcW w:w="5" w:type="pct"/>
            <w:shd w:val="clear" w:color="auto" w:fill="auto"/>
            <w:vAlign w:val="bottom"/>
          </w:tcPr>
          <w:p w14:paraId="518B552A" w14:textId="77777777" w:rsidR="005C332D" w:rsidRDefault="005C332D">
            <w:pPr>
              <w:rPr>
                <w:rFonts w:ascii="宋体"/>
              </w:rPr>
            </w:pPr>
          </w:p>
        </w:tc>
        <w:tc>
          <w:tcPr>
            <w:tcW w:w="50" w:type="pct"/>
            <w:shd w:val="clear" w:color="auto" w:fill="auto"/>
            <w:vAlign w:val="bottom"/>
          </w:tcPr>
          <w:p w14:paraId="518B552B" w14:textId="77777777" w:rsidR="005C332D" w:rsidRDefault="005C332D">
            <w:pPr>
              <w:rPr>
                <w:rFonts w:ascii="宋体"/>
              </w:rPr>
            </w:pPr>
          </w:p>
        </w:tc>
        <w:tc>
          <w:tcPr>
            <w:tcW w:w="4249" w:type="pct"/>
            <w:shd w:val="clear" w:color="auto" w:fill="auto"/>
            <w:vAlign w:val="bottom"/>
          </w:tcPr>
          <w:p w14:paraId="518B552C" w14:textId="77777777" w:rsidR="005C332D" w:rsidRDefault="005C332D">
            <w:pPr>
              <w:rPr>
                <w:rFonts w:ascii="宋体"/>
              </w:rPr>
            </w:pPr>
          </w:p>
        </w:tc>
        <w:tc>
          <w:tcPr>
            <w:tcW w:w="5" w:type="pct"/>
            <w:shd w:val="clear" w:color="auto" w:fill="auto"/>
            <w:vAlign w:val="bottom"/>
          </w:tcPr>
          <w:p w14:paraId="518B552D" w14:textId="77777777" w:rsidR="005C332D" w:rsidRDefault="005C332D">
            <w:pPr>
              <w:rPr>
                <w:rFonts w:ascii="宋体"/>
              </w:rPr>
            </w:pPr>
          </w:p>
        </w:tc>
      </w:tr>
      <w:tr w:rsidR="005C332D" w14:paraId="518B5531" w14:textId="77777777">
        <w:tc>
          <w:tcPr>
            <w:tcW w:w="0" w:type="auto"/>
            <w:gridSpan w:val="3"/>
            <w:shd w:val="clear" w:color="auto" w:fill="auto"/>
            <w:tcMar>
              <w:top w:w="40" w:type="dxa"/>
              <w:left w:w="20" w:type="dxa"/>
              <w:bottom w:w="40" w:type="dxa"/>
              <w:right w:w="20" w:type="dxa"/>
            </w:tcMar>
          </w:tcPr>
          <w:p w14:paraId="518B552F" w14:textId="77777777" w:rsidR="005C332D" w:rsidRDefault="00B93EAE">
            <w:pPr>
              <w:textAlignment w:val="top"/>
            </w:pPr>
            <w:r>
              <w:rPr>
                <w:rFonts w:ascii="Times New Roman" w:eastAsia="宋体" w:hAnsi="Times New Roman"/>
                <w:b/>
                <w:bCs/>
                <w:color w:val="000000"/>
                <w:sz w:val="20"/>
                <w:szCs w:val="20"/>
              </w:rPr>
              <w:t>Item 7A.</w:t>
            </w:r>
          </w:p>
        </w:tc>
        <w:tc>
          <w:tcPr>
            <w:tcW w:w="0" w:type="auto"/>
            <w:gridSpan w:val="3"/>
            <w:shd w:val="clear" w:color="auto" w:fill="auto"/>
            <w:tcMar>
              <w:top w:w="40" w:type="dxa"/>
              <w:left w:w="20" w:type="dxa"/>
              <w:bottom w:w="40" w:type="dxa"/>
              <w:right w:w="20" w:type="dxa"/>
            </w:tcMar>
          </w:tcPr>
          <w:p w14:paraId="518B5530" w14:textId="77777777" w:rsidR="005C332D" w:rsidRDefault="00B93EAE">
            <w:pPr>
              <w:textAlignment w:val="top"/>
            </w:pPr>
            <w:r>
              <w:rPr>
                <w:rFonts w:ascii="Times New Roman" w:eastAsia="宋体" w:hAnsi="Times New Roman"/>
                <w:b/>
                <w:bCs/>
                <w:color w:val="000000"/>
                <w:sz w:val="20"/>
                <w:szCs w:val="20"/>
              </w:rPr>
              <w:t>Quantitative and Qualitative Disclosures About Market Risk</w:t>
            </w:r>
          </w:p>
        </w:tc>
      </w:tr>
    </w:tbl>
    <w:p w14:paraId="518B5532" w14:textId="77777777" w:rsidR="005C332D" w:rsidRDefault="00B93EAE">
      <w:pPr>
        <w:spacing w:before="120"/>
        <w:jc w:val="both"/>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financial position is exposed to a variety of risks, including interest rate risk, equity price risk, and foreign currency exchange risk.</w:t>
      </w:r>
    </w:p>
    <w:p w14:paraId="518B5533" w14:textId="77777777" w:rsidR="005C332D" w:rsidRDefault="00B93EAE">
      <w:pPr>
        <w:spacing w:before="120"/>
        <w:jc w:val="both"/>
      </w:pPr>
      <w:r>
        <w:rPr>
          <w:rFonts w:ascii="Times New Roman" w:eastAsia="宋体" w:hAnsi="Times New Roman"/>
          <w:b/>
          <w:bCs/>
          <w:color w:val="000000"/>
          <w:sz w:val="20"/>
          <w:szCs w:val="20"/>
        </w:rPr>
        <w:t>Interest Rate Risk</w:t>
      </w:r>
    </w:p>
    <w:p w14:paraId="518B5534" w14:textId="77777777" w:rsidR="005C332D" w:rsidRDefault="00B93EAE">
      <w:pPr>
        <w:spacing w:before="120"/>
        <w:jc w:val="both"/>
      </w:pPr>
      <w:r>
        <w:rPr>
          <w:rFonts w:ascii="Times New Roman" w:eastAsia="宋体" w:hAnsi="Times New Roman"/>
          <w:color w:val="000000"/>
          <w:sz w:val="20"/>
          <w:szCs w:val="20"/>
          <w:u w:val="single"/>
        </w:rPr>
        <w:t>Available-for-Sale Debt Investments</w:t>
      </w:r>
      <w:r>
        <w:rPr>
          <w:rFonts w:ascii="Times New Roman" w:eastAsia="宋体" w:hAnsi="Times New Roman"/>
          <w:color w:val="000000"/>
          <w:sz w:val="20"/>
          <w:szCs w:val="20"/>
        </w:rPr>
        <w:t xml:space="preserve"> We maintain an investment portfolio of various holdings, types,</w:t>
      </w:r>
      <w:r>
        <w:rPr>
          <w:rFonts w:ascii="Times New Roman" w:eastAsia="宋体" w:hAnsi="Times New Roman"/>
          <w:color w:val="000000"/>
          <w:sz w:val="20"/>
          <w:szCs w:val="20"/>
        </w:rPr>
        <w:t xml:space="preserve"> and maturities. Our primary objective for holding available-for-sale debt investments is to achieve an appropriate investment return consistent with preserving principal and managing risk. At any time, a sharp rise in market interest rates could have a ma</w:t>
      </w:r>
      <w:r>
        <w:rPr>
          <w:rFonts w:ascii="Times New Roman" w:eastAsia="宋体" w:hAnsi="Times New Roman"/>
          <w:color w:val="000000"/>
          <w:sz w:val="20"/>
          <w:szCs w:val="20"/>
        </w:rPr>
        <w:t xml:space="preserve">terial adverse impact on the fair value of our available-for-sale debt investment portfolio. Conversely, declines in interest rates, including the impact from lower credit spreads, could have a material adverse impact on interest income for our investment </w:t>
      </w:r>
      <w:r>
        <w:rPr>
          <w:rFonts w:ascii="Times New Roman" w:eastAsia="宋体" w:hAnsi="Times New Roman"/>
          <w:color w:val="000000"/>
          <w:sz w:val="20"/>
          <w:szCs w:val="20"/>
        </w:rPr>
        <w:t xml:space="preserve">portfolio. We may utilize derivative instruments designated as hedging instruments to achieve our investment objectives. We had no outstanding hedging instruments for our available-for-sale debt investments as of July 30, 2022. Our available-for-sale debt </w:t>
      </w:r>
      <w:r>
        <w:rPr>
          <w:rFonts w:ascii="Times New Roman" w:eastAsia="宋体" w:hAnsi="Times New Roman"/>
          <w:color w:val="000000"/>
          <w:sz w:val="20"/>
          <w:szCs w:val="20"/>
        </w:rPr>
        <w:t>investments are held for purposes other than trading. Our available-for-sale debt investments are not leveraged as of July 30, 2022. We monitor our interest rate and credit risks, including our credit exposures to specific rating categories and to individu</w:t>
      </w:r>
      <w:r>
        <w:rPr>
          <w:rFonts w:ascii="Times New Roman" w:eastAsia="宋体" w:hAnsi="Times New Roman"/>
          <w:color w:val="000000"/>
          <w:sz w:val="20"/>
          <w:szCs w:val="20"/>
        </w:rPr>
        <w:t>al issuers. We believe the overall credit quality of our portfolio is strong.</w:t>
      </w:r>
    </w:p>
    <w:p w14:paraId="518B5535" w14:textId="77777777" w:rsidR="005C332D" w:rsidRDefault="00B93EAE">
      <w:pPr>
        <w:spacing w:before="120"/>
        <w:jc w:val="both"/>
      </w:pPr>
      <w:r>
        <w:rPr>
          <w:rFonts w:ascii="Times New Roman" w:eastAsia="宋体" w:hAnsi="Times New Roman"/>
          <w:color w:val="000000"/>
          <w:sz w:val="20"/>
          <w:szCs w:val="20"/>
        </w:rPr>
        <w:t>The following tables present the hypothetical fair values of our available-for-sale debt investments, including the hedging effects when applicable, as a result of selected poten</w:t>
      </w:r>
      <w:r>
        <w:rPr>
          <w:rFonts w:ascii="Times New Roman" w:eastAsia="宋体" w:hAnsi="Times New Roman"/>
          <w:color w:val="000000"/>
          <w:sz w:val="20"/>
          <w:szCs w:val="20"/>
        </w:rPr>
        <w:t>tial market decreases and increases in interest rates. The market changes reflect immediate hypothetical parallel shifts in the yield curve of plus or minus 50 basis points (BPS), plus 100 BPS, and plus 150 BPS.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 xml:space="preserve">The hypothetical fair values as of July 30, </w:t>
      </w:r>
      <w:r>
        <w:rPr>
          <w:rFonts w:ascii="Times New Roman" w:eastAsia="宋体" w:hAnsi="Times New Roman"/>
          <w:color w:val="000000"/>
          <w:sz w:val="20"/>
          <w:szCs w:val="20"/>
        </w:rPr>
        <w:t>2022 and July 31, 2021 are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8"/>
        <w:gridCol w:w="1883"/>
        <w:gridCol w:w="36"/>
        <w:gridCol w:w="85"/>
        <w:gridCol w:w="653"/>
        <w:gridCol w:w="37"/>
        <w:gridCol w:w="37"/>
        <w:gridCol w:w="45"/>
        <w:gridCol w:w="37"/>
        <w:gridCol w:w="85"/>
        <w:gridCol w:w="653"/>
        <w:gridCol w:w="37"/>
        <w:gridCol w:w="36"/>
        <w:gridCol w:w="44"/>
        <w:gridCol w:w="36"/>
        <w:gridCol w:w="84"/>
        <w:gridCol w:w="652"/>
        <w:gridCol w:w="36"/>
        <w:gridCol w:w="36"/>
        <w:gridCol w:w="36"/>
        <w:gridCol w:w="36"/>
        <w:gridCol w:w="93"/>
        <w:gridCol w:w="930"/>
        <w:gridCol w:w="36"/>
        <w:gridCol w:w="36"/>
        <w:gridCol w:w="36"/>
        <w:gridCol w:w="36"/>
        <w:gridCol w:w="84"/>
        <w:gridCol w:w="640"/>
        <w:gridCol w:w="37"/>
        <w:gridCol w:w="37"/>
        <w:gridCol w:w="44"/>
        <w:gridCol w:w="37"/>
        <w:gridCol w:w="83"/>
        <w:gridCol w:w="639"/>
        <w:gridCol w:w="36"/>
        <w:gridCol w:w="36"/>
        <w:gridCol w:w="43"/>
        <w:gridCol w:w="36"/>
        <w:gridCol w:w="83"/>
        <w:gridCol w:w="641"/>
        <w:gridCol w:w="36"/>
      </w:tblGrid>
      <w:tr w:rsidR="005C332D" w14:paraId="518B5560" w14:textId="77777777">
        <w:tc>
          <w:tcPr>
            <w:tcW w:w="50" w:type="pct"/>
            <w:shd w:val="clear" w:color="auto" w:fill="auto"/>
            <w:vAlign w:val="bottom"/>
          </w:tcPr>
          <w:p w14:paraId="518B5536" w14:textId="77777777" w:rsidR="005C332D" w:rsidRDefault="005C332D">
            <w:pPr>
              <w:rPr>
                <w:rFonts w:ascii="宋体"/>
              </w:rPr>
            </w:pPr>
          </w:p>
        </w:tc>
        <w:tc>
          <w:tcPr>
            <w:tcW w:w="1528" w:type="pct"/>
            <w:shd w:val="clear" w:color="auto" w:fill="auto"/>
            <w:vAlign w:val="bottom"/>
          </w:tcPr>
          <w:p w14:paraId="518B5537" w14:textId="77777777" w:rsidR="005C332D" w:rsidRDefault="005C332D">
            <w:pPr>
              <w:rPr>
                <w:rFonts w:ascii="宋体"/>
              </w:rPr>
            </w:pPr>
          </w:p>
        </w:tc>
        <w:tc>
          <w:tcPr>
            <w:tcW w:w="5" w:type="pct"/>
            <w:shd w:val="clear" w:color="auto" w:fill="auto"/>
            <w:vAlign w:val="bottom"/>
          </w:tcPr>
          <w:p w14:paraId="518B5538" w14:textId="77777777" w:rsidR="005C332D" w:rsidRDefault="005C332D">
            <w:pPr>
              <w:rPr>
                <w:rFonts w:ascii="宋体"/>
              </w:rPr>
            </w:pPr>
          </w:p>
        </w:tc>
        <w:tc>
          <w:tcPr>
            <w:tcW w:w="50" w:type="pct"/>
            <w:shd w:val="clear" w:color="auto" w:fill="auto"/>
            <w:vAlign w:val="bottom"/>
          </w:tcPr>
          <w:p w14:paraId="518B5539" w14:textId="77777777" w:rsidR="005C332D" w:rsidRDefault="005C332D">
            <w:pPr>
              <w:rPr>
                <w:rFonts w:ascii="宋体"/>
              </w:rPr>
            </w:pPr>
          </w:p>
        </w:tc>
        <w:tc>
          <w:tcPr>
            <w:tcW w:w="384" w:type="pct"/>
            <w:shd w:val="clear" w:color="auto" w:fill="auto"/>
            <w:vAlign w:val="bottom"/>
          </w:tcPr>
          <w:p w14:paraId="518B553A" w14:textId="77777777" w:rsidR="005C332D" w:rsidRDefault="005C332D">
            <w:pPr>
              <w:rPr>
                <w:rFonts w:ascii="宋体"/>
              </w:rPr>
            </w:pPr>
          </w:p>
        </w:tc>
        <w:tc>
          <w:tcPr>
            <w:tcW w:w="5" w:type="pct"/>
            <w:shd w:val="clear" w:color="auto" w:fill="auto"/>
            <w:vAlign w:val="bottom"/>
          </w:tcPr>
          <w:p w14:paraId="518B553B" w14:textId="77777777" w:rsidR="005C332D" w:rsidRDefault="005C332D">
            <w:pPr>
              <w:rPr>
                <w:rFonts w:ascii="宋体"/>
              </w:rPr>
            </w:pPr>
          </w:p>
        </w:tc>
        <w:tc>
          <w:tcPr>
            <w:tcW w:w="5" w:type="pct"/>
            <w:shd w:val="clear" w:color="auto" w:fill="auto"/>
            <w:vAlign w:val="bottom"/>
          </w:tcPr>
          <w:p w14:paraId="518B553C" w14:textId="77777777" w:rsidR="005C332D" w:rsidRDefault="005C332D">
            <w:pPr>
              <w:rPr>
                <w:rFonts w:ascii="宋体"/>
              </w:rPr>
            </w:pPr>
          </w:p>
        </w:tc>
        <w:tc>
          <w:tcPr>
            <w:tcW w:w="26" w:type="pct"/>
            <w:shd w:val="clear" w:color="auto" w:fill="auto"/>
            <w:vAlign w:val="bottom"/>
          </w:tcPr>
          <w:p w14:paraId="518B553D" w14:textId="77777777" w:rsidR="005C332D" w:rsidRDefault="005C332D">
            <w:pPr>
              <w:rPr>
                <w:rFonts w:ascii="宋体"/>
              </w:rPr>
            </w:pPr>
          </w:p>
        </w:tc>
        <w:tc>
          <w:tcPr>
            <w:tcW w:w="5" w:type="pct"/>
            <w:shd w:val="clear" w:color="auto" w:fill="auto"/>
            <w:vAlign w:val="bottom"/>
          </w:tcPr>
          <w:p w14:paraId="518B553E" w14:textId="77777777" w:rsidR="005C332D" w:rsidRDefault="005C332D">
            <w:pPr>
              <w:rPr>
                <w:rFonts w:ascii="宋体"/>
              </w:rPr>
            </w:pPr>
          </w:p>
        </w:tc>
        <w:tc>
          <w:tcPr>
            <w:tcW w:w="50" w:type="pct"/>
            <w:shd w:val="clear" w:color="auto" w:fill="auto"/>
            <w:vAlign w:val="bottom"/>
          </w:tcPr>
          <w:p w14:paraId="518B553F" w14:textId="77777777" w:rsidR="005C332D" w:rsidRDefault="005C332D">
            <w:pPr>
              <w:rPr>
                <w:rFonts w:ascii="宋体"/>
              </w:rPr>
            </w:pPr>
          </w:p>
        </w:tc>
        <w:tc>
          <w:tcPr>
            <w:tcW w:w="384" w:type="pct"/>
            <w:shd w:val="clear" w:color="auto" w:fill="auto"/>
            <w:vAlign w:val="bottom"/>
          </w:tcPr>
          <w:p w14:paraId="518B5540" w14:textId="77777777" w:rsidR="005C332D" w:rsidRDefault="005C332D">
            <w:pPr>
              <w:rPr>
                <w:rFonts w:ascii="宋体"/>
              </w:rPr>
            </w:pPr>
          </w:p>
        </w:tc>
        <w:tc>
          <w:tcPr>
            <w:tcW w:w="5" w:type="pct"/>
            <w:shd w:val="clear" w:color="auto" w:fill="auto"/>
            <w:vAlign w:val="bottom"/>
          </w:tcPr>
          <w:p w14:paraId="518B5541" w14:textId="77777777" w:rsidR="005C332D" w:rsidRDefault="005C332D">
            <w:pPr>
              <w:rPr>
                <w:rFonts w:ascii="宋体"/>
              </w:rPr>
            </w:pPr>
          </w:p>
        </w:tc>
        <w:tc>
          <w:tcPr>
            <w:tcW w:w="5" w:type="pct"/>
            <w:shd w:val="clear" w:color="auto" w:fill="auto"/>
            <w:vAlign w:val="bottom"/>
          </w:tcPr>
          <w:p w14:paraId="518B5542" w14:textId="77777777" w:rsidR="005C332D" w:rsidRDefault="005C332D">
            <w:pPr>
              <w:rPr>
                <w:rFonts w:ascii="宋体"/>
              </w:rPr>
            </w:pPr>
          </w:p>
        </w:tc>
        <w:tc>
          <w:tcPr>
            <w:tcW w:w="26" w:type="pct"/>
            <w:shd w:val="clear" w:color="auto" w:fill="auto"/>
            <w:vAlign w:val="bottom"/>
          </w:tcPr>
          <w:p w14:paraId="518B5543" w14:textId="77777777" w:rsidR="005C332D" w:rsidRDefault="005C332D">
            <w:pPr>
              <w:rPr>
                <w:rFonts w:ascii="宋体"/>
              </w:rPr>
            </w:pPr>
          </w:p>
        </w:tc>
        <w:tc>
          <w:tcPr>
            <w:tcW w:w="5" w:type="pct"/>
            <w:shd w:val="clear" w:color="auto" w:fill="auto"/>
            <w:vAlign w:val="bottom"/>
          </w:tcPr>
          <w:p w14:paraId="518B5544" w14:textId="77777777" w:rsidR="005C332D" w:rsidRDefault="005C332D">
            <w:pPr>
              <w:rPr>
                <w:rFonts w:ascii="宋体"/>
              </w:rPr>
            </w:pPr>
          </w:p>
        </w:tc>
        <w:tc>
          <w:tcPr>
            <w:tcW w:w="50" w:type="pct"/>
            <w:shd w:val="clear" w:color="auto" w:fill="auto"/>
            <w:vAlign w:val="bottom"/>
          </w:tcPr>
          <w:p w14:paraId="518B5545" w14:textId="77777777" w:rsidR="005C332D" w:rsidRDefault="005C332D">
            <w:pPr>
              <w:rPr>
                <w:rFonts w:ascii="宋体"/>
              </w:rPr>
            </w:pPr>
          </w:p>
        </w:tc>
        <w:tc>
          <w:tcPr>
            <w:tcW w:w="384" w:type="pct"/>
            <w:shd w:val="clear" w:color="auto" w:fill="auto"/>
            <w:vAlign w:val="bottom"/>
          </w:tcPr>
          <w:p w14:paraId="518B5546" w14:textId="77777777" w:rsidR="005C332D" w:rsidRDefault="005C332D">
            <w:pPr>
              <w:rPr>
                <w:rFonts w:ascii="宋体"/>
              </w:rPr>
            </w:pPr>
          </w:p>
        </w:tc>
        <w:tc>
          <w:tcPr>
            <w:tcW w:w="5" w:type="pct"/>
            <w:shd w:val="clear" w:color="auto" w:fill="auto"/>
            <w:vAlign w:val="bottom"/>
          </w:tcPr>
          <w:p w14:paraId="518B5547" w14:textId="77777777" w:rsidR="005C332D" w:rsidRDefault="005C332D">
            <w:pPr>
              <w:rPr>
                <w:rFonts w:ascii="宋体"/>
              </w:rPr>
            </w:pPr>
          </w:p>
        </w:tc>
        <w:tc>
          <w:tcPr>
            <w:tcW w:w="5" w:type="pct"/>
            <w:shd w:val="clear" w:color="auto" w:fill="auto"/>
            <w:vAlign w:val="bottom"/>
          </w:tcPr>
          <w:p w14:paraId="518B5548" w14:textId="77777777" w:rsidR="005C332D" w:rsidRDefault="005C332D">
            <w:pPr>
              <w:rPr>
                <w:rFonts w:ascii="宋体"/>
              </w:rPr>
            </w:pPr>
          </w:p>
        </w:tc>
        <w:tc>
          <w:tcPr>
            <w:tcW w:w="26" w:type="pct"/>
            <w:shd w:val="clear" w:color="auto" w:fill="auto"/>
            <w:vAlign w:val="bottom"/>
          </w:tcPr>
          <w:p w14:paraId="518B5549" w14:textId="77777777" w:rsidR="005C332D" w:rsidRDefault="005C332D">
            <w:pPr>
              <w:rPr>
                <w:rFonts w:ascii="宋体"/>
              </w:rPr>
            </w:pPr>
          </w:p>
        </w:tc>
        <w:tc>
          <w:tcPr>
            <w:tcW w:w="5" w:type="pct"/>
            <w:shd w:val="clear" w:color="auto" w:fill="auto"/>
            <w:vAlign w:val="bottom"/>
          </w:tcPr>
          <w:p w14:paraId="518B554A" w14:textId="77777777" w:rsidR="005C332D" w:rsidRDefault="005C332D">
            <w:pPr>
              <w:rPr>
                <w:rFonts w:ascii="宋体"/>
              </w:rPr>
            </w:pPr>
          </w:p>
        </w:tc>
        <w:tc>
          <w:tcPr>
            <w:tcW w:w="50" w:type="pct"/>
            <w:shd w:val="clear" w:color="auto" w:fill="auto"/>
            <w:vAlign w:val="bottom"/>
          </w:tcPr>
          <w:p w14:paraId="518B554B" w14:textId="77777777" w:rsidR="005C332D" w:rsidRDefault="005C332D">
            <w:pPr>
              <w:rPr>
                <w:rFonts w:ascii="宋体"/>
              </w:rPr>
            </w:pPr>
          </w:p>
        </w:tc>
        <w:tc>
          <w:tcPr>
            <w:tcW w:w="502" w:type="pct"/>
            <w:shd w:val="clear" w:color="auto" w:fill="auto"/>
            <w:vAlign w:val="bottom"/>
          </w:tcPr>
          <w:p w14:paraId="518B554C" w14:textId="77777777" w:rsidR="005C332D" w:rsidRDefault="005C332D">
            <w:pPr>
              <w:rPr>
                <w:rFonts w:ascii="宋体"/>
              </w:rPr>
            </w:pPr>
          </w:p>
        </w:tc>
        <w:tc>
          <w:tcPr>
            <w:tcW w:w="5" w:type="pct"/>
            <w:shd w:val="clear" w:color="auto" w:fill="auto"/>
            <w:vAlign w:val="bottom"/>
          </w:tcPr>
          <w:p w14:paraId="518B554D" w14:textId="77777777" w:rsidR="005C332D" w:rsidRDefault="005C332D">
            <w:pPr>
              <w:rPr>
                <w:rFonts w:ascii="宋体"/>
              </w:rPr>
            </w:pPr>
          </w:p>
        </w:tc>
        <w:tc>
          <w:tcPr>
            <w:tcW w:w="5" w:type="pct"/>
            <w:shd w:val="clear" w:color="auto" w:fill="auto"/>
            <w:vAlign w:val="bottom"/>
          </w:tcPr>
          <w:p w14:paraId="518B554E" w14:textId="77777777" w:rsidR="005C332D" w:rsidRDefault="005C332D">
            <w:pPr>
              <w:rPr>
                <w:rFonts w:ascii="宋体"/>
              </w:rPr>
            </w:pPr>
          </w:p>
        </w:tc>
        <w:tc>
          <w:tcPr>
            <w:tcW w:w="26" w:type="pct"/>
            <w:shd w:val="clear" w:color="auto" w:fill="auto"/>
            <w:vAlign w:val="bottom"/>
          </w:tcPr>
          <w:p w14:paraId="518B554F" w14:textId="77777777" w:rsidR="005C332D" w:rsidRDefault="005C332D">
            <w:pPr>
              <w:rPr>
                <w:rFonts w:ascii="宋体"/>
              </w:rPr>
            </w:pPr>
          </w:p>
        </w:tc>
        <w:tc>
          <w:tcPr>
            <w:tcW w:w="5" w:type="pct"/>
            <w:shd w:val="clear" w:color="auto" w:fill="auto"/>
            <w:vAlign w:val="bottom"/>
          </w:tcPr>
          <w:p w14:paraId="518B5550" w14:textId="77777777" w:rsidR="005C332D" w:rsidRDefault="005C332D">
            <w:pPr>
              <w:rPr>
                <w:rFonts w:ascii="宋体"/>
              </w:rPr>
            </w:pPr>
          </w:p>
        </w:tc>
        <w:tc>
          <w:tcPr>
            <w:tcW w:w="50" w:type="pct"/>
            <w:shd w:val="clear" w:color="auto" w:fill="auto"/>
            <w:vAlign w:val="bottom"/>
          </w:tcPr>
          <w:p w14:paraId="518B5551" w14:textId="77777777" w:rsidR="005C332D" w:rsidRDefault="005C332D">
            <w:pPr>
              <w:rPr>
                <w:rFonts w:ascii="宋体"/>
              </w:rPr>
            </w:pPr>
          </w:p>
        </w:tc>
        <w:tc>
          <w:tcPr>
            <w:tcW w:w="384" w:type="pct"/>
            <w:shd w:val="clear" w:color="auto" w:fill="auto"/>
            <w:vAlign w:val="bottom"/>
          </w:tcPr>
          <w:p w14:paraId="518B5552" w14:textId="77777777" w:rsidR="005C332D" w:rsidRDefault="005C332D">
            <w:pPr>
              <w:rPr>
                <w:rFonts w:ascii="宋体"/>
              </w:rPr>
            </w:pPr>
          </w:p>
        </w:tc>
        <w:tc>
          <w:tcPr>
            <w:tcW w:w="5" w:type="pct"/>
            <w:shd w:val="clear" w:color="auto" w:fill="auto"/>
            <w:vAlign w:val="bottom"/>
          </w:tcPr>
          <w:p w14:paraId="518B5553" w14:textId="77777777" w:rsidR="005C332D" w:rsidRDefault="005C332D">
            <w:pPr>
              <w:rPr>
                <w:rFonts w:ascii="宋体"/>
              </w:rPr>
            </w:pPr>
          </w:p>
        </w:tc>
        <w:tc>
          <w:tcPr>
            <w:tcW w:w="5" w:type="pct"/>
            <w:shd w:val="clear" w:color="auto" w:fill="auto"/>
            <w:vAlign w:val="bottom"/>
          </w:tcPr>
          <w:p w14:paraId="518B5554" w14:textId="77777777" w:rsidR="005C332D" w:rsidRDefault="005C332D">
            <w:pPr>
              <w:rPr>
                <w:rFonts w:ascii="宋体"/>
              </w:rPr>
            </w:pPr>
          </w:p>
        </w:tc>
        <w:tc>
          <w:tcPr>
            <w:tcW w:w="26" w:type="pct"/>
            <w:shd w:val="clear" w:color="auto" w:fill="auto"/>
            <w:vAlign w:val="bottom"/>
          </w:tcPr>
          <w:p w14:paraId="518B5555" w14:textId="77777777" w:rsidR="005C332D" w:rsidRDefault="005C332D">
            <w:pPr>
              <w:rPr>
                <w:rFonts w:ascii="宋体"/>
              </w:rPr>
            </w:pPr>
          </w:p>
        </w:tc>
        <w:tc>
          <w:tcPr>
            <w:tcW w:w="5" w:type="pct"/>
            <w:shd w:val="clear" w:color="auto" w:fill="auto"/>
            <w:vAlign w:val="bottom"/>
          </w:tcPr>
          <w:p w14:paraId="518B5556" w14:textId="77777777" w:rsidR="005C332D" w:rsidRDefault="005C332D">
            <w:pPr>
              <w:rPr>
                <w:rFonts w:ascii="宋体"/>
              </w:rPr>
            </w:pPr>
          </w:p>
        </w:tc>
        <w:tc>
          <w:tcPr>
            <w:tcW w:w="50" w:type="pct"/>
            <w:shd w:val="clear" w:color="auto" w:fill="auto"/>
            <w:vAlign w:val="bottom"/>
          </w:tcPr>
          <w:p w14:paraId="518B5557" w14:textId="77777777" w:rsidR="005C332D" w:rsidRDefault="005C332D">
            <w:pPr>
              <w:rPr>
                <w:rFonts w:ascii="宋体"/>
              </w:rPr>
            </w:pPr>
          </w:p>
        </w:tc>
        <w:tc>
          <w:tcPr>
            <w:tcW w:w="384" w:type="pct"/>
            <w:shd w:val="clear" w:color="auto" w:fill="auto"/>
            <w:vAlign w:val="bottom"/>
          </w:tcPr>
          <w:p w14:paraId="518B5558" w14:textId="77777777" w:rsidR="005C332D" w:rsidRDefault="005C332D">
            <w:pPr>
              <w:rPr>
                <w:rFonts w:ascii="宋体"/>
              </w:rPr>
            </w:pPr>
          </w:p>
        </w:tc>
        <w:tc>
          <w:tcPr>
            <w:tcW w:w="5" w:type="pct"/>
            <w:shd w:val="clear" w:color="auto" w:fill="auto"/>
            <w:vAlign w:val="bottom"/>
          </w:tcPr>
          <w:p w14:paraId="518B5559" w14:textId="77777777" w:rsidR="005C332D" w:rsidRDefault="005C332D">
            <w:pPr>
              <w:rPr>
                <w:rFonts w:ascii="宋体"/>
              </w:rPr>
            </w:pPr>
          </w:p>
        </w:tc>
        <w:tc>
          <w:tcPr>
            <w:tcW w:w="5" w:type="pct"/>
            <w:shd w:val="clear" w:color="auto" w:fill="auto"/>
            <w:vAlign w:val="bottom"/>
          </w:tcPr>
          <w:p w14:paraId="518B555A" w14:textId="77777777" w:rsidR="005C332D" w:rsidRDefault="005C332D">
            <w:pPr>
              <w:rPr>
                <w:rFonts w:ascii="宋体"/>
              </w:rPr>
            </w:pPr>
          </w:p>
        </w:tc>
        <w:tc>
          <w:tcPr>
            <w:tcW w:w="26" w:type="pct"/>
            <w:shd w:val="clear" w:color="auto" w:fill="auto"/>
            <w:vAlign w:val="bottom"/>
          </w:tcPr>
          <w:p w14:paraId="518B555B" w14:textId="77777777" w:rsidR="005C332D" w:rsidRDefault="005C332D">
            <w:pPr>
              <w:rPr>
                <w:rFonts w:ascii="宋体"/>
              </w:rPr>
            </w:pPr>
          </w:p>
        </w:tc>
        <w:tc>
          <w:tcPr>
            <w:tcW w:w="5" w:type="pct"/>
            <w:shd w:val="clear" w:color="auto" w:fill="auto"/>
            <w:vAlign w:val="bottom"/>
          </w:tcPr>
          <w:p w14:paraId="518B555C" w14:textId="77777777" w:rsidR="005C332D" w:rsidRDefault="005C332D">
            <w:pPr>
              <w:rPr>
                <w:rFonts w:ascii="宋体"/>
              </w:rPr>
            </w:pPr>
          </w:p>
        </w:tc>
        <w:tc>
          <w:tcPr>
            <w:tcW w:w="50" w:type="pct"/>
            <w:shd w:val="clear" w:color="auto" w:fill="auto"/>
            <w:vAlign w:val="bottom"/>
          </w:tcPr>
          <w:p w14:paraId="518B555D" w14:textId="77777777" w:rsidR="005C332D" w:rsidRDefault="005C332D">
            <w:pPr>
              <w:rPr>
                <w:rFonts w:ascii="宋体"/>
              </w:rPr>
            </w:pPr>
          </w:p>
        </w:tc>
        <w:tc>
          <w:tcPr>
            <w:tcW w:w="385" w:type="pct"/>
            <w:shd w:val="clear" w:color="auto" w:fill="auto"/>
            <w:vAlign w:val="bottom"/>
          </w:tcPr>
          <w:p w14:paraId="518B555E" w14:textId="77777777" w:rsidR="005C332D" w:rsidRDefault="005C332D">
            <w:pPr>
              <w:rPr>
                <w:rFonts w:ascii="宋体"/>
              </w:rPr>
            </w:pPr>
          </w:p>
        </w:tc>
        <w:tc>
          <w:tcPr>
            <w:tcW w:w="5" w:type="pct"/>
            <w:shd w:val="clear" w:color="auto" w:fill="auto"/>
            <w:vAlign w:val="bottom"/>
          </w:tcPr>
          <w:p w14:paraId="518B555F" w14:textId="77777777" w:rsidR="005C332D" w:rsidRDefault="005C332D">
            <w:pPr>
              <w:rPr>
                <w:rFonts w:ascii="宋体"/>
              </w:rPr>
            </w:pPr>
          </w:p>
        </w:tc>
      </w:tr>
      <w:tr w:rsidR="005C332D" w14:paraId="518B5567" w14:textId="77777777">
        <w:trPr>
          <w:trHeight w:val="540"/>
        </w:trPr>
        <w:tc>
          <w:tcPr>
            <w:tcW w:w="0" w:type="auto"/>
            <w:gridSpan w:val="3"/>
            <w:shd w:val="clear" w:color="auto" w:fill="auto"/>
            <w:tcMar>
              <w:top w:w="40" w:type="dxa"/>
              <w:left w:w="20" w:type="dxa"/>
              <w:bottom w:w="40" w:type="dxa"/>
              <w:right w:w="20" w:type="dxa"/>
            </w:tcMar>
            <w:vAlign w:val="bottom"/>
          </w:tcPr>
          <w:p w14:paraId="518B5561" w14:textId="77777777" w:rsidR="005C332D" w:rsidRDefault="00B93EAE">
            <w:pPr>
              <w:textAlignment w:val="bottom"/>
            </w:pPr>
            <w:r>
              <w:rPr>
                <w:rFonts w:ascii="Times New Roman" w:eastAsia="宋体" w:hAnsi="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14:paraId="518B5562" w14:textId="77777777" w:rsidR="005C332D" w:rsidRDefault="00B93EAE">
            <w:pPr>
              <w:jc w:val="center"/>
              <w:textAlignment w:val="bottom"/>
            </w:pPr>
            <w:r>
              <w:rPr>
                <w:rFonts w:ascii="Times New Roman" w:eastAsia="宋体" w:hAnsi="Times New Roman"/>
                <w:color w:val="000000"/>
                <w:sz w:val="16"/>
                <w:szCs w:val="16"/>
              </w:rPr>
              <w:t>VALUATION OF SECURITIES</w:t>
            </w:r>
            <w:r>
              <w:rPr>
                <w:rFonts w:ascii="Times New Roman" w:eastAsia="宋体" w:hAnsi="Times New Roman"/>
                <w:color w:val="000000"/>
                <w:sz w:val="16"/>
                <w:szCs w:val="16"/>
              </w:rPr>
              <w:br/>
              <w:t>G</w:t>
            </w:r>
            <w:r>
              <w:rPr>
                <w:rFonts w:ascii="Times New Roman" w:eastAsia="宋体" w:hAnsi="Times New Roman"/>
                <w:color w:val="000000"/>
                <w:sz w:val="16"/>
                <w:szCs w:val="16"/>
              </w:rPr>
              <w:t>IVEN AN INTEREST RATE</w:t>
            </w:r>
            <w:r>
              <w:rPr>
                <w:rFonts w:ascii="Times New Roman" w:eastAsia="宋体" w:hAnsi="Times New Roman"/>
                <w:color w:val="000000"/>
                <w:sz w:val="16"/>
                <w:szCs w:val="16"/>
              </w:rPr>
              <w:br/>
              <w:t>DECREASE OF X BASIS POINTS</w:t>
            </w:r>
          </w:p>
        </w:tc>
        <w:tc>
          <w:tcPr>
            <w:tcW w:w="0" w:type="auto"/>
            <w:gridSpan w:val="3"/>
            <w:shd w:val="clear" w:color="auto" w:fill="auto"/>
            <w:tcMar>
              <w:top w:w="0" w:type="dxa"/>
              <w:left w:w="20" w:type="dxa"/>
              <w:bottom w:w="0" w:type="dxa"/>
              <w:right w:w="20" w:type="dxa"/>
            </w:tcMar>
            <w:vAlign w:val="bottom"/>
          </w:tcPr>
          <w:p w14:paraId="518B5563" w14:textId="77777777" w:rsidR="005C332D" w:rsidRDefault="005C332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18B5564" w14:textId="77777777" w:rsidR="005C332D" w:rsidRDefault="00B93EAE">
            <w:pPr>
              <w:jc w:val="center"/>
              <w:textAlignment w:val="bottom"/>
            </w:pPr>
            <w:r>
              <w:rPr>
                <w:rFonts w:ascii="Times New Roman" w:eastAsia="宋体" w:hAnsi="Times New Roman"/>
                <w:b/>
                <w:bCs/>
                <w:color w:val="000000"/>
                <w:sz w:val="16"/>
                <w:szCs w:val="16"/>
              </w:rPr>
              <w:t>FAIR VALUE</w:t>
            </w:r>
            <w:r>
              <w:rPr>
                <w:rFonts w:ascii="Times New Roman" w:eastAsia="宋体" w:hAnsi="Times New Roman"/>
                <w:b/>
                <w:bCs/>
                <w:color w:val="000000"/>
                <w:sz w:val="16"/>
                <w:szCs w:val="16"/>
              </w:rPr>
              <w:br/>
              <w:t>AS OF JULY 30, 2022</w:t>
            </w:r>
          </w:p>
        </w:tc>
        <w:tc>
          <w:tcPr>
            <w:tcW w:w="0" w:type="auto"/>
            <w:gridSpan w:val="3"/>
            <w:vMerge w:val="restart"/>
            <w:shd w:val="clear" w:color="auto" w:fill="auto"/>
            <w:tcMar>
              <w:top w:w="0" w:type="dxa"/>
              <w:left w:w="20" w:type="dxa"/>
              <w:bottom w:w="0" w:type="dxa"/>
              <w:right w:w="20" w:type="dxa"/>
            </w:tcMar>
            <w:vAlign w:val="bottom"/>
          </w:tcPr>
          <w:p w14:paraId="518B5565"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5566" w14:textId="77777777" w:rsidR="005C332D" w:rsidRDefault="00B93EAE">
            <w:pPr>
              <w:jc w:val="center"/>
              <w:textAlignment w:val="bottom"/>
            </w:pPr>
            <w:r>
              <w:rPr>
                <w:rFonts w:ascii="Times New Roman" w:eastAsia="宋体" w:hAnsi="Times New Roman"/>
                <w:color w:val="000000"/>
                <w:sz w:val="16"/>
                <w:szCs w:val="16"/>
              </w:rPr>
              <w:t>VALUATION OF SECURITIES</w:t>
            </w:r>
            <w:r>
              <w:rPr>
                <w:rFonts w:ascii="Times New Roman" w:eastAsia="宋体" w:hAnsi="Times New Roman"/>
                <w:color w:val="000000"/>
                <w:sz w:val="16"/>
                <w:szCs w:val="16"/>
              </w:rPr>
              <w:br/>
              <w:t>GIVEN AN INTEREST RATE</w:t>
            </w:r>
            <w:r>
              <w:rPr>
                <w:rFonts w:ascii="Times New Roman" w:eastAsia="宋体" w:hAnsi="Times New Roman"/>
                <w:color w:val="000000"/>
                <w:sz w:val="16"/>
                <w:szCs w:val="16"/>
              </w:rPr>
              <w:br/>
              <w:t>INCREASE OF X BASIS POINTS</w:t>
            </w:r>
          </w:p>
        </w:tc>
      </w:tr>
      <w:tr w:rsidR="005C332D" w14:paraId="518B5576" w14:textId="77777777">
        <w:trPr>
          <w:trHeight w:val="340"/>
        </w:trPr>
        <w:tc>
          <w:tcPr>
            <w:tcW w:w="0" w:type="auto"/>
            <w:gridSpan w:val="3"/>
            <w:shd w:val="clear" w:color="auto" w:fill="auto"/>
            <w:tcMar>
              <w:top w:w="40" w:type="dxa"/>
              <w:left w:w="20" w:type="dxa"/>
              <w:bottom w:w="40" w:type="dxa"/>
              <w:right w:w="20" w:type="dxa"/>
            </w:tcMar>
            <w:vAlign w:val="bottom"/>
          </w:tcPr>
          <w:p w14:paraId="518B5568" w14:textId="77777777" w:rsidR="005C332D" w:rsidRDefault="00B93EA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69" w14:textId="77777777" w:rsidR="005C332D" w:rsidRDefault="00B93EAE">
            <w:pPr>
              <w:jc w:val="center"/>
              <w:textAlignment w:val="bottom"/>
            </w:pPr>
            <w:r>
              <w:rPr>
                <w:rFonts w:ascii="Times New Roman" w:eastAsia="宋体" w:hAnsi="Times New Roman"/>
                <w:color w:val="000000"/>
                <w:sz w:val="16"/>
                <w:szCs w:val="16"/>
              </w:rPr>
              <w:t>(150 BPS)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56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6B" w14:textId="77777777" w:rsidR="005C332D" w:rsidRDefault="00B93EAE">
            <w:pPr>
              <w:jc w:val="center"/>
              <w:textAlignment w:val="bottom"/>
            </w:pPr>
            <w:r>
              <w:rPr>
                <w:rFonts w:ascii="Times New Roman" w:eastAsia="宋体" w:hAnsi="Times New Roman"/>
                <w:color w:val="000000"/>
                <w:sz w:val="16"/>
                <w:szCs w:val="16"/>
              </w:rPr>
              <w:t>(100 BPS)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56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6D" w14:textId="77777777" w:rsidR="005C332D" w:rsidRDefault="00B93EAE">
            <w:pPr>
              <w:jc w:val="center"/>
              <w:textAlignment w:val="bottom"/>
            </w:pPr>
            <w:r>
              <w:rPr>
                <w:rFonts w:ascii="Times New Roman" w:eastAsia="宋体" w:hAnsi="Times New Roman"/>
                <w:color w:val="000000"/>
                <w:sz w:val="16"/>
                <w:szCs w:val="16"/>
              </w:rPr>
              <w:t>(50 BPS)</w:t>
            </w:r>
          </w:p>
        </w:tc>
        <w:tc>
          <w:tcPr>
            <w:tcW w:w="0" w:type="auto"/>
            <w:gridSpan w:val="3"/>
            <w:shd w:val="clear" w:color="auto" w:fill="auto"/>
            <w:tcMar>
              <w:top w:w="0" w:type="dxa"/>
              <w:left w:w="20" w:type="dxa"/>
              <w:bottom w:w="0" w:type="dxa"/>
              <w:right w:w="20" w:type="dxa"/>
            </w:tcMar>
            <w:vAlign w:val="bottom"/>
          </w:tcPr>
          <w:p w14:paraId="518B556E" w14:textId="77777777" w:rsidR="005C332D" w:rsidRDefault="005C332D">
            <w:pPr>
              <w:rPr>
                <w:rFonts w:ascii="宋体"/>
              </w:rPr>
            </w:pPr>
          </w:p>
        </w:tc>
        <w:tc>
          <w:tcPr>
            <w:tcW w:w="0" w:type="auto"/>
            <w:gridSpan w:val="3"/>
            <w:vMerge/>
            <w:shd w:val="clear" w:color="auto" w:fill="auto"/>
            <w:tcMar>
              <w:top w:w="40" w:type="dxa"/>
              <w:left w:w="20" w:type="dxa"/>
              <w:bottom w:w="40" w:type="dxa"/>
              <w:right w:w="20" w:type="dxa"/>
            </w:tcMar>
            <w:vAlign w:val="bottom"/>
          </w:tcPr>
          <w:p w14:paraId="518B556F" w14:textId="77777777" w:rsidR="005C332D" w:rsidRDefault="005C332D">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18B557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71" w14:textId="77777777" w:rsidR="005C332D" w:rsidRDefault="00B93EAE">
            <w:pPr>
              <w:jc w:val="center"/>
              <w:textAlignment w:val="bottom"/>
            </w:pPr>
            <w:r>
              <w:rPr>
                <w:rFonts w:ascii="Times New Roman" w:eastAsia="宋体" w:hAnsi="Times New Roman"/>
                <w:color w:val="000000"/>
                <w:sz w:val="16"/>
                <w:szCs w:val="16"/>
              </w:rPr>
              <w:t>50 BPS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57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73" w14:textId="77777777" w:rsidR="005C332D" w:rsidRDefault="00B93EAE">
            <w:pPr>
              <w:jc w:val="center"/>
              <w:textAlignment w:val="bottom"/>
            </w:pPr>
            <w:r>
              <w:rPr>
                <w:rFonts w:ascii="Times New Roman" w:eastAsia="宋体" w:hAnsi="Times New Roman"/>
                <w:color w:val="000000"/>
                <w:sz w:val="16"/>
                <w:szCs w:val="16"/>
              </w:rPr>
              <w:t>100 BPS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57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75" w14:textId="77777777" w:rsidR="005C332D" w:rsidRDefault="00B93EAE">
            <w:pPr>
              <w:jc w:val="center"/>
              <w:textAlignment w:val="bottom"/>
            </w:pPr>
            <w:r>
              <w:rPr>
                <w:rFonts w:ascii="Times New Roman" w:eastAsia="宋体" w:hAnsi="Times New Roman"/>
                <w:color w:val="000000"/>
                <w:sz w:val="16"/>
                <w:szCs w:val="16"/>
              </w:rPr>
              <w:t>150 BPS</w:t>
            </w:r>
          </w:p>
        </w:tc>
      </w:tr>
      <w:tr w:rsidR="005C332D" w14:paraId="518B5585" w14:textId="77777777">
        <w:tc>
          <w:tcPr>
            <w:tcW w:w="0" w:type="auto"/>
            <w:gridSpan w:val="3"/>
            <w:shd w:val="clear" w:color="auto" w:fill="CCEEFF"/>
            <w:tcMar>
              <w:top w:w="40" w:type="dxa"/>
              <w:left w:w="20" w:type="dxa"/>
              <w:bottom w:w="40" w:type="dxa"/>
              <w:right w:w="20" w:type="dxa"/>
            </w:tcMar>
          </w:tcPr>
          <w:p w14:paraId="518B5577" w14:textId="77777777" w:rsidR="005C332D" w:rsidRDefault="00B93EAE">
            <w:pPr>
              <w:textAlignment w:val="top"/>
            </w:pPr>
            <w:r>
              <w:rPr>
                <w:rFonts w:ascii="Times New Roman" w:eastAsia="宋体" w:hAnsi="Times New Roman"/>
                <w:color w:val="000000"/>
                <w:sz w:val="20"/>
                <w:szCs w:val="20"/>
              </w:rPr>
              <w:t>Available-for-sale debt investments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78" w14:textId="77777777" w:rsidR="005C332D" w:rsidRDefault="00B93EAE">
            <w:pPr>
              <w:jc w:val="center"/>
              <w:textAlignment w:val="bottom"/>
            </w:pPr>
            <w:r>
              <w:rPr>
                <w:rFonts w:ascii="Times New Roman" w:eastAsia="宋体" w:hAnsi="Times New Roman"/>
                <w:color w:val="000000"/>
                <w:sz w:val="20"/>
                <w:szCs w:val="20"/>
              </w:rPr>
              <w:t>$12,263</w:t>
            </w:r>
          </w:p>
        </w:tc>
        <w:tc>
          <w:tcPr>
            <w:tcW w:w="0" w:type="auto"/>
            <w:gridSpan w:val="3"/>
            <w:shd w:val="clear" w:color="auto" w:fill="CCEEFF"/>
            <w:tcMar>
              <w:top w:w="0" w:type="dxa"/>
              <w:left w:w="20" w:type="dxa"/>
              <w:bottom w:w="0" w:type="dxa"/>
              <w:right w:w="20" w:type="dxa"/>
            </w:tcMar>
            <w:vAlign w:val="bottom"/>
          </w:tcPr>
          <w:p w14:paraId="518B5579"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7A" w14:textId="77777777" w:rsidR="005C332D" w:rsidRDefault="00B93EAE">
            <w:pPr>
              <w:jc w:val="center"/>
              <w:textAlignment w:val="bottom"/>
            </w:pPr>
            <w:r>
              <w:rPr>
                <w:rFonts w:ascii="Times New Roman" w:eastAsia="宋体" w:hAnsi="Times New Roman"/>
                <w:color w:val="000000"/>
                <w:sz w:val="20"/>
                <w:szCs w:val="20"/>
              </w:rPr>
              <w:t>$12,158</w:t>
            </w:r>
          </w:p>
        </w:tc>
        <w:tc>
          <w:tcPr>
            <w:tcW w:w="0" w:type="auto"/>
            <w:gridSpan w:val="3"/>
            <w:shd w:val="clear" w:color="auto" w:fill="CCEEFF"/>
            <w:tcMar>
              <w:top w:w="0" w:type="dxa"/>
              <w:left w:w="20" w:type="dxa"/>
              <w:bottom w:w="0" w:type="dxa"/>
              <w:right w:w="20" w:type="dxa"/>
            </w:tcMar>
            <w:vAlign w:val="bottom"/>
          </w:tcPr>
          <w:p w14:paraId="518B557B"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7C" w14:textId="77777777" w:rsidR="005C332D" w:rsidRDefault="00B93EAE">
            <w:pPr>
              <w:jc w:val="center"/>
              <w:textAlignment w:val="bottom"/>
            </w:pPr>
            <w:r>
              <w:rPr>
                <w:rFonts w:ascii="Times New Roman" w:eastAsia="宋体" w:hAnsi="Times New Roman"/>
                <w:color w:val="000000"/>
                <w:sz w:val="20"/>
                <w:szCs w:val="20"/>
              </w:rPr>
              <w:t>$12,052</w:t>
            </w:r>
          </w:p>
        </w:tc>
        <w:tc>
          <w:tcPr>
            <w:tcW w:w="0" w:type="auto"/>
            <w:gridSpan w:val="3"/>
            <w:shd w:val="clear" w:color="auto" w:fill="CCEEFF"/>
            <w:tcMar>
              <w:top w:w="0" w:type="dxa"/>
              <w:left w:w="20" w:type="dxa"/>
              <w:bottom w:w="0" w:type="dxa"/>
              <w:right w:w="20" w:type="dxa"/>
            </w:tcMar>
            <w:vAlign w:val="bottom"/>
          </w:tcPr>
          <w:p w14:paraId="518B557D"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7E" w14:textId="77777777" w:rsidR="005C332D" w:rsidRDefault="00B93EAE">
            <w:pPr>
              <w:jc w:val="center"/>
              <w:textAlignment w:val="bottom"/>
            </w:pPr>
            <w:r>
              <w:rPr>
                <w:rFonts w:ascii="Times New Roman" w:eastAsia="宋体" w:hAnsi="Times New Roman"/>
                <w:b/>
                <w:bCs/>
                <w:color w:val="000000"/>
                <w:sz w:val="20"/>
                <w:szCs w:val="20"/>
              </w:rPr>
              <w:t>$11,947</w:t>
            </w:r>
          </w:p>
        </w:tc>
        <w:tc>
          <w:tcPr>
            <w:tcW w:w="0" w:type="auto"/>
            <w:gridSpan w:val="3"/>
            <w:shd w:val="clear" w:color="auto" w:fill="CCEEFF"/>
            <w:tcMar>
              <w:top w:w="0" w:type="dxa"/>
              <w:left w:w="20" w:type="dxa"/>
              <w:bottom w:w="0" w:type="dxa"/>
              <w:right w:w="20" w:type="dxa"/>
            </w:tcMar>
            <w:vAlign w:val="bottom"/>
          </w:tcPr>
          <w:p w14:paraId="518B557F"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80" w14:textId="77777777" w:rsidR="005C332D" w:rsidRDefault="00B93EAE">
            <w:pPr>
              <w:jc w:val="center"/>
              <w:textAlignment w:val="bottom"/>
            </w:pPr>
            <w:r>
              <w:rPr>
                <w:rFonts w:ascii="Times New Roman" w:eastAsia="宋体" w:hAnsi="Times New Roman"/>
                <w:color w:val="000000"/>
                <w:sz w:val="20"/>
                <w:szCs w:val="20"/>
              </w:rPr>
              <w:t>$11,841</w:t>
            </w:r>
          </w:p>
        </w:tc>
        <w:tc>
          <w:tcPr>
            <w:tcW w:w="0" w:type="auto"/>
            <w:gridSpan w:val="3"/>
            <w:shd w:val="clear" w:color="auto" w:fill="CCEEFF"/>
            <w:tcMar>
              <w:top w:w="0" w:type="dxa"/>
              <w:left w:w="20" w:type="dxa"/>
              <w:bottom w:w="0" w:type="dxa"/>
              <w:right w:w="20" w:type="dxa"/>
            </w:tcMar>
            <w:vAlign w:val="bottom"/>
          </w:tcPr>
          <w:p w14:paraId="518B5581"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82" w14:textId="77777777" w:rsidR="005C332D" w:rsidRDefault="00B93EAE">
            <w:pPr>
              <w:jc w:val="center"/>
              <w:textAlignment w:val="bottom"/>
            </w:pPr>
            <w:r>
              <w:rPr>
                <w:rFonts w:ascii="Times New Roman" w:eastAsia="宋体" w:hAnsi="Times New Roman"/>
                <w:color w:val="000000"/>
                <w:sz w:val="20"/>
                <w:szCs w:val="20"/>
              </w:rPr>
              <w:t>$11,735</w:t>
            </w:r>
          </w:p>
        </w:tc>
        <w:tc>
          <w:tcPr>
            <w:tcW w:w="0" w:type="auto"/>
            <w:gridSpan w:val="3"/>
            <w:shd w:val="clear" w:color="auto" w:fill="CCEEFF"/>
            <w:tcMar>
              <w:top w:w="0" w:type="dxa"/>
              <w:left w:w="20" w:type="dxa"/>
              <w:bottom w:w="0" w:type="dxa"/>
              <w:right w:w="20" w:type="dxa"/>
            </w:tcMar>
            <w:vAlign w:val="bottom"/>
          </w:tcPr>
          <w:p w14:paraId="518B5583"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84" w14:textId="77777777" w:rsidR="005C332D" w:rsidRDefault="00B93EAE">
            <w:pPr>
              <w:jc w:val="center"/>
              <w:textAlignment w:val="bottom"/>
            </w:pPr>
            <w:r>
              <w:rPr>
                <w:rFonts w:ascii="Times New Roman" w:eastAsia="宋体" w:hAnsi="Times New Roman"/>
                <w:color w:val="000000"/>
                <w:sz w:val="20"/>
                <w:szCs w:val="20"/>
              </w:rPr>
              <w:t>$11,630</w:t>
            </w:r>
          </w:p>
        </w:tc>
      </w:tr>
    </w:tbl>
    <w:p w14:paraId="518B5586" w14:textId="77777777" w:rsidR="005C332D" w:rsidRDefault="005C332D">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8"/>
        <w:gridCol w:w="1927"/>
        <w:gridCol w:w="36"/>
        <w:gridCol w:w="85"/>
        <w:gridCol w:w="653"/>
        <w:gridCol w:w="37"/>
        <w:gridCol w:w="37"/>
        <w:gridCol w:w="45"/>
        <w:gridCol w:w="37"/>
        <w:gridCol w:w="85"/>
        <w:gridCol w:w="653"/>
        <w:gridCol w:w="37"/>
        <w:gridCol w:w="36"/>
        <w:gridCol w:w="44"/>
        <w:gridCol w:w="36"/>
        <w:gridCol w:w="84"/>
        <w:gridCol w:w="652"/>
        <w:gridCol w:w="36"/>
        <w:gridCol w:w="36"/>
        <w:gridCol w:w="36"/>
        <w:gridCol w:w="36"/>
        <w:gridCol w:w="90"/>
        <w:gridCol w:w="889"/>
        <w:gridCol w:w="36"/>
        <w:gridCol w:w="36"/>
        <w:gridCol w:w="36"/>
        <w:gridCol w:w="36"/>
        <w:gridCol w:w="84"/>
        <w:gridCol w:w="640"/>
        <w:gridCol w:w="37"/>
        <w:gridCol w:w="37"/>
        <w:gridCol w:w="44"/>
        <w:gridCol w:w="37"/>
        <w:gridCol w:w="83"/>
        <w:gridCol w:w="639"/>
        <w:gridCol w:w="36"/>
        <w:gridCol w:w="36"/>
        <w:gridCol w:w="43"/>
        <w:gridCol w:w="36"/>
        <w:gridCol w:w="83"/>
        <w:gridCol w:w="641"/>
        <w:gridCol w:w="36"/>
      </w:tblGrid>
      <w:tr w:rsidR="005C332D" w14:paraId="518B55B1" w14:textId="77777777">
        <w:tc>
          <w:tcPr>
            <w:tcW w:w="50" w:type="pct"/>
            <w:shd w:val="clear" w:color="auto" w:fill="auto"/>
            <w:vAlign w:val="bottom"/>
          </w:tcPr>
          <w:p w14:paraId="518B5587" w14:textId="77777777" w:rsidR="005C332D" w:rsidRDefault="005C332D">
            <w:pPr>
              <w:rPr>
                <w:rFonts w:ascii="宋体"/>
              </w:rPr>
            </w:pPr>
          </w:p>
        </w:tc>
        <w:tc>
          <w:tcPr>
            <w:tcW w:w="1535" w:type="pct"/>
            <w:shd w:val="clear" w:color="auto" w:fill="auto"/>
            <w:vAlign w:val="bottom"/>
          </w:tcPr>
          <w:p w14:paraId="518B5588" w14:textId="77777777" w:rsidR="005C332D" w:rsidRDefault="005C332D">
            <w:pPr>
              <w:rPr>
                <w:rFonts w:ascii="宋体"/>
              </w:rPr>
            </w:pPr>
          </w:p>
        </w:tc>
        <w:tc>
          <w:tcPr>
            <w:tcW w:w="5" w:type="pct"/>
            <w:shd w:val="clear" w:color="auto" w:fill="auto"/>
            <w:vAlign w:val="bottom"/>
          </w:tcPr>
          <w:p w14:paraId="518B5589" w14:textId="77777777" w:rsidR="005C332D" w:rsidRDefault="005C332D">
            <w:pPr>
              <w:rPr>
                <w:rFonts w:ascii="宋体"/>
              </w:rPr>
            </w:pPr>
          </w:p>
        </w:tc>
        <w:tc>
          <w:tcPr>
            <w:tcW w:w="50" w:type="pct"/>
            <w:shd w:val="clear" w:color="auto" w:fill="auto"/>
            <w:vAlign w:val="bottom"/>
          </w:tcPr>
          <w:p w14:paraId="518B558A" w14:textId="77777777" w:rsidR="005C332D" w:rsidRDefault="005C332D">
            <w:pPr>
              <w:rPr>
                <w:rFonts w:ascii="宋体"/>
              </w:rPr>
            </w:pPr>
          </w:p>
        </w:tc>
        <w:tc>
          <w:tcPr>
            <w:tcW w:w="384" w:type="pct"/>
            <w:shd w:val="clear" w:color="auto" w:fill="auto"/>
            <w:vAlign w:val="bottom"/>
          </w:tcPr>
          <w:p w14:paraId="518B558B" w14:textId="77777777" w:rsidR="005C332D" w:rsidRDefault="005C332D">
            <w:pPr>
              <w:rPr>
                <w:rFonts w:ascii="宋体"/>
              </w:rPr>
            </w:pPr>
          </w:p>
        </w:tc>
        <w:tc>
          <w:tcPr>
            <w:tcW w:w="5" w:type="pct"/>
            <w:shd w:val="clear" w:color="auto" w:fill="auto"/>
            <w:vAlign w:val="bottom"/>
          </w:tcPr>
          <w:p w14:paraId="518B558C" w14:textId="77777777" w:rsidR="005C332D" w:rsidRDefault="005C332D">
            <w:pPr>
              <w:rPr>
                <w:rFonts w:ascii="宋体"/>
              </w:rPr>
            </w:pPr>
          </w:p>
        </w:tc>
        <w:tc>
          <w:tcPr>
            <w:tcW w:w="5" w:type="pct"/>
            <w:shd w:val="clear" w:color="auto" w:fill="auto"/>
            <w:vAlign w:val="bottom"/>
          </w:tcPr>
          <w:p w14:paraId="518B558D" w14:textId="77777777" w:rsidR="005C332D" w:rsidRDefault="005C332D">
            <w:pPr>
              <w:rPr>
                <w:rFonts w:ascii="宋体"/>
              </w:rPr>
            </w:pPr>
          </w:p>
        </w:tc>
        <w:tc>
          <w:tcPr>
            <w:tcW w:w="26" w:type="pct"/>
            <w:shd w:val="clear" w:color="auto" w:fill="auto"/>
            <w:vAlign w:val="bottom"/>
          </w:tcPr>
          <w:p w14:paraId="518B558E" w14:textId="77777777" w:rsidR="005C332D" w:rsidRDefault="005C332D">
            <w:pPr>
              <w:rPr>
                <w:rFonts w:ascii="宋体"/>
              </w:rPr>
            </w:pPr>
          </w:p>
        </w:tc>
        <w:tc>
          <w:tcPr>
            <w:tcW w:w="5" w:type="pct"/>
            <w:shd w:val="clear" w:color="auto" w:fill="auto"/>
            <w:vAlign w:val="bottom"/>
          </w:tcPr>
          <w:p w14:paraId="518B558F" w14:textId="77777777" w:rsidR="005C332D" w:rsidRDefault="005C332D">
            <w:pPr>
              <w:rPr>
                <w:rFonts w:ascii="宋体"/>
              </w:rPr>
            </w:pPr>
          </w:p>
        </w:tc>
        <w:tc>
          <w:tcPr>
            <w:tcW w:w="50" w:type="pct"/>
            <w:shd w:val="clear" w:color="auto" w:fill="auto"/>
            <w:vAlign w:val="bottom"/>
          </w:tcPr>
          <w:p w14:paraId="518B5590" w14:textId="77777777" w:rsidR="005C332D" w:rsidRDefault="005C332D">
            <w:pPr>
              <w:rPr>
                <w:rFonts w:ascii="宋体"/>
              </w:rPr>
            </w:pPr>
          </w:p>
        </w:tc>
        <w:tc>
          <w:tcPr>
            <w:tcW w:w="384" w:type="pct"/>
            <w:shd w:val="clear" w:color="auto" w:fill="auto"/>
            <w:vAlign w:val="bottom"/>
          </w:tcPr>
          <w:p w14:paraId="518B5591" w14:textId="77777777" w:rsidR="005C332D" w:rsidRDefault="005C332D">
            <w:pPr>
              <w:rPr>
                <w:rFonts w:ascii="宋体"/>
              </w:rPr>
            </w:pPr>
          </w:p>
        </w:tc>
        <w:tc>
          <w:tcPr>
            <w:tcW w:w="5" w:type="pct"/>
            <w:shd w:val="clear" w:color="auto" w:fill="auto"/>
            <w:vAlign w:val="bottom"/>
          </w:tcPr>
          <w:p w14:paraId="518B5592" w14:textId="77777777" w:rsidR="005C332D" w:rsidRDefault="005C332D">
            <w:pPr>
              <w:rPr>
                <w:rFonts w:ascii="宋体"/>
              </w:rPr>
            </w:pPr>
          </w:p>
        </w:tc>
        <w:tc>
          <w:tcPr>
            <w:tcW w:w="5" w:type="pct"/>
            <w:shd w:val="clear" w:color="auto" w:fill="auto"/>
            <w:vAlign w:val="bottom"/>
          </w:tcPr>
          <w:p w14:paraId="518B5593" w14:textId="77777777" w:rsidR="005C332D" w:rsidRDefault="005C332D">
            <w:pPr>
              <w:rPr>
                <w:rFonts w:ascii="宋体"/>
              </w:rPr>
            </w:pPr>
          </w:p>
        </w:tc>
        <w:tc>
          <w:tcPr>
            <w:tcW w:w="26" w:type="pct"/>
            <w:shd w:val="clear" w:color="auto" w:fill="auto"/>
            <w:vAlign w:val="bottom"/>
          </w:tcPr>
          <w:p w14:paraId="518B5594" w14:textId="77777777" w:rsidR="005C332D" w:rsidRDefault="005C332D">
            <w:pPr>
              <w:rPr>
                <w:rFonts w:ascii="宋体"/>
              </w:rPr>
            </w:pPr>
          </w:p>
        </w:tc>
        <w:tc>
          <w:tcPr>
            <w:tcW w:w="5" w:type="pct"/>
            <w:shd w:val="clear" w:color="auto" w:fill="auto"/>
            <w:vAlign w:val="bottom"/>
          </w:tcPr>
          <w:p w14:paraId="518B5595" w14:textId="77777777" w:rsidR="005C332D" w:rsidRDefault="005C332D">
            <w:pPr>
              <w:rPr>
                <w:rFonts w:ascii="宋体"/>
              </w:rPr>
            </w:pPr>
          </w:p>
        </w:tc>
        <w:tc>
          <w:tcPr>
            <w:tcW w:w="50" w:type="pct"/>
            <w:shd w:val="clear" w:color="auto" w:fill="auto"/>
            <w:vAlign w:val="bottom"/>
          </w:tcPr>
          <w:p w14:paraId="518B5596" w14:textId="77777777" w:rsidR="005C332D" w:rsidRDefault="005C332D">
            <w:pPr>
              <w:rPr>
                <w:rFonts w:ascii="宋体"/>
              </w:rPr>
            </w:pPr>
          </w:p>
        </w:tc>
        <w:tc>
          <w:tcPr>
            <w:tcW w:w="384" w:type="pct"/>
            <w:shd w:val="clear" w:color="auto" w:fill="auto"/>
            <w:vAlign w:val="bottom"/>
          </w:tcPr>
          <w:p w14:paraId="518B5597" w14:textId="77777777" w:rsidR="005C332D" w:rsidRDefault="005C332D">
            <w:pPr>
              <w:rPr>
                <w:rFonts w:ascii="宋体"/>
              </w:rPr>
            </w:pPr>
          </w:p>
        </w:tc>
        <w:tc>
          <w:tcPr>
            <w:tcW w:w="5" w:type="pct"/>
            <w:shd w:val="clear" w:color="auto" w:fill="auto"/>
            <w:vAlign w:val="bottom"/>
          </w:tcPr>
          <w:p w14:paraId="518B5598" w14:textId="77777777" w:rsidR="005C332D" w:rsidRDefault="005C332D">
            <w:pPr>
              <w:rPr>
                <w:rFonts w:ascii="宋体"/>
              </w:rPr>
            </w:pPr>
          </w:p>
        </w:tc>
        <w:tc>
          <w:tcPr>
            <w:tcW w:w="5" w:type="pct"/>
            <w:shd w:val="clear" w:color="auto" w:fill="auto"/>
            <w:vAlign w:val="bottom"/>
          </w:tcPr>
          <w:p w14:paraId="518B5599" w14:textId="77777777" w:rsidR="005C332D" w:rsidRDefault="005C332D">
            <w:pPr>
              <w:rPr>
                <w:rFonts w:ascii="宋体"/>
              </w:rPr>
            </w:pPr>
          </w:p>
        </w:tc>
        <w:tc>
          <w:tcPr>
            <w:tcW w:w="26" w:type="pct"/>
            <w:shd w:val="clear" w:color="auto" w:fill="auto"/>
            <w:vAlign w:val="bottom"/>
          </w:tcPr>
          <w:p w14:paraId="518B559A" w14:textId="77777777" w:rsidR="005C332D" w:rsidRDefault="005C332D">
            <w:pPr>
              <w:rPr>
                <w:rFonts w:ascii="宋体"/>
              </w:rPr>
            </w:pPr>
          </w:p>
        </w:tc>
        <w:tc>
          <w:tcPr>
            <w:tcW w:w="5" w:type="pct"/>
            <w:shd w:val="clear" w:color="auto" w:fill="auto"/>
            <w:vAlign w:val="bottom"/>
          </w:tcPr>
          <w:p w14:paraId="518B559B" w14:textId="77777777" w:rsidR="005C332D" w:rsidRDefault="005C332D">
            <w:pPr>
              <w:rPr>
                <w:rFonts w:ascii="宋体"/>
              </w:rPr>
            </w:pPr>
          </w:p>
        </w:tc>
        <w:tc>
          <w:tcPr>
            <w:tcW w:w="50" w:type="pct"/>
            <w:shd w:val="clear" w:color="auto" w:fill="auto"/>
            <w:vAlign w:val="bottom"/>
          </w:tcPr>
          <w:p w14:paraId="518B559C" w14:textId="77777777" w:rsidR="005C332D" w:rsidRDefault="005C332D">
            <w:pPr>
              <w:rPr>
                <w:rFonts w:ascii="宋体"/>
              </w:rPr>
            </w:pPr>
          </w:p>
        </w:tc>
        <w:tc>
          <w:tcPr>
            <w:tcW w:w="494" w:type="pct"/>
            <w:shd w:val="clear" w:color="auto" w:fill="auto"/>
            <w:vAlign w:val="bottom"/>
          </w:tcPr>
          <w:p w14:paraId="518B559D" w14:textId="77777777" w:rsidR="005C332D" w:rsidRDefault="005C332D">
            <w:pPr>
              <w:rPr>
                <w:rFonts w:ascii="宋体"/>
              </w:rPr>
            </w:pPr>
          </w:p>
        </w:tc>
        <w:tc>
          <w:tcPr>
            <w:tcW w:w="5" w:type="pct"/>
            <w:shd w:val="clear" w:color="auto" w:fill="auto"/>
            <w:vAlign w:val="bottom"/>
          </w:tcPr>
          <w:p w14:paraId="518B559E" w14:textId="77777777" w:rsidR="005C332D" w:rsidRDefault="005C332D">
            <w:pPr>
              <w:rPr>
                <w:rFonts w:ascii="宋体"/>
              </w:rPr>
            </w:pPr>
          </w:p>
        </w:tc>
        <w:tc>
          <w:tcPr>
            <w:tcW w:w="5" w:type="pct"/>
            <w:shd w:val="clear" w:color="auto" w:fill="auto"/>
            <w:vAlign w:val="bottom"/>
          </w:tcPr>
          <w:p w14:paraId="518B559F" w14:textId="77777777" w:rsidR="005C332D" w:rsidRDefault="005C332D">
            <w:pPr>
              <w:rPr>
                <w:rFonts w:ascii="宋体"/>
              </w:rPr>
            </w:pPr>
          </w:p>
        </w:tc>
        <w:tc>
          <w:tcPr>
            <w:tcW w:w="26" w:type="pct"/>
            <w:shd w:val="clear" w:color="auto" w:fill="auto"/>
            <w:vAlign w:val="bottom"/>
          </w:tcPr>
          <w:p w14:paraId="518B55A0" w14:textId="77777777" w:rsidR="005C332D" w:rsidRDefault="005C332D">
            <w:pPr>
              <w:rPr>
                <w:rFonts w:ascii="宋体"/>
              </w:rPr>
            </w:pPr>
          </w:p>
        </w:tc>
        <w:tc>
          <w:tcPr>
            <w:tcW w:w="5" w:type="pct"/>
            <w:shd w:val="clear" w:color="auto" w:fill="auto"/>
            <w:vAlign w:val="bottom"/>
          </w:tcPr>
          <w:p w14:paraId="518B55A1" w14:textId="77777777" w:rsidR="005C332D" w:rsidRDefault="005C332D">
            <w:pPr>
              <w:rPr>
                <w:rFonts w:ascii="宋体"/>
              </w:rPr>
            </w:pPr>
          </w:p>
        </w:tc>
        <w:tc>
          <w:tcPr>
            <w:tcW w:w="50" w:type="pct"/>
            <w:shd w:val="clear" w:color="auto" w:fill="auto"/>
            <w:vAlign w:val="bottom"/>
          </w:tcPr>
          <w:p w14:paraId="518B55A2" w14:textId="77777777" w:rsidR="005C332D" w:rsidRDefault="005C332D">
            <w:pPr>
              <w:rPr>
                <w:rFonts w:ascii="宋体"/>
              </w:rPr>
            </w:pPr>
          </w:p>
        </w:tc>
        <w:tc>
          <w:tcPr>
            <w:tcW w:w="384" w:type="pct"/>
            <w:shd w:val="clear" w:color="auto" w:fill="auto"/>
            <w:vAlign w:val="bottom"/>
          </w:tcPr>
          <w:p w14:paraId="518B55A3" w14:textId="77777777" w:rsidR="005C332D" w:rsidRDefault="005C332D">
            <w:pPr>
              <w:rPr>
                <w:rFonts w:ascii="宋体"/>
              </w:rPr>
            </w:pPr>
          </w:p>
        </w:tc>
        <w:tc>
          <w:tcPr>
            <w:tcW w:w="5" w:type="pct"/>
            <w:shd w:val="clear" w:color="auto" w:fill="auto"/>
            <w:vAlign w:val="bottom"/>
          </w:tcPr>
          <w:p w14:paraId="518B55A4" w14:textId="77777777" w:rsidR="005C332D" w:rsidRDefault="005C332D">
            <w:pPr>
              <w:rPr>
                <w:rFonts w:ascii="宋体"/>
              </w:rPr>
            </w:pPr>
          </w:p>
        </w:tc>
        <w:tc>
          <w:tcPr>
            <w:tcW w:w="5" w:type="pct"/>
            <w:shd w:val="clear" w:color="auto" w:fill="auto"/>
            <w:vAlign w:val="bottom"/>
          </w:tcPr>
          <w:p w14:paraId="518B55A5" w14:textId="77777777" w:rsidR="005C332D" w:rsidRDefault="005C332D">
            <w:pPr>
              <w:rPr>
                <w:rFonts w:ascii="宋体"/>
              </w:rPr>
            </w:pPr>
          </w:p>
        </w:tc>
        <w:tc>
          <w:tcPr>
            <w:tcW w:w="26" w:type="pct"/>
            <w:shd w:val="clear" w:color="auto" w:fill="auto"/>
            <w:vAlign w:val="bottom"/>
          </w:tcPr>
          <w:p w14:paraId="518B55A6" w14:textId="77777777" w:rsidR="005C332D" w:rsidRDefault="005C332D">
            <w:pPr>
              <w:rPr>
                <w:rFonts w:ascii="宋体"/>
              </w:rPr>
            </w:pPr>
          </w:p>
        </w:tc>
        <w:tc>
          <w:tcPr>
            <w:tcW w:w="5" w:type="pct"/>
            <w:shd w:val="clear" w:color="auto" w:fill="auto"/>
            <w:vAlign w:val="bottom"/>
          </w:tcPr>
          <w:p w14:paraId="518B55A7" w14:textId="77777777" w:rsidR="005C332D" w:rsidRDefault="005C332D">
            <w:pPr>
              <w:rPr>
                <w:rFonts w:ascii="宋体"/>
              </w:rPr>
            </w:pPr>
          </w:p>
        </w:tc>
        <w:tc>
          <w:tcPr>
            <w:tcW w:w="50" w:type="pct"/>
            <w:shd w:val="clear" w:color="auto" w:fill="auto"/>
            <w:vAlign w:val="bottom"/>
          </w:tcPr>
          <w:p w14:paraId="518B55A8" w14:textId="77777777" w:rsidR="005C332D" w:rsidRDefault="005C332D">
            <w:pPr>
              <w:rPr>
                <w:rFonts w:ascii="宋体"/>
              </w:rPr>
            </w:pPr>
          </w:p>
        </w:tc>
        <w:tc>
          <w:tcPr>
            <w:tcW w:w="384" w:type="pct"/>
            <w:shd w:val="clear" w:color="auto" w:fill="auto"/>
            <w:vAlign w:val="bottom"/>
          </w:tcPr>
          <w:p w14:paraId="518B55A9" w14:textId="77777777" w:rsidR="005C332D" w:rsidRDefault="005C332D">
            <w:pPr>
              <w:rPr>
                <w:rFonts w:ascii="宋体"/>
              </w:rPr>
            </w:pPr>
          </w:p>
        </w:tc>
        <w:tc>
          <w:tcPr>
            <w:tcW w:w="5" w:type="pct"/>
            <w:shd w:val="clear" w:color="auto" w:fill="auto"/>
            <w:vAlign w:val="bottom"/>
          </w:tcPr>
          <w:p w14:paraId="518B55AA" w14:textId="77777777" w:rsidR="005C332D" w:rsidRDefault="005C332D">
            <w:pPr>
              <w:rPr>
                <w:rFonts w:ascii="宋体"/>
              </w:rPr>
            </w:pPr>
          </w:p>
        </w:tc>
        <w:tc>
          <w:tcPr>
            <w:tcW w:w="5" w:type="pct"/>
            <w:shd w:val="clear" w:color="auto" w:fill="auto"/>
            <w:vAlign w:val="bottom"/>
          </w:tcPr>
          <w:p w14:paraId="518B55AB" w14:textId="77777777" w:rsidR="005C332D" w:rsidRDefault="005C332D">
            <w:pPr>
              <w:rPr>
                <w:rFonts w:ascii="宋体"/>
              </w:rPr>
            </w:pPr>
          </w:p>
        </w:tc>
        <w:tc>
          <w:tcPr>
            <w:tcW w:w="26" w:type="pct"/>
            <w:shd w:val="clear" w:color="auto" w:fill="auto"/>
            <w:vAlign w:val="bottom"/>
          </w:tcPr>
          <w:p w14:paraId="518B55AC" w14:textId="77777777" w:rsidR="005C332D" w:rsidRDefault="005C332D">
            <w:pPr>
              <w:rPr>
                <w:rFonts w:ascii="宋体"/>
              </w:rPr>
            </w:pPr>
          </w:p>
        </w:tc>
        <w:tc>
          <w:tcPr>
            <w:tcW w:w="5" w:type="pct"/>
            <w:shd w:val="clear" w:color="auto" w:fill="auto"/>
            <w:vAlign w:val="bottom"/>
          </w:tcPr>
          <w:p w14:paraId="518B55AD" w14:textId="77777777" w:rsidR="005C332D" w:rsidRDefault="005C332D">
            <w:pPr>
              <w:rPr>
                <w:rFonts w:ascii="宋体"/>
              </w:rPr>
            </w:pPr>
          </w:p>
        </w:tc>
        <w:tc>
          <w:tcPr>
            <w:tcW w:w="50" w:type="pct"/>
            <w:shd w:val="clear" w:color="auto" w:fill="auto"/>
            <w:vAlign w:val="bottom"/>
          </w:tcPr>
          <w:p w14:paraId="518B55AE" w14:textId="77777777" w:rsidR="005C332D" w:rsidRDefault="005C332D">
            <w:pPr>
              <w:rPr>
                <w:rFonts w:ascii="宋体"/>
              </w:rPr>
            </w:pPr>
          </w:p>
        </w:tc>
        <w:tc>
          <w:tcPr>
            <w:tcW w:w="385" w:type="pct"/>
            <w:shd w:val="clear" w:color="auto" w:fill="auto"/>
            <w:vAlign w:val="bottom"/>
          </w:tcPr>
          <w:p w14:paraId="518B55AF" w14:textId="77777777" w:rsidR="005C332D" w:rsidRDefault="005C332D">
            <w:pPr>
              <w:rPr>
                <w:rFonts w:ascii="宋体"/>
              </w:rPr>
            </w:pPr>
          </w:p>
        </w:tc>
        <w:tc>
          <w:tcPr>
            <w:tcW w:w="5" w:type="pct"/>
            <w:shd w:val="clear" w:color="auto" w:fill="auto"/>
            <w:vAlign w:val="bottom"/>
          </w:tcPr>
          <w:p w14:paraId="518B55B0" w14:textId="77777777" w:rsidR="005C332D" w:rsidRDefault="005C332D">
            <w:pPr>
              <w:rPr>
                <w:rFonts w:ascii="宋体"/>
              </w:rPr>
            </w:pPr>
          </w:p>
        </w:tc>
      </w:tr>
      <w:tr w:rsidR="005C332D" w14:paraId="518B55B8" w14:textId="77777777">
        <w:trPr>
          <w:trHeight w:val="540"/>
        </w:trPr>
        <w:tc>
          <w:tcPr>
            <w:tcW w:w="0" w:type="auto"/>
            <w:gridSpan w:val="3"/>
            <w:shd w:val="clear" w:color="auto" w:fill="auto"/>
            <w:tcMar>
              <w:top w:w="40" w:type="dxa"/>
              <w:left w:w="20" w:type="dxa"/>
              <w:bottom w:w="40" w:type="dxa"/>
              <w:right w:w="20" w:type="dxa"/>
            </w:tcMar>
            <w:vAlign w:val="bottom"/>
          </w:tcPr>
          <w:p w14:paraId="518B55B2" w14:textId="77777777" w:rsidR="005C332D" w:rsidRDefault="00B93EAE">
            <w:pPr>
              <w:textAlignment w:val="bottom"/>
            </w:pPr>
            <w:r>
              <w:rPr>
                <w:rFonts w:ascii="Times New Roman" w:eastAsia="宋体" w:hAnsi="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14:paraId="518B55B3" w14:textId="77777777" w:rsidR="005C332D" w:rsidRDefault="00B93EAE">
            <w:pPr>
              <w:jc w:val="center"/>
              <w:textAlignment w:val="bottom"/>
            </w:pPr>
            <w:r>
              <w:rPr>
                <w:rFonts w:ascii="Times New Roman" w:eastAsia="宋体" w:hAnsi="Times New Roman"/>
                <w:color w:val="000000"/>
                <w:sz w:val="16"/>
                <w:szCs w:val="16"/>
              </w:rPr>
              <w:t>VALUATION OF SECURITIES</w:t>
            </w:r>
            <w:r>
              <w:rPr>
                <w:rFonts w:ascii="Times New Roman" w:eastAsia="宋体" w:hAnsi="Times New Roman"/>
                <w:color w:val="000000"/>
                <w:sz w:val="16"/>
                <w:szCs w:val="16"/>
              </w:rPr>
              <w:br/>
              <w:t>G</w:t>
            </w:r>
            <w:r>
              <w:rPr>
                <w:rFonts w:ascii="Times New Roman" w:eastAsia="宋体" w:hAnsi="Times New Roman"/>
                <w:color w:val="000000"/>
                <w:sz w:val="16"/>
                <w:szCs w:val="16"/>
              </w:rPr>
              <w:t>IVEN AN INTEREST RATE</w:t>
            </w:r>
            <w:r>
              <w:rPr>
                <w:rFonts w:ascii="Times New Roman" w:eastAsia="宋体" w:hAnsi="Times New Roman"/>
                <w:color w:val="000000"/>
                <w:sz w:val="16"/>
                <w:szCs w:val="16"/>
              </w:rPr>
              <w:br/>
              <w:t>DECREASE OF X BASIS POINTS</w:t>
            </w:r>
          </w:p>
        </w:tc>
        <w:tc>
          <w:tcPr>
            <w:tcW w:w="0" w:type="auto"/>
            <w:gridSpan w:val="3"/>
            <w:shd w:val="clear" w:color="auto" w:fill="auto"/>
            <w:tcMar>
              <w:top w:w="0" w:type="dxa"/>
              <w:left w:w="20" w:type="dxa"/>
              <w:bottom w:w="0" w:type="dxa"/>
              <w:right w:w="20" w:type="dxa"/>
            </w:tcMar>
            <w:vAlign w:val="bottom"/>
          </w:tcPr>
          <w:p w14:paraId="518B55B4" w14:textId="77777777" w:rsidR="005C332D" w:rsidRDefault="005C332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18B55B5" w14:textId="77777777" w:rsidR="005C332D" w:rsidRDefault="00B93EAE">
            <w:pPr>
              <w:jc w:val="center"/>
              <w:textAlignment w:val="bottom"/>
            </w:pPr>
            <w:r>
              <w:rPr>
                <w:rFonts w:ascii="Times New Roman" w:eastAsia="宋体" w:hAnsi="Times New Roman"/>
                <w:color w:val="000000"/>
                <w:sz w:val="16"/>
                <w:szCs w:val="16"/>
              </w:rPr>
              <w:t>FAIR VALUE</w:t>
            </w:r>
            <w:r>
              <w:rPr>
                <w:rFonts w:ascii="Times New Roman" w:eastAsia="宋体" w:hAnsi="Times New Roman"/>
                <w:color w:val="000000"/>
                <w:sz w:val="16"/>
                <w:szCs w:val="16"/>
              </w:rPr>
              <w:br/>
              <w:t>AS OF JULY 31, 2021</w:t>
            </w:r>
          </w:p>
        </w:tc>
        <w:tc>
          <w:tcPr>
            <w:tcW w:w="0" w:type="auto"/>
            <w:gridSpan w:val="3"/>
            <w:vMerge w:val="restart"/>
            <w:shd w:val="clear" w:color="auto" w:fill="auto"/>
            <w:tcMar>
              <w:top w:w="0" w:type="dxa"/>
              <w:left w:w="20" w:type="dxa"/>
              <w:bottom w:w="0" w:type="dxa"/>
              <w:right w:w="20" w:type="dxa"/>
            </w:tcMar>
            <w:vAlign w:val="bottom"/>
          </w:tcPr>
          <w:p w14:paraId="518B55B6"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55B7" w14:textId="77777777" w:rsidR="005C332D" w:rsidRDefault="00B93EAE">
            <w:pPr>
              <w:jc w:val="center"/>
              <w:textAlignment w:val="bottom"/>
            </w:pPr>
            <w:r>
              <w:rPr>
                <w:rFonts w:ascii="Times New Roman" w:eastAsia="宋体" w:hAnsi="Times New Roman"/>
                <w:color w:val="000000"/>
                <w:sz w:val="16"/>
                <w:szCs w:val="16"/>
              </w:rPr>
              <w:t>VALUATION OF SECURITIES</w:t>
            </w:r>
            <w:r>
              <w:rPr>
                <w:rFonts w:ascii="Times New Roman" w:eastAsia="宋体" w:hAnsi="Times New Roman"/>
                <w:color w:val="000000"/>
                <w:sz w:val="16"/>
                <w:szCs w:val="16"/>
              </w:rPr>
              <w:br/>
              <w:t>GIVEN AN INTEREST RATE</w:t>
            </w:r>
            <w:r>
              <w:rPr>
                <w:rFonts w:ascii="Times New Roman" w:eastAsia="宋体" w:hAnsi="Times New Roman"/>
                <w:color w:val="000000"/>
                <w:sz w:val="16"/>
                <w:szCs w:val="16"/>
              </w:rPr>
              <w:br/>
              <w:t>INCREASE OF X BASIS POINTS</w:t>
            </w:r>
          </w:p>
        </w:tc>
      </w:tr>
      <w:tr w:rsidR="005C332D" w14:paraId="518B55C7" w14:textId="77777777">
        <w:trPr>
          <w:trHeight w:val="340"/>
        </w:trPr>
        <w:tc>
          <w:tcPr>
            <w:tcW w:w="0" w:type="auto"/>
            <w:gridSpan w:val="3"/>
            <w:shd w:val="clear" w:color="auto" w:fill="auto"/>
            <w:tcMar>
              <w:top w:w="40" w:type="dxa"/>
              <w:left w:w="20" w:type="dxa"/>
              <w:bottom w:w="40" w:type="dxa"/>
              <w:right w:w="20" w:type="dxa"/>
            </w:tcMar>
            <w:vAlign w:val="bottom"/>
          </w:tcPr>
          <w:p w14:paraId="518B55B9" w14:textId="77777777" w:rsidR="005C332D" w:rsidRDefault="00B93EA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BA" w14:textId="77777777" w:rsidR="005C332D" w:rsidRDefault="00B93EAE">
            <w:pPr>
              <w:jc w:val="center"/>
              <w:textAlignment w:val="bottom"/>
            </w:pPr>
            <w:r>
              <w:rPr>
                <w:rFonts w:ascii="Times New Roman" w:eastAsia="宋体" w:hAnsi="Times New Roman"/>
                <w:color w:val="000000"/>
                <w:sz w:val="16"/>
                <w:szCs w:val="16"/>
              </w:rPr>
              <w:t>(150 BPS)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5BB"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BC" w14:textId="77777777" w:rsidR="005C332D" w:rsidRDefault="00B93EAE">
            <w:pPr>
              <w:jc w:val="center"/>
              <w:textAlignment w:val="bottom"/>
            </w:pPr>
            <w:r>
              <w:rPr>
                <w:rFonts w:ascii="Times New Roman" w:eastAsia="宋体" w:hAnsi="Times New Roman"/>
                <w:color w:val="000000"/>
                <w:sz w:val="16"/>
                <w:szCs w:val="16"/>
              </w:rPr>
              <w:t>(100 BPS)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5BD"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BE" w14:textId="77777777" w:rsidR="005C332D" w:rsidRDefault="00B93EAE">
            <w:pPr>
              <w:jc w:val="center"/>
              <w:textAlignment w:val="bottom"/>
            </w:pPr>
            <w:r>
              <w:rPr>
                <w:rFonts w:ascii="Times New Roman" w:eastAsia="宋体" w:hAnsi="Times New Roman"/>
                <w:color w:val="000000"/>
                <w:sz w:val="16"/>
                <w:szCs w:val="16"/>
              </w:rPr>
              <w:t>(50 BPS)</w:t>
            </w:r>
          </w:p>
        </w:tc>
        <w:tc>
          <w:tcPr>
            <w:tcW w:w="0" w:type="auto"/>
            <w:gridSpan w:val="3"/>
            <w:shd w:val="clear" w:color="auto" w:fill="auto"/>
            <w:tcMar>
              <w:top w:w="0" w:type="dxa"/>
              <w:left w:w="20" w:type="dxa"/>
              <w:bottom w:w="0" w:type="dxa"/>
              <w:right w:w="20" w:type="dxa"/>
            </w:tcMar>
            <w:vAlign w:val="bottom"/>
          </w:tcPr>
          <w:p w14:paraId="518B55BF" w14:textId="77777777" w:rsidR="005C332D" w:rsidRDefault="005C332D">
            <w:pPr>
              <w:rPr>
                <w:rFonts w:ascii="宋体"/>
              </w:rPr>
            </w:pPr>
          </w:p>
        </w:tc>
        <w:tc>
          <w:tcPr>
            <w:tcW w:w="0" w:type="auto"/>
            <w:gridSpan w:val="3"/>
            <w:vMerge/>
            <w:shd w:val="clear" w:color="auto" w:fill="auto"/>
            <w:tcMar>
              <w:top w:w="40" w:type="dxa"/>
              <w:left w:w="20" w:type="dxa"/>
              <w:bottom w:w="40" w:type="dxa"/>
              <w:right w:w="20" w:type="dxa"/>
            </w:tcMar>
            <w:vAlign w:val="bottom"/>
          </w:tcPr>
          <w:p w14:paraId="518B55C0" w14:textId="77777777" w:rsidR="005C332D" w:rsidRDefault="005C332D">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518B55C1"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C2" w14:textId="77777777" w:rsidR="005C332D" w:rsidRDefault="00B93EAE">
            <w:pPr>
              <w:jc w:val="center"/>
              <w:textAlignment w:val="bottom"/>
            </w:pPr>
            <w:r>
              <w:rPr>
                <w:rFonts w:ascii="Times New Roman" w:eastAsia="宋体" w:hAnsi="Times New Roman"/>
                <w:color w:val="000000"/>
                <w:sz w:val="16"/>
                <w:szCs w:val="16"/>
              </w:rPr>
              <w:t>50 BPS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5C3"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C4" w14:textId="77777777" w:rsidR="005C332D" w:rsidRDefault="00B93EAE">
            <w:pPr>
              <w:jc w:val="center"/>
              <w:textAlignment w:val="bottom"/>
            </w:pPr>
            <w:r>
              <w:rPr>
                <w:rFonts w:ascii="Times New Roman" w:eastAsia="宋体" w:hAnsi="Times New Roman"/>
                <w:color w:val="000000"/>
                <w:sz w:val="16"/>
                <w:szCs w:val="16"/>
              </w:rPr>
              <w:t>100 BPS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5C5"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5C6" w14:textId="77777777" w:rsidR="005C332D" w:rsidRDefault="00B93EAE">
            <w:pPr>
              <w:jc w:val="center"/>
              <w:textAlignment w:val="bottom"/>
            </w:pPr>
            <w:r>
              <w:rPr>
                <w:rFonts w:ascii="Times New Roman" w:eastAsia="宋体" w:hAnsi="Times New Roman"/>
                <w:color w:val="000000"/>
                <w:sz w:val="16"/>
                <w:szCs w:val="16"/>
              </w:rPr>
              <w:t>150 BPS</w:t>
            </w:r>
          </w:p>
        </w:tc>
      </w:tr>
      <w:tr w:rsidR="005C332D" w14:paraId="518B55D6" w14:textId="77777777">
        <w:tc>
          <w:tcPr>
            <w:tcW w:w="0" w:type="auto"/>
            <w:gridSpan w:val="3"/>
            <w:shd w:val="clear" w:color="auto" w:fill="CCEEFF"/>
            <w:tcMar>
              <w:top w:w="40" w:type="dxa"/>
              <w:left w:w="20" w:type="dxa"/>
              <w:bottom w:w="40" w:type="dxa"/>
              <w:right w:w="20" w:type="dxa"/>
            </w:tcMar>
          </w:tcPr>
          <w:p w14:paraId="518B55C8" w14:textId="77777777" w:rsidR="005C332D" w:rsidRDefault="00B93EAE">
            <w:pPr>
              <w:textAlignment w:val="top"/>
            </w:pPr>
            <w:r>
              <w:rPr>
                <w:rFonts w:ascii="Times New Roman" w:eastAsia="宋体" w:hAnsi="Times New Roman"/>
                <w:color w:val="000000"/>
                <w:sz w:val="20"/>
                <w:szCs w:val="20"/>
              </w:rPr>
              <w:t>Available-for-sale debt investments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C9" w14:textId="77777777" w:rsidR="005C332D" w:rsidRDefault="00B93EAE">
            <w:pPr>
              <w:jc w:val="center"/>
              <w:textAlignment w:val="bottom"/>
            </w:pPr>
            <w:r>
              <w:rPr>
                <w:rFonts w:ascii="Times New Roman" w:eastAsia="宋体" w:hAnsi="Times New Roman"/>
                <w:color w:val="000000"/>
                <w:sz w:val="20"/>
                <w:szCs w:val="20"/>
              </w:rPr>
              <w:t>$15,537</w:t>
            </w:r>
          </w:p>
        </w:tc>
        <w:tc>
          <w:tcPr>
            <w:tcW w:w="0" w:type="auto"/>
            <w:gridSpan w:val="3"/>
            <w:shd w:val="clear" w:color="auto" w:fill="CCEEFF"/>
            <w:tcMar>
              <w:top w:w="0" w:type="dxa"/>
              <w:left w:w="20" w:type="dxa"/>
              <w:bottom w:w="0" w:type="dxa"/>
              <w:right w:w="20" w:type="dxa"/>
            </w:tcMar>
            <w:vAlign w:val="bottom"/>
          </w:tcPr>
          <w:p w14:paraId="518B55CA"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CB" w14:textId="77777777" w:rsidR="005C332D" w:rsidRDefault="00B93EAE">
            <w:pPr>
              <w:jc w:val="center"/>
              <w:textAlignment w:val="bottom"/>
            </w:pPr>
            <w:r>
              <w:rPr>
                <w:rFonts w:ascii="Times New Roman" w:eastAsia="宋体" w:hAnsi="Times New Roman"/>
                <w:color w:val="000000"/>
                <w:sz w:val="20"/>
                <w:szCs w:val="20"/>
              </w:rPr>
              <w:t>$15,427</w:t>
            </w:r>
          </w:p>
        </w:tc>
        <w:tc>
          <w:tcPr>
            <w:tcW w:w="0" w:type="auto"/>
            <w:gridSpan w:val="3"/>
            <w:shd w:val="clear" w:color="auto" w:fill="CCEEFF"/>
            <w:tcMar>
              <w:top w:w="0" w:type="dxa"/>
              <w:left w:w="20" w:type="dxa"/>
              <w:bottom w:w="0" w:type="dxa"/>
              <w:right w:w="20" w:type="dxa"/>
            </w:tcMar>
            <w:vAlign w:val="bottom"/>
          </w:tcPr>
          <w:p w14:paraId="518B55CC"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CD" w14:textId="77777777" w:rsidR="005C332D" w:rsidRDefault="00B93EAE">
            <w:pPr>
              <w:jc w:val="center"/>
              <w:textAlignment w:val="bottom"/>
            </w:pPr>
            <w:r>
              <w:rPr>
                <w:rFonts w:ascii="Times New Roman" w:eastAsia="宋体" w:hAnsi="Times New Roman"/>
                <w:color w:val="000000"/>
                <w:sz w:val="20"/>
                <w:szCs w:val="20"/>
              </w:rPr>
              <w:t>$15,317</w:t>
            </w:r>
          </w:p>
        </w:tc>
        <w:tc>
          <w:tcPr>
            <w:tcW w:w="0" w:type="auto"/>
            <w:gridSpan w:val="3"/>
            <w:shd w:val="clear" w:color="auto" w:fill="CCEEFF"/>
            <w:tcMar>
              <w:top w:w="0" w:type="dxa"/>
              <w:left w:w="20" w:type="dxa"/>
              <w:bottom w:w="0" w:type="dxa"/>
              <w:right w:w="20" w:type="dxa"/>
            </w:tcMar>
            <w:vAlign w:val="bottom"/>
          </w:tcPr>
          <w:p w14:paraId="518B55CE"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CF" w14:textId="77777777" w:rsidR="005C332D" w:rsidRDefault="00B93EAE">
            <w:pPr>
              <w:jc w:val="center"/>
              <w:textAlignment w:val="bottom"/>
            </w:pPr>
            <w:r>
              <w:rPr>
                <w:rFonts w:ascii="Times New Roman" w:eastAsia="宋体" w:hAnsi="Times New Roman"/>
                <w:color w:val="000000"/>
                <w:sz w:val="20"/>
                <w:szCs w:val="20"/>
              </w:rPr>
              <w:t>$15,206</w:t>
            </w:r>
          </w:p>
        </w:tc>
        <w:tc>
          <w:tcPr>
            <w:tcW w:w="0" w:type="auto"/>
            <w:gridSpan w:val="3"/>
            <w:shd w:val="clear" w:color="auto" w:fill="CCEEFF"/>
            <w:tcMar>
              <w:top w:w="0" w:type="dxa"/>
              <w:left w:w="20" w:type="dxa"/>
              <w:bottom w:w="0" w:type="dxa"/>
              <w:right w:w="20" w:type="dxa"/>
            </w:tcMar>
            <w:vAlign w:val="bottom"/>
          </w:tcPr>
          <w:p w14:paraId="518B55D0"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D1" w14:textId="77777777" w:rsidR="005C332D" w:rsidRDefault="00B93EAE">
            <w:pPr>
              <w:jc w:val="center"/>
              <w:textAlignment w:val="bottom"/>
            </w:pPr>
            <w:r>
              <w:rPr>
                <w:rFonts w:ascii="Times New Roman" w:eastAsia="宋体" w:hAnsi="Times New Roman"/>
                <w:color w:val="000000"/>
                <w:sz w:val="20"/>
                <w:szCs w:val="20"/>
              </w:rPr>
              <w:t>$15,096</w:t>
            </w:r>
          </w:p>
        </w:tc>
        <w:tc>
          <w:tcPr>
            <w:tcW w:w="0" w:type="auto"/>
            <w:gridSpan w:val="3"/>
            <w:shd w:val="clear" w:color="auto" w:fill="CCEEFF"/>
            <w:tcMar>
              <w:top w:w="0" w:type="dxa"/>
              <w:left w:w="20" w:type="dxa"/>
              <w:bottom w:w="0" w:type="dxa"/>
              <w:right w:w="20" w:type="dxa"/>
            </w:tcMar>
            <w:vAlign w:val="bottom"/>
          </w:tcPr>
          <w:p w14:paraId="518B55D2"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D3" w14:textId="77777777" w:rsidR="005C332D" w:rsidRDefault="00B93EAE">
            <w:pPr>
              <w:jc w:val="center"/>
              <w:textAlignment w:val="bottom"/>
            </w:pPr>
            <w:r>
              <w:rPr>
                <w:rFonts w:ascii="Times New Roman" w:eastAsia="宋体" w:hAnsi="Times New Roman"/>
                <w:color w:val="000000"/>
                <w:sz w:val="20"/>
                <w:szCs w:val="20"/>
              </w:rPr>
              <w:t>$14,986</w:t>
            </w:r>
          </w:p>
        </w:tc>
        <w:tc>
          <w:tcPr>
            <w:tcW w:w="0" w:type="auto"/>
            <w:gridSpan w:val="3"/>
            <w:shd w:val="clear" w:color="auto" w:fill="CCEEFF"/>
            <w:tcMar>
              <w:top w:w="0" w:type="dxa"/>
              <w:left w:w="20" w:type="dxa"/>
              <w:bottom w:w="0" w:type="dxa"/>
              <w:right w:w="20" w:type="dxa"/>
            </w:tcMar>
            <w:vAlign w:val="bottom"/>
          </w:tcPr>
          <w:p w14:paraId="518B55D4"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5D5" w14:textId="77777777" w:rsidR="005C332D" w:rsidRDefault="00B93EAE">
            <w:pPr>
              <w:jc w:val="center"/>
              <w:textAlignment w:val="bottom"/>
            </w:pPr>
            <w:r>
              <w:rPr>
                <w:rFonts w:ascii="Times New Roman" w:eastAsia="宋体" w:hAnsi="Times New Roman"/>
                <w:color w:val="000000"/>
                <w:sz w:val="20"/>
                <w:szCs w:val="20"/>
              </w:rPr>
              <w:t>$14,875</w:t>
            </w:r>
          </w:p>
        </w:tc>
      </w:tr>
    </w:tbl>
    <w:p w14:paraId="518B55D7" w14:textId="77777777" w:rsidR="005C332D" w:rsidRDefault="00B93EAE">
      <w:pPr>
        <w:spacing w:before="120"/>
        <w:jc w:val="both"/>
      </w:pPr>
      <w:r>
        <w:rPr>
          <w:rFonts w:ascii="Times New Roman" w:eastAsia="宋体" w:hAnsi="Times New Roman"/>
          <w:color w:val="000000"/>
          <w:sz w:val="20"/>
          <w:szCs w:val="20"/>
          <w:u w:val="single"/>
        </w:rPr>
        <w:t>Financing Receivables</w:t>
      </w:r>
      <w:r>
        <w:rPr>
          <w:rFonts w:ascii="Times New Roman" w:eastAsia="宋体" w:hAnsi="Times New Roman"/>
          <w:color w:val="000000"/>
          <w:sz w:val="20"/>
          <w:szCs w:val="20"/>
        </w:rPr>
        <w:t xml:space="preserve"> As of July 30, 2022, our financing receivables had a carrying value of $7.9 billion, compared with $9.3 billion as of July 31, 2021. As of July 30, 2022, a hypothetical 50 BPS</w:t>
      </w:r>
      <w:r>
        <w:rPr>
          <w:rFonts w:ascii="Times New Roman" w:eastAsia="宋体" w:hAnsi="Times New Roman"/>
          <w:color w:val="000000"/>
          <w:sz w:val="20"/>
          <w:szCs w:val="20"/>
        </w:rPr>
        <w:t xml:space="preserve"> increase or decrease in market interest rates would change the fair value of our financing receivables by a decrease or increase of approximately $0.1 billion, respectively. </w:t>
      </w:r>
    </w:p>
    <w:p w14:paraId="518B55D8" w14:textId="77777777" w:rsidR="005C332D" w:rsidRDefault="00B93EAE">
      <w:pPr>
        <w:spacing w:before="120"/>
        <w:jc w:val="both"/>
      </w:pPr>
      <w:r>
        <w:rPr>
          <w:rFonts w:ascii="Times New Roman" w:eastAsia="宋体" w:hAnsi="Times New Roman"/>
          <w:color w:val="000000"/>
          <w:sz w:val="20"/>
          <w:szCs w:val="20"/>
          <w:u w:val="single"/>
        </w:rPr>
        <w:t>Debt</w:t>
      </w:r>
      <w:r>
        <w:rPr>
          <w:rFonts w:ascii="Times New Roman" w:eastAsia="宋体" w:hAnsi="Times New Roman"/>
          <w:color w:val="000000"/>
          <w:sz w:val="20"/>
          <w:szCs w:val="20"/>
        </w:rPr>
        <w:t xml:space="preserve"> As of July 30, 2022, we had $9.0 billion in principal amount of senior fixe</w:t>
      </w:r>
      <w:r>
        <w:rPr>
          <w:rFonts w:ascii="Times New Roman" w:eastAsia="宋体" w:hAnsi="Times New Roman"/>
          <w:color w:val="000000"/>
          <w:sz w:val="20"/>
          <w:szCs w:val="20"/>
        </w:rPr>
        <w:t>d-rate notes outstanding. The carrying amount of the senior notes was $8.9 billion, and the related fair value based on market prices was $9.7 billion. As of July 30, 2022, a hypothetical 50 BPS increase or decrease in market interest rates would change th</w:t>
      </w:r>
      <w:r>
        <w:rPr>
          <w:rFonts w:ascii="Times New Roman" w:eastAsia="宋体" w:hAnsi="Times New Roman"/>
          <w:color w:val="000000"/>
          <w:sz w:val="20"/>
          <w:szCs w:val="20"/>
        </w:rPr>
        <w:t>e fair value of the fixed-rate debt, excluding the $1.5 billion of hedged debt, by a decrease or increase of approximately $0.3 billion, respectively. However, this hypothetical change in interest rates would not impact the interest expense on the fixed-ra</w:t>
      </w:r>
      <w:r>
        <w:rPr>
          <w:rFonts w:ascii="Times New Roman" w:eastAsia="宋体" w:hAnsi="Times New Roman"/>
          <w:color w:val="000000"/>
          <w:sz w:val="20"/>
          <w:szCs w:val="20"/>
        </w:rPr>
        <w:t>te debt that is not hedged.</w:t>
      </w:r>
    </w:p>
    <w:p w14:paraId="518B55D9" w14:textId="77777777" w:rsidR="005C332D" w:rsidRDefault="00B93EAE">
      <w:pPr>
        <w:spacing w:before="120"/>
        <w:jc w:val="both"/>
      </w:pPr>
      <w:r>
        <w:rPr>
          <w:rFonts w:ascii="Times New Roman" w:eastAsia="宋体" w:hAnsi="Times New Roman"/>
          <w:b/>
          <w:bCs/>
          <w:color w:val="000000"/>
          <w:sz w:val="20"/>
          <w:szCs w:val="20"/>
        </w:rPr>
        <w:t>Equity Price Risk</w:t>
      </w:r>
    </w:p>
    <w:p w14:paraId="518B55DA" w14:textId="77777777" w:rsidR="005C332D" w:rsidRDefault="00B93EAE">
      <w:pPr>
        <w:spacing w:before="120"/>
        <w:jc w:val="both"/>
      </w:pPr>
      <w:r>
        <w:rPr>
          <w:rFonts w:ascii="Times New Roman" w:eastAsia="宋体" w:hAnsi="Times New Roman"/>
          <w:color w:val="000000"/>
          <w:sz w:val="20"/>
          <w:szCs w:val="20"/>
          <w:u w:val="single"/>
        </w:rPr>
        <w:t>Marketable Equity Investments</w:t>
      </w:r>
      <w:r>
        <w:rPr>
          <w:rFonts w:ascii="Times New Roman" w:eastAsia="宋体" w:hAnsi="Times New Roman"/>
          <w:color w:val="000000"/>
          <w:sz w:val="20"/>
          <w:szCs w:val="20"/>
        </w:rPr>
        <w:t xml:space="preserve"> The fair value of our marketable equity investments is subject to market price volatility. We hold equity securities for strategic purposes or to diversify our overall investment p</w:t>
      </w:r>
      <w:r>
        <w:rPr>
          <w:rFonts w:ascii="Times New Roman" w:eastAsia="宋体" w:hAnsi="Times New Roman"/>
          <w:color w:val="000000"/>
          <w:sz w:val="20"/>
          <w:szCs w:val="20"/>
        </w:rPr>
        <w:t>ortfolio. These equity securities are held for purposes other than trading. The total fair value of our marketable equity securities was $241 million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and $137 million as of July 30, 2022 and July 31, 2021, respectively.</w:t>
      </w:r>
    </w:p>
    <w:p w14:paraId="518B55DB" w14:textId="77777777" w:rsidR="005C332D" w:rsidRDefault="00B93EAE">
      <w:pPr>
        <w:spacing w:before="120"/>
        <w:jc w:val="both"/>
      </w:pPr>
      <w:r>
        <w:rPr>
          <w:rFonts w:ascii="Times New Roman" w:eastAsia="宋体" w:hAnsi="Times New Roman"/>
          <w:color w:val="000000"/>
          <w:sz w:val="20"/>
          <w:szCs w:val="20"/>
          <w:u w:val="single"/>
        </w:rPr>
        <w:t>Privately Held Investments</w:t>
      </w:r>
      <w:r>
        <w:rPr>
          <w:rFonts w:ascii="Times New Roman" w:eastAsia="宋体" w:hAnsi="Times New Roman"/>
          <w:color w:val="000000"/>
          <w:sz w:val="20"/>
          <w:szCs w:val="20"/>
        </w:rPr>
        <w:t xml:space="preserve"> These inv</w:t>
      </w:r>
      <w:r>
        <w:rPr>
          <w:rFonts w:ascii="Times New Roman" w:eastAsia="宋体" w:hAnsi="Times New Roman"/>
          <w:color w:val="000000"/>
          <w:sz w:val="20"/>
          <w:szCs w:val="20"/>
        </w:rPr>
        <w:t>estments are recorded in other assets in our Consolidated Balance Sheets. As of July 30, 2022, the total carrying amount of our investments in privately held investments was $1.9 billion, compared with $1.5 billion at July 31, 2021. Some of these companies</w:t>
      </w:r>
      <w:r>
        <w:rPr>
          <w:rFonts w:ascii="Times New Roman" w:eastAsia="宋体" w:hAnsi="Times New Roman"/>
          <w:color w:val="000000"/>
          <w:sz w:val="20"/>
          <w:szCs w:val="20"/>
        </w:rPr>
        <w:t xml:space="preserve"> in which we invested are in the startup or development stages. These investments are inherently risky because the markets for the technologies or products these companies are developing are typically in the early stages and may never materialize. We could</w:t>
      </w:r>
      <w:r>
        <w:rPr>
          <w:rFonts w:ascii="Times New Roman" w:eastAsia="宋体" w:hAnsi="Times New Roman"/>
          <w:color w:val="000000"/>
          <w:sz w:val="20"/>
          <w:szCs w:val="20"/>
        </w:rPr>
        <w:t xml:space="preserve"> lose our entire investment in these companies. Our evaluation of privately held investments is based on the fundamentals of the businesses invested in, including, among other factors, the nature of their technologies and potential for financial return. </w:t>
      </w:r>
    </w:p>
    <w:p w14:paraId="518B55DC" w14:textId="77777777" w:rsidR="005C332D" w:rsidRDefault="00B93EAE">
      <w:pPr>
        <w:jc w:val="center"/>
      </w:pPr>
      <w:r>
        <w:rPr>
          <w:rFonts w:ascii="Times New Roman" w:eastAsia="宋体" w:hAnsi="Times New Roman"/>
          <w:color w:val="000000"/>
          <w:sz w:val="20"/>
          <w:szCs w:val="20"/>
        </w:rPr>
        <w:t>5</w:t>
      </w:r>
      <w:r>
        <w:rPr>
          <w:rFonts w:ascii="Times New Roman" w:eastAsia="宋体" w:hAnsi="Times New Roman"/>
          <w:color w:val="000000"/>
          <w:sz w:val="20"/>
          <w:szCs w:val="20"/>
        </w:rPr>
        <w:t>3</w:t>
      </w:r>
    </w:p>
    <w:p w14:paraId="518B55DD" w14:textId="77777777" w:rsidR="005C332D" w:rsidRDefault="00B93EAE">
      <w:r>
        <w:pict w14:anchorId="518B874A">
          <v:rect id="_x0000_i1079" style="width:415.3pt;height:1.5pt" o:hralign="center" o:hrstd="t" o:hr="t" fillcolor="#a0a0a0" stroked="f"/>
        </w:pict>
      </w:r>
    </w:p>
    <w:p w14:paraId="518B55DE" w14:textId="77777777" w:rsidR="005C332D" w:rsidRDefault="00B93EAE">
      <w:hyperlink r:id="rId107" w:anchor="i049852cab38845aabd2a79d07dacda86_7" w:history="1">
        <w:r>
          <w:rPr>
            <w:rStyle w:val="a5"/>
            <w:rFonts w:ascii="Times New Roman" w:eastAsia="宋体" w:hAnsi="Times New Roman"/>
            <w:sz w:val="20"/>
            <w:szCs w:val="20"/>
          </w:rPr>
          <w:t>Table of Contents</w:t>
        </w:r>
      </w:hyperlink>
    </w:p>
    <w:p w14:paraId="518B55DF" w14:textId="77777777" w:rsidR="005C332D" w:rsidRDefault="00B93EAE">
      <w:pPr>
        <w:spacing w:before="180"/>
        <w:jc w:val="both"/>
      </w:pPr>
      <w:r>
        <w:rPr>
          <w:rFonts w:ascii="Times New Roman" w:eastAsia="宋体" w:hAnsi="Times New Roman"/>
          <w:b/>
          <w:bCs/>
          <w:color w:val="000000"/>
          <w:sz w:val="20"/>
          <w:szCs w:val="20"/>
        </w:rPr>
        <w:t>Foreign Currency Exchange Risk</w:t>
      </w:r>
    </w:p>
    <w:p w14:paraId="518B55E0" w14:textId="77777777" w:rsidR="005C332D" w:rsidRDefault="00B93EAE">
      <w:pPr>
        <w:spacing w:before="120"/>
      </w:pPr>
      <w:r>
        <w:rPr>
          <w:rFonts w:ascii="Times New Roman" w:eastAsia="宋体" w:hAnsi="Times New Roman"/>
          <w:color w:val="000000"/>
          <w:sz w:val="20"/>
          <w:szCs w:val="20"/>
        </w:rPr>
        <w:t>Our foreign exchange forward contracts outstanding at fisc</w:t>
      </w:r>
      <w:r>
        <w:rPr>
          <w:rFonts w:ascii="Times New Roman" w:eastAsia="宋体" w:hAnsi="Times New Roman"/>
          <w:color w:val="000000"/>
          <w:sz w:val="20"/>
          <w:szCs w:val="20"/>
        </w:rPr>
        <w:t>al year-end are summarized in U.S. dollar equivalents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3754"/>
        <w:gridCol w:w="37"/>
        <w:gridCol w:w="120"/>
        <w:gridCol w:w="918"/>
        <w:gridCol w:w="36"/>
        <w:gridCol w:w="36"/>
        <w:gridCol w:w="36"/>
        <w:gridCol w:w="36"/>
        <w:gridCol w:w="121"/>
        <w:gridCol w:w="874"/>
        <w:gridCol w:w="36"/>
        <w:gridCol w:w="36"/>
        <w:gridCol w:w="36"/>
        <w:gridCol w:w="36"/>
        <w:gridCol w:w="120"/>
        <w:gridCol w:w="875"/>
        <w:gridCol w:w="36"/>
        <w:gridCol w:w="36"/>
        <w:gridCol w:w="36"/>
        <w:gridCol w:w="36"/>
        <w:gridCol w:w="121"/>
        <w:gridCol w:w="878"/>
        <w:gridCol w:w="36"/>
      </w:tblGrid>
      <w:tr w:rsidR="005C332D" w14:paraId="518B55F9" w14:textId="77777777">
        <w:tc>
          <w:tcPr>
            <w:tcW w:w="50" w:type="pct"/>
            <w:shd w:val="clear" w:color="auto" w:fill="auto"/>
            <w:vAlign w:val="bottom"/>
          </w:tcPr>
          <w:p w14:paraId="518B55E1" w14:textId="77777777" w:rsidR="005C332D" w:rsidRDefault="005C332D">
            <w:pPr>
              <w:rPr>
                <w:rFonts w:ascii="宋体"/>
              </w:rPr>
            </w:pPr>
          </w:p>
        </w:tc>
        <w:tc>
          <w:tcPr>
            <w:tcW w:w="2287" w:type="pct"/>
            <w:shd w:val="clear" w:color="auto" w:fill="auto"/>
            <w:vAlign w:val="bottom"/>
          </w:tcPr>
          <w:p w14:paraId="518B55E2" w14:textId="77777777" w:rsidR="005C332D" w:rsidRDefault="005C332D">
            <w:pPr>
              <w:rPr>
                <w:rFonts w:ascii="宋体"/>
              </w:rPr>
            </w:pPr>
          </w:p>
        </w:tc>
        <w:tc>
          <w:tcPr>
            <w:tcW w:w="5" w:type="pct"/>
            <w:shd w:val="clear" w:color="auto" w:fill="auto"/>
            <w:vAlign w:val="bottom"/>
          </w:tcPr>
          <w:p w14:paraId="518B55E3" w14:textId="77777777" w:rsidR="005C332D" w:rsidRDefault="005C332D">
            <w:pPr>
              <w:rPr>
                <w:rFonts w:ascii="宋体"/>
              </w:rPr>
            </w:pPr>
          </w:p>
        </w:tc>
        <w:tc>
          <w:tcPr>
            <w:tcW w:w="50" w:type="pct"/>
            <w:shd w:val="clear" w:color="auto" w:fill="auto"/>
            <w:vAlign w:val="bottom"/>
          </w:tcPr>
          <w:p w14:paraId="518B55E4" w14:textId="77777777" w:rsidR="005C332D" w:rsidRDefault="005C332D">
            <w:pPr>
              <w:rPr>
                <w:rFonts w:ascii="宋体"/>
              </w:rPr>
            </w:pPr>
          </w:p>
        </w:tc>
        <w:tc>
          <w:tcPr>
            <w:tcW w:w="581" w:type="pct"/>
            <w:shd w:val="clear" w:color="auto" w:fill="auto"/>
            <w:vAlign w:val="bottom"/>
          </w:tcPr>
          <w:p w14:paraId="518B55E5" w14:textId="77777777" w:rsidR="005C332D" w:rsidRDefault="005C332D">
            <w:pPr>
              <w:rPr>
                <w:rFonts w:ascii="宋体"/>
              </w:rPr>
            </w:pPr>
          </w:p>
        </w:tc>
        <w:tc>
          <w:tcPr>
            <w:tcW w:w="5" w:type="pct"/>
            <w:shd w:val="clear" w:color="auto" w:fill="auto"/>
            <w:vAlign w:val="bottom"/>
          </w:tcPr>
          <w:p w14:paraId="518B55E6" w14:textId="77777777" w:rsidR="005C332D" w:rsidRDefault="005C332D">
            <w:pPr>
              <w:rPr>
                <w:rFonts w:ascii="宋体"/>
              </w:rPr>
            </w:pPr>
          </w:p>
        </w:tc>
        <w:tc>
          <w:tcPr>
            <w:tcW w:w="5" w:type="pct"/>
            <w:shd w:val="clear" w:color="auto" w:fill="auto"/>
            <w:vAlign w:val="bottom"/>
          </w:tcPr>
          <w:p w14:paraId="518B55E7" w14:textId="77777777" w:rsidR="005C332D" w:rsidRDefault="005C332D">
            <w:pPr>
              <w:rPr>
                <w:rFonts w:ascii="宋体"/>
              </w:rPr>
            </w:pPr>
          </w:p>
        </w:tc>
        <w:tc>
          <w:tcPr>
            <w:tcW w:w="26" w:type="pct"/>
            <w:shd w:val="clear" w:color="auto" w:fill="auto"/>
            <w:vAlign w:val="bottom"/>
          </w:tcPr>
          <w:p w14:paraId="518B55E8" w14:textId="77777777" w:rsidR="005C332D" w:rsidRDefault="005C332D">
            <w:pPr>
              <w:rPr>
                <w:rFonts w:ascii="宋体"/>
              </w:rPr>
            </w:pPr>
          </w:p>
        </w:tc>
        <w:tc>
          <w:tcPr>
            <w:tcW w:w="5" w:type="pct"/>
            <w:shd w:val="clear" w:color="auto" w:fill="auto"/>
            <w:vAlign w:val="bottom"/>
          </w:tcPr>
          <w:p w14:paraId="518B55E9" w14:textId="77777777" w:rsidR="005C332D" w:rsidRDefault="005C332D">
            <w:pPr>
              <w:rPr>
                <w:rFonts w:ascii="宋体"/>
              </w:rPr>
            </w:pPr>
          </w:p>
        </w:tc>
        <w:tc>
          <w:tcPr>
            <w:tcW w:w="50" w:type="pct"/>
            <w:shd w:val="clear" w:color="auto" w:fill="auto"/>
            <w:vAlign w:val="bottom"/>
          </w:tcPr>
          <w:p w14:paraId="518B55EA" w14:textId="77777777" w:rsidR="005C332D" w:rsidRDefault="005C332D">
            <w:pPr>
              <w:rPr>
                <w:rFonts w:ascii="宋体"/>
              </w:rPr>
            </w:pPr>
          </w:p>
        </w:tc>
        <w:tc>
          <w:tcPr>
            <w:tcW w:w="581" w:type="pct"/>
            <w:shd w:val="clear" w:color="auto" w:fill="auto"/>
            <w:vAlign w:val="bottom"/>
          </w:tcPr>
          <w:p w14:paraId="518B55EB" w14:textId="77777777" w:rsidR="005C332D" w:rsidRDefault="005C332D">
            <w:pPr>
              <w:rPr>
                <w:rFonts w:ascii="宋体"/>
              </w:rPr>
            </w:pPr>
          </w:p>
        </w:tc>
        <w:tc>
          <w:tcPr>
            <w:tcW w:w="5" w:type="pct"/>
            <w:shd w:val="clear" w:color="auto" w:fill="auto"/>
            <w:vAlign w:val="bottom"/>
          </w:tcPr>
          <w:p w14:paraId="518B55EC" w14:textId="77777777" w:rsidR="005C332D" w:rsidRDefault="005C332D">
            <w:pPr>
              <w:rPr>
                <w:rFonts w:ascii="宋体"/>
              </w:rPr>
            </w:pPr>
          </w:p>
        </w:tc>
        <w:tc>
          <w:tcPr>
            <w:tcW w:w="5" w:type="pct"/>
            <w:shd w:val="clear" w:color="auto" w:fill="auto"/>
            <w:vAlign w:val="bottom"/>
          </w:tcPr>
          <w:p w14:paraId="518B55ED" w14:textId="77777777" w:rsidR="005C332D" w:rsidRDefault="005C332D">
            <w:pPr>
              <w:rPr>
                <w:rFonts w:ascii="宋体"/>
              </w:rPr>
            </w:pPr>
          </w:p>
        </w:tc>
        <w:tc>
          <w:tcPr>
            <w:tcW w:w="26" w:type="pct"/>
            <w:shd w:val="clear" w:color="auto" w:fill="auto"/>
            <w:vAlign w:val="bottom"/>
          </w:tcPr>
          <w:p w14:paraId="518B55EE" w14:textId="77777777" w:rsidR="005C332D" w:rsidRDefault="005C332D">
            <w:pPr>
              <w:rPr>
                <w:rFonts w:ascii="宋体"/>
              </w:rPr>
            </w:pPr>
          </w:p>
        </w:tc>
        <w:tc>
          <w:tcPr>
            <w:tcW w:w="5" w:type="pct"/>
            <w:shd w:val="clear" w:color="auto" w:fill="auto"/>
            <w:vAlign w:val="bottom"/>
          </w:tcPr>
          <w:p w14:paraId="518B55EF" w14:textId="77777777" w:rsidR="005C332D" w:rsidRDefault="005C332D">
            <w:pPr>
              <w:rPr>
                <w:rFonts w:ascii="宋体"/>
              </w:rPr>
            </w:pPr>
          </w:p>
        </w:tc>
        <w:tc>
          <w:tcPr>
            <w:tcW w:w="50" w:type="pct"/>
            <w:shd w:val="clear" w:color="auto" w:fill="auto"/>
            <w:vAlign w:val="bottom"/>
          </w:tcPr>
          <w:p w14:paraId="518B55F0" w14:textId="77777777" w:rsidR="005C332D" w:rsidRDefault="005C332D">
            <w:pPr>
              <w:rPr>
                <w:rFonts w:ascii="宋体"/>
              </w:rPr>
            </w:pPr>
          </w:p>
        </w:tc>
        <w:tc>
          <w:tcPr>
            <w:tcW w:w="581" w:type="pct"/>
            <w:shd w:val="clear" w:color="auto" w:fill="auto"/>
            <w:vAlign w:val="bottom"/>
          </w:tcPr>
          <w:p w14:paraId="518B55F1" w14:textId="77777777" w:rsidR="005C332D" w:rsidRDefault="005C332D">
            <w:pPr>
              <w:rPr>
                <w:rFonts w:ascii="宋体"/>
              </w:rPr>
            </w:pPr>
          </w:p>
        </w:tc>
        <w:tc>
          <w:tcPr>
            <w:tcW w:w="5" w:type="pct"/>
            <w:shd w:val="clear" w:color="auto" w:fill="auto"/>
            <w:vAlign w:val="bottom"/>
          </w:tcPr>
          <w:p w14:paraId="518B55F2" w14:textId="77777777" w:rsidR="005C332D" w:rsidRDefault="005C332D">
            <w:pPr>
              <w:rPr>
                <w:rFonts w:ascii="宋体"/>
              </w:rPr>
            </w:pPr>
          </w:p>
        </w:tc>
        <w:tc>
          <w:tcPr>
            <w:tcW w:w="5" w:type="pct"/>
            <w:shd w:val="clear" w:color="auto" w:fill="auto"/>
            <w:vAlign w:val="bottom"/>
          </w:tcPr>
          <w:p w14:paraId="518B55F3" w14:textId="77777777" w:rsidR="005C332D" w:rsidRDefault="005C332D">
            <w:pPr>
              <w:rPr>
                <w:rFonts w:ascii="宋体"/>
              </w:rPr>
            </w:pPr>
          </w:p>
        </w:tc>
        <w:tc>
          <w:tcPr>
            <w:tcW w:w="26" w:type="pct"/>
            <w:shd w:val="clear" w:color="auto" w:fill="auto"/>
            <w:vAlign w:val="bottom"/>
          </w:tcPr>
          <w:p w14:paraId="518B55F4" w14:textId="77777777" w:rsidR="005C332D" w:rsidRDefault="005C332D">
            <w:pPr>
              <w:rPr>
                <w:rFonts w:ascii="宋体"/>
              </w:rPr>
            </w:pPr>
          </w:p>
        </w:tc>
        <w:tc>
          <w:tcPr>
            <w:tcW w:w="5" w:type="pct"/>
            <w:shd w:val="clear" w:color="auto" w:fill="auto"/>
            <w:vAlign w:val="bottom"/>
          </w:tcPr>
          <w:p w14:paraId="518B55F5" w14:textId="77777777" w:rsidR="005C332D" w:rsidRDefault="005C332D">
            <w:pPr>
              <w:rPr>
                <w:rFonts w:ascii="宋体"/>
              </w:rPr>
            </w:pPr>
          </w:p>
        </w:tc>
        <w:tc>
          <w:tcPr>
            <w:tcW w:w="50" w:type="pct"/>
            <w:shd w:val="clear" w:color="auto" w:fill="auto"/>
            <w:vAlign w:val="bottom"/>
          </w:tcPr>
          <w:p w14:paraId="518B55F6" w14:textId="77777777" w:rsidR="005C332D" w:rsidRDefault="005C332D">
            <w:pPr>
              <w:rPr>
                <w:rFonts w:ascii="宋体"/>
              </w:rPr>
            </w:pPr>
          </w:p>
        </w:tc>
        <w:tc>
          <w:tcPr>
            <w:tcW w:w="582" w:type="pct"/>
            <w:shd w:val="clear" w:color="auto" w:fill="auto"/>
            <w:vAlign w:val="bottom"/>
          </w:tcPr>
          <w:p w14:paraId="518B55F7" w14:textId="77777777" w:rsidR="005C332D" w:rsidRDefault="005C332D">
            <w:pPr>
              <w:rPr>
                <w:rFonts w:ascii="宋体"/>
              </w:rPr>
            </w:pPr>
          </w:p>
        </w:tc>
        <w:tc>
          <w:tcPr>
            <w:tcW w:w="5" w:type="pct"/>
            <w:shd w:val="clear" w:color="auto" w:fill="auto"/>
            <w:vAlign w:val="bottom"/>
          </w:tcPr>
          <w:p w14:paraId="518B55F8" w14:textId="77777777" w:rsidR="005C332D" w:rsidRDefault="005C332D">
            <w:pPr>
              <w:rPr>
                <w:rFonts w:ascii="宋体"/>
              </w:rPr>
            </w:pPr>
          </w:p>
        </w:tc>
      </w:tr>
      <w:tr w:rsidR="005C332D" w14:paraId="518B55FE" w14:textId="77777777">
        <w:tc>
          <w:tcPr>
            <w:tcW w:w="0" w:type="auto"/>
            <w:gridSpan w:val="3"/>
            <w:shd w:val="clear" w:color="auto" w:fill="auto"/>
            <w:tcMar>
              <w:top w:w="40" w:type="dxa"/>
              <w:left w:w="20" w:type="dxa"/>
              <w:bottom w:w="40" w:type="dxa"/>
              <w:right w:w="20" w:type="dxa"/>
            </w:tcMar>
            <w:vAlign w:val="bottom"/>
          </w:tcPr>
          <w:p w14:paraId="518B55FA" w14:textId="77777777" w:rsidR="005C332D" w:rsidRDefault="00B93EA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518B55FB"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5FC"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55FD"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5607" w14:textId="77777777">
        <w:tc>
          <w:tcPr>
            <w:tcW w:w="0" w:type="auto"/>
            <w:gridSpan w:val="3"/>
            <w:shd w:val="clear" w:color="auto" w:fill="auto"/>
            <w:tcMar>
              <w:top w:w="40" w:type="dxa"/>
              <w:left w:w="20" w:type="dxa"/>
              <w:bottom w:w="40" w:type="dxa"/>
              <w:right w:w="20" w:type="dxa"/>
            </w:tcMar>
            <w:vAlign w:val="bottom"/>
          </w:tcPr>
          <w:p w14:paraId="518B55FF" w14:textId="77777777" w:rsidR="005C332D" w:rsidRDefault="00B93EA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600" w14:textId="77777777" w:rsidR="005C332D" w:rsidRDefault="00B93EAE">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601"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602" w14:textId="77777777" w:rsidR="005C332D" w:rsidRDefault="00B93EAE">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518B5603"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604" w14:textId="77777777" w:rsidR="005C332D" w:rsidRDefault="00B93EAE">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5605"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606" w14:textId="77777777" w:rsidR="005C332D" w:rsidRDefault="00B93EAE">
            <w:pPr>
              <w:jc w:val="center"/>
              <w:textAlignment w:val="bottom"/>
            </w:pPr>
            <w:r>
              <w:rPr>
                <w:rFonts w:ascii="Times New Roman" w:eastAsia="宋体" w:hAnsi="Times New Roman"/>
                <w:color w:val="000000"/>
                <w:sz w:val="16"/>
                <w:szCs w:val="16"/>
              </w:rPr>
              <w:t>Fair Value</w:t>
            </w:r>
          </w:p>
        </w:tc>
      </w:tr>
      <w:tr w:rsidR="005C332D" w14:paraId="518B5610" w14:textId="77777777">
        <w:tc>
          <w:tcPr>
            <w:tcW w:w="0" w:type="auto"/>
            <w:gridSpan w:val="3"/>
            <w:shd w:val="clear" w:color="auto" w:fill="CCEEFF"/>
            <w:tcMar>
              <w:top w:w="40" w:type="dxa"/>
              <w:left w:w="20" w:type="dxa"/>
              <w:bottom w:w="40" w:type="dxa"/>
              <w:right w:w="20" w:type="dxa"/>
            </w:tcMar>
          </w:tcPr>
          <w:p w14:paraId="518B5608" w14:textId="77777777" w:rsidR="005C332D" w:rsidRDefault="00B93EAE">
            <w:pPr>
              <w:textAlignment w:val="top"/>
            </w:pPr>
            <w:r>
              <w:rPr>
                <w:rFonts w:ascii="Times New Roman" w:eastAsia="宋体" w:hAnsi="Times New Roman"/>
                <w:color w:val="000000"/>
                <w:sz w:val="20"/>
                <w:szCs w:val="20"/>
              </w:rPr>
              <w:t>Forward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60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60A"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60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60C"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60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60E"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60F" w14:textId="77777777" w:rsidR="005C332D" w:rsidRDefault="005C332D">
            <w:pPr>
              <w:rPr>
                <w:rFonts w:ascii="宋体"/>
              </w:rPr>
            </w:pPr>
          </w:p>
        </w:tc>
      </w:tr>
      <w:tr w:rsidR="005C332D" w14:paraId="518B5621" w14:textId="77777777">
        <w:tc>
          <w:tcPr>
            <w:tcW w:w="0" w:type="auto"/>
            <w:gridSpan w:val="3"/>
            <w:shd w:val="clear" w:color="auto" w:fill="FFFFFF"/>
            <w:tcMar>
              <w:top w:w="40" w:type="dxa"/>
              <w:left w:w="380" w:type="dxa"/>
              <w:bottom w:w="40" w:type="dxa"/>
              <w:right w:w="20" w:type="dxa"/>
            </w:tcMar>
          </w:tcPr>
          <w:p w14:paraId="518B5611" w14:textId="77777777" w:rsidR="005C332D" w:rsidRDefault="00B93EAE">
            <w:pPr>
              <w:textAlignment w:val="top"/>
            </w:pPr>
            <w:r>
              <w:rPr>
                <w:rFonts w:ascii="Times New Roman" w:eastAsia="宋体" w:hAnsi="Times New Roman"/>
                <w:color w:val="000000"/>
                <w:sz w:val="20"/>
                <w:szCs w:val="20"/>
              </w:rPr>
              <w:t>Purchased</w:t>
            </w:r>
          </w:p>
        </w:tc>
        <w:tc>
          <w:tcPr>
            <w:tcW w:w="0" w:type="auto"/>
            <w:shd w:val="clear" w:color="auto" w:fill="FFFFFF"/>
            <w:tcMar>
              <w:top w:w="40" w:type="dxa"/>
              <w:left w:w="20" w:type="dxa"/>
              <w:bottom w:w="40" w:type="dxa"/>
              <w:right w:w="0" w:type="dxa"/>
            </w:tcMar>
            <w:vAlign w:val="bottom"/>
          </w:tcPr>
          <w:p w14:paraId="518B5612"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5613" w14:textId="77777777" w:rsidR="005C332D" w:rsidRDefault="00B93EAE">
            <w:pPr>
              <w:jc w:val="right"/>
              <w:textAlignment w:val="bottom"/>
            </w:pPr>
            <w:r>
              <w:rPr>
                <w:rFonts w:ascii="Times New Roman" w:eastAsia="宋体" w:hAnsi="Times New Roman"/>
                <w:b/>
                <w:bCs/>
                <w:color w:val="000000"/>
                <w:sz w:val="20"/>
                <w:szCs w:val="20"/>
              </w:rPr>
              <w:t>2,578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61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615"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616"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5617" w14:textId="77777777" w:rsidR="005C332D" w:rsidRDefault="00B93EAE">
            <w:pPr>
              <w:jc w:val="right"/>
              <w:textAlignment w:val="bottom"/>
            </w:pPr>
            <w:r>
              <w:rPr>
                <w:rFonts w:ascii="Times New Roman" w:eastAsia="宋体" w:hAnsi="Times New Roman"/>
                <w:b/>
                <w:bCs/>
                <w:color w:val="000000"/>
                <w:sz w:val="20"/>
                <w:szCs w:val="20"/>
              </w:rPr>
              <w:t>(50)</w:t>
            </w:r>
          </w:p>
        </w:tc>
        <w:tc>
          <w:tcPr>
            <w:tcW w:w="0" w:type="auto"/>
            <w:shd w:val="clear" w:color="auto" w:fill="FFFFFF"/>
            <w:tcMar>
              <w:top w:w="40" w:type="dxa"/>
              <w:left w:w="0" w:type="dxa"/>
              <w:bottom w:w="40" w:type="dxa"/>
              <w:right w:w="20" w:type="dxa"/>
            </w:tcMar>
            <w:vAlign w:val="bottom"/>
          </w:tcPr>
          <w:p w14:paraId="518B561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619"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61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61B" w14:textId="77777777" w:rsidR="005C332D" w:rsidRDefault="00B93EAE">
            <w:pPr>
              <w:jc w:val="right"/>
              <w:textAlignment w:val="bottom"/>
            </w:pPr>
            <w:r>
              <w:rPr>
                <w:rFonts w:ascii="Times New Roman" w:eastAsia="宋体" w:hAnsi="Times New Roman"/>
                <w:color w:val="000000"/>
                <w:sz w:val="20"/>
                <w:szCs w:val="20"/>
              </w:rPr>
              <w:t>2,441 </w:t>
            </w:r>
          </w:p>
        </w:tc>
        <w:tc>
          <w:tcPr>
            <w:tcW w:w="0" w:type="auto"/>
            <w:shd w:val="clear" w:color="auto" w:fill="FFFFFF"/>
            <w:tcMar>
              <w:top w:w="40" w:type="dxa"/>
              <w:left w:w="0" w:type="dxa"/>
              <w:bottom w:w="40" w:type="dxa"/>
              <w:right w:w="20" w:type="dxa"/>
            </w:tcMar>
            <w:vAlign w:val="bottom"/>
          </w:tcPr>
          <w:p w14:paraId="518B561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61D"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61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61F" w14:textId="77777777" w:rsidR="005C332D" w:rsidRDefault="00B93EAE">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518B5620" w14:textId="77777777" w:rsidR="005C332D" w:rsidRDefault="005C332D">
            <w:pPr>
              <w:jc w:val="right"/>
              <w:rPr>
                <w:rFonts w:ascii="宋体"/>
              </w:rPr>
            </w:pPr>
          </w:p>
        </w:tc>
      </w:tr>
      <w:tr w:rsidR="005C332D" w14:paraId="518B5632" w14:textId="77777777">
        <w:tc>
          <w:tcPr>
            <w:tcW w:w="0" w:type="auto"/>
            <w:gridSpan w:val="3"/>
            <w:shd w:val="clear" w:color="auto" w:fill="CCEEFF"/>
            <w:tcMar>
              <w:top w:w="40" w:type="dxa"/>
              <w:left w:w="380" w:type="dxa"/>
              <w:bottom w:w="40" w:type="dxa"/>
              <w:right w:w="20" w:type="dxa"/>
            </w:tcMar>
          </w:tcPr>
          <w:p w14:paraId="518B5622" w14:textId="77777777" w:rsidR="005C332D" w:rsidRDefault="00B93EAE">
            <w:pPr>
              <w:textAlignment w:val="top"/>
            </w:pPr>
            <w:r>
              <w:rPr>
                <w:rFonts w:ascii="Times New Roman" w:eastAsia="宋体" w:hAnsi="Times New Roman"/>
                <w:color w:val="000000"/>
                <w:sz w:val="20"/>
                <w:szCs w:val="20"/>
              </w:rPr>
              <w:t>Sold</w:t>
            </w:r>
          </w:p>
        </w:tc>
        <w:tc>
          <w:tcPr>
            <w:tcW w:w="0" w:type="auto"/>
            <w:shd w:val="clear" w:color="auto" w:fill="CCEEFF"/>
            <w:tcMar>
              <w:top w:w="40" w:type="dxa"/>
              <w:left w:w="20" w:type="dxa"/>
              <w:bottom w:w="40" w:type="dxa"/>
              <w:right w:w="0" w:type="dxa"/>
            </w:tcMar>
            <w:vAlign w:val="bottom"/>
          </w:tcPr>
          <w:p w14:paraId="518B5623"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5624" w14:textId="77777777" w:rsidR="005C332D" w:rsidRDefault="00B93EAE">
            <w:pPr>
              <w:jc w:val="right"/>
              <w:textAlignment w:val="bottom"/>
            </w:pPr>
            <w:r>
              <w:rPr>
                <w:rFonts w:ascii="Times New Roman" w:eastAsia="宋体" w:hAnsi="Times New Roman"/>
                <w:b/>
                <w:bCs/>
                <w:color w:val="000000"/>
                <w:sz w:val="20"/>
                <w:szCs w:val="20"/>
              </w:rPr>
              <w:t>1,943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62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62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627"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5628" w14:textId="77777777" w:rsidR="005C332D" w:rsidRDefault="00B93EAE">
            <w:pPr>
              <w:jc w:val="right"/>
              <w:textAlignment w:val="bottom"/>
            </w:pPr>
            <w:r>
              <w:rPr>
                <w:rFonts w:ascii="Times New Roman" w:eastAsia="宋体" w:hAnsi="Times New Roman"/>
                <w:b/>
                <w:bCs/>
                <w:color w:val="000000"/>
                <w:sz w:val="20"/>
                <w:szCs w:val="20"/>
              </w:rPr>
              <w:t>50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62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62A"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62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62C" w14:textId="77777777" w:rsidR="005C332D" w:rsidRDefault="00B93EAE">
            <w:pPr>
              <w:jc w:val="right"/>
              <w:textAlignment w:val="bottom"/>
            </w:pPr>
            <w:r>
              <w:rPr>
                <w:rFonts w:ascii="Times New Roman" w:eastAsia="宋体" w:hAnsi="Times New Roman"/>
                <w:color w:val="000000"/>
                <w:sz w:val="20"/>
                <w:szCs w:val="20"/>
              </w:rPr>
              <w:t>1,698 </w:t>
            </w:r>
          </w:p>
        </w:tc>
        <w:tc>
          <w:tcPr>
            <w:tcW w:w="0" w:type="auto"/>
            <w:shd w:val="clear" w:color="auto" w:fill="CCEEFF"/>
            <w:tcMar>
              <w:top w:w="40" w:type="dxa"/>
              <w:left w:w="0" w:type="dxa"/>
              <w:bottom w:w="40" w:type="dxa"/>
              <w:right w:w="20" w:type="dxa"/>
            </w:tcMar>
            <w:vAlign w:val="bottom"/>
          </w:tcPr>
          <w:p w14:paraId="518B562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62E"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62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630" w14:textId="77777777" w:rsidR="005C332D" w:rsidRDefault="00B93EAE">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518B5631" w14:textId="77777777" w:rsidR="005C332D" w:rsidRDefault="005C332D">
            <w:pPr>
              <w:jc w:val="right"/>
              <w:rPr>
                <w:rFonts w:ascii="宋体"/>
              </w:rPr>
            </w:pPr>
          </w:p>
        </w:tc>
      </w:tr>
    </w:tbl>
    <w:p w14:paraId="518B5633" w14:textId="77777777" w:rsidR="005C332D" w:rsidRDefault="00B93EAE">
      <w:pPr>
        <w:spacing w:before="120"/>
        <w:jc w:val="both"/>
      </w:pPr>
      <w:r>
        <w:rPr>
          <w:rFonts w:ascii="Times New Roman" w:eastAsia="宋体" w:hAnsi="Times New Roman"/>
          <w:color w:val="000000"/>
          <w:sz w:val="20"/>
          <w:szCs w:val="20"/>
        </w:rPr>
        <w:t>We conduct business globally in numerous currencies. The direct effect of foreign currency fluctuations on revenue has not been material because our revenue is pr</w:t>
      </w:r>
      <w:r>
        <w:rPr>
          <w:rFonts w:ascii="Times New Roman" w:eastAsia="宋体" w:hAnsi="Times New Roman"/>
          <w:color w:val="000000"/>
          <w:sz w:val="20"/>
          <w:szCs w:val="20"/>
        </w:rPr>
        <w:t>imarily denominated in U.S. dollars. However, if the U.S. dollar strengthens relative to other currencies, such strengthening could have an indirect effect on our revenue to the extent it raises the cost of our products to non-U.S. customers and thereby re</w:t>
      </w:r>
      <w:r>
        <w:rPr>
          <w:rFonts w:ascii="Times New Roman" w:eastAsia="宋体" w:hAnsi="Times New Roman"/>
          <w:color w:val="000000"/>
          <w:sz w:val="20"/>
          <w:szCs w:val="20"/>
        </w:rPr>
        <w:t>duces demand. A weaker U.S. dollar could have the opposite effect. However, the precise indirect effect of currency fluctuations is difficult to measure or predict because our revenue is influenced by many factors in addition to the impact of such currency</w:t>
      </w:r>
      <w:r>
        <w:rPr>
          <w:rFonts w:ascii="Times New Roman" w:eastAsia="宋体" w:hAnsi="Times New Roman"/>
          <w:color w:val="000000"/>
          <w:sz w:val="20"/>
          <w:szCs w:val="20"/>
        </w:rPr>
        <w:t xml:space="preserve"> fluctuations.</w:t>
      </w:r>
    </w:p>
    <w:p w14:paraId="518B5634" w14:textId="77777777" w:rsidR="005C332D" w:rsidRDefault="00B93EAE">
      <w:pPr>
        <w:spacing w:before="120"/>
        <w:jc w:val="both"/>
      </w:pPr>
      <w:r>
        <w:rPr>
          <w:rFonts w:ascii="Times New Roman" w:eastAsia="宋体" w:hAnsi="Times New Roman"/>
          <w:color w:val="000000"/>
          <w:sz w:val="20"/>
          <w:szCs w:val="20"/>
        </w:rPr>
        <w:t>Approximately 70% of our operating expenses are U.S.-dollar denominated. In fiscal 2022, foreign currency fluctuations, net of hedging, decreased our combined R&amp;D, sales and marketing, and G&amp;A expenses by approximately $154 million, or 0.9%,</w:t>
      </w:r>
      <w:r>
        <w:rPr>
          <w:rFonts w:ascii="Times New Roman" w:eastAsia="宋体" w:hAnsi="Times New Roman"/>
          <w:color w:val="000000"/>
          <w:sz w:val="20"/>
          <w:szCs w:val="20"/>
        </w:rPr>
        <w:t xml:space="preserve"> as compared with fiscal 2021. To reduce variability in operating expenses and service cost of sales caused by non-U.S.-dollar denominated operating expenses and costs, we may hedge certain forecasted foreign currency transactions with currency options and</w:t>
      </w:r>
      <w:r>
        <w:rPr>
          <w:rFonts w:ascii="Times New Roman" w:eastAsia="宋体" w:hAnsi="Times New Roman"/>
          <w:color w:val="000000"/>
          <w:sz w:val="20"/>
          <w:szCs w:val="20"/>
        </w:rPr>
        <w:t xml:space="preserve"> forward contracts. These hedging programs are not designed to provide foreign currency protection over long time horizons. In designing a specific hedging approach, we consider several factors, including offsetting exposures, significance of exposures, co</w:t>
      </w:r>
      <w:r>
        <w:rPr>
          <w:rFonts w:ascii="Times New Roman" w:eastAsia="宋体" w:hAnsi="Times New Roman"/>
          <w:color w:val="000000"/>
          <w:sz w:val="20"/>
          <w:szCs w:val="20"/>
        </w:rPr>
        <w:t>sts associated with entering into a particular hedge instrument, and potential effectiveness of the hedge. The gains and losses on foreign exchange contracts mitigate the effect of currency movements on our operating expenses and service cost of sales.</w:t>
      </w:r>
    </w:p>
    <w:p w14:paraId="518B5635" w14:textId="77777777" w:rsidR="005C332D" w:rsidRDefault="00B93EAE">
      <w:pPr>
        <w:spacing w:before="120"/>
        <w:jc w:val="both"/>
      </w:pPr>
      <w:r>
        <w:rPr>
          <w:rFonts w:ascii="Times New Roman" w:eastAsia="宋体" w:hAnsi="Times New Roman"/>
          <w:color w:val="000000"/>
          <w:sz w:val="20"/>
          <w:szCs w:val="20"/>
        </w:rPr>
        <w:t>We</w:t>
      </w:r>
      <w:r>
        <w:rPr>
          <w:rFonts w:ascii="Times New Roman" w:eastAsia="宋体" w:hAnsi="Times New Roman"/>
          <w:color w:val="000000"/>
          <w:sz w:val="20"/>
          <w:szCs w:val="20"/>
        </w:rPr>
        <w:t xml:space="preserve"> also enter into foreign exchange forward and option contracts to reduce the short-term effects of foreign currency fluctuations on receivables and payables that are denominated in currencies other than the functional currencies of the entities. The market</w:t>
      </w:r>
      <w:r>
        <w:rPr>
          <w:rFonts w:ascii="Times New Roman" w:eastAsia="宋体" w:hAnsi="Times New Roman"/>
          <w:color w:val="000000"/>
          <w:sz w:val="20"/>
          <w:szCs w:val="20"/>
        </w:rPr>
        <w:t xml:space="preserve"> risks associated with these foreign currency receivables and payables relate primarily to variances from our forecasted foreign currency transactions and balances. We do not enter into foreign exchange forward or option contracts for speculative purposes.</w:t>
      </w:r>
    </w:p>
    <w:p w14:paraId="518B5636" w14:textId="77777777" w:rsidR="005C332D" w:rsidRDefault="00B93EAE">
      <w:pPr>
        <w:jc w:val="center"/>
      </w:pPr>
      <w:r>
        <w:rPr>
          <w:rFonts w:ascii="Times New Roman" w:eastAsia="宋体" w:hAnsi="Times New Roman"/>
          <w:color w:val="000000"/>
          <w:sz w:val="20"/>
          <w:szCs w:val="20"/>
        </w:rPr>
        <w:t>54</w:t>
      </w:r>
    </w:p>
    <w:p w14:paraId="518B5637" w14:textId="77777777" w:rsidR="005C332D" w:rsidRDefault="00B93EAE">
      <w:r>
        <w:pict w14:anchorId="518B874B">
          <v:rect id="_x0000_i1080" style="width:415.3pt;height:1.5pt" o:hralign="center" o:hrstd="t" o:hr="t" fillcolor="#a0a0a0" stroked="f"/>
        </w:pict>
      </w:r>
    </w:p>
    <w:p w14:paraId="518B5638" w14:textId="77777777" w:rsidR="005C332D" w:rsidRDefault="00B93EAE">
      <w:hyperlink r:id="rId108" w:anchor="i049852cab38845aabd2a79d07dacda86_7" w:history="1">
        <w:r>
          <w:rPr>
            <w:rStyle w:val="a5"/>
            <w:rFonts w:ascii="Times New Roman" w:eastAsia="宋体" w:hAnsi="Times New Roman"/>
            <w:sz w:val="20"/>
            <w:szCs w:val="20"/>
          </w:rPr>
          <w:t>Table of Contents</w:t>
        </w:r>
      </w:hyperlink>
    </w:p>
    <w:tbl>
      <w:tblPr>
        <w:tblW w:w="3370" w:type="pct"/>
        <w:tblCellMar>
          <w:top w:w="15" w:type="dxa"/>
          <w:left w:w="15" w:type="dxa"/>
          <w:bottom w:w="15" w:type="dxa"/>
          <w:right w:w="15" w:type="dxa"/>
        </w:tblCellMar>
        <w:tblLook w:val="04A0" w:firstRow="1" w:lastRow="0" w:firstColumn="1" w:lastColumn="0" w:noHBand="0" w:noVBand="1"/>
      </w:tblPr>
      <w:tblGrid>
        <w:gridCol w:w="41"/>
        <w:gridCol w:w="897"/>
        <w:gridCol w:w="36"/>
        <w:gridCol w:w="41"/>
        <w:gridCol w:w="4567"/>
        <w:gridCol w:w="36"/>
      </w:tblGrid>
      <w:tr w:rsidR="005C332D" w14:paraId="518B563F" w14:textId="77777777">
        <w:tc>
          <w:tcPr>
            <w:tcW w:w="50" w:type="pct"/>
            <w:shd w:val="clear" w:color="auto" w:fill="auto"/>
            <w:vAlign w:val="bottom"/>
          </w:tcPr>
          <w:p w14:paraId="518B5639" w14:textId="77777777" w:rsidR="005C332D" w:rsidRDefault="005C332D">
            <w:pPr>
              <w:rPr>
                <w:rFonts w:ascii="宋体"/>
              </w:rPr>
            </w:pPr>
          </w:p>
        </w:tc>
        <w:tc>
          <w:tcPr>
            <w:tcW w:w="812" w:type="pct"/>
            <w:shd w:val="clear" w:color="auto" w:fill="auto"/>
            <w:vAlign w:val="bottom"/>
          </w:tcPr>
          <w:p w14:paraId="518B563A" w14:textId="77777777" w:rsidR="005C332D" w:rsidRDefault="005C332D">
            <w:pPr>
              <w:rPr>
                <w:rFonts w:ascii="宋体"/>
              </w:rPr>
            </w:pPr>
          </w:p>
        </w:tc>
        <w:tc>
          <w:tcPr>
            <w:tcW w:w="5" w:type="pct"/>
            <w:shd w:val="clear" w:color="auto" w:fill="auto"/>
            <w:vAlign w:val="bottom"/>
          </w:tcPr>
          <w:p w14:paraId="518B563B" w14:textId="77777777" w:rsidR="005C332D" w:rsidRDefault="005C332D">
            <w:pPr>
              <w:rPr>
                <w:rFonts w:ascii="宋体"/>
              </w:rPr>
            </w:pPr>
          </w:p>
        </w:tc>
        <w:tc>
          <w:tcPr>
            <w:tcW w:w="50" w:type="pct"/>
            <w:shd w:val="clear" w:color="auto" w:fill="auto"/>
            <w:vAlign w:val="bottom"/>
          </w:tcPr>
          <w:p w14:paraId="518B563C" w14:textId="77777777" w:rsidR="005C332D" w:rsidRDefault="005C332D">
            <w:pPr>
              <w:rPr>
                <w:rFonts w:ascii="宋体"/>
              </w:rPr>
            </w:pPr>
          </w:p>
        </w:tc>
        <w:tc>
          <w:tcPr>
            <w:tcW w:w="4077" w:type="pct"/>
            <w:shd w:val="clear" w:color="auto" w:fill="auto"/>
            <w:vAlign w:val="bottom"/>
          </w:tcPr>
          <w:p w14:paraId="518B563D" w14:textId="77777777" w:rsidR="005C332D" w:rsidRDefault="005C332D">
            <w:pPr>
              <w:rPr>
                <w:rFonts w:ascii="宋体"/>
              </w:rPr>
            </w:pPr>
          </w:p>
        </w:tc>
        <w:tc>
          <w:tcPr>
            <w:tcW w:w="5" w:type="pct"/>
            <w:shd w:val="clear" w:color="auto" w:fill="auto"/>
            <w:vAlign w:val="bottom"/>
          </w:tcPr>
          <w:p w14:paraId="518B563E" w14:textId="77777777" w:rsidR="005C332D" w:rsidRDefault="005C332D">
            <w:pPr>
              <w:rPr>
                <w:rFonts w:ascii="宋体"/>
              </w:rPr>
            </w:pPr>
          </w:p>
        </w:tc>
      </w:tr>
      <w:tr w:rsidR="005C332D" w14:paraId="518B5642" w14:textId="77777777">
        <w:tc>
          <w:tcPr>
            <w:tcW w:w="0" w:type="auto"/>
            <w:gridSpan w:val="3"/>
            <w:shd w:val="clear" w:color="auto" w:fill="auto"/>
            <w:tcMar>
              <w:top w:w="40" w:type="dxa"/>
              <w:left w:w="20" w:type="dxa"/>
              <w:bottom w:w="40" w:type="dxa"/>
              <w:right w:w="20" w:type="dxa"/>
            </w:tcMar>
          </w:tcPr>
          <w:p w14:paraId="518B5640" w14:textId="77777777" w:rsidR="005C332D" w:rsidRDefault="00B93EAE">
            <w:pPr>
              <w:textAlignment w:val="top"/>
            </w:pPr>
            <w:r>
              <w:rPr>
                <w:rFonts w:ascii="Times New Roman" w:eastAsia="宋体" w:hAnsi="Times New Roman"/>
                <w:b/>
                <w:bCs/>
                <w:color w:val="000000"/>
                <w:sz w:val="20"/>
                <w:szCs w:val="20"/>
              </w:rPr>
              <w:t>Item 8.</w:t>
            </w:r>
          </w:p>
        </w:tc>
        <w:tc>
          <w:tcPr>
            <w:tcW w:w="0" w:type="auto"/>
            <w:gridSpan w:val="3"/>
            <w:shd w:val="clear" w:color="auto" w:fill="auto"/>
            <w:tcMar>
              <w:top w:w="40" w:type="dxa"/>
              <w:left w:w="20" w:type="dxa"/>
              <w:bottom w:w="40" w:type="dxa"/>
              <w:right w:w="20" w:type="dxa"/>
            </w:tcMar>
          </w:tcPr>
          <w:p w14:paraId="518B5641" w14:textId="77777777" w:rsidR="005C332D" w:rsidRDefault="00B93EAE">
            <w:pPr>
              <w:textAlignment w:val="top"/>
            </w:pPr>
            <w:r>
              <w:rPr>
                <w:rFonts w:ascii="Times New Roman" w:eastAsia="宋体" w:hAnsi="Times New Roman"/>
                <w:b/>
                <w:bCs/>
                <w:color w:val="000000"/>
                <w:sz w:val="20"/>
                <w:szCs w:val="20"/>
              </w:rPr>
              <w:t>Financial Statements and Supplementary Data</w:t>
            </w:r>
          </w:p>
        </w:tc>
      </w:tr>
    </w:tbl>
    <w:p w14:paraId="518B5643" w14:textId="77777777" w:rsidR="005C332D" w:rsidRDefault="005C332D"/>
    <w:p w14:paraId="518B5644" w14:textId="77777777" w:rsidR="005C332D" w:rsidRDefault="00B93EAE">
      <w:pPr>
        <w:jc w:val="center"/>
      </w:pPr>
      <w:hyperlink r:id="rId109" w:anchor="i049852cab38845aabd2a79d07dacda86_85" w:history="1">
        <w:r>
          <w:rPr>
            <w:rStyle w:val="a5"/>
            <w:rFonts w:ascii="Times New Roman" w:eastAsia="宋体" w:hAnsi="Times New Roman"/>
            <w:b/>
            <w:bCs/>
            <w:sz w:val="20"/>
            <w:szCs w:val="20"/>
          </w:rPr>
          <w:t>Index to Consolidated Financial Statements</w:t>
        </w:r>
      </w:hyperlink>
    </w:p>
    <w:tbl>
      <w:tblPr>
        <w:tblW w:w="4993" w:type="pct"/>
        <w:tblCellMar>
          <w:top w:w="15" w:type="dxa"/>
          <w:left w:w="15" w:type="dxa"/>
          <w:bottom w:w="15" w:type="dxa"/>
          <w:right w:w="15" w:type="dxa"/>
        </w:tblCellMar>
        <w:tblLook w:val="04A0" w:firstRow="1" w:lastRow="0" w:firstColumn="1" w:lastColumn="0" w:noHBand="0" w:noVBand="1"/>
      </w:tblPr>
      <w:tblGrid>
        <w:gridCol w:w="68"/>
        <w:gridCol w:w="7097"/>
        <w:gridCol w:w="39"/>
        <w:gridCol w:w="69"/>
        <w:gridCol w:w="1015"/>
        <w:gridCol w:w="36"/>
      </w:tblGrid>
      <w:tr w:rsidR="005C332D" w14:paraId="518B564B" w14:textId="77777777">
        <w:tc>
          <w:tcPr>
            <w:tcW w:w="50" w:type="pct"/>
            <w:shd w:val="clear" w:color="auto" w:fill="auto"/>
            <w:vAlign w:val="bottom"/>
          </w:tcPr>
          <w:p w14:paraId="518B5645" w14:textId="77777777" w:rsidR="005C332D" w:rsidRDefault="005C332D">
            <w:pPr>
              <w:rPr>
                <w:rFonts w:ascii="宋体"/>
              </w:rPr>
            </w:pPr>
          </w:p>
        </w:tc>
        <w:tc>
          <w:tcPr>
            <w:tcW w:w="4271" w:type="pct"/>
            <w:shd w:val="clear" w:color="auto" w:fill="auto"/>
            <w:vAlign w:val="bottom"/>
          </w:tcPr>
          <w:p w14:paraId="518B5646" w14:textId="77777777" w:rsidR="005C332D" w:rsidRDefault="005C332D">
            <w:pPr>
              <w:rPr>
                <w:rFonts w:ascii="宋体"/>
              </w:rPr>
            </w:pPr>
          </w:p>
        </w:tc>
        <w:tc>
          <w:tcPr>
            <w:tcW w:w="5" w:type="pct"/>
            <w:shd w:val="clear" w:color="auto" w:fill="auto"/>
            <w:vAlign w:val="bottom"/>
          </w:tcPr>
          <w:p w14:paraId="518B5647" w14:textId="77777777" w:rsidR="005C332D" w:rsidRDefault="005C332D">
            <w:pPr>
              <w:rPr>
                <w:rFonts w:ascii="宋体"/>
              </w:rPr>
            </w:pPr>
          </w:p>
        </w:tc>
        <w:tc>
          <w:tcPr>
            <w:tcW w:w="50" w:type="pct"/>
            <w:shd w:val="clear" w:color="auto" w:fill="auto"/>
            <w:vAlign w:val="bottom"/>
          </w:tcPr>
          <w:p w14:paraId="518B5648" w14:textId="77777777" w:rsidR="005C332D" w:rsidRDefault="005C332D">
            <w:pPr>
              <w:rPr>
                <w:rFonts w:ascii="宋体"/>
              </w:rPr>
            </w:pPr>
          </w:p>
        </w:tc>
        <w:tc>
          <w:tcPr>
            <w:tcW w:w="618" w:type="pct"/>
            <w:shd w:val="clear" w:color="auto" w:fill="auto"/>
            <w:vAlign w:val="bottom"/>
          </w:tcPr>
          <w:p w14:paraId="518B5649" w14:textId="77777777" w:rsidR="005C332D" w:rsidRDefault="005C332D">
            <w:pPr>
              <w:rPr>
                <w:rFonts w:ascii="宋体"/>
              </w:rPr>
            </w:pPr>
          </w:p>
        </w:tc>
        <w:tc>
          <w:tcPr>
            <w:tcW w:w="5" w:type="pct"/>
            <w:shd w:val="clear" w:color="auto" w:fill="auto"/>
            <w:vAlign w:val="bottom"/>
          </w:tcPr>
          <w:p w14:paraId="518B564A" w14:textId="77777777" w:rsidR="005C332D" w:rsidRDefault="005C332D">
            <w:pPr>
              <w:rPr>
                <w:rFonts w:ascii="宋体"/>
              </w:rPr>
            </w:pPr>
          </w:p>
        </w:tc>
      </w:tr>
      <w:tr w:rsidR="005C332D" w14:paraId="518B564E" w14:textId="77777777">
        <w:tc>
          <w:tcPr>
            <w:tcW w:w="0" w:type="auto"/>
            <w:gridSpan w:val="3"/>
            <w:shd w:val="clear" w:color="auto" w:fill="auto"/>
            <w:tcMar>
              <w:top w:w="40" w:type="dxa"/>
              <w:left w:w="20" w:type="dxa"/>
              <w:bottom w:w="40" w:type="dxa"/>
              <w:right w:w="20" w:type="dxa"/>
            </w:tcMar>
          </w:tcPr>
          <w:p w14:paraId="518B564C" w14:textId="77777777" w:rsidR="005C332D" w:rsidRDefault="00B93EAE">
            <w:pPr>
              <w:textAlignment w:val="top"/>
            </w:pPr>
            <w:hyperlink r:id="rId110" w:anchor="i049852cab38845aabd2a79d07dacda86_88" w:history="1">
              <w:r>
                <w:rPr>
                  <w:rStyle w:val="a5"/>
                  <w:rFonts w:ascii="Times New Roman" w:eastAsia="宋体" w:hAnsi="Times New Roman"/>
                  <w:sz w:val="20"/>
                  <w:szCs w:val="20"/>
                </w:rPr>
                <w:t>Report of Independent Registered Public Accounting Firm</w:t>
              </w:r>
            </w:hyperlink>
            <w:r>
              <w:rPr>
                <w:rFonts w:ascii="Times New Roman" w:eastAsia="宋体" w:hAnsi="Times New Roman"/>
                <w:color w:val="000000"/>
                <w:sz w:val="20"/>
                <w:szCs w:val="20"/>
              </w:rPr>
              <w:t xml:space="preserve"> (PCAOB ID 238)</w:t>
            </w:r>
          </w:p>
        </w:tc>
        <w:tc>
          <w:tcPr>
            <w:tcW w:w="0" w:type="auto"/>
            <w:gridSpan w:val="3"/>
            <w:shd w:val="clear" w:color="auto" w:fill="auto"/>
            <w:tcMar>
              <w:top w:w="40" w:type="dxa"/>
              <w:left w:w="20" w:type="dxa"/>
              <w:bottom w:w="40" w:type="dxa"/>
              <w:right w:w="20" w:type="dxa"/>
            </w:tcMar>
            <w:vAlign w:val="bottom"/>
          </w:tcPr>
          <w:p w14:paraId="518B564D" w14:textId="77777777" w:rsidR="005C332D" w:rsidRDefault="00B93EAE">
            <w:pPr>
              <w:jc w:val="right"/>
              <w:textAlignment w:val="bottom"/>
            </w:pPr>
            <w:hyperlink r:id="rId111" w:anchor="i049852cab38845aabd2a79d07dacda86_88" w:history="1">
              <w:r>
                <w:rPr>
                  <w:rStyle w:val="a5"/>
                  <w:rFonts w:ascii="Times New Roman" w:eastAsia="宋体" w:hAnsi="Times New Roman"/>
                  <w:sz w:val="20"/>
                  <w:szCs w:val="20"/>
                </w:rPr>
                <w:t>56</w:t>
              </w:r>
            </w:hyperlink>
          </w:p>
        </w:tc>
      </w:tr>
      <w:tr w:rsidR="005C332D" w14:paraId="518B5651" w14:textId="77777777">
        <w:tc>
          <w:tcPr>
            <w:tcW w:w="0" w:type="auto"/>
            <w:gridSpan w:val="3"/>
            <w:shd w:val="clear" w:color="auto" w:fill="auto"/>
            <w:tcMar>
              <w:top w:w="40" w:type="dxa"/>
              <w:left w:w="20" w:type="dxa"/>
              <w:bottom w:w="40" w:type="dxa"/>
              <w:right w:w="20" w:type="dxa"/>
            </w:tcMar>
          </w:tcPr>
          <w:p w14:paraId="518B564F" w14:textId="77777777" w:rsidR="005C332D" w:rsidRDefault="00B93EAE">
            <w:pPr>
              <w:textAlignment w:val="top"/>
            </w:pPr>
            <w:hyperlink r:id="rId112" w:anchor="i049852cab38845aabd2a79d07dacda86_91" w:history="1">
              <w:r>
                <w:rPr>
                  <w:rStyle w:val="a5"/>
                  <w:rFonts w:ascii="Times New Roman" w:eastAsia="宋体" w:hAnsi="Times New Roman"/>
                  <w:sz w:val="20"/>
                  <w:szCs w:val="20"/>
                </w:rPr>
                <w:t>Reports of Management</w:t>
              </w:r>
            </w:hyperlink>
          </w:p>
        </w:tc>
        <w:tc>
          <w:tcPr>
            <w:tcW w:w="0" w:type="auto"/>
            <w:gridSpan w:val="3"/>
            <w:shd w:val="clear" w:color="auto" w:fill="auto"/>
            <w:tcMar>
              <w:top w:w="40" w:type="dxa"/>
              <w:left w:w="20" w:type="dxa"/>
              <w:bottom w:w="40" w:type="dxa"/>
              <w:right w:w="20" w:type="dxa"/>
            </w:tcMar>
            <w:vAlign w:val="bottom"/>
          </w:tcPr>
          <w:p w14:paraId="518B5650" w14:textId="77777777" w:rsidR="005C332D" w:rsidRDefault="00B93EAE">
            <w:pPr>
              <w:jc w:val="right"/>
              <w:textAlignment w:val="bottom"/>
            </w:pPr>
            <w:hyperlink r:id="rId113" w:anchor="i049852cab38845aabd2a79d07dacda86_91" w:history="1">
              <w:r>
                <w:rPr>
                  <w:rStyle w:val="a5"/>
                  <w:rFonts w:ascii="Times New Roman" w:eastAsia="宋体" w:hAnsi="Times New Roman"/>
                  <w:sz w:val="20"/>
                  <w:szCs w:val="20"/>
                </w:rPr>
                <w:t>58</w:t>
              </w:r>
            </w:hyperlink>
          </w:p>
        </w:tc>
      </w:tr>
      <w:tr w:rsidR="005C332D" w14:paraId="518B5654" w14:textId="77777777">
        <w:tc>
          <w:tcPr>
            <w:tcW w:w="0" w:type="auto"/>
            <w:gridSpan w:val="3"/>
            <w:shd w:val="clear" w:color="auto" w:fill="auto"/>
            <w:tcMar>
              <w:top w:w="40" w:type="dxa"/>
              <w:left w:w="20" w:type="dxa"/>
              <w:bottom w:w="40" w:type="dxa"/>
              <w:right w:w="20" w:type="dxa"/>
            </w:tcMar>
          </w:tcPr>
          <w:p w14:paraId="518B5652" w14:textId="77777777" w:rsidR="005C332D" w:rsidRDefault="00B93EAE">
            <w:pPr>
              <w:textAlignment w:val="top"/>
            </w:pPr>
            <w:hyperlink r:id="rId114" w:anchor="i049852cab38845aabd2a79d07dacda86_94" w:history="1">
              <w:r>
                <w:rPr>
                  <w:rStyle w:val="a5"/>
                  <w:rFonts w:ascii="Times New Roman" w:eastAsia="宋体" w:hAnsi="Times New Roman"/>
                  <w:sz w:val="20"/>
                  <w:szCs w:val="20"/>
                </w:rPr>
                <w:t>Consolidated Balance Sheets</w:t>
              </w:r>
            </w:hyperlink>
          </w:p>
        </w:tc>
        <w:tc>
          <w:tcPr>
            <w:tcW w:w="0" w:type="auto"/>
            <w:gridSpan w:val="3"/>
            <w:shd w:val="clear" w:color="auto" w:fill="auto"/>
            <w:tcMar>
              <w:top w:w="40" w:type="dxa"/>
              <w:left w:w="20" w:type="dxa"/>
              <w:bottom w:w="40" w:type="dxa"/>
              <w:right w:w="20" w:type="dxa"/>
            </w:tcMar>
            <w:vAlign w:val="bottom"/>
          </w:tcPr>
          <w:p w14:paraId="518B5653" w14:textId="77777777" w:rsidR="005C332D" w:rsidRDefault="00B93EAE">
            <w:pPr>
              <w:jc w:val="right"/>
              <w:textAlignment w:val="bottom"/>
            </w:pPr>
            <w:hyperlink r:id="rId115" w:anchor="i049852cab38845aabd2a79d07dacda86_94" w:history="1">
              <w:r>
                <w:rPr>
                  <w:rStyle w:val="a5"/>
                  <w:rFonts w:ascii="Times New Roman" w:eastAsia="宋体" w:hAnsi="Times New Roman"/>
                  <w:sz w:val="20"/>
                  <w:szCs w:val="20"/>
                </w:rPr>
                <w:t>59</w:t>
              </w:r>
            </w:hyperlink>
          </w:p>
        </w:tc>
      </w:tr>
      <w:tr w:rsidR="005C332D" w14:paraId="518B5657" w14:textId="77777777">
        <w:tc>
          <w:tcPr>
            <w:tcW w:w="0" w:type="auto"/>
            <w:gridSpan w:val="3"/>
            <w:shd w:val="clear" w:color="auto" w:fill="auto"/>
            <w:tcMar>
              <w:top w:w="40" w:type="dxa"/>
              <w:left w:w="20" w:type="dxa"/>
              <w:bottom w:w="40" w:type="dxa"/>
              <w:right w:w="20" w:type="dxa"/>
            </w:tcMar>
          </w:tcPr>
          <w:p w14:paraId="518B5655" w14:textId="77777777" w:rsidR="005C332D" w:rsidRDefault="00B93EAE">
            <w:pPr>
              <w:textAlignment w:val="top"/>
            </w:pPr>
            <w:hyperlink r:id="rId116" w:anchor="i049852cab38845aabd2a79d07dacda86_97" w:history="1">
              <w:r>
                <w:rPr>
                  <w:rStyle w:val="a5"/>
                  <w:rFonts w:ascii="Times New Roman" w:eastAsia="宋体" w:hAnsi="Times New Roman"/>
                  <w:sz w:val="20"/>
                  <w:szCs w:val="20"/>
                </w:rPr>
                <w:t>Consolidated Statements of Operations</w:t>
              </w:r>
            </w:hyperlink>
          </w:p>
        </w:tc>
        <w:tc>
          <w:tcPr>
            <w:tcW w:w="0" w:type="auto"/>
            <w:gridSpan w:val="3"/>
            <w:shd w:val="clear" w:color="auto" w:fill="auto"/>
            <w:tcMar>
              <w:top w:w="40" w:type="dxa"/>
              <w:left w:w="20" w:type="dxa"/>
              <w:bottom w:w="40" w:type="dxa"/>
              <w:right w:w="20" w:type="dxa"/>
            </w:tcMar>
            <w:vAlign w:val="bottom"/>
          </w:tcPr>
          <w:p w14:paraId="518B5656" w14:textId="77777777" w:rsidR="005C332D" w:rsidRDefault="00B93EAE">
            <w:pPr>
              <w:jc w:val="right"/>
              <w:textAlignment w:val="bottom"/>
            </w:pPr>
            <w:hyperlink r:id="rId117" w:anchor="i049852cab38845aabd2a79d07dacda86_97" w:history="1">
              <w:r>
                <w:rPr>
                  <w:rStyle w:val="a5"/>
                  <w:rFonts w:ascii="Times New Roman" w:eastAsia="宋体" w:hAnsi="Times New Roman"/>
                  <w:sz w:val="20"/>
                  <w:szCs w:val="20"/>
                </w:rPr>
                <w:t>60</w:t>
              </w:r>
            </w:hyperlink>
          </w:p>
        </w:tc>
      </w:tr>
      <w:tr w:rsidR="005C332D" w14:paraId="518B565A" w14:textId="77777777">
        <w:tc>
          <w:tcPr>
            <w:tcW w:w="0" w:type="auto"/>
            <w:gridSpan w:val="3"/>
            <w:shd w:val="clear" w:color="auto" w:fill="auto"/>
            <w:tcMar>
              <w:top w:w="40" w:type="dxa"/>
              <w:left w:w="20" w:type="dxa"/>
              <w:bottom w:w="40" w:type="dxa"/>
              <w:right w:w="20" w:type="dxa"/>
            </w:tcMar>
          </w:tcPr>
          <w:p w14:paraId="518B5658" w14:textId="77777777" w:rsidR="005C332D" w:rsidRDefault="00B93EAE">
            <w:pPr>
              <w:textAlignment w:val="top"/>
            </w:pPr>
            <w:hyperlink r:id="rId118" w:anchor="i049852cab38845aabd2a79d07dacda86_100"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518B5659" w14:textId="77777777" w:rsidR="005C332D" w:rsidRDefault="00B93EAE">
            <w:pPr>
              <w:jc w:val="right"/>
              <w:textAlignment w:val="bottom"/>
            </w:pPr>
            <w:hyperlink r:id="rId119" w:anchor="i049852cab38845aabd2a79d07dacda86_100" w:history="1">
              <w:r>
                <w:rPr>
                  <w:rStyle w:val="a5"/>
                  <w:rFonts w:ascii="Times New Roman" w:eastAsia="宋体" w:hAnsi="Times New Roman"/>
                  <w:sz w:val="20"/>
                  <w:szCs w:val="20"/>
                </w:rPr>
                <w:t>61</w:t>
              </w:r>
            </w:hyperlink>
          </w:p>
        </w:tc>
      </w:tr>
      <w:tr w:rsidR="005C332D" w14:paraId="518B565D" w14:textId="77777777">
        <w:tc>
          <w:tcPr>
            <w:tcW w:w="0" w:type="auto"/>
            <w:gridSpan w:val="3"/>
            <w:shd w:val="clear" w:color="auto" w:fill="auto"/>
            <w:tcMar>
              <w:top w:w="40" w:type="dxa"/>
              <w:left w:w="20" w:type="dxa"/>
              <w:bottom w:w="40" w:type="dxa"/>
              <w:right w:w="20" w:type="dxa"/>
            </w:tcMar>
          </w:tcPr>
          <w:p w14:paraId="518B565B" w14:textId="77777777" w:rsidR="005C332D" w:rsidRDefault="00B93EAE">
            <w:pPr>
              <w:textAlignment w:val="top"/>
            </w:pPr>
            <w:hyperlink r:id="rId120" w:anchor="i049852cab38845aabd2a79d07dacda86_103" w:history="1">
              <w:r>
                <w:rPr>
                  <w:rStyle w:val="a5"/>
                  <w:rFonts w:ascii="Times New Roman" w:eastAsia="宋体" w:hAnsi="Times New Roman"/>
                  <w:sz w:val="20"/>
                  <w:szCs w:val="20"/>
                </w:rPr>
                <w:t>Consolidated Statements of Cash Fl</w:t>
              </w:r>
              <w:r>
                <w:rPr>
                  <w:rStyle w:val="a5"/>
                  <w:rFonts w:ascii="Times New Roman" w:eastAsia="宋体" w:hAnsi="Times New Roman"/>
                  <w:sz w:val="20"/>
                  <w:szCs w:val="20"/>
                </w:rPr>
                <w:t>ows</w:t>
              </w:r>
            </w:hyperlink>
          </w:p>
        </w:tc>
        <w:tc>
          <w:tcPr>
            <w:tcW w:w="0" w:type="auto"/>
            <w:gridSpan w:val="3"/>
            <w:shd w:val="clear" w:color="auto" w:fill="auto"/>
            <w:tcMar>
              <w:top w:w="40" w:type="dxa"/>
              <w:left w:w="20" w:type="dxa"/>
              <w:bottom w:w="40" w:type="dxa"/>
              <w:right w:w="20" w:type="dxa"/>
            </w:tcMar>
            <w:vAlign w:val="bottom"/>
          </w:tcPr>
          <w:p w14:paraId="518B565C" w14:textId="77777777" w:rsidR="005C332D" w:rsidRDefault="00B93EAE">
            <w:pPr>
              <w:jc w:val="right"/>
              <w:textAlignment w:val="bottom"/>
            </w:pPr>
            <w:hyperlink r:id="rId121" w:anchor="i049852cab38845aabd2a79d07dacda86_103" w:history="1">
              <w:r>
                <w:rPr>
                  <w:rStyle w:val="a5"/>
                  <w:rFonts w:ascii="Times New Roman" w:eastAsia="宋体" w:hAnsi="Times New Roman"/>
                  <w:sz w:val="20"/>
                  <w:szCs w:val="20"/>
                </w:rPr>
                <w:t>62</w:t>
              </w:r>
            </w:hyperlink>
          </w:p>
        </w:tc>
      </w:tr>
      <w:tr w:rsidR="005C332D" w14:paraId="518B5660" w14:textId="77777777">
        <w:tc>
          <w:tcPr>
            <w:tcW w:w="0" w:type="auto"/>
            <w:gridSpan w:val="3"/>
            <w:shd w:val="clear" w:color="auto" w:fill="auto"/>
            <w:tcMar>
              <w:top w:w="40" w:type="dxa"/>
              <w:left w:w="20" w:type="dxa"/>
              <w:bottom w:w="40" w:type="dxa"/>
              <w:right w:w="20" w:type="dxa"/>
            </w:tcMar>
          </w:tcPr>
          <w:p w14:paraId="518B565E" w14:textId="77777777" w:rsidR="005C332D" w:rsidRDefault="00B93EAE">
            <w:pPr>
              <w:textAlignment w:val="top"/>
            </w:pPr>
            <w:hyperlink r:id="rId122" w:anchor="i049852cab38845aabd2a79d07dacda86_106" w:history="1">
              <w:r>
                <w:rPr>
                  <w:rStyle w:val="a5"/>
                  <w:rFonts w:ascii="Times New Roman" w:eastAsia="宋体" w:hAnsi="Times New Roman"/>
                  <w:sz w:val="20"/>
                  <w:szCs w:val="20"/>
                </w:rPr>
                <w:t>Consolidated Statements of Equity</w:t>
              </w:r>
            </w:hyperlink>
          </w:p>
        </w:tc>
        <w:tc>
          <w:tcPr>
            <w:tcW w:w="0" w:type="auto"/>
            <w:gridSpan w:val="3"/>
            <w:shd w:val="clear" w:color="auto" w:fill="auto"/>
            <w:tcMar>
              <w:top w:w="40" w:type="dxa"/>
              <w:left w:w="20" w:type="dxa"/>
              <w:bottom w:w="40" w:type="dxa"/>
              <w:right w:w="20" w:type="dxa"/>
            </w:tcMar>
            <w:vAlign w:val="bottom"/>
          </w:tcPr>
          <w:p w14:paraId="518B565F" w14:textId="77777777" w:rsidR="005C332D" w:rsidRDefault="00B93EAE">
            <w:pPr>
              <w:jc w:val="right"/>
              <w:textAlignment w:val="bottom"/>
            </w:pPr>
            <w:hyperlink r:id="rId123" w:anchor="i049852cab38845aabd2a79d07dacda86_106" w:history="1">
              <w:r>
                <w:rPr>
                  <w:rStyle w:val="a5"/>
                  <w:rFonts w:ascii="Times New Roman" w:eastAsia="宋体" w:hAnsi="Times New Roman"/>
                  <w:sz w:val="20"/>
                  <w:szCs w:val="20"/>
                </w:rPr>
                <w:t>63</w:t>
              </w:r>
            </w:hyperlink>
          </w:p>
        </w:tc>
      </w:tr>
      <w:tr w:rsidR="005C332D" w14:paraId="518B5663" w14:textId="77777777">
        <w:tc>
          <w:tcPr>
            <w:tcW w:w="0" w:type="auto"/>
            <w:gridSpan w:val="3"/>
            <w:shd w:val="clear" w:color="auto" w:fill="auto"/>
            <w:tcMar>
              <w:top w:w="40" w:type="dxa"/>
              <w:left w:w="20" w:type="dxa"/>
              <w:bottom w:w="40" w:type="dxa"/>
              <w:right w:w="20" w:type="dxa"/>
            </w:tcMar>
          </w:tcPr>
          <w:p w14:paraId="518B5661" w14:textId="77777777" w:rsidR="005C332D" w:rsidRDefault="00B93EAE">
            <w:pPr>
              <w:textAlignment w:val="top"/>
            </w:pPr>
            <w:hyperlink r:id="rId124" w:anchor="i049852cab38845aabd2a79d07dacda86_109"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518B5662" w14:textId="77777777" w:rsidR="005C332D" w:rsidRDefault="00B93EAE">
            <w:pPr>
              <w:jc w:val="right"/>
              <w:textAlignment w:val="bottom"/>
            </w:pPr>
            <w:hyperlink r:id="rId125" w:anchor="i049852cab38845aabd2a79d07dacda86_109" w:history="1">
              <w:r>
                <w:rPr>
                  <w:rStyle w:val="a5"/>
                  <w:rFonts w:ascii="Times New Roman" w:eastAsia="宋体" w:hAnsi="Times New Roman"/>
                  <w:sz w:val="20"/>
                  <w:szCs w:val="20"/>
                </w:rPr>
                <w:t>64</w:t>
              </w:r>
            </w:hyperlink>
          </w:p>
        </w:tc>
      </w:tr>
      <w:tr w:rsidR="005C332D" w14:paraId="518B5666" w14:textId="77777777">
        <w:tc>
          <w:tcPr>
            <w:tcW w:w="0" w:type="auto"/>
            <w:gridSpan w:val="3"/>
            <w:shd w:val="clear" w:color="auto" w:fill="auto"/>
            <w:tcMar>
              <w:top w:w="40" w:type="dxa"/>
              <w:left w:w="20" w:type="dxa"/>
              <w:bottom w:w="40" w:type="dxa"/>
              <w:right w:w="20" w:type="dxa"/>
            </w:tcMar>
            <w:vAlign w:val="center"/>
          </w:tcPr>
          <w:p w14:paraId="518B5664" w14:textId="77777777" w:rsidR="005C332D" w:rsidRDefault="00B93EAE">
            <w:pPr>
              <w:textAlignment w:val="center"/>
            </w:pPr>
            <w:hyperlink r:id="rId126" w:anchor="i049852cab38845aabd2a79d07dacda86_112" w:history="1">
              <w:r>
                <w:rPr>
                  <w:rStyle w:val="a5"/>
                  <w:rFonts w:ascii="Times New Roman" w:eastAsia="宋体" w:hAnsi="Times New Roman"/>
                  <w:sz w:val="20"/>
                  <w:szCs w:val="20"/>
                </w:rPr>
                <w:t>Note 1: Basis o</w:t>
              </w:r>
              <w:r>
                <w:rPr>
                  <w:rStyle w:val="a5"/>
                  <w:rFonts w:ascii="Times New Roman" w:eastAsia="宋体" w:hAnsi="Times New Roman"/>
                  <w:sz w:val="20"/>
                  <w:szCs w:val="20"/>
                </w:rPr>
                <w:t>f Presentation</w:t>
              </w:r>
            </w:hyperlink>
          </w:p>
        </w:tc>
        <w:tc>
          <w:tcPr>
            <w:tcW w:w="0" w:type="auto"/>
            <w:gridSpan w:val="3"/>
            <w:shd w:val="clear" w:color="auto" w:fill="auto"/>
            <w:tcMar>
              <w:top w:w="40" w:type="dxa"/>
              <w:left w:w="20" w:type="dxa"/>
              <w:bottom w:w="40" w:type="dxa"/>
              <w:right w:w="20" w:type="dxa"/>
            </w:tcMar>
            <w:vAlign w:val="center"/>
          </w:tcPr>
          <w:p w14:paraId="518B5665" w14:textId="77777777" w:rsidR="005C332D" w:rsidRDefault="00B93EAE">
            <w:pPr>
              <w:jc w:val="right"/>
              <w:textAlignment w:val="center"/>
            </w:pPr>
            <w:hyperlink r:id="rId127" w:anchor="i049852cab38845aabd2a79d07dacda86_112" w:history="1">
              <w:r>
                <w:rPr>
                  <w:rStyle w:val="a5"/>
                  <w:rFonts w:ascii="Times New Roman" w:eastAsia="宋体" w:hAnsi="Times New Roman"/>
                  <w:sz w:val="20"/>
                  <w:szCs w:val="20"/>
                </w:rPr>
                <w:t>64</w:t>
              </w:r>
            </w:hyperlink>
          </w:p>
        </w:tc>
      </w:tr>
      <w:tr w:rsidR="005C332D" w14:paraId="518B5669" w14:textId="77777777">
        <w:tc>
          <w:tcPr>
            <w:tcW w:w="0" w:type="auto"/>
            <w:gridSpan w:val="3"/>
            <w:shd w:val="clear" w:color="auto" w:fill="auto"/>
            <w:tcMar>
              <w:top w:w="40" w:type="dxa"/>
              <w:left w:w="20" w:type="dxa"/>
              <w:bottom w:w="40" w:type="dxa"/>
              <w:right w:w="20" w:type="dxa"/>
            </w:tcMar>
            <w:vAlign w:val="center"/>
          </w:tcPr>
          <w:p w14:paraId="518B5667" w14:textId="77777777" w:rsidR="005C332D" w:rsidRDefault="00B93EAE">
            <w:pPr>
              <w:textAlignment w:val="center"/>
            </w:pPr>
            <w:hyperlink r:id="rId128" w:anchor="i049852cab38845aabd2a79d07dacda86_115" w:history="1">
              <w:r>
                <w:rPr>
                  <w:rStyle w:val="a5"/>
                  <w:rFonts w:ascii="Times New Roman" w:eastAsia="宋体" w:hAnsi="Times New Roman"/>
                  <w:sz w:val="20"/>
                  <w:szCs w:val="20"/>
                </w:rPr>
                <w:t>Note 2: Summary of Significant Accounting Policies</w:t>
              </w:r>
            </w:hyperlink>
          </w:p>
        </w:tc>
        <w:tc>
          <w:tcPr>
            <w:tcW w:w="0" w:type="auto"/>
            <w:gridSpan w:val="3"/>
            <w:shd w:val="clear" w:color="auto" w:fill="auto"/>
            <w:tcMar>
              <w:top w:w="40" w:type="dxa"/>
              <w:left w:w="20" w:type="dxa"/>
              <w:bottom w:w="40" w:type="dxa"/>
              <w:right w:w="20" w:type="dxa"/>
            </w:tcMar>
            <w:vAlign w:val="center"/>
          </w:tcPr>
          <w:p w14:paraId="518B5668" w14:textId="77777777" w:rsidR="005C332D" w:rsidRDefault="00B93EAE">
            <w:pPr>
              <w:jc w:val="right"/>
              <w:textAlignment w:val="center"/>
            </w:pPr>
            <w:hyperlink r:id="rId129" w:anchor="i049852cab38845aabd2a79d07dacda86_115" w:history="1">
              <w:r>
                <w:rPr>
                  <w:rStyle w:val="a5"/>
                  <w:rFonts w:ascii="Times New Roman" w:eastAsia="宋体" w:hAnsi="Times New Roman"/>
                  <w:sz w:val="20"/>
                  <w:szCs w:val="20"/>
                </w:rPr>
                <w:t>64</w:t>
              </w:r>
            </w:hyperlink>
          </w:p>
        </w:tc>
      </w:tr>
      <w:tr w:rsidR="005C332D" w14:paraId="518B566C" w14:textId="77777777">
        <w:tc>
          <w:tcPr>
            <w:tcW w:w="0" w:type="auto"/>
            <w:gridSpan w:val="3"/>
            <w:shd w:val="clear" w:color="auto" w:fill="auto"/>
            <w:tcMar>
              <w:top w:w="40" w:type="dxa"/>
              <w:left w:w="20" w:type="dxa"/>
              <w:bottom w:w="40" w:type="dxa"/>
              <w:right w:w="20" w:type="dxa"/>
            </w:tcMar>
            <w:vAlign w:val="center"/>
          </w:tcPr>
          <w:p w14:paraId="518B566A" w14:textId="77777777" w:rsidR="005C332D" w:rsidRDefault="00B93EAE">
            <w:pPr>
              <w:textAlignment w:val="center"/>
            </w:pPr>
            <w:hyperlink r:id="rId130" w:anchor="i049852cab38845aabd2a79d07dacda86_118" w:history="1">
              <w:r>
                <w:rPr>
                  <w:rStyle w:val="a5"/>
                  <w:rFonts w:ascii="Times New Roman" w:eastAsia="宋体" w:hAnsi="Times New Roman"/>
                  <w:sz w:val="20"/>
                  <w:szCs w:val="20"/>
                </w:rPr>
                <w:t>Note 3: Revenue</w:t>
              </w:r>
            </w:hyperlink>
          </w:p>
        </w:tc>
        <w:tc>
          <w:tcPr>
            <w:tcW w:w="0" w:type="auto"/>
            <w:gridSpan w:val="3"/>
            <w:shd w:val="clear" w:color="auto" w:fill="auto"/>
            <w:tcMar>
              <w:top w:w="40" w:type="dxa"/>
              <w:left w:w="20" w:type="dxa"/>
              <w:bottom w:w="40" w:type="dxa"/>
              <w:right w:w="20" w:type="dxa"/>
            </w:tcMar>
            <w:vAlign w:val="center"/>
          </w:tcPr>
          <w:p w14:paraId="518B566B" w14:textId="77777777" w:rsidR="005C332D" w:rsidRDefault="00B93EAE">
            <w:pPr>
              <w:jc w:val="right"/>
              <w:textAlignment w:val="center"/>
            </w:pPr>
            <w:hyperlink r:id="rId131" w:anchor="i049852cab38845aabd2a79d07dacda86_118" w:history="1">
              <w:r>
                <w:rPr>
                  <w:rStyle w:val="a5"/>
                  <w:rFonts w:ascii="Times New Roman" w:eastAsia="宋体" w:hAnsi="Times New Roman"/>
                  <w:sz w:val="20"/>
                  <w:szCs w:val="20"/>
                </w:rPr>
                <w:t>70</w:t>
              </w:r>
            </w:hyperlink>
          </w:p>
        </w:tc>
      </w:tr>
      <w:tr w:rsidR="005C332D" w14:paraId="518B566F" w14:textId="77777777">
        <w:tc>
          <w:tcPr>
            <w:tcW w:w="0" w:type="auto"/>
            <w:gridSpan w:val="3"/>
            <w:shd w:val="clear" w:color="auto" w:fill="auto"/>
            <w:tcMar>
              <w:top w:w="40" w:type="dxa"/>
              <w:left w:w="20" w:type="dxa"/>
              <w:bottom w:w="40" w:type="dxa"/>
              <w:right w:w="20" w:type="dxa"/>
            </w:tcMar>
            <w:vAlign w:val="center"/>
          </w:tcPr>
          <w:p w14:paraId="518B566D" w14:textId="77777777" w:rsidR="005C332D" w:rsidRDefault="00B93EAE">
            <w:pPr>
              <w:textAlignment w:val="center"/>
            </w:pPr>
            <w:hyperlink r:id="rId132" w:anchor="i049852cab38845aabd2a79d07dacda86_121" w:history="1">
              <w:r>
                <w:rPr>
                  <w:rStyle w:val="a5"/>
                  <w:rFonts w:ascii="Times New Roman" w:eastAsia="宋体" w:hAnsi="Times New Roman"/>
                  <w:sz w:val="20"/>
                  <w:szCs w:val="20"/>
                </w:rPr>
                <w:t>Note 4: Acquisitions and Divestitures</w:t>
              </w:r>
            </w:hyperlink>
          </w:p>
        </w:tc>
        <w:tc>
          <w:tcPr>
            <w:tcW w:w="0" w:type="auto"/>
            <w:gridSpan w:val="3"/>
            <w:shd w:val="clear" w:color="auto" w:fill="auto"/>
            <w:tcMar>
              <w:top w:w="40" w:type="dxa"/>
              <w:left w:w="20" w:type="dxa"/>
              <w:bottom w:w="40" w:type="dxa"/>
              <w:right w:w="20" w:type="dxa"/>
            </w:tcMar>
            <w:vAlign w:val="center"/>
          </w:tcPr>
          <w:p w14:paraId="518B566E" w14:textId="77777777" w:rsidR="005C332D" w:rsidRDefault="00B93EAE">
            <w:pPr>
              <w:jc w:val="right"/>
              <w:textAlignment w:val="center"/>
            </w:pPr>
            <w:hyperlink r:id="rId133" w:anchor="i049852cab38845aabd2a79d07dacda86_121" w:history="1">
              <w:r>
                <w:rPr>
                  <w:rStyle w:val="a5"/>
                  <w:rFonts w:ascii="Times New Roman" w:eastAsia="宋体" w:hAnsi="Times New Roman"/>
                  <w:sz w:val="20"/>
                  <w:szCs w:val="20"/>
                </w:rPr>
                <w:t>72</w:t>
              </w:r>
            </w:hyperlink>
          </w:p>
        </w:tc>
      </w:tr>
      <w:tr w:rsidR="005C332D" w14:paraId="518B5672" w14:textId="77777777">
        <w:tc>
          <w:tcPr>
            <w:tcW w:w="0" w:type="auto"/>
            <w:gridSpan w:val="3"/>
            <w:shd w:val="clear" w:color="auto" w:fill="auto"/>
            <w:tcMar>
              <w:top w:w="40" w:type="dxa"/>
              <w:left w:w="20" w:type="dxa"/>
              <w:bottom w:w="40" w:type="dxa"/>
              <w:right w:w="20" w:type="dxa"/>
            </w:tcMar>
          </w:tcPr>
          <w:p w14:paraId="518B5670" w14:textId="77777777" w:rsidR="005C332D" w:rsidRDefault="00B93EAE">
            <w:pPr>
              <w:textAlignment w:val="top"/>
            </w:pPr>
            <w:hyperlink r:id="rId134" w:anchor="i049852cab38845aabd2a79d07dacda86_124" w:history="1">
              <w:r>
                <w:rPr>
                  <w:rStyle w:val="a5"/>
                  <w:rFonts w:ascii="Times New Roman" w:eastAsia="宋体" w:hAnsi="Times New Roman"/>
                  <w:sz w:val="20"/>
                  <w:szCs w:val="20"/>
                </w:rPr>
                <w:t>Note 5: Goodwill and Purchased Intangible Assets</w:t>
              </w:r>
            </w:hyperlink>
          </w:p>
        </w:tc>
        <w:tc>
          <w:tcPr>
            <w:tcW w:w="0" w:type="auto"/>
            <w:gridSpan w:val="3"/>
            <w:shd w:val="clear" w:color="auto" w:fill="auto"/>
            <w:tcMar>
              <w:top w:w="40" w:type="dxa"/>
              <w:left w:w="20" w:type="dxa"/>
              <w:bottom w:w="40" w:type="dxa"/>
              <w:right w:w="20" w:type="dxa"/>
            </w:tcMar>
            <w:vAlign w:val="bottom"/>
          </w:tcPr>
          <w:p w14:paraId="518B5671" w14:textId="77777777" w:rsidR="005C332D" w:rsidRDefault="00B93EAE">
            <w:pPr>
              <w:jc w:val="right"/>
              <w:textAlignment w:val="bottom"/>
            </w:pPr>
            <w:hyperlink r:id="rId135" w:anchor="i049852cab38845aabd2a79d07dacda86_124" w:history="1">
              <w:r>
                <w:rPr>
                  <w:rStyle w:val="a5"/>
                  <w:rFonts w:ascii="Times New Roman" w:eastAsia="宋体" w:hAnsi="Times New Roman"/>
                  <w:sz w:val="20"/>
                  <w:szCs w:val="20"/>
                </w:rPr>
                <w:t>73</w:t>
              </w:r>
            </w:hyperlink>
          </w:p>
        </w:tc>
      </w:tr>
      <w:tr w:rsidR="005C332D" w14:paraId="518B5675" w14:textId="77777777">
        <w:tc>
          <w:tcPr>
            <w:tcW w:w="0" w:type="auto"/>
            <w:gridSpan w:val="3"/>
            <w:shd w:val="clear" w:color="auto" w:fill="auto"/>
            <w:tcMar>
              <w:top w:w="40" w:type="dxa"/>
              <w:left w:w="20" w:type="dxa"/>
              <w:bottom w:w="40" w:type="dxa"/>
              <w:right w:w="20" w:type="dxa"/>
            </w:tcMar>
          </w:tcPr>
          <w:p w14:paraId="518B5673" w14:textId="77777777" w:rsidR="005C332D" w:rsidRDefault="00B93EAE">
            <w:pPr>
              <w:textAlignment w:val="top"/>
            </w:pPr>
            <w:hyperlink r:id="rId136" w:anchor="i049852cab38845aabd2a79d07dacda86_127" w:history="1">
              <w:r>
                <w:rPr>
                  <w:rStyle w:val="a5"/>
                  <w:rFonts w:ascii="Times New Roman" w:eastAsia="宋体" w:hAnsi="Times New Roman"/>
                  <w:sz w:val="20"/>
                  <w:szCs w:val="20"/>
                </w:rPr>
                <w:t>Note 6: Restructuring and Other Charges</w:t>
              </w:r>
            </w:hyperlink>
          </w:p>
        </w:tc>
        <w:tc>
          <w:tcPr>
            <w:tcW w:w="0" w:type="auto"/>
            <w:gridSpan w:val="3"/>
            <w:shd w:val="clear" w:color="auto" w:fill="auto"/>
            <w:tcMar>
              <w:top w:w="40" w:type="dxa"/>
              <w:left w:w="20" w:type="dxa"/>
              <w:bottom w:w="40" w:type="dxa"/>
              <w:right w:w="20" w:type="dxa"/>
            </w:tcMar>
            <w:vAlign w:val="bottom"/>
          </w:tcPr>
          <w:p w14:paraId="518B5674" w14:textId="77777777" w:rsidR="005C332D" w:rsidRDefault="00B93EAE">
            <w:pPr>
              <w:jc w:val="right"/>
              <w:textAlignment w:val="bottom"/>
            </w:pPr>
            <w:hyperlink r:id="rId137" w:anchor="i049852cab38845aabd2a79d07dacda86_127" w:history="1">
              <w:r>
                <w:rPr>
                  <w:rStyle w:val="a5"/>
                  <w:rFonts w:ascii="Times New Roman" w:eastAsia="宋体" w:hAnsi="Times New Roman"/>
                  <w:sz w:val="20"/>
                  <w:szCs w:val="20"/>
                </w:rPr>
                <w:t>74</w:t>
              </w:r>
            </w:hyperlink>
          </w:p>
        </w:tc>
      </w:tr>
      <w:tr w:rsidR="005C332D" w14:paraId="518B5678" w14:textId="77777777">
        <w:tc>
          <w:tcPr>
            <w:tcW w:w="0" w:type="auto"/>
            <w:gridSpan w:val="3"/>
            <w:shd w:val="clear" w:color="auto" w:fill="auto"/>
            <w:tcMar>
              <w:top w:w="40" w:type="dxa"/>
              <w:left w:w="20" w:type="dxa"/>
              <w:bottom w:w="40" w:type="dxa"/>
              <w:right w:w="20" w:type="dxa"/>
            </w:tcMar>
          </w:tcPr>
          <w:p w14:paraId="518B5676" w14:textId="77777777" w:rsidR="005C332D" w:rsidRDefault="00B93EAE">
            <w:pPr>
              <w:textAlignment w:val="top"/>
            </w:pPr>
            <w:hyperlink r:id="rId138" w:anchor="i049852cab38845aabd2a79d07dacda86_130" w:history="1">
              <w:r>
                <w:rPr>
                  <w:rStyle w:val="a5"/>
                  <w:rFonts w:ascii="Times New Roman" w:eastAsia="宋体" w:hAnsi="Times New Roman"/>
                  <w:sz w:val="20"/>
                  <w:szCs w:val="20"/>
                </w:rPr>
                <w:t>Note 7: Balance Sh</w:t>
              </w:r>
              <w:r>
                <w:rPr>
                  <w:rStyle w:val="a5"/>
                  <w:rFonts w:ascii="Times New Roman" w:eastAsia="宋体" w:hAnsi="Times New Roman"/>
                  <w:sz w:val="20"/>
                  <w:szCs w:val="20"/>
                </w:rPr>
                <w:t>eet and Other Details</w:t>
              </w:r>
            </w:hyperlink>
          </w:p>
        </w:tc>
        <w:tc>
          <w:tcPr>
            <w:tcW w:w="0" w:type="auto"/>
            <w:gridSpan w:val="3"/>
            <w:shd w:val="clear" w:color="auto" w:fill="auto"/>
            <w:tcMar>
              <w:top w:w="40" w:type="dxa"/>
              <w:left w:w="20" w:type="dxa"/>
              <w:bottom w:w="40" w:type="dxa"/>
              <w:right w:w="20" w:type="dxa"/>
            </w:tcMar>
            <w:vAlign w:val="bottom"/>
          </w:tcPr>
          <w:p w14:paraId="518B5677" w14:textId="77777777" w:rsidR="005C332D" w:rsidRDefault="00B93EAE">
            <w:pPr>
              <w:jc w:val="right"/>
              <w:textAlignment w:val="bottom"/>
            </w:pPr>
            <w:hyperlink r:id="rId139" w:anchor="i049852cab38845aabd2a79d07dacda86_130" w:history="1">
              <w:r>
                <w:rPr>
                  <w:rStyle w:val="a5"/>
                  <w:rFonts w:ascii="Times New Roman" w:eastAsia="宋体" w:hAnsi="Times New Roman"/>
                  <w:sz w:val="20"/>
                  <w:szCs w:val="20"/>
                </w:rPr>
                <w:t>75</w:t>
              </w:r>
            </w:hyperlink>
          </w:p>
        </w:tc>
      </w:tr>
      <w:tr w:rsidR="005C332D" w14:paraId="518B567B" w14:textId="77777777">
        <w:tc>
          <w:tcPr>
            <w:tcW w:w="0" w:type="auto"/>
            <w:gridSpan w:val="3"/>
            <w:shd w:val="clear" w:color="auto" w:fill="auto"/>
            <w:tcMar>
              <w:top w:w="40" w:type="dxa"/>
              <w:left w:w="20" w:type="dxa"/>
              <w:bottom w:w="40" w:type="dxa"/>
              <w:right w:w="20" w:type="dxa"/>
            </w:tcMar>
          </w:tcPr>
          <w:p w14:paraId="518B5679" w14:textId="77777777" w:rsidR="005C332D" w:rsidRDefault="00B93EAE">
            <w:pPr>
              <w:textAlignment w:val="top"/>
            </w:pPr>
            <w:hyperlink r:id="rId140" w:anchor="i049852cab38845aabd2a79d07dacda86_133" w:history="1">
              <w:r>
                <w:rPr>
                  <w:rStyle w:val="a5"/>
                  <w:rFonts w:ascii="Times New Roman" w:eastAsia="宋体" w:hAnsi="Times New Roman"/>
                  <w:sz w:val="20"/>
                  <w:szCs w:val="20"/>
                </w:rPr>
                <w:t>Note 8: Leases</w:t>
              </w:r>
            </w:hyperlink>
          </w:p>
        </w:tc>
        <w:tc>
          <w:tcPr>
            <w:tcW w:w="0" w:type="auto"/>
            <w:gridSpan w:val="3"/>
            <w:shd w:val="clear" w:color="auto" w:fill="auto"/>
            <w:tcMar>
              <w:top w:w="40" w:type="dxa"/>
              <w:left w:w="20" w:type="dxa"/>
              <w:bottom w:w="40" w:type="dxa"/>
              <w:right w:w="20" w:type="dxa"/>
            </w:tcMar>
            <w:vAlign w:val="bottom"/>
          </w:tcPr>
          <w:p w14:paraId="518B567A" w14:textId="77777777" w:rsidR="005C332D" w:rsidRDefault="00B93EAE">
            <w:pPr>
              <w:jc w:val="right"/>
              <w:textAlignment w:val="bottom"/>
            </w:pPr>
            <w:hyperlink r:id="rId141" w:anchor="i049852cab38845aabd2a79d07dacda86_133" w:history="1">
              <w:r>
                <w:rPr>
                  <w:rStyle w:val="a5"/>
                  <w:rFonts w:ascii="Times New Roman" w:eastAsia="宋体" w:hAnsi="Times New Roman"/>
                  <w:sz w:val="20"/>
                  <w:szCs w:val="20"/>
                </w:rPr>
                <w:t>77</w:t>
              </w:r>
            </w:hyperlink>
          </w:p>
        </w:tc>
      </w:tr>
      <w:tr w:rsidR="005C332D" w14:paraId="518B567E" w14:textId="77777777">
        <w:tc>
          <w:tcPr>
            <w:tcW w:w="0" w:type="auto"/>
            <w:gridSpan w:val="3"/>
            <w:shd w:val="clear" w:color="auto" w:fill="auto"/>
            <w:tcMar>
              <w:top w:w="40" w:type="dxa"/>
              <w:left w:w="20" w:type="dxa"/>
              <w:bottom w:w="40" w:type="dxa"/>
              <w:right w:w="20" w:type="dxa"/>
            </w:tcMar>
          </w:tcPr>
          <w:p w14:paraId="518B567C" w14:textId="77777777" w:rsidR="005C332D" w:rsidRDefault="00B93EAE">
            <w:pPr>
              <w:textAlignment w:val="top"/>
            </w:pPr>
            <w:hyperlink r:id="rId142" w:anchor="i049852cab38845aabd2a79d07dacda86_136" w:history="1">
              <w:r>
                <w:rPr>
                  <w:rStyle w:val="a5"/>
                  <w:rFonts w:ascii="Times New Roman" w:eastAsia="宋体" w:hAnsi="Times New Roman"/>
                  <w:sz w:val="20"/>
                  <w:szCs w:val="20"/>
                </w:rPr>
                <w:t>Note 9: Financing Receivables</w:t>
              </w:r>
            </w:hyperlink>
          </w:p>
        </w:tc>
        <w:tc>
          <w:tcPr>
            <w:tcW w:w="0" w:type="auto"/>
            <w:gridSpan w:val="3"/>
            <w:shd w:val="clear" w:color="auto" w:fill="auto"/>
            <w:tcMar>
              <w:top w:w="40" w:type="dxa"/>
              <w:left w:w="20" w:type="dxa"/>
              <w:bottom w:w="40" w:type="dxa"/>
              <w:right w:w="20" w:type="dxa"/>
            </w:tcMar>
            <w:vAlign w:val="bottom"/>
          </w:tcPr>
          <w:p w14:paraId="518B567D" w14:textId="77777777" w:rsidR="005C332D" w:rsidRDefault="00B93EAE">
            <w:pPr>
              <w:jc w:val="right"/>
              <w:textAlignment w:val="bottom"/>
            </w:pPr>
            <w:hyperlink r:id="rId143" w:anchor="i049852cab38845aabd2a79d07dacda86_136" w:history="1">
              <w:r>
                <w:rPr>
                  <w:rStyle w:val="a5"/>
                  <w:rFonts w:ascii="Times New Roman" w:eastAsia="宋体" w:hAnsi="Times New Roman"/>
                  <w:sz w:val="20"/>
                  <w:szCs w:val="20"/>
                </w:rPr>
                <w:t>78</w:t>
              </w:r>
            </w:hyperlink>
          </w:p>
        </w:tc>
      </w:tr>
      <w:tr w:rsidR="005C332D" w14:paraId="518B5681" w14:textId="77777777">
        <w:tc>
          <w:tcPr>
            <w:tcW w:w="0" w:type="auto"/>
            <w:gridSpan w:val="3"/>
            <w:shd w:val="clear" w:color="auto" w:fill="auto"/>
            <w:tcMar>
              <w:top w:w="40" w:type="dxa"/>
              <w:left w:w="20" w:type="dxa"/>
              <w:bottom w:w="40" w:type="dxa"/>
              <w:right w:w="20" w:type="dxa"/>
            </w:tcMar>
          </w:tcPr>
          <w:p w14:paraId="518B567F" w14:textId="77777777" w:rsidR="005C332D" w:rsidRDefault="00B93EAE">
            <w:pPr>
              <w:textAlignment w:val="top"/>
            </w:pPr>
            <w:hyperlink r:id="rId144" w:anchor="i049852cab38845aabd2a79d07dacda86_139" w:history="1">
              <w:r>
                <w:rPr>
                  <w:rStyle w:val="a5"/>
                  <w:rFonts w:ascii="Times New Roman" w:eastAsia="宋体" w:hAnsi="Times New Roman"/>
                  <w:sz w:val="20"/>
                  <w:szCs w:val="20"/>
                </w:rPr>
                <w:t>Note 10: Available-for-Sale Debt and Eq</w:t>
              </w:r>
              <w:r>
                <w:rPr>
                  <w:rStyle w:val="a5"/>
                  <w:rFonts w:ascii="Times New Roman" w:eastAsia="宋体" w:hAnsi="Times New Roman"/>
                  <w:sz w:val="20"/>
                  <w:szCs w:val="20"/>
                </w:rPr>
                <w:t>uity Investments</w:t>
              </w:r>
            </w:hyperlink>
          </w:p>
        </w:tc>
        <w:tc>
          <w:tcPr>
            <w:tcW w:w="0" w:type="auto"/>
            <w:gridSpan w:val="3"/>
            <w:shd w:val="clear" w:color="auto" w:fill="auto"/>
            <w:tcMar>
              <w:top w:w="40" w:type="dxa"/>
              <w:left w:w="20" w:type="dxa"/>
              <w:bottom w:w="40" w:type="dxa"/>
              <w:right w:w="20" w:type="dxa"/>
            </w:tcMar>
            <w:vAlign w:val="bottom"/>
          </w:tcPr>
          <w:p w14:paraId="518B5680" w14:textId="77777777" w:rsidR="005C332D" w:rsidRDefault="00B93EAE">
            <w:pPr>
              <w:jc w:val="right"/>
              <w:textAlignment w:val="bottom"/>
            </w:pPr>
            <w:hyperlink r:id="rId145" w:anchor="i049852cab38845aabd2a79d07dacda86_139" w:history="1">
              <w:r>
                <w:rPr>
                  <w:rStyle w:val="a5"/>
                  <w:rFonts w:ascii="Times New Roman" w:eastAsia="宋体" w:hAnsi="Times New Roman"/>
                  <w:sz w:val="20"/>
                  <w:szCs w:val="20"/>
                </w:rPr>
                <w:t>81</w:t>
              </w:r>
            </w:hyperlink>
          </w:p>
        </w:tc>
      </w:tr>
      <w:tr w:rsidR="005C332D" w14:paraId="518B5684" w14:textId="77777777">
        <w:tc>
          <w:tcPr>
            <w:tcW w:w="0" w:type="auto"/>
            <w:gridSpan w:val="3"/>
            <w:shd w:val="clear" w:color="auto" w:fill="auto"/>
            <w:tcMar>
              <w:top w:w="40" w:type="dxa"/>
              <w:left w:w="20" w:type="dxa"/>
              <w:bottom w:w="40" w:type="dxa"/>
              <w:right w:w="20" w:type="dxa"/>
            </w:tcMar>
          </w:tcPr>
          <w:p w14:paraId="518B5682" w14:textId="77777777" w:rsidR="005C332D" w:rsidRDefault="00B93EAE">
            <w:pPr>
              <w:textAlignment w:val="top"/>
            </w:pPr>
            <w:hyperlink r:id="rId146" w:anchor="i049852cab38845aabd2a79d07dacda86_142" w:history="1">
              <w:r>
                <w:rPr>
                  <w:rStyle w:val="a5"/>
                  <w:rFonts w:ascii="Times New Roman" w:eastAsia="宋体" w:hAnsi="Times New Roman"/>
                  <w:sz w:val="20"/>
                  <w:szCs w:val="20"/>
                </w:rPr>
                <w:t>Note 11: Fair Value</w:t>
              </w:r>
            </w:hyperlink>
          </w:p>
        </w:tc>
        <w:tc>
          <w:tcPr>
            <w:tcW w:w="0" w:type="auto"/>
            <w:gridSpan w:val="3"/>
            <w:shd w:val="clear" w:color="auto" w:fill="auto"/>
            <w:tcMar>
              <w:top w:w="40" w:type="dxa"/>
              <w:left w:w="20" w:type="dxa"/>
              <w:bottom w:w="40" w:type="dxa"/>
              <w:right w:w="20" w:type="dxa"/>
            </w:tcMar>
            <w:vAlign w:val="bottom"/>
          </w:tcPr>
          <w:p w14:paraId="518B5683" w14:textId="77777777" w:rsidR="005C332D" w:rsidRDefault="00B93EAE">
            <w:pPr>
              <w:jc w:val="right"/>
              <w:textAlignment w:val="bottom"/>
            </w:pPr>
            <w:hyperlink r:id="rId147" w:anchor="i049852cab38845aabd2a79d07dacda86_142" w:history="1">
              <w:r>
                <w:rPr>
                  <w:rStyle w:val="a5"/>
                  <w:rFonts w:ascii="Times New Roman" w:eastAsia="宋体" w:hAnsi="Times New Roman"/>
                  <w:sz w:val="20"/>
                  <w:szCs w:val="20"/>
                </w:rPr>
                <w:t>84</w:t>
              </w:r>
            </w:hyperlink>
          </w:p>
        </w:tc>
      </w:tr>
      <w:tr w:rsidR="005C332D" w14:paraId="518B5687" w14:textId="77777777">
        <w:tc>
          <w:tcPr>
            <w:tcW w:w="0" w:type="auto"/>
            <w:gridSpan w:val="3"/>
            <w:shd w:val="clear" w:color="auto" w:fill="auto"/>
            <w:tcMar>
              <w:top w:w="40" w:type="dxa"/>
              <w:left w:w="20" w:type="dxa"/>
              <w:bottom w:w="40" w:type="dxa"/>
              <w:right w:w="20" w:type="dxa"/>
            </w:tcMar>
          </w:tcPr>
          <w:p w14:paraId="518B5685" w14:textId="77777777" w:rsidR="005C332D" w:rsidRDefault="00B93EAE">
            <w:pPr>
              <w:textAlignment w:val="top"/>
            </w:pPr>
            <w:hyperlink r:id="rId148" w:anchor="i049852cab38845aabd2a79d07dacda86_145" w:history="1">
              <w:r>
                <w:rPr>
                  <w:rStyle w:val="a5"/>
                  <w:rFonts w:ascii="Times New Roman" w:eastAsia="宋体" w:hAnsi="Times New Roman"/>
                  <w:sz w:val="20"/>
                  <w:szCs w:val="20"/>
                </w:rPr>
                <w:t>Note 12: Borrowings</w:t>
              </w:r>
            </w:hyperlink>
          </w:p>
        </w:tc>
        <w:tc>
          <w:tcPr>
            <w:tcW w:w="0" w:type="auto"/>
            <w:gridSpan w:val="3"/>
            <w:shd w:val="clear" w:color="auto" w:fill="auto"/>
            <w:tcMar>
              <w:top w:w="40" w:type="dxa"/>
              <w:left w:w="20" w:type="dxa"/>
              <w:bottom w:w="40" w:type="dxa"/>
              <w:right w:w="20" w:type="dxa"/>
            </w:tcMar>
            <w:vAlign w:val="bottom"/>
          </w:tcPr>
          <w:p w14:paraId="518B5686" w14:textId="77777777" w:rsidR="005C332D" w:rsidRDefault="00B93EAE">
            <w:pPr>
              <w:jc w:val="right"/>
              <w:textAlignment w:val="bottom"/>
            </w:pPr>
            <w:hyperlink r:id="rId149" w:anchor="i049852cab38845aabd2a79d07dacda86_145" w:history="1">
              <w:r>
                <w:rPr>
                  <w:rStyle w:val="a5"/>
                  <w:rFonts w:ascii="Times New Roman" w:eastAsia="宋体" w:hAnsi="Times New Roman"/>
                  <w:sz w:val="20"/>
                  <w:szCs w:val="20"/>
                </w:rPr>
                <w:t>85</w:t>
              </w:r>
            </w:hyperlink>
          </w:p>
        </w:tc>
      </w:tr>
      <w:tr w:rsidR="005C332D" w14:paraId="518B568A" w14:textId="77777777">
        <w:tc>
          <w:tcPr>
            <w:tcW w:w="0" w:type="auto"/>
            <w:gridSpan w:val="3"/>
            <w:shd w:val="clear" w:color="auto" w:fill="auto"/>
            <w:tcMar>
              <w:top w:w="40" w:type="dxa"/>
              <w:left w:w="20" w:type="dxa"/>
              <w:bottom w:w="40" w:type="dxa"/>
              <w:right w:w="20" w:type="dxa"/>
            </w:tcMar>
          </w:tcPr>
          <w:p w14:paraId="518B5688" w14:textId="77777777" w:rsidR="005C332D" w:rsidRDefault="00B93EAE">
            <w:pPr>
              <w:textAlignment w:val="top"/>
            </w:pPr>
            <w:hyperlink r:id="rId150" w:anchor="i049852cab38845aabd2a79d07dacda86_148" w:history="1">
              <w:r>
                <w:rPr>
                  <w:rStyle w:val="a5"/>
                  <w:rFonts w:ascii="Times New Roman" w:eastAsia="宋体" w:hAnsi="Times New Roman"/>
                  <w:sz w:val="20"/>
                  <w:szCs w:val="20"/>
                </w:rPr>
                <w:t>Note 13: Derivative Instruments</w:t>
              </w:r>
            </w:hyperlink>
          </w:p>
        </w:tc>
        <w:tc>
          <w:tcPr>
            <w:tcW w:w="0" w:type="auto"/>
            <w:gridSpan w:val="3"/>
            <w:shd w:val="clear" w:color="auto" w:fill="auto"/>
            <w:tcMar>
              <w:top w:w="40" w:type="dxa"/>
              <w:left w:w="20" w:type="dxa"/>
              <w:bottom w:w="40" w:type="dxa"/>
              <w:right w:w="20" w:type="dxa"/>
            </w:tcMar>
            <w:vAlign w:val="bottom"/>
          </w:tcPr>
          <w:p w14:paraId="518B5689" w14:textId="77777777" w:rsidR="005C332D" w:rsidRDefault="00B93EAE">
            <w:pPr>
              <w:jc w:val="right"/>
              <w:textAlignment w:val="bottom"/>
            </w:pPr>
            <w:hyperlink r:id="rId151" w:anchor="i049852cab38845aabd2a79d07dacda86_148" w:history="1">
              <w:r>
                <w:rPr>
                  <w:rStyle w:val="a5"/>
                  <w:rFonts w:ascii="Times New Roman" w:eastAsia="宋体" w:hAnsi="Times New Roman"/>
                  <w:sz w:val="20"/>
                  <w:szCs w:val="20"/>
                </w:rPr>
                <w:t>87</w:t>
              </w:r>
            </w:hyperlink>
          </w:p>
        </w:tc>
      </w:tr>
      <w:tr w:rsidR="005C332D" w14:paraId="518B568D" w14:textId="77777777">
        <w:tc>
          <w:tcPr>
            <w:tcW w:w="0" w:type="auto"/>
            <w:gridSpan w:val="3"/>
            <w:shd w:val="clear" w:color="auto" w:fill="auto"/>
            <w:tcMar>
              <w:top w:w="40" w:type="dxa"/>
              <w:left w:w="20" w:type="dxa"/>
              <w:bottom w:w="40" w:type="dxa"/>
              <w:right w:w="20" w:type="dxa"/>
            </w:tcMar>
          </w:tcPr>
          <w:p w14:paraId="518B568B" w14:textId="77777777" w:rsidR="005C332D" w:rsidRDefault="00B93EAE">
            <w:pPr>
              <w:textAlignment w:val="top"/>
            </w:pPr>
            <w:hyperlink r:id="rId152" w:anchor="i049852cab38845aabd2a79d07dacda86_151" w:history="1">
              <w:r>
                <w:rPr>
                  <w:rStyle w:val="a5"/>
                  <w:rFonts w:ascii="Times New Roman" w:eastAsia="宋体" w:hAnsi="Times New Roman"/>
                  <w:sz w:val="20"/>
                  <w:szCs w:val="20"/>
                </w:rPr>
                <w:t>Note 14: Commitments and Contingencies</w:t>
              </w:r>
            </w:hyperlink>
          </w:p>
        </w:tc>
        <w:tc>
          <w:tcPr>
            <w:tcW w:w="0" w:type="auto"/>
            <w:gridSpan w:val="3"/>
            <w:shd w:val="clear" w:color="auto" w:fill="auto"/>
            <w:tcMar>
              <w:top w:w="40" w:type="dxa"/>
              <w:left w:w="20" w:type="dxa"/>
              <w:bottom w:w="40" w:type="dxa"/>
              <w:right w:w="20" w:type="dxa"/>
            </w:tcMar>
            <w:vAlign w:val="bottom"/>
          </w:tcPr>
          <w:p w14:paraId="518B568C" w14:textId="77777777" w:rsidR="005C332D" w:rsidRDefault="00B93EAE">
            <w:pPr>
              <w:jc w:val="right"/>
              <w:textAlignment w:val="bottom"/>
            </w:pPr>
            <w:hyperlink r:id="rId153" w:anchor="i049852cab38845aabd2a79d07dacda86_151" w:history="1">
              <w:r>
                <w:rPr>
                  <w:rStyle w:val="a5"/>
                  <w:rFonts w:ascii="Times New Roman" w:eastAsia="宋体" w:hAnsi="Times New Roman"/>
                  <w:sz w:val="20"/>
                  <w:szCs w:val="20"/>
                </w:rPr>
                <w:t>89</w:t>
              </w:r>
            </w:hyperlink>
          </w:p>
        </w:tc>
      </w:tr>
      <w:tr w:rsidR="005C332D" w14:paraId="518B5690" w14:textId="77777777">
        <w:tc>
          <w:tcPr>
            <w:tcW w:w="0" w:type="auto"/>
            <w:gridSpan w:val="3"/>
            <w:shd w:val="clear" w:color="auto" w:fill="auto"/>
            <w:tcMar>
              <w:top w:w="40" w:type="dxa"/>
              <w:left w:w="20" w:type="dxa"/>
              <w:bottom w:w="40" w:type="dxa"/>
              <w:right w:w="20" w:type="dxa"/>
            </w:tcMar>
          </w:tcPr>
          <w:p w14:paraId="518B568E" w14:textId="77777777" w:rsidR="005C332D" w:rsidRDefault="00B93EAE">
            <w:pPr>
              <w:textAlignment w:val="top"/>
            </w:pPr>
            <w:hyperlink r:id="rId154" w:anchor="i049852cab38845aabd2a79d07dacda86_154" w:history="1">
              <w:r>
                <w:rPr>
                  <w:rStyle w:val="a5"/>
                  <w:rFonts w:ascii="Times New Roman" w:eastAsia="宋体" w:hAnsi="Times New Roman"/>
                  <w:sz w:val="20"/>
                  <w:szCs w:val="20"/>
                </w:rPr>
                <w:t>Note 15: Stockholders’ Equity</w:t>
              </w:r>
            </w:hyperlink>
          </w:p>
        </w:tc>
        <w:tc>
          <w:tcPr>
            <w:tcW w:w="0" w:type="auto"/>
            <w:gridSpan w:val="3"/>
            <w:shd w:val="clear" w:color="auto" w:fill="auto"/>
            <w:tcMar>
              <w:top w:w="40" w:type="dxa"/>
              <w:left w:w="20" w:type="dxa"/>
              <w:bottom w:w="40" w:type="dxa"/>
              <w:right w:w="20" w:type="dxa"/>
            </w:tcMar>
            <w:vAlign w:val="bottom"/>
          </w:tcPr>
          <w:p w14:paraId="518B568F" w14:textId="77777777" w:rsidR="005C332D" w:rsidRDefault="00B93EAE">
            <w:pPr>
              <w:jc w:val="right"/>
              <w:textAlignment w:val="bottom"/>
            </w:pPr>
            <w:hyperlink r:id="rId155" w:anchor="i049852cab38845aabd2a79d07dacda86_154" w:history="1">
              <w:r>
                <w:rPr>
                  <w:rStyle w:val="a5"/>
                  <w:rFonts w:ascii="Times New Roman" w:eastAsia="宋体" w:hAnsi="Times New Roman"/>
                  <w:sz w:val="20"/>
                  <w:szCs w:val="20"/>
                </w:rPr>
                <w:t>93</w:t>
              </w:r>
            </w:hyperlink>
          </w:p>
        </w:tc>
      </w:tr>
      <w:tr w:rsidR="005C332D" w14:paraId="518B5693" w14:textId="77777777">
        <w:tc>
          <w:tcPr>
            <w:tcW w:w="0" w:type="auto"/>
            <w:gridSpan w:val="3"/>
            <w:shd w:val="clear" w:color="auto" w:fill="auto"/>
            <w:tcMar>
              <w:top w:w="40" w:type="dxa"/>
              <w:left w:w="20" w:type="dxa"/>
              <w:bottom w:w="40" w:type="dxa"/>
              <w:right w:w="20" w:type="dxa"/>
            </w:tcMar>
          </w:tcPr>
          <w:p w14:paraId="518B5691" w14:textId="77777777" w:rsidR="005C332D" w:rsidRDefault="00B93EAE">
            <w:pPr>
              <w:textAlignment w:val="top"/>
            </w:pPr>
            <w:hyperlink r:id="rId156" w:anchor="i049852cab38845aabd2a79d07dacda86_157" w:history="1">
              <w:r>
                <w:rPr>
                  <w:rStyle w:val="a5"/>
                  <w:rFonts w:ascii="Times New Roman" w:eastAsia="宋体" w:hAnsi="Times New Roman"/>
                  <w:sz w:val="20"/>
                  <w:szCs w:val="20"/>
                </w:rPr>
                <w:t>Note 16: Employee Benefit Plans</w:t>
              </w:r>
            </w:hyperlink>
          </w:p>
        </w:tc>
        <w:tc>
          <w:tcPr>
            <w:tcW w:w="0" w:type="auto"/>
            <w:gridSpan w:val="3"/>
            <w:shd w:val="clear" w:color="auto" w:fill="auto"/>
            <w:tcMar>
              <w:top w:w="40" w:type="dxa"/>
              <w:left w:w="20" w:type="dxa"/>
              <w:bottom w:w="40" w:type="dxa"/>
              <w:right w:w="20" w:type="dxa"/>
            </w:tcMar>
            <w:vAlign w:val="bottom"/>
          </w:tcPr>
          <w:p w14:paraId="518B5692" w14:textId="77777777" w:rsidR="005C332D" w:rsidRDefault="00B93EAE">
            <w:pPr>
              <w:jc w:val="right"/>
              <w:textAlignment w:val="bottom"/>
            </w:pPr>
            <w:hyperlink r:id="rId157" w:anchor="i049852cab38845aabd2a79d07dacda86_157" w:history="1">
              <w:r>
                <w:rPr>
                  <w:rStyle w:val="a5"/>
                  <w:rFonts w:ascii="Times New Roman" w:eastAsia="宋体" w:hAnsi="Times New Roman"/>
                  <w:sz w:val="20"/>
                  <w:szCs w:val="20"/>
                </w:rPr>
                <w:t>94</w:t>
              </w:r>
            </w:hyperlink>
          </w:p>
        </w:tc>
      </w:tr>
      <w:tr w:rsidR="005C332D" w14:paraId="518B5696" w14:textId="77777777">
        <w:tc>
          <w:tcPr>
            <w:tcW w:w="0" w:type="auto"/>
            <w:gridSpan w:val="3"/>
            <w:shd w:val="clear" w:color="auto" w:fill="auto"/>
            <w:tcMar>
              <w:top w:w="40" w:type="dxa"/>
              <w:left w:w="20" w:type="dxa"/>
              <w:bottom w:w="40" w:type="dxa"/>
              <w:right w:w="20" w:type="dxa"/>
            </w:tcMar>
          </w:tcPr>
          <w:p w14:paraId="518B5694" w14:textId="77777777" w:rsidR="005C332D" w:rsidRDefault="00B93EAE">
            <w:pPr>
              <w:textAlignment w:val="top"/>
            </w:pPr>
            <w:hyperlink r:id="rId158" w:anchor="i049852cab38845aabd2a79d07dacda86_160" w:history="1">
              <w:r>
                <w:rPr>
                  <w:rStyle w:val="a5"/>
                  <w:rFonts w:ascii="Times New Roman" w:eastAsia="宋体" w:hAnsi="Times New Roman"/>
                  <w:sz w:val="20"/>
                  <w:szCs w:val="20"/>
                </w:rPr>
                <w:t>Note 17: Comprehensive Income (Loss)</w:t>
              </w:r>
            </w:hyperlink>
          </w:p>
        </w:tc>
        <w:tc>
          <w:tcPr>
            <w:tcW w:w="0" w:type="auto"/>
            <w:gridSpan w:val="3"/>
            <w:shd w:val="clear" w:color="auto" w:fill="auto"/>
            <w:tcMar>
              <w:top w:w="40" w:type="dxa"/>
              <w:left w:w="20" w:type="dxa"/>
              <w:bottom w:w="40" w:type="dxa"/>
              <w:right w:w="20" w:type="dxa"/>
            </w:tcMar>
            <w:vAlign w:val="bottom"/>
          </w:tcPr>
          <w:p w14:paraId="518B5695" w14:textId="77777777" w:rsidR="005C332D" w:rsidRDefault="00B93EAE">
            <w:pPr>
              <w:jc w:val="right"/>
              <w:textAlignment w:val="bottom"/>
            </w:pPr>
            <w:hyperlink r:id="rId159" w:anchor="i049852cab38845aabd2a79d07dacda86_160" w:history="1">
              <w:r>
                <w:rPr>
                  <w:rStyle w:val="a5"/>
                  <w:rFonts w:ascii="Times New Roman" w:eastAsia="宋体" w:hAnsi="Times New Roman"/>
                  <w:sz w:val="20"/>
                  <w:szCs w:val="20"/>
                </w:rPr>
                <w:t>97</w:t>
              </w:r>
            </w:hyperlink>
          </w:p>
        </w:tc>
      </w:tr>
      <w:tr w:rsidR="005C332D" w14:paraId="518B5699" w14:textId="77777777">
        <w:tc>
          <w:tcPr>
            <w:tcW w:w="0" w:type="auto"/>
            <w:gridSpan w:val="3"/>
            <w:shd w:val="clear" w:color="auto" w:fill="auto"/>
            <w:tcMar>
              <w:top w:w="40" w:type="dxa"/>
              <w:left w:w="20" w:type="dxa"/>
              <w:bottom w:w="40" w:type="dxa"/>
              <w:right w:w="20" w:type="dxa"/>
            </w:tcMar>
          </w:tcPr>
          <w:p w14:paraId="518B5697" w14:textId="77777777" w:rsidR="005C332D" w:rsidRDefault="00B93EAE">
            <w:pPr>
              <w:textAlignment w:val="top"/>
            </w:pPr>
            <w:hyperlink r:id="rId160" w:anchor="i049852cab38845aabd2a79d07dacda86_163" w:history="1">
              <w:r>
                <w:rPr>
                  <w:rStyle w:val="a5"/>
                  <w:rFonts w:ascii="Times New Roman" w:eastAsia="宋体" w:hAnsi="Times New Roman"/>
                  <w:sz w:val="20"/>
                  <w:szCs w:val="20"/>
                </w:rPr>
                <w:t>Note 18: Income Taxes</w:t>
              </w:r>
            </w:hyperlink>
          </w:p>
        </w:tc>
        <w:tc>
          <w:tcPr>
            <w:tcW w:w="0" w:type="auto"/>
            <w:gridSpan w:val="3"/>
            <w:shd w:val="clear" w:color="auto" w:fill="auto"/>
            <w:tcMar>
              <w:top w:w="40" w:type="dxa"/>
              <w:left w:w="20" w:type="dxa"/>
              <w:bottom w:w="40" w:type="dxa"/>
              <w:right w:w="20" w:type="dxa"/>
            </w:tcMar>
            <w:vAlign w:val="bottom"/>
          </w:tcPr>
          <w:p w14:paraId="518B5698" w14:textId="77777777" w:rsidR="005C332D" w:rsidRDefault="00B93EAE">
            <w:pPr>
              <w:jc w:val="right"/>
              <w:textAlignment w:val="bottom"/>
            </w:pPr>
            <w:hyperlink r:id="rId161" w:anchor="i049852cab38845aabd2a79d07dacda86_163" w:history="1">
              <w:r>
                <w:rPr>
                  <w:rStyle w:val="a5"/>
                  <w:rFonts w:ascii="Times New Roman" w:eastAsia="宋体" w:hAnsi="Times New Roman"/>
                  <w:sz w:val="20"/>
                  <w:szCs w:val="20"/>
                </w:rPr>
                <w:t>98</w:t>
              </w:r>
            </w:hyperlink>
          </w:p>
        </w:tc>
      </w:tr>
      <w:tr w:rsidR="005C332D" w14:paraId="518B569C" w14:textId="77777777">
        <w:tc>
          <w:tcPr>
            <w:tcW w:w="0" w:type="auto"/>
            <w:gridSpan w:val="3"/>
            <w:shd w:val="clear" w:color="auto" w:fill="auto"/>
            <w:tcMar>
              <w:top w:w="40" w:type="dxa"/>
              <w:left w:w="20" w:type="dxa"/>
              <w:bottom w:w="40" w:type="dxa"/>
              <w:right w:w="20" w:type="dxa"/>
            </w:tcMar>
          </w:tcPr>
          <w:p w14:paraId="518B569A" w14:textId="77777777" w:rsidR="005C332D" w:rsidRDefault="00B93EAE">
            <w:pPr>
              <w:textAlignment w:val="top"/>
            </w:pPr>
            <w:hyperlink r:id="rId162" w:anchor="i049852cab38845aabd2a79d07dacda86_166" w:history="1">
              <w:r>
                <w:rPr>
                  <w:rStyle w:val="a5"/>
                  <w:rFonts w:ascii="Times New Roman" w:eastAsia="宋体" w:hAnsi="Times New Roman"/>
                  <w:sz w:val="20"/>
                  <w:szCs w:val="20"/>
                </w:rPr>
                <w:t>Note 19: Segment Information and Major Customers</w:t>
              </w:r>
            </w:hyperlink>
          </w:p>
        </w:tc>
        <w:tc>
          <w:tcPr>
            <w:tcW w:w="0" w:type="auto"/>
            <w:gridSpan w:val="3"/>
            <w:shd w:val="clear" w:color="auto" w:fill="auto"/>
            <w:tcMar>
              <w:top w:w="40" w:type="dxa"/>
              <w:left w:w="20" w:type="dxa"/>
              <w:bottom w:w="40" w:type="dxa"/>
              <w:right w:w="20" w:type="dxa"/>
            </w:tcMar>
            <w:vAlign w:val="bottom"/>
          </w:tcPr>
          <w:p w14:paraId="518B569B" w14:textId="77777777" w:rsidR="005C332D" w:rsidRDefault="00B93EAE">
            <w:pPr>
              <w:jc w:val="right"/>
              <w:textAlignment w:val="bottom"/>
            </w:pPr>
            <w:hyperlink r:id="rId163" w:anchor="i049852cab38845aabd2a79d07dacda86_166" w:history="1">
              <w:r>
                <w:rPr>
                  <w:rStyle w:val="a5"/>
                  <w:rFonts w:ascii="Times New Roman" w:eastAsia="宋体" w:hAnsi="Times New Roman"/>
                  <w:sz w:val="20"/>
                  <w:szCs w:val="20"/>
                </w:rPr>
                <w:t>101</w:t>
              </w:r>
            </w:hyperlink>
          </w:p>
        </w:tc>
      </w:tr>
      <w:tr w:rsidR="005C332D" w14:paraId="518B569F" w14:textId="77777777">
        <w:tc>
          <w:tcPr>
            <w:tcW w:w="0" w:type="auto"/>
            <w:gridSpan w:val="3"/>
            <w:shd w:val="clear" w:color="auto" w:fill="auto"/>
            <w:tcMar>
              <w:top w:w="40" w:type="dxa"/>
              <w:left w:w="20" w:type="dxa"/>
              <w:bottom w:w="40" w:type="dxa"/>
              <w:right w:w="20" w:type="dxa"/>
            </w:tcMar>
          </w:tcPr>
          <w:p w14:paraId="518B569D" w14:textId="77777777" w:rsidR="005C332D" w:rsidRDefault="00B93EAE">
            <w:pPr>
              <w:textAlignment w:val="top"/>
            </w:pPr>
            <w:hyperlink r:id="rId164" w:anchor="i049852cab38845aabd2a79d07dacda86_169" w:history="1">
              <w:r>
                <w:rPr>
                  <w:rStyle w:val="a5"/>
                  <w:rFonts w:ascii="Times New Roman" w:eastAsia="宋体" w:hAnsi="Times New Roman"/>
                  <w:sz w:val="20"/>
                  <w:szCs w:val="20"/>
                </w:rPr>
                <w:t>Note 20: Net Income per Share</w:t>
              </w:r>
            </w:hyperlink>
          </w:p>
        </w:tc>
        <w:tc>
          <w:tcPr>
            <w:tcW w:w="0" w:type="auto"/>
            <w:gridSpan w:val="3"/>
            <w:shd w:val="clear" w:color="auto" w:fill="auto"/>
            <w:tcMar>
              <w:top w:w="40" w:type="dxa"/>
              <w:left w:w="20" w:type="dxa"/>
              <w:bottom w:w="40" w:type="dxa"/>
              <w:right w:w="20" w:type="dxa"/>
            </w:tcMar>
            <w:vAlign w:val="bottom"/>
          </w:tcPr>
          <w:p w14:paraId="518B569E" w14:textId="77777777" w:rsidR="005C332D" w:rsidRDefault="00B93EAE">
            <w:pPr>
              <w:jc w:val="right"/>
              <w:textAlignment w:val="bottom"/>
            </w:pPr>
            <w:hyperlink r:id="rId165" w:anchor="i049852cab38845aabd2a79d07dacda86_169" w:history="1">
              <w:r>
                <w:rPr>
                  <w:rStyle w:val="a5"/>
                  <w:rFonts w:ascii="Times New Roman" w:eastAsia="宋体" w:hAnsi="Times New Roman"/>
                  <w:sz w:val="20"/>
                  <w:szCs w:val="20"/>
                </w:rPr>
                <w:t>102</w:t>
              </w:r>
            </w:hyperlink>
          </w:p>
        </w:tc>
      </w:tr>
    </w:tbl>
    <w:p w14:paraId="518B56A0" w14:textId="77777777" w:rsidR="005C332D" w:rsidRDefault="005C332D"/>
    <w:p w14:paraId="518B56A1" w14:textId="77777777" w:rsidR="005C332D" w:rsidRDefault="00B93EAE">
      <w:pPr>
        <w:jc w:val="center"/>
      </w:pPr>
      <w:r>
        <w:rPr>
          <w:rFonts w:ascii="Times New Roman" w:eastAsia="宋体" w:hAnsi="Times New Roman"/>
          <w:color w:val="000000"/>
          <w:sz w:val="20"/>
          <w:szCs w:val="20"/>
        </w:rPr>
        <w:t>55</w:t>
      </w:r>
    </w:p>
    <w:p w14:paraId="518B56A2" w14:textId="77777777" w:rsidR="005C332D" w:rsidRDefault="00B93EAE">
      <w:r>
        <w:pict w14:anchorId="518B874C">
          <v:rect id="_x0000_i1081" style="width:415.3pt;height:1.5pt" o:hralign="center" o:hrstd="t" o:hr="t" fillcolor="#a0a0a0" stroked="f"/>
        </w:pict>
      </w:r>
    </w:p>
    <w:p w14:paraId="518B56A3" w14:textId="77777777" w:rsidR="005C332D" w:rsidRDefault="00B93EAE">
      <w:hyperlink r:id="rId166" w:anchor="i049852cab38845aabd2a79d07dacda86_7" w:history="1">
        <w:r>
          <w:rPr>
            <w:rStyle w:val="a5"/>
            <w:rFonts w:ascii="Times New Roman" w:eastAsia="宋体" w:hAnsi="Times New Roman"/>
            <w:sz w:val="20"/>
            <w:szCs w:val="20"/>
          </w:rPr>
          <w:t>Table of Contents</w:t>
        </w:r>
      </w:hyperlink>
    </w:p>
    <w:p w14:paraId="518B56A4" w14:textId="77777777" w:rsidR="005C332D" w:rsidRDefault="00B93EAE">
      <w:pPr>
        <w:spacing w:before="225"/>
      </w:pPr>
      <w:r>
        <w:rPr>
          <w:rFonts w:ascii="Times New Roman" w:eastAsia="宋体" w:hAnsi="Times New Roman"/>
          <w:b/>
          <w:bCs/>
          <w:color w:val="000000"/>
          <w:sz w:val="20"/>
          <w:szCs w:val="20"/>
        </w:rPr>
        <w:t>Re</w:t>
      </w:r>
      <w:r>
        <w:rPr>
          <w:rFonts w:ascii="Times New Roman" w:eastAsia="宋体" w:hAnsi="Times New Roman"/>
          <w:b/>
          <w:bCs/>
          <w:color w:val="000000"/>
          <w:sz w:val="20"/>
          <w:szCs w:val="20"/>
        </w:rPr>
        <w:t>port of Independent Registered Public Accounting Firm</w:t>
      </w:r>
    </w:p>
    <w:p w14:paraId="518B56A5" w14:textId="77777777" w:rsidR="005C332D" w:rsidRDefault="00B93EAE">
      <w:pPr>
        <w:spacing w:before="120"/>
      </w:pPr>
      <w:r>
        <w:rPr>
          <w:rFonts w:ascii="Times New Roman" w:eastAsia="宋体" w:hAnsi="Times New Roman"/>
          <w:color w:val="000000"/>
          <w:sz w:val="20"/>
          <w:szCs w:val="20"/>
        </w:rPr>
        <w:t xml:space="preserve">To the Board of Directors and Stockholders of Cisco Systems, Inc. </w:t>
      </w:r>
    </w:p>
    <w:p w14:paraId="518B56A6" w14:textId="77777777" w:rsidR="005C332D" w:rsidRDefault="00B93EAE">
      <w:pPr>
        <w:spacing w:before="120"/>
        <w:jc w:val="both"/>
      </w:pPr>
      <w:r>
        <w:rPr>
          <w:rFonts w:ascii="Times New Roman" w:eastAsia="宋体" w:hAnsi="Times New Roman"/>
          <w:b/>
          <w:bCs/>
          <w:i/>
          <w:iCs/>
          <w:color w:val="000000"/>
          <w:sz w:val="20"/>
          <w:szCs w:val="20"/>
        </w:rPr>
        <w:t>Opinions on the Financial Statements and Internal Control over Financial Reporting</w:t>
      </w:r>
    </w:p>
    <w:p w14:paraId="518B56A7" w14:textId="77777777" w:rsidR="005C332D" w:rsidRDefault="00B93EAE">
      <w:pPr>
        <w:spacing w:before="120"/>
        <w:jc w:val="both"/>
      </w:pPr>
      <w:r>
        <w:rPr>
          <w:rFonts w:ascii="Times New Roman" w:eastAsia="宋体" w:hAnsi="Times New Roman"/>
          <w:color w:val="222222"/>
          <w:sz w:val="20"/>
          <w:szCs w:val="20"/>
        </w:rPr>
        <w:t>We have audited the accompanying consolidated balanc</w:t>
      </w:r>
      <w:r>
        <w:rPr>
          <w:rFonts w:ascii="Times New Roman" w:eastAsia="宋体" w:hAnsi="Times New Roman"/>
          <w:color w:val="222222"/>
          <w:sz w:val="20"/>
          <w:szCs w:val="20"/>
        </w:rPr>
        <w:t>e sheets of Cisco Systems, Inc. and its subsidiaries (the “Company”) as of July 30, 2022 and July 31, 2021, and the related consolidated statements of operations, comprehensive income, equity and cash flows for each of the three years in the period ended J</w:t>
      </w:r>
      <w:r>
        <w:rPr>
          <w:rFonts w:ascii="Times New Roman" w:eastAsia="宋体" w:hAnsi="Times New Roman"/>
          <w:color w:val="222222"/>
          <w:sz w:val="20"/>
          <w:szCs w:val="20"/>
        </w:rPr>
        <w:t>uly 30, 2022, including the related notes (collectively referred to as the “consolidated financial statements”). We also have audited the Company's internal control over financial reporting as of July 30, 2022, based on criteria established in </w:t>
      </w:r>
      <w:r>
        <w:rPr>
          <w:rFonts w:ascii="Times New Roman" w:eastAsia="宋体" w:hAnsi="Times New Roman"/>
          <w:i/>
          <w:iCs/>
          <w:color w:val="222222"/>
          <w:sz w:val="20"/>
          <w:szCs w:val="20"/>
        </w:rPr>
        <w:t>Internal Con</w:t>
      </w:r>
      <w:r>
        <w:rPr>
          <w:rFonts w:ascii="Times New Roman" w:eastAsia="宋体" w:hAnsi="Times New Roman"/>
          <w:i/>
          <w:iCs/>
          <w:color w:val="222222"/>
          <w:sz w:val="20"/>
          <w:szCs w:val="20"/>
        </w:rPr>
        <w:t>trol - Integrated Framework</w:t>
      </w:r>
      <w:r>
        <w:rPr>
          <w:rFonts w:ascii="Times New Roman" w:eastAsia="宋体" w:hAnsi="Times New Roman"/>
          <w:color w:val="222222"/>
          <w:sz w:val="20"/>
          <w:szCs w:val="20"/>
        </w:rPr>
        <w:t> (2013) issued by the Committee of Sponsoring Organizations of the Treadway Commission (COSO). </w:t>
      </w:r>
    </w:p>
    <w:p w14:paraId="518B56A8" w14:textId="77777777" w:rsidR="005C332D" w:rsidRDefault="00B93EAE">
      <w:pPr>
        <w:spacing w:before="120"/>
        <w:jc w:val="both"/>
      </w:pPr>
      <w:r>
        <w:rPr>
          <w:rFonts w:ascii="Times New Roman" w:eastAsia="宋体" w:hAnsi="Times New Roman"/>
          <w:color w:val="000000"/>
          <w:sz w:val="20"/>
          <w:szCs w:val="20"/>
        </w:rPr>
        <w:t xml:space="preserve">In our opinion, the consolidated financial statements referred to above present fairly, in all material respects, the financial position of the Company as of July 30, 2022 and July 31, 2021, and the results of its operations and its cash flows for each of </w:t>
      </w:r>
      <w:r>
        <w:rPr>
          <w:rFonts w:ascii="Times New Roman" w:eastAsia="宋体" w:hAnsi="Times New Roman"/>
          <w:color w:val="000000"/>
          <w:sz w:val="20"/>
          <w:szCs w:val="20"/>
        </w:rPr>
        <w:t xml:space="preserve">the three years in the period ended July 30, 2022 in conformity with accounting principles generally accepted in the United States of America. Also in our opinion, the Company maintained, in all material respects, effective internal control over financial </w:t>
      </w:r>
      <w:r>
        <w:rPr>
          <w:rFonts w:ascii="Times New Roman" w:eastAsia="宋体" w:hAnsi="Times New Roman"/>
          <w:color w:val="000000"/>
          <w:sz w:val="20"/>
          <w:szCs w:val="20"/>
        </w:rPr>
        <w:t xml:space="preserve">reporting as of July 30, 2022, based on criteria established in </w:t>
      </w:r>
      <w:r>
        <w:rPr>
          <w:rFonts w:ascii="Times New Roman" w:eastAsia="宋体" w:hAnsi="Times New Roman"/>
          <w:i/>
          <w:iCs/>
          <w:color w:val="000000"/>
          <w:sz w:val="20"/>
          <w:szCs w:val="20"/>
        </w:rPr>
        <w:t>Internal Control - Integrated Framework</w:t>
      </w:r>
      <w:r>
        <w:rPr>
          <w:rFonts w:ascii="Times New Roman" w:eastAsia="宋体" w:hAnsi="Times New Roman"/>
          <w:color w:val="000000"/>
          <w:sz w:val="20"/>
          <w:szCs w:val="20"/>
        </w:rPr>
        <w:t xml:space="preserve"> (2013) issued by the COSO.</w:t>
      </w:r>
    </w:p>
    <w:p w14:paraId="518B56A9" w14:textId="77777777" w:rsidR="005C332D" w:rsidRDefault="00B93EAE">
      <w:pPr>
        <w:spacing w:before="120"/>
        <w:jc w:val="both"/>
      </w:pPr>
      <w:r>
        <w:rPr>
          <w:rFonts w:ascii="Times New Roman" w:eastAsia="宋体" w:hAnsi="Times New Roman"/>
          <w:b/>
          <w:bCs/>
          <w:i/>
          <w:iCs/>
          <w:color w:val="000000"/>
          <w:sz w:val="20"/>
          <w:szCs w:val="20"/>
        </w:rPr>
        <w:t>Basis for Opinions</w:t>
      </w:r>
    </w:p>
    <w:p w14:paraId="518B56AA" w14:textId="77777777" w:rsidR="005C332D" w:rsidRDefault="00B93EAE">
      <w:pPr>
        <w:spacing w:before="120"/>
        <w:jc w:val="both"/>
      </w:pPr>
      <w:r>
        <w:rPr>
          <w:rFonts w:ascii="Times New Roman" w:eastAsia="宋体" w:hAnsi="Times New Roman"/>
          <w:color w:val="000000"/>
          <w:sz w:val="20"/>
          <w:szCs w:val="20"/>
        </w:rPr>
        <w:t>The Company's management is responsible for these consolidated financial statements, for maintaining effec</w:t>
      </w:r>
      <w:r>
        <w:rPr>
          <w:rFonts w:ascii="Times New Roman" w:eastAsia="宋体" w:hAnsi="Times New Roman"/>
          <w:color w:val="000000"/>
          <w:sz w:val="20"/>
          <w:szCs w:val="20"/>
        </w:rPr>
        <w:t>tive internal control over financial reporting, and for its assessment of the effectiveness of internal control over financial reporting, included in the accompanying Management’s Report on Internal Control over Financial Reporting. Our responsibility is t</w:t>
      </w:r>
      <w:r>
        <w:rPr>
          <w:rFonts w:ascii="Times New Roman" w:eastAsia="宋体" w:hAnsi="Times New Roman"/>
          <w:color w:val="000000"/>
          <w:sz w:val="20"/>
          <w:szCs w:val="20"/>
        </w:rPr>
        <w:t xml:space="preserve">o express opinions on the Company’s consolidated financial statements and on the Company's internal control over financial reporting based on our audits. We are a public accounting firm registered with the Public Company Accounting Oversight Board (United </w:t>
      </w:r>
      <w:r>
        <w:rPr>
          <w:rFonts w:ascii="Times New Roman" w:eastAsia="宋体" w:hAnsi="Times New Roman"/>
          <w:color w:val="000000"/>
          <w:sz w:val="20"/>
          <w:szCs w:val="20"/>
        </w:rPr>
        <w:t>States) (PCAOB) and are required to be independent with respect to the Company in accordance with the U.S. federal securities laws and the applicable rules and regulations of the Securities and Exchange Commission and the PCAOB.</w:t>
      </w:r>
    </w:p>
    <w:p w14:paraId="518B56AB" w14:textId="77777777" w:rsidR="005C332D" w:rsidRDefault="00B93EAE">
      <w:pPr>
        <w:spacing w:before="120"/>
        <w:jc w:val="both"/>
      </w:pPr>
      <w:r>
        <w:rPr>
          <w:rFonts w:ascii="Times New Roman" w:eastAsia="宋体" w:hAnsi="Times New Roman"/>
          <w:color w:val="000000"/>
          <w:sz w:val="20"/>
          <w:szCs w:val="20"/>
        </w:rPr>
        <w:t xml:space="preserve">We conducted our audits in </w:t>
      </w:r>
      <w:r>
        <w:rPr>
          <w:rFonts w:ascii="Times New Roman" w:eastAsia="宋体" w:hAnsi="Times New Roman"/>
          <w:color w:val="000000"/>
          <w:sz w:val="20"/>
          <w:szCs w:val="20"/>
        </w:rPr>
        <w:t>accordance with the standards of the PCAOB. Those standards require that we plan and perform the audits to obtain reasonable assurance about whether the consolidated financial statements are free of material misstatement, whether due to error or fraud, and</w:t>
      </w:r>
      <w:r>
        <w:rPr>
          <w:rFonts w:ascii="Times New Roman" w:eastAsia="宋体" w:hAnsi="Times New Roman"/>
          <w:color w:val="000000"/>
          <w:sz w:val="20"/>
          <w:szCs w:val="20"/>
        </w:rPr>
        <w:t xml:space="preserve"> whether effective internal control over financial reporting was maintained in all material respects. </w:t>
      </w:r>
    </w:p>
    <w:p w14:paraId="518B56AC" w14:textId="77777777" w:rsidR="005C332D" w:rsidRDefault="00B93EAE">
      <w:pPr>
        <w:spacing w:before="120"/>
        <w:jc w:val="both"/>
      </w:pPr>
      <w:r>
        <w:rPr>
          <w:rFonts w:ascii="Times New Roman" w:eastAsia="宋体" w:hAnsi="Times New Roman"/>
          <w:color w:val="000000"/>
          <w:sz w:val="20"/>
          <w:szCs w:val="20"/>
        </w:rPr>
        <w:t>Our audits of the consolidated financial statements included performing procedures to assess the risks of material misstatement of the consolidated finan</w:t>
      </w:r>
      <w:r>
        <w:rPr>
          <w:rFonts w:ascii="Times New Roman" w:eastAsia="宋体" w:hAnsi="Times New Roman"/>
          <w:color w:val="000000"/>
          <w:sz w:val="20"/>
          <w:szCs w:val="20"/>
        </w:rPr>
        <w:t xml:space="preserve">cial statements, whether due to error or fraud, and performing procedures that respond to those risks. Such procedures included examining, on a test basis, evidence regarding the amounts and disclosures in the consolidated financial statements. Our audits </w:t>
      </w:r>
      <w:r>
        <w:rPr>
          <w:rFonts w:ascii="Times New Roman" w:eastAsia="宋体" w:hAnsi="Times New Roman"/>
          <w:color w:val="000000"/>
          <w:sz w:val="20"/>
          <w:szCs w:val="20"/>
        </w:rPr>
        <w:t>also included evaluating the accounting principles used and significant estimates made by management, as well as evaluating the overall presentation of the consolidated financial statements. Our audit of internal control over financial reporting included o</w:t>
      </w:r>
      <w:r>
        <w:rPr>
          <w:rFonts w:ascii="Times New Roman" w:eastAsia="宋体" w:hAnsi="Times New Roman"/>
          <w:color w:val="000000"/>
          <w:sz w:val="20"/>
          <w:szCs w:val="20"/>
        </w:rPr>
        <w:t>btaining an understanding of internal control over financial reporting, assessing the risk that a material weakness exists, and testing and evaluating the design and operating effectiveness of internal control based on the assessed risk. Our audits also in</w:t>
      </w:r>
      <w:r>
        <w:rPr>
          <w:rFonts w:ascii="Times New Roman" w:eastAsia="宋体" w:hAnsi="Times New Roman"/>
          <w:color w:val="000000"/>
          <w:sz w:val="20"/>
          <w:szCs w:val="20"/>
        </w:rPr>
        <w:t>cluded performing such other procedures as we considered necessary in the circumstances. We believe that our audits provide a reasonable basis for our opinions.</w:t>
      </w:r>
    </w:p>
    <w:p w14:paraId="518B56AD" w14:textId="77777777" w:rsidR="005C332D" w:rsidRDefault="00B93EAE">
      <w:pPr>
        <w:spacing w:before="120"/>
        <w:jc w:val="both"/>
      </w:pPr>
      <w:r>
        <w:rPr>
          <w:rFonts w:ascii="Times New Roman" w:eastAsia="宋体" w:hAnsi="Times New Roman"/>
          <w:b/>
          <w:bCs/>
          <w:i/>
          <w:iCs/>
          <w:color w:val="000000"/>
          <w:sz w:val="20"/>
          <w:szCs w:val="20"/>
        </w:rPr>
        <w:t>Definition and Limitations of Internal Control over Financial Reporting</w:t>
      </w:r>
    </w:p>
    <w:p w14:paraId="518B56AE" w14:textId="77777777" w:rsidR="005C332D" w:rsidRDefault="00B93EAE">
      <w:pPr>
        <w:spacing w:before="120"/>
        <w:jc w:val="both"/>
      </w:pPr>
      <w:r>
        <w:rPr>
          <w:rFonts w:ascii="Times New Roman" w:eastAsia="宋体" w:hAnsi="Times New Roman"/>
          <w:color w:val="000000"/>
          <w:sz w:val="20"/>
          <w:szCs w:val="20"/>
        </w:rPr>
        <w:t>A company’s internal co</w:t>
      </w:r>
      <w:r>
        <w:rPr>
          <w:rFonts w:ascii="Times New Roman" w:eastAsia="宋体" w:hAnsi="Times New Roman"/>
          <w:color w:val="000000"/>
          <w:sz w:val="20"/>
          <w:szCs w:val="20"/>
        </w:rPr>
        <w:t>ntrol over financial reporting is a process designed to provide reasonable assurance regarding the reliability of financial reporting and the preparation of financial statements for external purposes in accordance with generally accepted accounting princip</w:t>
      </w:r>
      <w:r>
        <w:rPr>
          <w:rFonts w:ascii="Times New Roman" w:eastAsia="宋体" w:hAnsi="Times New Roman"/>
          <w:color w:val="000000"/>
          <w:sz w:val="20"/>
          <w:szCs w:val="20"/>
        </w:rPr>
        <w:t>les. A company’s internal control over financial reporting includes those policies and procedures that (i) pertain to the maintenance of records that, in reasonable detail, accurately and fairly reflect the transactions and dispositions of the assets of th</w:t>
      </w:r>
      <w:r>
        <w:rPr>
          <w:rFonts w:ascii="Times New Roman" w:eastAsia="宋体" w:hAnsi="Times New Roman"/>
          <w:color w:val="000000"/>
          <w:sz w:val="20"/>
          <w:szCs w:val="20"/>
        </w:rPr>
        <w:t xml:space="preserve">e company; (ii) provide reasonable assurance that transactions are recorded as necessary to permit preparation of financial statements in accordance with generally accepted accounting principles, and that receipts and expenditures of the company are being </w:t>
      </w:r>
      <w:r>
        <w:rPr>
          <w:rFonts w:ascii="Times New Roman" w:eastAsia="宋体" w:hAnsi="Times New Roman"/>
          <w:color w:val="000000"/>
          <w:sz w:val="20"/>
          <w:szCs w:val="20"/>
        </w:rPr>
        <w:t>made only in accordance with authorizations of management and directors of the company; and (iii) provide reasonable assurance regarding prevention or timely detection of unauthorized acquisition, use, or disposition of the company’s assets that could have</w:t>
      </w:r>
      <w:r>
        <w:rPr>
          <w:rFonts w:ascii="Times New Roman" w:eastAsia="宋体" w:hAnsi="Times New Roman"/>
          <w:color w:val="000000"/>
          <w:sz w:val="20"/>
          <w:szCs w:val="20"/>
        </w:rPr>
        <w:t xml:space="preserve"> a material effect on the financial statements.</w:t>
      </w:r>
    </w:p>
    <w:p w14:paraId="518B56AF" w14:textId="77777777" w:rsidR="005C332D" w:rsidRDefault="00B93EAE">
      <w:pPr>
        <w:spacing w:before="120"/>
        <w:jc w:val="both"/>
      </w:pPr>
      <w:r>
        <w:rPr>
          <w:rFonts w:ascii="Times New Roman" w:eastAsia="宋体" w:hAnsi="Times New Roman"/>
          <w:color w:val="000000"/>
          <w:sz w:val="20"/>
          <w:szCs w:val="20"/>
        </w:rPr>
        <w:t>Because of its inherent limitations, internal control over financial reporting may not prevent or detect misstatements. Also, projections of any evaluation of effectiveness to future periods are subject to th</w:t>
      </w:r>
      <w:r>
        <w:rPr>
          <w:rFonts w:ascii="Times New Roman" w:eastAsia="宋体" w:hAnsi="Times New Roman"/>
          <w:color w:val="000000"/>
          <w:sz w:val="20"/>
          <w:szCs w:val="20"/>
        </w:rPr>
        <w:t>e risk that controls may become inadequate because of changes in conditions, or that the degree of compliance with the policies or procedures may deteriorate.</w:t>
      </w:r>
    </w:p>
    <w:p w14:paraId="518B56B0" w14:textId="77777777" w:rsidR="005C332D" w:rsidRDefault="00B93EAE">
      <w:pPr>
        <w:jc w:val="center"/>
      </w:pPr>
      <w:r>
        <w:rPr>
          <w:rFonts w:ascii="Times New Roman" w:eastAsia="宋体" w:hAnsi="Times New Roman"/>
          <w:color w:val="000000"/>
          <w:sz w:val="20"/>
          <w:szCs w:val="20"/>
        </w:rPr>
        <w:t>56</w:t>
      </w:r>
    </w:p>
    <w:p w14:paraId="518B56B1" w14:textId="77777777" w:rsidR="005C332D" w:rsidRDefault="00B93EAE">
      <w:r>
        <w:pict w14:anchorId="518B874D">
          <v:rect id="_x0000_i1082" style="width:415.3pt;height:1.5pt" o:hralign="center" o:hrstd="t" o:hr="t" fillcolor="#a0a0a0" stroked="f"/>
        </w:pict>
      </w:r>
    </w:p>
    <w:p w14:paraId="518B56B2" w14:textId="77777777" w:rsidR="005C332D" w:rsidRDefault="00B93EAE">
      <w:hyperlink r:id="rId167" w:anchor="i049852cab38845aabd2a79d07dacda86_7" w:history="1">
        <w:r>
          <w:rPr>
            <w:rStyle w:val="a5"/>
            <w:rFonts w:ascii="Times New Roman" w:eastAsia="宋体" w:hAnsi="Times New Roman"/>
            <w:sz w:val="20"/>
            <w:szCs w:val="20"/>
          </w:rPr>
          <w:t>Table of Contents</w:t>
        </w:r>
      </w:hyperlink>
    </w:p>
    <w:p w14:paraId="518B56B3" w14:textId="77777777" w:rsidR="005C332D" w:rsidRDefault="00B93EAE">
      <w:pPr>
        <w:spacing w:before="120"/>
        <w:jc w:val="both"/>
      </w:pPr>
      <w:r>
        <w:rPr>
          <w:rFonts w:ascii="Times New Roman" w:eastAsia="宋体" w:hAnsi="Times New Roman"/>
          <w:b/>
          <w:bCs/>
          <w:i/>
          <w:iCs/>
          <w:color w:val="000000"/>
          <w:sz w:val="20"/>
          <w:szCs w:val="20"/>
        </w:rPr>
        <w:t>Critical Audit Matters</w:t>
      </w:r>
    </w:p>
    <w:p w14:paraId="518B56B4" w14:textId="77777777" w:rsidR="005C332D" w:rsidRDefault="00B93EAE">
      <w:pPr>
        <w:spacing w:before="120"/>
        <w:jc w:val="both"/>
      </w:pPr>
      <w:r>
        <w:rPr>
          <w:rFonts w:ascii="Times New Roman" w:eastAsia="宋体" w:hAnsi="Times New Roman"/>
          <w:color w:val="000000"/>
          <w:sz w:val="20"/>
          <w:szCs w:val="20"/>
        </w:rPr>
        <w:t xml:space="preserve">The critical audit matter communicated below is a matter arising from the current period audit of the consolidated financial statements that was communicated </w:t>
      </w:r>
      <w:r>
        <w:rPr>
          <w:rFonts w:ascii="Times New Roman" w:eastAsia="宋体" w:hAnsi="Times New Roman"/>
          <w:color w:val="000000"/>
          <w:sz w:val="20"/>
          <w:szCs w:val="20"/>
        </w:rPr>
        <w:t>or required to be communicated to the audit committee and that (i) relates to accounts or disclosures that are material to the</w:t>
      </w:r>
      <w:r>
        <w:rPr>
          <w:rFonts w:ascii="Times New Roman" w:eastAsia="宋体" w:hAnsi="Times New Roman"/>
          <w:b/>
          <w:bCs/>
          <w:color w:val="FF0000"/>
          <w:sz w:val="20"/>
          <w:szCs w:val="20"/>
        </w:rPr>
        <w:t xml:space="preserve"> </w:t>
      </w:r>
      <w:r>
        <w:rPr>
          <w:rFonts w:ascii="Times New Roman" w:eastAsia="宋体" w:hAnsi="Times New Roman"/>
          <w:color w:val="000000"/>
          <w:sz w:val="20"/>
          <w:szCs w:val="20"/>
        </w:rPr>
        <w:t>consolidated financial statements and (ii) involved our especially challenging, subjective, or complex judgments. The communicati</w:t>
      </w:r>
      <w:r>
        <w:rPr>
          <w:rFonts w:ascii="Times New Roman" w:eastAsia="宋体" w:hAnsi="Times New Roman"/>
          <w:color w:val="000000"/>
          <w:sz w:val="20"/>
          <w:szCs w:val="20"/>
        </w:rPr>
        <w:t>on of critical audit matters does not alter in any way our opinion on the consolidated</w:t>
      </w:r>
      <w:r>
        <w:rPr>
          <w:rFonts w:ascii="Times New Roman" w:eastAsia="宋体" w:hAnsi="Times New Roman"/>
          <w:b/>
          <w:bCs/>
          <w:color w:val="FF0000"/>
          <w:sz w:val="20"/>
          <w:szCs w:val="20"/>
        </w:rPr>
        <w:t xml:space="preserve"> </w:t>
      </w:r>
      <w:r>
        <w:rPr>
          <w:rFonts w:ascii="Times New Roman" w:eastAsia="宋体" w:hAnsi="Times New Roman"/>
          <w:color w:val="000000"/>
          <w:sz w:val="20"/>
          <w:szCs w:val="20"/>
        </w:rPr>
        <w:t>financial statements, taken as a whole, and we are not, by communicating the critical audit matter below, providing a separate opinion on the critical audit matter or on</w:t>
      </w:r>
      <w:r>
        <w:rPr>
          <w:rFonts w:ascii="Times New Roman" w:eastAsia="宋体" w:hAnsi="Times New Roman"/>
          <w:color w:val="000000"/>
          <w:sz w:val="20"/>
          <w:szCs w:val="20"/>
        </w:rPr>
        <w:t xml:space="preserve"> the accounts or disclosures to which it relates.</w:t>
      </w:r>
    </w:p>
    <w:p w14:paraId="518B56B5" w14:textId="77777777" w:rsidR="005C332D" w:rsidRDefault="00B93EAE">
      <w:pPr>
        <w:spacing w:before="60"/>
        <w:jc w:val="both"/>
      </w:pPr>
      <w:r>
        <w:rPr>
          <w:rFonts w:ascii="Times New Roman" w:eastAsia="宋体" w:hAnsi="Times New Roman"/>
          <w:i/>
          <w:iCs/>
          <w:color w:val="000000"/>
          <w:sz w:val="20"/>
          <w:szCs w:val="20"/>
        </w:rPr>
        <w:t xml:space="preserve">Revenue recognition — identification of contractual terms in certain customer arrangements </w:t>
      </w:r>
    </w:p>
    <w:p w14:paraId="518B56B6" w14:textId="77777777" w:rsidR="005C332D" w:rsidRDefault="00B93EAE">
      <w:pPr>
        <w:spacing w:before="120"/>
        <w:jc w:val="both"/>
      </w:pPr>
      <w:r>
        <w:rPr>
          <w:rFonts w:ascii="Times New Roman" w:eastAsia="宋体" w:hAnsi="Times New Roman"/>
          <w:color w:val="000000"/>
          <w:sz w:val="20"/>
          <w:szCs w:val="20"/>
        </w:rPr>
        <w:t>As described in Note 2 to the consolidated financial statements, management assesses relevant contractual terms in its customer arrangements to determine the transaction price and recognizes revenue upon transfer of control of the promised goods or service</w:t>
      </w:r>
      <w:r>
        <w:rPr>
          <w:rFonts w:ascii="Times New Roman" w:eastAsia="宋体" w:hAnsi="Times New Roman"/>
          <w:color w:val="000000"/>
          <w:sz w:val="20"/>
          <w:szCs w:val="20"/>
        </w:rPr>
        <w:t>s in an amount that reflects the consideration the Company expects to receive in exchange for those products or services. Management applies judgment in determining the transaction price which is dependent on the contractual terms. In order to determine th</w:t>
      </w:r>
      <w:r>
        <w:rPr>
          <w:rFonts w:ascii="Times New Roman" w:eastAsia="宋体" w:hAnsi="Times New Roman"/>
          <w:color w:val="000000"/>
          <w:sz w:val="20"/>
          <w:szCs w:val="20"/>
        </w:rPr>
        <w:t xml:space="preserve">e transaction price, management may be required to estimate variable consideration when determining the amount of revenue to recognize. For the year ended July 30, 2022, the Company’s total revenue was $51.6 billion. </w:t>
      </w:r>
    </w:p>
    <w:p w14:paraId="518B56B7" w14:textId="77777777" w:rsidR="005C332D" w:rsidRDefault="00B93EAE">
      <w:pPr>
        <w:spacing w:before="120"/>
        <w:jc w:val="both"/>
      </w:pPr>
      <w:r>
        <w:rPr>
          <w:rFonts w:ascii="Times New Roman" w:eastAsia="宋体" w:hAnsi="Times New Roman"/>
          <w:color w:val="000000"/>
          <w:sz w:val="20"/>
          <w:szCs w:val="20"/>
        </w:rPr>
        <w:t>The principal considerations for our d</w:t>
      </w:r>
      <w:r>
        <w:rPr>
          <w:rFonts w:ascii="Times New Roman" w:eastAsia="宋体" w:hAnsi="Times New Roman"/>
          <w:color w:val="000000"/>
          <w:sz w:val="20"/>
          <w:szCs w:val="20"/>
        </w:rPr>
        <w:t>etermination that performing procedures relating to the identification of contractual terms in certain customer arrangements is a critical audit matter are the significant judgment by management in identifying contractual terms due to the volume and custom</w:t>
      </w:r>
      <w:r>
        <w:rPr>
          <w:rFonts w:ascii="Times New Roman" w:eastAsia="宋体" w:hAnsi="Times New Roman"/>
          <w:color w:val="000000"/>
          <w:sz w:val="20"/>
          <w:szCs w:val="20"/>
        </w:rPr>
        <w:t xml:space="preserve">ized nature of the Company’s customer arrangements. This in turn led to significant auditor judgment and effort in performing procedures to evaluate whether the contractual terms used in the determination of the transaction price and the timing of revenue </w:t>
      </w:r>
      <w:r>
        <w:rPr>
          <w:rFonts w:ascii="Times New Roman" w:eastAsia="宋体" w:hAnsi="Times New Roman"/>
          <w:color w:val="000000"/>
          <w:sz w:val="20"/>
          <w:szCs w:val="20"/>
        </w:rPr>
        <w:t>recognition were appropriately identified and determined by management.</w:t>
      </w:r>
    </w:p>
    <w:p w14:paraId="518B56B8" w14:textId="77777777" w:rsidR="005C332D" w:rsidRDefault="00B93EAE">
      <w:pPr>
        <w:spacing w:before="120"/>
        <w:jc w:val="both"/>
      </w:pPr>
      <w:r>
        <w:rPr>
          <w:rFonts w:ascii="Times New Roman" w:eastAsia="宋体" w:hAnsi="Times New Roman"/>
          <w:color w:val="000000"/>
          <w:sz w:val="20"/>
          <w:szCs w:val="20"/>
        </w:rPr>
        <w:t>Addressing the matter involved performing procedures and evaluating audit evidence in connection with forming our overall opinion on the consolidated financial statements. These proced</w:t>
      </w:r>
      <w:r>
        <w:rPr>
          <w:rFonts w:ascii="Times New Roman" w:eastAsia="宋体" w:hAnsi="Times New Roman"/>
          <w:color w:val="000000"/>
          <w:sz w:val="20"/>
          <w:szCs w:val="20"/>
        </w:rPr>
        <w:t xml:space="preserve">ures included testing the effectiveness of controls relating to the revenue recognition process, including those related to the identification of contractual terms in customer arrangements that impact the determination of the transaction price and revenue </w:t>
      </w:r>
      <w:r>
        <w:rPr>
          <w:rFonts w:ascii="Times New Roman" w:eastAsia="宋体" w:hAnsi="Times New Roman"/>
          <w:color w:val="000000"/>
          <w:sz w:val="20"/>
          <w:szCs w:val="20"/>
        </w:rPr>
        <w:t>recognition. These procedures also included, among others, (i) testing the completeness and accuracy of management’s identification of the contractual terms by examining customer arrangements on a test basis, and (ii) testing management’s process for deter</w:t>
      </w:r>
      <w:r>
        <w:rPr>
          <w:rFonts w:ascii="Times New Roman" w:eastAsia="宋体" w:hAnsi="Times New Roman"/>
          <w:color w:val="000000"/>
          <w:sz w:val="20"/>
          <w:szCs w:val="20"/>
        </w:rPr>
        <w:t>mining the appropriate amount and timing of revenue recognition based on the contractual terms identified in the customer arrangements.</w:t>
      </w:r>
    </w:p>
    <w:p w14:paraId="518B56B9" w14:textId="77777777" w:rsidR="005C332D" w:rsidRDefault="005C332D">
      <w:pPr>
        <w:spacing w:before="60"/>
        <w:jc w:val="both"/>
      </w:pPr>
    </w:p>
    <w:p w14:paraId="518B56BA" w14:textId="77777777" w:rsidR="005C332D" w:rsidRDefault="005C332D"/>
    <w:p w14:paraId="518B56BB" w14:textId="77777777" w:rsidR="005C332D" w:rsidRDefault="00B93EAE">
      <w:r>
        <w:rPr>
          <w:rFonts w:ascii="Times New Roman" w:eastAsia="宋体" w:hAnsi="Times New Roman"/>
          <w:color w:val="000000"/>
          <w:sz w:val="20"/>
          <w:szCs w:val="20"/>
        </w:rPr>
        <w:t>/s/ PricewaterhouseCoopers LLP</w:t>
      </w:r>
    </w:p>
    <w:p w14:paraId="518B56BC" w14:textId="77777777" w:rsidR="005C332D" w:rsidRDefault="00B93EAE">
      <w:r>
        <w:rPr>
          <w:rFonts w:ascii="Times New Roman" w:eastAsia="宋体" w:hAnsi="Times New Roman"/>
          <w:color w:val="000000"/>
          <w:sz w:val="20"/>
          <w:szCs w:val="20"/>
        </w:rPr>
        <w:t>San Jose, California</w:t>
      </w:r>
    </w:p>
    <w:p w14:paraId="518B56BD" w14:textId="77777777" w:rsidR="005C332D" w:rsidRDefault="00B93EAE">
      <w:r>
        <w:rPr>
          <w:rFonts w:ascii="Times New Roman" w:eastAsia="宋体" w:hAnsi="Times New Roman"/>
          <w:color w:val="000000"/>
          <w:sz w:val="20"/>
          <w:szCs w:val="20"/>
        </w:rPr>
        <w:t xml:space="preserve">September 8, 2022 </w:t>
      </w:r>
    </w:p>
    <w:p w14:paraId="518B56BE" w14:textId="77777777" w:rsidR="005C332D" w:rsidRDefault="00B93EAE">
      <w:pPr>
        <w:spacing w:before="120"/>
      </w:pPr>
      <w:r>
        <w:rPr>
          <w:rFonts w:ascii="Times New Roman" w:eastAsia="宋体" w:hAnsi="Times New Roman"/>
          <w:color w:val="000000"/>
          <w:sz w:val="20"/>
          <w:szCs w:val="20"/>
        </w:rPr>
        <w:t>We have served as the Company’s auditor since 1</w:t>
      </w:r>
      <w:r>
        <w:rPr>
          <w:rFonts w:ascii="Times New Roman" w:eastAsia="宋体" w:hAnsi="Times New Roman"/>
          <w:color w:val="000000"/>
          <w:sz w:val="20"/>
          <w:szCs w:val="20"/>
        </w:rPr>
        <w:t>988.</w:t>
      </w:r>
      <w:r>
        <w:rPr>
          <w:rFonts w:ascii="Times New Roman" w:eastAsia="宋体" w:hAnsi="Times New Roman"/>
          <w:color w:val="000000"/>
          <w:sz w:val="13"/>
          <w:szCs w:val="13"/>
        </w:rPr>
        <w:t xml:space="preserve"> </w:t>
      </w:r>
    </w:p>
    <w:p w14:paraId="518B56BF" w14:textId="77777777" w:rsidR="005C332D" w:rsidRDefault="005C332D"/>
    <w:p w14:paraId="518B56C0" w14:textId="77777777" w:rsidR="005C332D" w:rsidRDefault="00B93EAE">
      <w:pPr>
        <w:jc w:val="center"/>
      </w:pPr>
      <w:r>
        <w:rPr>
          <w:rFonts w:ascii="Times New Roman" w:eastAsia="宋体" w:hAnsi="Times New Roman"/>
          <w:color w:val="000000"/>
          <w:sz w:val="20"/>
          <w:szCs w:val="20"/>
        </w:rPr>
        <w:t>57</w:t>
      </w:r>
    </w:p>
    <w:p w14:paraId="518B56C1" w14:textId="77777777" w:rsidR="005C332D" w:rsidRDefault="00B93EAE">
      <w:r>
        <w:pict w14:anchorId="518B874E">
          <v:rect id="_x0000_i1083" style="width:415.3pt;height:1.5pt" o:hralign="center" o:hrstd="t" o:hr="t" fillcolor="#a0a0a0" stroked="f"/>
        </w:pict>
      </w:r>
    </w:p>
    <w:p w14:paraId="518B56C2" w14:textId="77777777" w:rsidR="005C332D" w:rsidRDefault="00B93EAE">
      <w:hyperlink r:id="rId168" w:anchor="i049852cab38845aabd2a79d07dacda86_7" w:history="1">
        <w:r>
          <w:rPr>
            <w:rStyle w:val="a5"/>
            <w:rFonts w:ascii="Times New Roman" w:eastAsia="宋体" w:hAnsi="Times New Roman"/>
            <w:sz w:val="20"/>
            <w:szCs w:val="20"/>
          </w:rPr>
          <w:t>Table of Contents</w:t>
        </w:r>
      </w:hyperlink>
    </w:p>
    <w:p w14:paraId="518B56C3" w14:textId="77777777" w:rsidR="005C332D" w:rsidRDefault="00B93EAE">
      <w:pPr>
        <w:spacing w:after="120"/>
      </w:pPr>
      <w:r>
        <w:rPr>
          <w:rFonts w:ascii="Times New Roman" w:eastAsia="宋体" w:hAnsi="Times New Roman"/>
          <w:b/>
          <w:bCs/>
          <w:color w:val="000000"/>
          <w:sz w:val="20"/>
          <w:szCs w:val="20"/>
        </w:rPr>
        <w:t>Reports of Management </w:t>
      </w:r>
    </w:p>
    <w:p w14:paraId="518B56C4" w14:textId="77777777" w:rsidR="005C332D" w:rsidRDefault="00B93EAE">
      <w:pPr>
        <w:spacing w:before="180" w:after="120"/>
      </w:pPr>
      <w:r>
        <w:rPr>
          <w:rFonts w:ascii="Times New Roman" w:eastAsia="宋体" w:hAnsi="Times New Roman"/>
          <w:b/>
          <w:bCs/>
          <w:color w:val="000000"/>
          <w:sz w:val="20"/>
          <w:szCs w:val="20"/>
        </w:rPr>
        <w:t>Statement of Management’s Responsibility </w:t>
      </w:r>
    </w:p>
    <w:p w14:paraId="518B56C5" w14:textId="77777777" w:rsidR="005C332D" w:rsidRDefault="00B93EAE">
      <w:pPr>
        <w:spacing w:before="120"/>
        <w:jc w:val="both"/>
      </w:pPr>
      <w:r>
        <w:rPr>
          <w:rFonts w:ascii="Times New Roman" w:eastAsia="宋体" w:hAnsi="Times New Roman"/>
          <w:color w:val="000000"/>
          <w:sz w:val="20"/>
          <w:szCs w:val="20"/>
        </w:rPr>
        <w:t>Cisco’s management has a</w:t>
      </w:r>
      <w:r>
        <w:rPr>
          <w:rFonts w:ascii="Times New Roman" w:eastAsia="宋体" w:hAnsi="Times New Roman"/>
          <w:color w:val="000000"/>
          <w:sz w:val="20"/>
          <w:szCs w:val="20"/>
        </w:rPr>
        <w:t>lways assumed full accountability for maintaining compliance with our established financial accounting policies and for reporting our results with objectivity and the highest degree of integrity. It is critical for investors and other users of the Consolid</w:t>
      </w:r>
      <w:r>
        <w:rPr>
          <w:rFonts w:ascii="Times New Roman" w:eastAsia="宋体" w:hAnsi="Times New Roman"/>
          <w:color w:val="000000"/>
          <w:sz w:val="20"/>
          <w:szCs w:val="20"/>
        </w:rPr>
        <w:t>ated Financial Statements to have confidence that the financial information that we provide is timely, complete, relevant, and accurate. Management is responsible for the fair presentation of Cisco’s Consolidated Financial Statements, prepared in accordanc</w:t>
      </w:r>
      <w:r>
        <w:rPr>
          <w:rFonts w:ascii="Times New Roman" w:eastAsia="宋体" w:hAnsi="Times New Roman"/>
          <w:color w:val="000000"/>
          <w:sz w:val="20"/>
          <w:szCs w:val="20"/>
        </w:rPr>
        <w:t>e with accounting principles generally accepted in the United States of America, and has full responsibility for their integrity and accuracy.</w:t>
      </w:r>
    </w:p>
    <w:p w14:paraId="518B56C6" w14:textId="77777777" w:rsidR="005C332D" w:rsidRDefault="00B93EAE">
      <w:pPr>
        <w:spacing w:before="120"/>
        <w:jc w:val="both"/>
      </w:pPr>
      <w:r>
        <w:rPr>
          <w:rFonts w:ascii="Times New Roman" w:eastAsia="宋体" w:hAnsi="Times New Roman"/>
          <w:color w:val="000000"/>
          <w:sz w:val="20"/>
          <w:szCs w:val="20"/>
        </w:rPr>
        <w:t xml:space="preserve">Management, with oversight by Cisco’s Board of Directors, has established and maintains a strong ethical climate </w:t>
      </w:r>
      <w:r>
        <w:rPr>
          <w:rFonts w:ascii="Times New Roman" w:eastAsia="宋体" w:hAnsi="Times New Roman"/>
          <w:color w:val="000000"/>
          <w:sz w:val="20"/>
          <w:szCs w:val="20"/>
        </w:rPr>
        <w:t>so that our affairs are conducted to the highest standards of personal and corporate conduct. Management also has established an effective system of internal controls. Cisco’s policies and practices reflect corporate governance initiatives that are complia</w:t>
      </w:r>
      <w:r>
        <w:rPr>
          <w:rFonts w:ascii="Times New Roman" w:eastAsia="宋体" w:hAnsi="Times New Roman"/>
          <w:color w:val="000000"/>
          <w:sz w:val="20"/>
          <w:szCs w:val="20"/>
        </w:rPr>
        <w:t>nt with the listing requirements of Nasdaq and the corporate governance requirements of the Sarbanes-Oxley Act of 2002.</w:t>
      </w:r>
    </w:p>
    <w:p w14:paraId="518B56C7" w14:textId="77777777" w:rsidR="005C332D" w:rsidRDefault="00B93EAE">
      <w:pPr>
        <w:spacing w:before="120" w:after="60"/>
        <w:jc w:val="both"/>
      </w:pPr>
      <w:r>
        <w:rPr>
          <w:rFonts w:ascii="Times New Roman" w:eastAsia="宋体" w:hAnsi="Times New Roman"/>
          <w:color w:val="000000"/>
          <w:sz w:val="20"/>
          <w:szCs w:val="20"/>
        </w:rPr>
        <w:t>We are committed to enhancing stockholder value and fully understand and embrace our fiduciary oversight responsibilities. We are dedica</w:t>
      </w:r>
      <w:r>
        <w:rPr>
          <w:rFonts w:ascii="Times New Roman" w:eastAsia="宋体" w:hAnsi="Times New Roman"/>
          <w:color w:val="000000"/>
          <w:sz w:val="20"/>
          <w:szCs w:val="20"/>
        </w:rPr>
        <w:t xml:space="preserve">ted to ensuring that our high standards of financial accounting and reporting, as well as our underlying system of internal controls, are maintained. Our culture demands integrity, and we have the highest confidence in our processes, our internal controls </w:t>
      </w:r>
      <w:r>
        <w:rPr>
          <w:rFonts w:ascii="Times New Roman" w:eastAsia="宋体" w:hAnsi="Times New Roman"/>
          <w:color w:val="000000"/>
          <w:sz w:val="20"/>
          <w:szCs w:val="20"/>
        </w:rPr>
        <w:t xml:space="preserve">and our people, who are objective in their responsibilities and who operate under the highest level of ethical standards. </w:t>
      </w:r>
    </w:p>
    <w:p w14:paraId="518B56C8" w14:textId="77777777" w:rsidR="005C332D" w:rsidRDefault="00B93EAE">
      <w:pPr>
        <w:spacing w:before="180" w:after="120"/>
      </w:pPr>
      <w:r>
        <w:rPr>
          <w:rFonts w:ascii="Times New Roman" w:eastAsia="宋体" w:hAnsi="Times New Roman"/>
          <w:b/>
          <w:bCs/>
          <w:color w:val="000000"/>
          <w:sz w:val="20"/>
          <w:szCs w:val="20"/>
        </w:rPr>
        <w:t>Management’s Report on Internal Control over Financial Reporting </w:t>
      </w:r>
    </w:p>
    <w:p w14:paraId="518B56C9" w14:textId="77777777" w:rsidR="005C332D" w:rsidRDefault="00B93EAE">
      <w:pPr>
        <w:spacing w:before="60"/>
        <w:jc w:val="both"/>
      </w:pPr>
      <w:r>
        <w:rPr>
          <w:rFonts w:ascii="Times New Roman" w:eastAsia="宋体" w:hAnsi="Times New Roman"/>
          <w:color w:val="000000"/>
          <w:sz w:val="20"/>
          <w:szCs w:val="20"/>
        </w:rPr>
        <w:t>Management is responsible for establishing and maintaining adequate</w:t>
      </w:r>
      <w:r>
        <w:rPr>
          <w:rFonts w:ascii="Times New Roman" w:eastAsia="宋体" w:hAnsi="Times New Roman"/>
          <w:color w:val="000000"/>
          <w:sz w:val="20"/>
          <w:szCs w:val="20"/>
        </w:rPr>
        <w:t xml:space="preserve"> internal control over financial reporting for Cisco. Internal control over financial reporting is a process designed to provide reasonable assurance regarding the reliability of financial reporting and the preparation of financial statements for external </w:t>
      </w:r>
      <w:r>
        <w:rPr>
          <w:rFonts w:ascii="Times New Roman" w:eastAsia="宋体" w:hAnsi="Times New Roman"/>
          <w:color w:val="000000"/>
          <w:sz w:val="20"/>
          <w:szCs w:val="20"/>
        </w:rPr>
        <w:t>purposes in accordance with generally accepted accounting principles. Internal control over financial reporting includes those policies and procedures that (i) pertain to the maintenance of records that in reasonable detail accurately and fairly reflect th</w:t>
      </w:r>
      <w:r>
        <w:rPr>
          <w:rFonts w:ascii="Times New Roman" w:eastAsia="宋体" w:hAnsi="Times New Roman"/>
          <w:color w:val="000000"/>
          <w:sz w:val="20"/>
          <w:szCs w:val="20"/>
        </w:rPr>
        <w:t>e transactions and dispositions of the assets of the Company; (ii) provide reasonable assurance that transactions are recorded as necessary to permit preparation of financial statements in accordance with generally accepted accounting principles and that r</w:t>
      </w:r>
      <w:r>
        <w:rPr>
          <w:rFonts w:ascii="Times New Roman" w:eastAsia="宋体" w:hAnsi="Times New Roman"/>
          <w:color w:val="000000"/>
          <w:sz w:val="20"/>
          <w:szCs w:val="20"/>
        </w:rPr>
        <w:t>eceipts and expenditures of the Company are being made only in accordance with authorizations of management and directors of the Company; and (iii) provide reasonable assurance regarding prevention or timely detection of unauthorized acquisition, use, or d</w:t>
      </w:r>
      <w:r>
        <w:rPr>
          <w:rFonts w:ascii="Times New Roman" w:eastAsia="宋体" w:hAnsi="Times New Roman"/>
          <w:color w:val="000000"/>
          <w:sz w:val="20"/>
          <w:szCs w:val="20"/>
        </w:rPr>
        <w:t>isposition of the Company’s assets that could have a material effect on the financial statements.</w:t>
      </w:r>
    </w:p>
    <w:p w14:paraId="518B56CA" w14:textId="77777777" w:rsidR="005C332D" w:rsidRDefault="00B93EAE">
      <w:pPr>
        <w:spacing w:before="120"/>
        <w:jc w:val="both"/>
      </w:pPr>
      <w:r>
        <w:rPr>
          <w:rFonts w:ascii="Times New Roman" w:eastAsia="宋体" w:hAnsi="Times New Roman"/>
          <w:color w:val="000000"/>
          <w:sz w:val="20"/>
          <w:szCs w:val="20"/>
        </w:rPr>
        <w:t xml:space="preserve">Because of its inherent limitations, internal control over financial reporting may not prevent or detect misstatements. Also, projections of any </w:t>
      </w:r>
      <w:r>
        <w:rPr>
          <w:rFonts w:ascii="Times New Roman" w:eastAsia="宋体" w:hAnsi="Times New Roman"/>
          <w:color w:val="000000"/>
          <w:sz w:val="20"/>
          <w:szCs w:val="20"/>
        </w:rPr>
        <w:t>evaluation of effectiveness to future periods are subject to the risk that controls may become inadequate because of changes in conditions or that the degree of compliance with the policies or procedures may deteriorate.</w:t>
      </w:r>
    </w:p>
    <w:p w14:paraId="518B56CB" w14:textId="77777777" w:rsidR="005C332D" w:rsidRDefault="00B93EAE">
      <w:pPr>
        <w:spacing w:before="120"/>
        <w:jc w:val="both"/>
      </w:pPr>
      <w:r>
        <w:rPr>
          <w:rFonts w:ascii="Times New Roman" w:eastAsia="宋体" w:hAnsi="Times New Roman"/>
          <w:color w:val="000000"/>
          <w:sz w:val="20"/>
          <w:szCs w:val="20"/>
        </w:rPr>
        <w:t xml:space="preserve">Management (with the participation </w:t>
      </w:r>
      <w:r>
        <w:rPr>
          <w:rFonts w:ascii="Times New Roman" w:eastAsia="宋体" w:hAnsi="Times New Roman"/>
          <w:color w:val="000000"/>
          <w:sz w:val="20"/>
          <w:szCs w:val="20"/>
        </w:rPr>
        <w:t xml:space="preserve">of the principal executive officer and principal financial officer) conducted an evaluation of the effectiveness of Cisco’s internal control over financial reporting based on the framework in </w:t>
      </w:r>
      <w:r>
        <w:rPr>
          <w:rFonts w:ascii="Times New Roman" w:eastAsia="宋体" w:hAnsi="Times New Roman"/>
          <w:i/>
          <w:iCs/>
          <w:color w:val="000000"/>
          <w:sz w:val="20"/>
          <w:szCs w:val="20"/>
        </w:rPr>
        <w:t>Internal Control—Integrated Framework</w:t>
      </w:r>
      <w:r>
        <w:rPr>
          <w:rFonts w:ascii="Times New Roman" w:eastAsia="宋体" w:hAnsi="Times New Roman"/>
          <w:color w:val="000000"/>
          <w:sz w:val="20"/>
          <w:szCs w:val="20"/>
        </w:rPr>
        <w:t xml:space="preserve"> (2013) issued by the Commi</w:t>
      </w:r>
      <w:r>
        <w:rPr>
          <w:rFonts w:ascii="Times New Roman" w:eastAsia="宋体" w:hAnsi="Times New Roman"/>
          <w:color w:val="000000"/>
          <w:sz w:val="20"/>
          <w:szCs w:val="20"/>
        </w:rPr>
        <w:t>ttee of Sponsoring Organizations of the Treadway Commission. Based on this evaluation, management concluded that Cisco’s internal control over financial reporting was effective as of July 30, 2022. PricewaterhouseCoopers LLP, an independent registered publ</w:t>
      </w:r>
      <w:r>
        <w:rPr>
          <w:rFonts w:ascii="Times New Roman" w:eastAsia="宋体" w:hAnsi="Times New Roman"/>
          <w:color w:val="000000"/>
          <w:sz w:val="20"/>
          <w:szCs w:val="20"/>
        </w:rPr>
        <w:t>ic accounting firm, has audited the effectiveness of Cisco’s internal control over financial reporting and has issued a report on Cisco’s internal control over financial reporting, which is included in their report on the preceding pages.</w:t>
      </w:r>
    </w:p>
    <w:p w14:paraId="518B56CC" w14:textId="77777777" w:rsidR="005C332D" w:rsidRDefault="00B93EAE">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69"/>
        <w:gridCol w:w="3857"/>
        <w:gridCol w:w="36"/>
        <w:gridCol w:w="69"/>
        <w:gridCol w:w="271"/>
        <w:gridCol w:w="36"/>
        <w:gridCol w:w="69"/>
        <w:gridCol w:w="3880"/>
        <w:gridCol w:w="37"/>
      </w:tblGrid>
      <w:tr w:rsidR="005C332D" w14:paraId="518B56D6" w14:textId="77777777">
        <w:tc>
          <w:tcPr>
            <w:tcW w:w="50" w:type="pct"/>
            <w:shd w:val="clear" w:color="auto" w:fill="auto"/>
            <w:vAlign w:val="bottom"/>
          </w:tcPr>
          <w:p w14:paraId="518B56CD" w14:textId="77777777" w:rsidR="005C332D" w:rsidRDefault="005C332D">
            <w:pPr>
              <w:rPr>
                <w:rFonts w:ascii="宋体"/>
              </w:rPr>
            </w:pPr>
          </w:p>
        </w:tc>
        <w:tc>
          <w:tcPr>
            <w:tcW w:w="2324" w:type="pct"/>
            <w:shd w:val="clear" w:color="auto" w:fill="auto"/>
            <w:vAlign w:val="bottom"/>
          </w:tcPr>
          <w:p w14:paraId="518B56CE" w14:textId="77777777" w:rsidR="005C332D" w:rsidRDefault="005C332D">
            <w:pPr>
              <w:rPr>
                <w:rFonts w:ascii="宋体"/>
              </w:rPr>
            </w:pPr>
          </w:p>
        </w:tc>
        <w:tc>
          <w:tcPr>
            <w:tcW w:w="5" w:type="pct"/>
            <w:shd w:val="clear" w:color="auto" w:fill="auto"/>
            <w:vAlign w:val="bottom"/>
          </w:tcPr>
          <w:p w14:paraId="518B56CF" w14:textId="77777777" w:rsidR="005C332D" w:rsidRDefault="005C332D">
            <w:pPr>
              <w:rPr>
                <w:rFonts w:ascii="宋体"/>
              </w:rPr>
            </w:pPr>
          </w:p>
        </w:tc>
        <w:tc>
          <w:tcPr>
            <w:tcW w:w="50" w:type="pct"/>
            <w:shd w:val="clear" w:color="auto" w:fill="auto"/>
            <w:vAlign w:val="bottom"/>
          </w:tcPr>
          <w:p w14:paraId="518B56D0" w14:textId="77777777" w:rsidR="005C332D" w:rsidRDefault="005C332D">
            <w:pPr>
              <w:rPr>
                <w:rFonts w:ascii="宋体"/>
              </w:rPr>
            </w:pPr>
          </w:p>
        </w:tc>
        <w:tc>
          <w:tcPr>
            <w:tcW w:w="171" w:type="pct"/>
            <w:shd w:val="clear" w:color="auto" w:fill="auto"/>
            <w:vAlign w:val="bottom"/>
          </w:tcPr>
          <w:p w14:paraId="518B56D1" w14:textId="77777777" w:rsidR="005C332D" w:rsidRDefault="005C332D">
            <w:pPr>
              <w:rPr>
                <w:rFonts w:ascii="宋体"/>
              </w:rPr>
            </w:pPr>
          </w:p>
        </w:tc>
        <w:tc>
          <w:tcPr>
            <w:tcW w:w="5" w:type="pct"/>
            <w:shd w:val="clear" w:color="auto" w:fill="auto"/>
            <w:vAlign w:val="bottom"/>
          </w:tcPr>
          <w:p w14:paraId="518B56D2" w14:textId="77777777" w:rsidR="005C332D" w:rsidRDefault="005C332D">
            <w:pPr>
              <w:rPr>
                <w:rFonts w:ascii="宋体"/>
              </w:rPr>
            </w:pPr>
          </w:p>
        </w:tc>
        <w:tc>
          <w:tcPr>
            <w:tcW w:w="50" w:type="pct"/>
            <w:shd w:val="clear" w:color="auto" w:fill="auto"/>
            <w:vAlign w:val="bottom"/>
          </w:tcPr>
          <w:p w14:paraId="518B56D3" w14:textId="77777777" w:rsidR="005C332D" w:rsidRDefault="005C332D">
            <w:pPr>
              <w:rPr>
                <w:rFonts w:ascii="宋体"/>
              </w:rPr>
            </w:pPr>
          </w:p>
        </w:tc>
        <w:tc>
          <w:tcPr>
            <w:tcW w:w="2338" w:type="pct"/>
            <w:shd w:val="clear" w:color="auto" w:fill="auto"/>
            <w:vAlign w:val="bottom"/>
          </w:tcPr>
          <w:p w14:paraId="518B56D4" w14:textId="77777777" w:rsidR="005C332D" w:rsidRDefault="005C332D">
            <w:pPr>
              <w:rPr>
                <w:rFonts w:ascii="宋体"/>
              </w:rPr>
            </w:pPr>
          </w:p>
        </w:tc>
        <w:tc>
          <w:tcPr>
            <w:tcW w:w="5" w:type="pct"/>
            <w:shd w:val="clear" w:color="auto" w:fill="auto"/>
            <w:vAlign w:val="bottom"/>
          </w:tcPr>
          <w:p w14:paraId="518B56D5" w14:textId="77777777" w:rsidR="005C332D" w:rsidRDefault="005C332D">
            <w:pPr>
              <w:rPr>
                <w:rFonts w:ascii="宋体"/>
              </w:rPr>
            </w:pPr>
          </w:p>
        </w:tc>
      </w:tr>
      <w:tr w:rsidR="005C332D" w14:paraId="518B56DA" w14:textId="77777777">
        <w:tc>
          <w:tcPr>
            <w:tcW w:w="0" w:type="auto"/>
            <w:gridSpan w:val="3"/>
            <w:shd w:val="clear" w:color="auto" w:fill="auto"/>
            <w:tcMar>
              <w:top w:w="40" w:type="dxa"/>
              <w:left w:w="20" w:type="dxa"/>
              <w:bottom w:w="40" w:type="dxa"/>
              <w:right w:w="20" w:type="dxa"/>
            </w:tcMar>
            <w:vAlign w:val="bottom"/>
          </w:tcPr>
          <w:p w14:paraId="518B56D7" w14:textId="77777777" w:rsidR="005C332D" w:rsidRDefault="00B93EAE">
            <w:pP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C</w:t>
            </w:r>
            <w:r>
              <w:rPr>
                <w:rFonts w:ascii="Times New Roman" w:eastAsia="宋体" w:hAnsi="Times New Roman"/>
                <w:color w:val="000000"/>
                <w:sz w:val="18"/>
                <w:szCs w:val="18"/>
              </w:rPr>
              <w:t xml:space="preserve">HARLES </w:t>
            </w:r>
            <w:r>
              <w:rPr>
                <w:rFonts w:ascii="Times New Roman" w:eastAsia="宋体" w:hAnsi="Times New Roman"/>
                <w:color w:val="000000"/>
                <w:sz w:val="20"/>
                <w:szCs w:val="20"/>
              </w:rPr>
              <w:t>H</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R</w:t>
            </w:r>
            <w:r>
              <w:rPr>
                <w:rFonts w:ascii="Times New Roman" w:eastAsia="宋体" w:hAnsi="Times New Roman"/>
                <w:color w:val="000000"/>
                <w:sz w:val="18"/>
                <w:szCs w:val="18"/>
              </w:rPr>
              <w:t>OBBINS</w:t>
            </w:r>
          </w:p>
        </w:tc>
        <w:tc>
          <w:tcPr>
            <w:tcW w:w="0" w:type="auto"/>
            <w:gridSpan w:val="3"/>
            <w:shd w:val="clear" w:color="auto" w:fill="auto"/>
            <w:tcMar>
              <w:top w:w="40" w:type="dxa"/>
              <w:left w:w="20" w:type="dxa"/>
              <w:bottom w:w="40" w:type="dxa"/>
              <w:right w:w="20" w:type="dxa"/>
            </w:tcMar>
            <w:vAlign w:val="bottom"/>
          </w:tcPr>
          <w:p w14:paraId="518B56D8" w14:textId="77777777" w:rsidR="005C332D" w:rsidRDefault="00B93EAE">
            <w:pPr>
              <w:textAlignment w:val="bottom"/>
            </w:pPr>
            <w:r>
              <w:rPr>
                <w:rFonts w:ascii="Times New Roman" w:eastAsia="宋体" w:hAnsi="Times New Roman"/>
                <w:color w:val="FF0000"/>
                <w:sz w:val="16"/>
                <w:szCs w:val="16"/>
              </w:rPr>
              <w:t> </w:t>
            </w:r>
          </w:p>
        </w:tc>
        <w:tc>
          <w:tcPr>
            <w:tcW w:w="0" w:type="auto"/>
            <w:gridSpan w:val="3"/>
            <w:shd w:val="clear" w:color="auto" w:fill="auto"/>
            <w:tcMar>
              <w:top w:w="40" w:type="dxa"/>
              <w:left w:w="20" w:type="dxa"/>
              <w:bottom w:w="40" w:type="dxa"/>
              <w:right w:w="20" w:type="dxa"/>
            </w:tcMar>
            <w:vAlign w:val="bottom"/>
          </w:tcPr>
          <w:p w14:paraId="518B56D9" w14:textId="77777777" w:rsidR="005C332D" w:rsidRDefault="00B93EAE">
            <w:pP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R. S</w:t>
            </w:r>
            <w:r>
              <w:rPr>
                <w:rFonts w:ascii="Times New Roman" w:eastAsia="宋体" w:hAnsi="Times New Roman"/>
                <w:color w:val="000000"/>
                <w:sz w:val="18"/>
                <w:szCs w:val="18"/>
              </w:rPr>
              <w:t xml:space="preserve">COTT </w:t>
            </w:r>
            <w:r>
              <w:rPr>
                <w:rFonts w:ascii="Times New Roman" w:eastAsia="宋体" w:hAnsi="Times New Roman"/>
                <w:color w:val="000000"/>
                <w:sz w:val="20"/>
                <w:szCs w:val="20"/>
              </w:rPr>
              <w:t>H</w:t>
            </w:r>
            <w:r>
              <w:rPr>
                <w:rFonts w:ascii="Times New Roman" w:eastAsia="宋体" w:hAnsi="Times New Roman"/>
                <w:color w:val="000000"/>
                <w:sz w:val="18"/>
                <w:szCs w:val="18"/>
              </w:rPr>
              <w:t>ERREN</w:t>
            </w:r>
          </w:p>
        </w:tc>
      </w:tr>
      <w:tr w:rsidR="005C332D" w14:paraId="518B56DE" w14:textId="77777777">
        <w:tc>
          <w:tcPr>
            <w:tcW w:w="0" w:type="auto"/>
            <w:gridSpan w:val="3"/>
            <w:tcBorders>
              <w:top w:val="single" w:sz="8" w:space="0" w:color="000000"/>
            </w:tcBorders>
            <w:shd w:val="clear" w:color="auto" w:fill="auto"/>
            <w:tcMar>
              <w:top w:w="40" w:type="dxa"/>
              <w:left w:w="20" w:type="dxa"/>
              <w:bottom w:w="40" w:type="dxa"/>
              <w:right w:w="20" w:type="dxa"/>
            </w:tcMar>
          </w:tcPr>
          <w:p w14:paraId="518B56DB" w14:textId="77777777" w:rsidR="005C332D" w:rsidRDefault="00B93EAE">
            <w:pPr>
              <w:textAlignment w:val="top"/>
            </w:pPr>
            <w:r>
              <w:rPr>
                <w:rFonts w:ascii="Times New Roman" w:eastAsia="宋体" w:hAnsi="Times New Roman"/>
                <w:color w:val="000000"/>
                <w:sz w:val="20"/>
                <w:szCs w:val="20"/>
              </w:rPr>
              <w:t>Charles H. Robbins</w:t>
            </w:r>
          </w:p>
        </w:tc>
        <w:tc>
          <w:tcPr>
            <w:tcW w:w="0" w:type="auto"/>
            <w:gridSpan w:val="3"/>
            <w:shd w:val="clear" w:color="auto" w:fill="auto"/>
            <w:tcMar>
              <w:top w:w="40" w:type="dxa"/>
              <w:left w:w="20" w:type="dxa"/>
              <w:bottom w:w="40" w:type="dxa"/>
              <w:right w:w="20" w:type="dxa"/>
            </w:tcMar>
            <w:vAlign w:val="bottom"/>
          </w:tcPr>
          <w:p w14:paraId="518B56DC" w14:textId="77777777" w:rsidR="005C332D" w:rsidRDefault="00B93EAE">
            <w:pPr>
              <w:textAlignment w:val="bottom"/>
            </w:pPr>
            <w:r>
              <w:rPr>
                <w:rFonts w:ascii="Times New Roman" w:eastAsia="宋体" w:hAnsi="Times New Roman"/>
                <w:color w:val="FF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56DD" w14:textId="77777777" w:rsidR="005C332D" w:rsidRDefault="00B93EAE">
            <w:pPr>
              <w:textAlignment w:val="bottom"/>
            </w:pPr>
            <w:r>
              <w:rPr>
                <w:rFonts w:ascii="Times New Roman" w:eastAsia="宋体" w:hAnsi="Times New Roman"/>
                <w:color w:val="000000"/>
                <w:sz w:val="20"/>
                <w:szCs w:val="20"/>
              </w:rPr>
              <w:t>R. Scott Herren</w:t>
            </w:r>
          </w:p>
        </w:tc>
      </w:tr>
      <w:tr w:rsidR="005C332D" w14:paraId="518B56E2" w14:textId="77777777">
        <w:tc>
          <w:tcPr>
            <w:tcW w:w="0" w:type="auto"/>
            <w:gridSpan w:val="3"/>
            <w:shd w:val="clear" w:color="auto" w:fill="auto"/>
            <w:tcMar>
              <w:top w:w="40" w:type="dxa"/>
              <w:left w:w="20" w:type="dxa"/>
              <w:bottom w:w="40" w:type="dxa"/>
              <w:right w:w="20" w:type="dxa"/>
            </w:tcMar>
          </w:tcPr>
          <w:p w14:paraId="518B56DF" w14:textId="77777777" w:rsidR="005C332D" w:rsidRDefault="00B93EAE">
            <w:pPr>
              <w:textAlignment w:val="top"/>
            </w:pPr>
            <w:r>
              <w:rPr>
                <w:rFonts w:ascii="Times New Roman" w:eastAsia="宋体" w:hAnsi="Times New Roman"/>
                <w:color w:val="000000"/>
                <w:sz w:val="20"/>
                <w:szCs w:val="20"/>
              </w:rPr>
              <w:t>Chair and Chief Executive Officer</w:t>
            </w:r>
          </w:p>
        </w:tc>
        <w:tc>
          <w:tcPr>
            <w:tcW w:w="0" w:type="auto"/>
            <w:gridSpan w:val="3"/>
            <w:shd w:val="clear" w:color="auto" w:fill="auto"/>
            <w:tcMar>
              <w:top w:w="40" w:type="dxa"/>
              <w:left w:w="20" w:type="dxa"/>
              <w:bottom w:w="40" w:type="dxa"/>
              <w:right w:w="20" w:type="dxa"/>
            </w:tcMar>
            <w:vAlign w:val="bottom"/>
          </w:tcPr>
          <w:p w14:paraId="518B56E0" w14:textId="77777777" w:rsidR="005C332D" w:rsidRDefault="00B93EAE">
            <w:pPr>
              <w:textAlignment w:val="bottom"/>
            </w:pPr>
            <w:r>
              <w:rPr>
                <w:rFonts w:ascii="Times New Roman" w:eastAsia="宋体" w:hAnsi="Times New Roman"/>
                <w:color w:val="FF0000"/>
                <w:sz w:val="16"/>
                <w:szCs w:val="16"/>
              </w:rPr>
              <w:t> </w:t>
            </w:r>
          </w:p>
        </w:tc>
        <w:tc>
          <w:tcPr>
            <w:tcW w:w="0" w:type="auto"/>
            <w:gridSpan w:val="3"/>
            <w:shd w:val="clear" w:color="auto" w:fill="auto"/>
            <w:tcMar>
              <w:top w:w="40" w:type="dxa"/>
              <w:left w:w="20" w:type="dxa"/>
              <w:bottom w:w="40" w:type="dxa"/>
              <w:right w:w="20" w:type="dxa"/>
            </w:tcMar>
            <w:vAlign w:val="bottom"/>
          </w:tcPr>
          <w:p w14:paraId="518B56E1" w14:textId="77777777" w:rsidR="005C332D" w:rsidRDefault="00B93EAE">
            <w:pPr>
              <w:textAlignment w:val="bottom"/>
            </w:pPr>
            <w:r>
              <w:rPr>
                <w:rFonts w:ascii="Times New Roman" w:eastAsia="宋体" w:hAnsi="Times New Roman"/>
                <w:color w:val="000000"/>
                <w:sz w:val="20"/>
                <w:szCs w:val="20"/>
              </w:rPr>
              <w:t>Executive Vice President and Chief Financial Officer</w:t>
            </w:r>
          </w:p>
        </w:tc>
      </w:tr>
      <w:tr w:rsidR="005C332D" w14:paraId="518B56E6" w14:textId="77777777">
        <w:tc>
          <w:tcPr>
            <w:tcW w:w="0" w:type="auto"/>
            <w:gridSpan w:val="3"/>
            <w:shd w:val="clear" w:color="auto" w:fill="auto"/>
            <w:tcMar>
              <w:top w:w="40" w:type="dxa"/>
              <w:left w:w="20" w:type="dxa"/>
              <w:bottom w:w="40" w:type="dxa"/>
              <w:right w:w="20" w:type="dxa"/>
            </w:tcMar>
          </w:tcPr>
          <w:p w14:paraId="518B56E3" w14:textId="77777777" w:rsidR="005C332D" w:rsidRDefault="00B93EAE">
            <w:pPr>
              <w:textAlignment w:val="top"/>
            </w:pPr>
            <w:r>
              <w:rPr>
                <w:rFonts w:ascii="Times New Roman" w:eastAsia="宋体" w:hAnsi="Times New Roman"/>
                <w:color w:val="000000"/>
                <w:sz w:val="20"/>
                <w:szCs w:val="20"/>
              </w:rPr>
              <w:t>September 8, 2022</w:t>
            </w:r>
          </w:p>
        </w:tc>
        <w:tc>
          <w:tcPr>
            <w:tcW w:w="0" w:type="auto"/>
            <w:gridSpan w:val="3"/>
            <w:shd w:val="clear" w:color="auto" w:fill="auto"/>
            <w:tcMar>
              <w:top w:w="40" w:type="dxa"/>
              <w:left w:w="20" w:type="dxa"/>
              <w:bottom w:w="40" w:type="dxa"/>
              <w:right w:w="20" w:type="dxa"/>
            </w:tcMar>
            <w:vAlign w:val="bottom"/>
          </w:tcPr>
          <w:p w14:paraId="518B56E4"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18B56E5" w14:textId="77777777" w:rsidR="005C332D" w:rsidRDefault="00B93EAE">
            <w:pPr>
              <w:textAlignment w:val="bottom"/>
            </w:pPr>
            <w:r>
              <w:rPr>
                <w:rFonts w:ascii="Times New Roman" w:eastAsia="宋体" w:hAnsi="Times New Roman"/>
                <w:color w:val="000000"/>
                <w:sz w:val="20"/>
                <w:szCs w:val="20"/>
              </w:rPr>
              <w:t>September 8, 2022</w:t>
            </w:r>
          </w:p>
        </w:tc>
      </w:tr>
    </w:tbl>
    <w:p w14:paraId="518B56E7" w14:textId="77777777" w:rsidR="005C332D" w:rsidRDefault="005C332D">
      <w:pPr>
        <w:spacing w:before="120" w:after="60"/>
        <w:jc w:val="both"/>
      </w:pPr>
    </w:p>
    <w:p w14:paraId="518B56E8" w14:textId="77777777" w:rsidR="005C332D" w:rsidRDefault="00B93EAE">
      <w:pPr>
        <w:jc w:val="center"/>
      </w:pPr>
      <w:r>
        <w:rPr>
          <w:rFonts w:ascii="Times New Roman" w:eastAsia="宋体" w:hAnsi="Times New Roman"/>
          <w:color w:val="000000"/>
          <w:sz w:val="20"/>
          <w:szCs w:val="20"/>
        </w:rPr>
        <w:t>58</w:t>
      </w:r>
    </w:p>
    <w:p w14:paraId="518B56E9" w14:textId="77777777" w:rsidR="005C332D" w:rsidRDefault="00B93EAE">
      <w:r>
        <w:pict w14:anchorId="518B874F">
          <v:rect id="_x0000_i1084" style="width:415.3pt;height:1.5pt" o:hralign="center" o:hrstd="t" o:hr="t" fillcolor="#a0a0a0" stroked="f"/>
        </w:pict>
      </w:r>
    </w:p>
    <w:p w14:paraId="518B56EA" w14:textId="77777777" w:rsidR="005C332D" w:rsidRDefault="00B93EAE">
      <w:hyperlink r:id="rId169" w:anchor="i049852cab38845aabd2a79d07dacda86_7" w:history="1">
        <w:r>
          <w:rPr>
            <w:rStyle w:val="a5"/>
            <w:rFonts w:ascii="Times New Roman" w:eastAsia="宋体" w:hAnsi="Times New Roman"/>
            <w:sz w:val="20"/>
            <w:szCs w:val="20"/>
          </w:rPr>
          <w:t>Table of Contents</w:t>
        </w:r>
      </w:hyperlink>
    </w:p>
    <w:p w14:paraId="518B56EB" w14:textId="77777777" w:rsidR="005C332D" w:rsidRDefault="00B93EAE">
      <w:pPr>
        <w:jc w:val="center"/>
      </w:pPr>
      <w:r>
        <w:rPr>
          <w:rFonts w:ascii="Times New Roman" w:eastAsia="宋体" w:hAnsi="Times New Roman"/>
          <w:b/>
          <w:bCs/>
          <w:color w:val="000000"/>
          <w:sz w:val="20"/>
          <w:szCs w:val="20"/>
        </w:rPr>
        <w:t>CISCO SYSTEMS, INC.</w:t>
      </w:r>
    </w:p>
    <w:p w14:paraId="518B56EC" w14:textId="77777777" w:rsidR="005C332D" w:rsidRDefault="00B93EAE">
      <w:pPr>
        <w:jc w:val="center"/>
      </w:pPr>
      <w:r>
        <w:rPr>
          <w:rFonts w:ascii="Times New Roman" w:eastAsia="宋体" w:hAnsi="Times New Roman"/>
          <w:b/>
          <w:bCs/>
          <w:color w:val="000000"/>
          <w:sz w:val="20"/>
          <w:szCs w:val="20"/>
        </w:rPr>
        <w:t>Consolidated Balance Sheets</w:t>
      </w:r>
    </w:p>
    <w:p w14:paraId="518B56ED" w14:textId="77777777" w:rsidR="005C332D" w:rsidRDefault="00B93EAE">
      <w:pPr>
        <w:jc w:val="center"/>
      </w:pPr>
      <w:r>
        <w:rPr>
          <w:rFonts w:ascii="Times New Roman" w:eastAsia="宋体" w:hAnsi="Times New Roman"/>
          <w:color w:val="000000"/>
          <w:sz w:val="20"/>
          <w:szCs w:val="20"/>
        </w:rPr>
        <w:t>(in millions, except par value)</w:t>
      </w:r>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42"/>
        <w:gridCol w:w="6008"/>
        <w:gridCol w:w="40"/>
        <w:gridCol w:w="120"/>
        <w:gridCol w:w="924"/>
        <w:gridCol w:w="36"/>
        <w:gridCol w:w="36"/>
        <w:gridCol w:w="36"/>
        <w:gridCol w:w="36"/>
        <w:gridCol w:w="120"/>
        <w:gridCol w:w="890"/>
        <w:gridCol w:w="36"/>
      </w:tblGrid>
      <w:tr w:rsidR="005C332D" w14:paraId="518B56FA" w14:textId="77777777">
        <w:tc>
          <w:tcPr>
            <w:tcW w:w="50" w:type="pct"/>
            <w:shd w:val="clear" w:color="auto" w:fill="auto"/>
            <w:vAlign w:val="bottom"/>
          </w:tcPr>
          <w:p w14:paraId="518B56EE" w14:textId="77777777" w:rsidR="005C332D" w:rsidRDefault="005C332D">
            <w:pPr>
              <w:rPr>
                <w:rFonts w:ascii="宋体"/>
              </w:rPr>
            </w:pPr>
          </w:p>
        </w:tc>
        <w:tc>
          <w:tcPr>
            <w:tcW w:w="3634" w:type="pct"/>
            <w:shd w:val="clear" w:color="auto" w:fill="auto"/>
            <w:vAlign w:val="bottom"/>
          </w:tcPr>
          <w:p w14:paraId="518B56EF" w14:textId="77777777" w:rsidR="005C332D" w:rsidRDefault="005C332D">
            <w:pPr>
              <w:rPr>
                <w:rFonts w:ascii="宋体"/>
              </w:rPr>
            </w:pPr>
          </w:p>
        </w:tc>
        <w:tc>
          <w:tcPr>
            <w:tcW w:w="5" w:type="pct"/>
            <w:shd w:val="clear" w:color="auto" w:fill="auto"/>
            <w:vAlign w:val="bottom"/>
          </w:tcPr>
          <w:p w14:paraId="518B56F0" w14:textId="77777777" w:rsidR="005C332D" w:rsidRDefault="005C332D">
            <w:pPr>
              <w:rPr>
                <w:rFonts w:ascii="宋体"/>
              </w:rPr>
            </w:pPr>
          </w:p>
        </w:tc>
        <w:tc>
          <w:tcPr>
            <w:tcW w:w="50" w:type="pct"/>
            <w:shd w:val="clear" w:color="auto" w:fill="auto"/>
            <w:vAlign w:val="bottom"/>
          </w:tcPr>
          <w:p w14:paraId="518B56F1" w14:textId="77777777" w:rsidR="005C332D" w:rsidRDefault="005C332D">
            <w:pPr>
              <w:rPr>
                <w:rFonts w:ascii="宋体"/>
              </w:rPr>
            </w:pPr>
          </w:p>
        </w:tc>
        <w:tc>
          <w:tcPr>
            <w:tcW w:w="581" w:type="pct"/>
            <w:shd w:val="clear" w:color="auto" w:fill="auto"/>
            <w:vAlign w:val="bottom"/>
          </w:tcPr>
          <w:p w14:paraId="518B56F2" w14:textId="77777777" w:rsidR="005C332D" w:rsidRDefault="005C332D">
            <w:pPr>
              <w:rPr>
                <w:rFonts w:ascii="宋体"/>
              </w:rPr>
            </w:pPr>
          </w:p>
        </w:tc>
        <w:tc>
          <w:tcPr>
            <w:tcW w:w="5" w:type="pct"/>
            <w:shd w:val="clear" w:color="auto" w:fill="auto"/>
            <w:vAlign w:val="bottom"/>
          </w:tcPr>
          <w:p w14:paraId="518B56F3" w14:textId="77777777" w:rsidR="005C332D" w:rsidRDefault="005C332D">
            <w:pPr>
              <w:rPr>
                <w:rFonts w:ascii="宋体"/>
              </w:rPr>
            </w:pPr>
          </w:p>
        </w:tc>
        <w:tc>
          <w:tcPr>
            <w:tcW w:w="5" w:type="pct"/>
            <w:shd w:val="clear" w:color="auto" w:fill="auto"/>
            <w:vAlign w:val="bottom"/>
          </w:tcPr>
          <w:p w14:paraId="518B56F4" w14:textId="77777777" w:rsidR="005C332D" w:rsidRDefault="005C332D">
            <w:pPr>
              <w:rPr>
                <w:rFonts w:ascii="宋体"/>
              </w:rPr>
            </w:pPr>
          </w:p>
        </w:tc>
        <w:tc>
          <w:tcPr>
            <w:tcW w:w="26" w:type="pct"/>
            <w:shd w:val="clear" w:color="auto" w:fill="auto"/>
            <w:vAlign w:val="bottom"/>
          </w:tcPr>
          <w:p w14:paraId="518B56F5" w14:textId="77777777" w:rsidR="005C332D" w:rsidRDefault="005C332D">
            <w:pPr>
              <w:rPr>
                <w:rFonts w:ascii="宋体"/>
              </w:rPr>
            </w:pPr>
          </w:p>
        </w:tc>
        <w:tc>
          <w:tcPr>
            <w:tcW w:w="5" w:type="pct"/>
            <w:shd w:val="clear" w:color="auto" w:fill="auto"/>
            <w:vAlign w:val="bottom"/>
          </w:tcPr>
          <w:p w14:paraId="518B56F6" w14:textId="77777777" w:rsidR="005C332D" w:rsidRDefault="005C332D">
            <w:pPr>
              <w:rPr>
                <w:rFonts w:ascii="宋体"/>
              </w:rPr>
            </w:pPr>
          </w:p>
        </w:tc>
        <w:tc>
          <w:tcPr>
            <w:tcW w:w="50" w:type="pct"/>
            <w:shd w:val="clear" w:color="auto" w:fill="auto"/>
            <w:vAlign w:val="bottom"/>
          </w:tcPr>
          <w:p w14:paraId="518B56F7" w14:textId="77777777" w:rsidR="005C332D" w:rsidRDefault="005C332D">
            <w:pPr>
              <w:rPr>
                <w:rFonts w:ascii="宋体"/>
              </w:rPr>
            </w:pPr>
          </w:p>
        </w:tc>
        <w:tc>
          <w:tcPr>
            <w:tcW w:w="581" w:type="pct"/>
            <w:shd w:val="clear" w:color="auto" w:fill="auto"/>
            <w:vAlign w:val="bottom"/>
          </w:tcPr>
          <w:p w14:paraId="518B56F8" w14:textId="77777777" w:rsidR="005C332D" w:rsidRDefault="005C332D">
            <w:pPr>
              <w:rPr>
                <w:rFonts w:ascii="宋体"/>
              </w:rPr>
            </w:pPr>
          </w:p>
        </w:tc>
        <w:tc>
          <w:tcPr>
            <w:tcW w:w="5" w:type="pct"/>
            <w:shd w:val="clear" w:color="auto" w:fill="auto"/>
            <w:vAlign w:val="bottom"/>
          </w:tcPr>
          <w:p w14:paraId="518B56F9" w14:textId="77777777" w:rsidR="005C332D" w:rsidRDefault="005C332D">
            <w:pPr>
              <w:rPr>
                <w:rFonts w:ascii="宋体"/>
              </w:rPr>
            </w:pPr>
          </w:p>
        </w:tc>
      </w:tr>
      <w:tr w:rsidR="005C332D" w14:paraId="518B56FF" w14:textId="77777777">
        <w:tc>
          <w:tcPr>
            <w:tcW w:w="0" w:type="auto"/>
            <w:gridSpan w:val="3"/>
            <w:shd w:val="clear" w:color="auto" w:fill="auto"/>
            <w:tcMar>
              <w:top w:w="0" w:type="dxa"/>
              <w:left w:w="20" w:type="dxa"/>
              <w:bottom w:w="0" w:type="dxa"/>
              <w:right w:w="20" w:type="dxa"/>
            </w:tcMar>
            <w:vAlign w:val="bottom"/>
          </w:tcPr>
          <w:p w14:paraId="518B56F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6FC"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6F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6FE"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5704" w14:textId="77777777">
        <w:tc>
          <w:tcPr>
            <w:tcW w:w="0" w:type="auto"/>
            <w:gridSpan w:val="3"/>
            <w:shd w:val="clear" w:color="auto" w:fill="CCEEFF"/>
            <w:tcMar>
              <w:top w:w="40" w:type="dxa"/>
              <w:left w:w="20" w:type="dxa"/>
              <w:bottom w:w="40" w:type="dxa"/>
              <w:right w:w="20" w:type="dxa"/>
            </w:tcMar>
            <w:vAlign w:val="bottom"/>
          </w:tcPr>
          <w:p w14:paraId="518B5700" w14:textId="77777777" w:rsidR="005C332D" w:rsidRDefault="00B93EAE">
            <w:pPr>
              <w:textAlignment w:val="bottom"/>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70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702"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703" w14:textId="77777777" w:rsidR="005C332D" w:rsidRDefault="005C332D">
            <w:pPr>
              <w:rPr>
                <w:rFonts w:ascii="宋体"/>
              </w:rPr>
            </w:pPr>
          </w:p>
        </w:tc>
      </w:tr>
      <w:tr w:rsidR="005C332D" w14:paraId="518B5709" w14:textId="77777777">
        <w:tc>
          <w:tcPr>
            <w:tcW w:w="0" w:type="auto"/>
            <w:gridSpan w:val="3"/>
            <w:shd w:val="clear" w:color="auto" w:fill="FFFFFF"/>
            <w:tcMar>
              <w:top w:w="40" w:type="dxa"/>
              <w:left w:w="20" w:type="dxa"/>
              <w:bottom w:w="40" w:type="dxa"/>
              <w:right w:w="20" w:type="dxa"/>
            </w:tcMar>
            <w:vAlign w:val="bottom"/>
          </w:tcPr>
          <w:p w14:paraId="518B5705" w14:textId="77777777" w:rsidR="005C332D" w:rsidRDefault="00B93EAE">
            <w:pPr>
              <w:textAlignment w:val="bottom"/>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518B570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70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708" w14:textId="77777777" w:rsidR="005C332D" w:rsidRDefault="005C332D">
            <w:pPr>
              <w:rPr>
                <w:rFonts w:ascii="宋体"/>
              </w:rPr>
            </w:pPr>
          </w:p>
        </w:tc>
      </w:tr>
      <w:tr w:rsidR="005C332D" w14:paraId="518B5712" w14:textId="77777777">
        <w:tc>
          <w:tcPr>
            <w:tcW w:w="0" w:type="auto"/>
            <w:gridSpan w:val="3"/>
            <w:shd w:val="clear" w:color="auto" w:fill="CCEEFF"/>
            <w:tcMar>
              <w:top w:w="40" w:type="dxa"/>
              <w:left w:w="380" w:type="dxa"/>
              <w:bottom w:w="40" w:type="dxa"/>
              <w:right w:w="20" w:type="dxa"/>
            </w:tcMar>
            <w:vAlign w:val="bottom"/>
          </w:tcPr>
          <w:p w14:paraId="518B570A" w14:textId="77777777" w:rsidR="005C332D" w:rsidRDefault="00B93EAE">
            <w:pPr>
              <w:textAlignment w:val="bottom"/>
            </w:pPr>
            <w:r>
              <w:rPr>
                <w:rFonts w:ascii="Times New Roman" w:eastAsia="宋体" w:hAnsi="Times New Roman"/>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518B570B"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570C" w14:textId="77777777" w:rsidR="005C332D" w:rsidRDefault="00B93EAE">
            <w:pPr>
              <w:jc w:val="right"/>
              <w:textAlignment w:val="bottom"/>
            </w:pPr>
            <w:r>
              <w:rPr>
                <w:rFonts w:ascii="Times New Roman" w:eastAsia="宋体" w:hAnsi="Times New Roman"/>
                <w:b/>
                <w:bCs/>
                <w:color w:val="000000"/>
                <w:sz w:val="20"/>
                <w:szCs w:val="20"/>
              </w:rPr>
              <w:t>7,079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0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0E"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70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710" w14:textId="77777777" w:rsidR="005C332D" w:rsidRDefault="00B93EAE">
            <w:pPr>
              <w:jc w:val="right"/>
              <w:textAlignment w:val="bottom"/>
            </w:pPr>
            <w:r>
              <w:rPr>
                <w:rFonts w:ascii="Times New Roman" w:eastAsia="宋体" w:hAnsi="Times New Roman"/>
                <w:color w:val="000000"/>
                <w:sz w:val="20"/>
                <w:szCs w:val="20"/>
              </w:rPr>
              <w:t>9,175 </w:t>
            </w:r>
          </w:p>
        </w:tc>
        <w:tc>
          <w:tcPr>
            <w:tcW w:w="0" w:type="auto"/>
            <w:shd w:val="clear" w:color="auto" w:fill="CCEEFF"/>
            <w:tcMar>
              <w:top w:w="40" w:type="dxa"/>
              <w:left w:w="0" w:type="dxa"/>
              <w:bottom w:w="40" w:type="dxa"/>
              <w:right w:w="20" w:type="dxa"/>
            </w:tcMar>
            <w:vAlign w:val="bottom"/>
          </w:tcPr>
          <w:p w14:paraId="518B5711" w14:textId="77777777" w:rsidR="005C332D" w:rsidRDefault="005C332D">
            <w:pPr>
              <w:jc w:val="right"/>
              <w:rPr>
                <w:rFonts w:ascii="宋体"/>
              </w:rPr>
            </w:pPr>
          </w:p>
        </w:tc>
      </w:tr>
      <w:tr w:rsidR="005C332D" w14:paraId="518B5719" w14:textId="77777777">
        <w:tc>
          <w:tcPr>
            <w:tcW w:w="0" w:type="auto"/>
            <w:gridSpan w:val="3"/>
            <w:shd w:val="clear" w:color="auto" w:fill="FFFFFF"/>
            <w:tcMar>
              <w:top w:w="40" w:type="dxa"/>
              <w:left w:w="380" w:type="dxa"/>
              <w:bottom w:w="40" w:type="dxa"/>
              <w:right w:w="20" w:type="dxa"/>
            </w:tcMar>
            <w:vAlign w:val="bottom"/>
          </w:tcPr>
          <w:p w14:paraId="518B5713" w14:textId="77777777" w:rsidR="005C332D" w:rsidRDefault="00B93EAE">
            <w:pPr>
              <w:textAlignment w:val="bottom"/>
            </w:pPr>
            <w:r>
              <w:rPr>
                <w:rFonts w:ascii="Times New Roman" w:eastAsia="宋体" w:hAnsi="Times New Roman"/>
                <w:color w:val="000000"/>
                <w:sz w:val="20"/>
                <w:szCs w:val="20"/>
              </w:rPr>
              <w:t>Investments</w:t>
            </w:r>
          </w:p>
        </w:tc>
        <w:tc>
          <w:tcPr>
            <w:tcW w:w="0" w:type="auto"/>
            <w:gridSpan w:val="2"/>
            <w:shd w:val="clear" w:color="auto" w:fill="FFFFFF"/>
            <w:tcMar>
              <w:top w:w="40" w:type="dxa"/>
              <w:left w:w="20" w:type="dxa"/>
              <w:bottom w:w="40" w:type="dxa"/>
              <w:right w:w="0" w:type="dxa"/>
            </w:tcMar>
            <w:vAlign w:val="bottom"/>
          </w:tcPr>
          <w:p w14:paraId="518B5714" w14:textId="77777777" w:rsidR="005C332D" w:rsidRDefault="00B93EAE">
            <w:pPr>
              <w:jc w:val="right"/>
              <w:textAlignment w:val="bottom"/>
            </w:pPr>
            <w:r>
              <w:rPr>
                <w:rFonts w:ascii="Times New Roman" w:eastAsia="宋体" w:hAnsi="Times New Roman"/>
                <w:b/>
                <w:bCs/>
                <w:color w:val="000000"/>
                <w:sz w:val="20"/>
                <w:szCs w:val="20"/>
              </w:rPr>
              <w:t>12,188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1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1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17" w14:textId="77777777" w:rsidR="005C332D" w:rsidRDefault="00B93EAE">
            <w:pPr>
              <w:jc w:val="right"/>
              <w:textAlignment w:val="bottom"/>
            </w:pPr>
            <w:r>
              <w:rPr>
                <w:rFonts w:ascii="Times New Roman" w:eastAsia="宋体" w:hAnsi="Times New Roman"/>
                <w:color w:val="000000"/>
                <w:sz w:val="20"/>
                <w:szCs w:val="20"/>
              </w:rPr>
              <w:t>15,343 </w:t>
            </w:r>
          </w:p>
        </w:tc>
        <w:tc>
          <w:tcPr>
            <w:tcW w:w="0" w:type="auto"/>
            <w:shd w:val="clear" w:color="auto" w:fill="FFFFFF"/>
            <w:tcMar>
              <w:top w:w="40" w:type="dxa"/>
              <w:left w:w="0" w:type="dxa"/>
              <w:bottom w:w="40" w:type="dxa"/>
              <w:right w:w="20" w:type="dxa"/>
            </w:tcMar>
            <w:vAlign w:val="bottom"/>
          </w:tcPr>
          <w:p w14:paraId="518B5718" w14:textId="77777777" w:rsidR="005C332D" w:rsidRDefault="005C332D">
            <w:pPr>
              <w:jc w:val="right"/>
              <w:rPr>
                <w:rFonts w:ascii="宋体"/>
              </w:rPr>
            </w:pPr>
          </w:p>
        </w:tc>
      </w:tr>
      <w:tr w:rsidR="005C332D" w14:paraId="518B5721" w14:textId="77777777">
        <w:tc>
          <w:tcPr>
            <w:tcW w:w="0" w:type="auto"/>
            <w:gridSpan w:val="3"/>
            <w:shd w:val="clear" w:color="auto" w:fill="CCEEFF"/>
            <w:tcMar>
              <w:top w:w="40" w:type="dxa"/>
              <w:left w:w="20" w:type="dxa"/>
              <w:bottom w:w="40" w:type="dxa"/>
              <w:right w:w="20" w:type="dxa"/>
            </w:tcMar>
            <w:vAlign w:val="bottom"/>
          </w:tcPr>
          <w:p w14:paraId="518B571A" w14:textId="77777777" w:rsidR="005C332D" w:rsidRDefault="00B93EAE">
            <w:pPr>
              <w:textAlignment w:val="bottom"/>
            </w:pPr>
            <w:r>
              <w:rPr>
                <w:rFonts w:ascii="Times New Roman" w:eastAsia="宋体" w:hAnsi="Times New Roman"/>
                <w:color w:val="000000"/>
                <w:sz w:val="20"/>
                <w:szCs w:val="20"/>
              </w:rPr>
              <w:t xml:space="preserve">Accounts receivable, net of allowance </w:t>
            </w:r>
          </w:p>
          <w:p w14:paraId="518B571B" w14:textId="77777777" w:rsidR="005C332D" w:rsidRDefault="00B93EAE">
            <w:pPr>
              <w:textAlignment w:val="bottom"/>
            </w:pPr>
            <w:r>
              <w:rPr>
                <w:rFonts w:ascii="Times New Roman" w:eastAsia="宋体" w:hAnsi="Times New Roman"/>
                <w:color w:val="000000"/>
                <w:sz w:val="20"/>
                <w:szCs w:val="20"/>
              </w:rPr>
              <w:t>of $83 at July 30, 2022 and $109 at July 31, 2021</w:t>
            </w:r>
          </w:p>
        </w:tc>
        <w:tc>
          <w:tcPr>
            <w:tcW w:w="0" w:type="auto"/>
            <w:gridSpan w:val="2"/>
            <w:shd w:val="clear" w:color="auto" w:fill="CCEEFF"/>
            <w:tcMar>
              <w:top w:w="40" w:type="dxa"/>
              <w:left w:w="20" w:type="dxa"/>
              <w:bottom w:w="40" w:type="dxa"/>
              <w:right w:w="0" w:type="dxa"/>
            </w:tcMar>
            <w:vAlign w:val="bottom"/>
          </w:tcPr>
          <w:p w14:paraId="518B571C" w14:textId="77777777" w:rsidR="005C332D" w:rsidRDefault="00B93EAE">
            <w:pPr>
              <w:jc w:val="right"/>
              <w:textAlignment w:val="bottom"/>
            </w:pPr>
            <w:r>
              <w:rPr>
                <w:rFonts w:ascii="Times New Roman" w:eastAsia="宋体" w:hAnsi="Times New Roman"/>
                <w:b/>
                <w:bCs/>
                <w:color w:val="000000"/>
                <w:sz w:val="20"/>
                <w:szCs w:val="20"/>
              </w:rPr>
              <w:t>6,622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1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1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1F" w14:textId="77777777" w:rsidR="005C332D" w:rsidRDefault="00B93EAE">
            <w:pPr>
              <w:jc w:val="right"/>
              <w:textAlignment w:val="bottom"/>
            </w:pPr>
            <w:r>
              <w:rPr>
                <w:rFonts w:ascii="Times New Roman" w:eastAsia="宋体" w:hAnsi="Times New Roman"/>
                <w:color w:val="000000"/>
                <w:sz w:val="20"/>
                <w:szCs w:val="20"/>
              </w:rPr>
              <w:t>5,766 </w:t>
            </w:r>
          </w:p>
        </w:tc>
        <w:tc>
          <w:tcPr>
            <w:tcW w:w="0" w:type="auto"/>
            <w:shd w:val="clear" w:color="auto" w:fill="CCEEFF"/>
            <w:tcMar>
              <w:top w:w="40" w:type="dxa"/>
              <w:left w:w="0" w:type="dxa"/>
              <w:bottom w:w="40" w:type="dxa"/>
              <w:right w:w="20" w:type="dxa"/>
            </w:tcMar>
            <w:vAlign w:val="bottom"/>
          </w:tcPr>
          <w:p w14:paraId="518B5720" w14:textId="77777777" w:rsidR="005C332D" w:rsidRDefault="005C332D">
            <w:pPr>
              <w:jc w:val="right"/>
              <w:rPr>
                <w:rFonts w:ascii="宋体"/>
              </w:rPr>
            </w:pPr>
          </w:p>
        </w:tc>
      </w:tr>
      <w:tr w:rsidR="005C332D" w14:paraId="518B5728" w14:textId="77777777">
        <w:tc>
          <w:tcPr>
            <w:tcW w:w="0" w:type="auto"/>
            <w:gridSpan w:val="3"/>
            <w:shd w:val="clear" w:color="auto" w:fill="FFFFFF"/>
            <w:tcMar>
              <w:top w:w="40" w:type="dxa"/>
              <w:left w:w="380" w:type="dxa"/>
              <w:bottom w:w="40" w:type="dxa"/>
              <w:right w:w="20" w:type="dxa"/>
            </w:tcMar>
            <w:vAlign w:val="bottom"/>
          </w:tcPr>
          <w:p w14:paraId="518B5722" w14:textId="77777777" w:rsidR="005C332D" w:rsidRDefault="00B93EAE">
            <w:pPr>
              <w:textAlignment w:val="bottom"/>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518B5723" w14:textId="77777777" w:rsidR="005C332D" w:rsidRDefault="00B93EAE">
            <w:pPr>
              <w:jc w:val="right"/>
              <w:textAlignment w:val="bottom"/>
            </w:pPr>
            <w:r>
              <w:rPr>
                <w:rFonts w:ascii="Times New Roman" w:eastAsia="宋体" w:hAnsi="Times New Roman"/>
                <w:b/>
                <w:bCs/>
                <w:color w:val="000000"/>
                <w:sz w:val="20"/>
                <w:szCs w:val="20"/>
              </w:rPr>
              <w:t>2,568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2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2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26" w14:textId="77777777" w:rsidR="005C332D" w:rsidRDefault="00B93EAE">
            <w:pPr>
              <w:jc w:val="right"/>
              <w:textAlignment w:val="bottom"/>
            </w:pPr>
            <w:r>
              <w:rPr>
                <w:rFonts w:ascii="Times New Roman" w:eastAsia="宋体" w:hAnsi="Times New Roman"/>
                <w:color w:val="000000"/>
                <w:sz w:val="20"/>
                <w:szCs w:val="20"/>
              </w:rPr>
              <w:t>1,559 </w:t>
            </w:r>
          </w:p>
        </w:tc>
        <w:tc>
          <w:tcPr>
            <w:tcW w:w="0" w:type="auto"/>
            <w:shd w:val="clear" w:color="auto" w:fill="FFFFFF"/>
            <w:tcMar>
              <w:top w:w="40" w:type="dxa"/>
              <w:left w:w="0" w:type="dxa"/>
              <w:bottom w:w="40" w:type="dxa"/>
              <w:right w:w="20" w:type="dxa"/>
            </w:tcMar>
            <w:vAlign w:val="bottom"/>
          </w:tcPr>
          <w:p w14:paraId="518B5727" w14:textId="77777777" w:rsidR="005C332D" w:rsidRDefault="005C332D">
            <w:pPr>
              <w:jc w:val="right"/>
              <w:rPr>
                <w:rFonts w:ascii="宋体"/>
              </w:rPr>
            </w:pPr>
          </w:p>
        </w:tc>
      </w:tr>
      <w:tr w:rsidR="005C332D" w14:paraId="518B572F" w14:textId="77777777">
        <w:tc>
          <w:tcPr>
            <w:tcW w:w="0" w:type="auto"/>
            <w:gridSpan w:val="3"/>
            <w:shd w:val="clear" w:color="auto" w:fill="CCEEFF"/>
            <w:tcMar>
              <w:top w:w="40" w:type="dxa"/>
              <w:left w:w="380" w:type="dxa"/>
              <w:bottom w:w="40" w:type="dxa"/>
              <w:right w:w="20" w:type="dxa"/>
            </w:tcMar>
            <w:vAlign w:val="bottom"/>
          </w:tcPr>
          <w:p w14:paraId="518B5729" w14:textId="77777777" w:rsidR="005C332D" w:rsidRDefault="00B93EAE">
            <w:pPr>
              <w:textAlignment w:val="bottom"/>
            </w:pPr>
            <w:r>
              <w:rPr>
                <w:rFonts w:ascii="Times New Roman" w:eastAsia="宋体" w:hAnsi="Times New Roman"/>
                <w:color w:val="000000"/>
                <w:sz w:val="20"/>
                <w:szCs w:val="20"/>
              </w:rPr>
              <w:t>Financing receivables, net</w:t>
            </w:r>
          </w:p>
        </w:tc>
        <w:tc>
          <w:tcPr>
            <w:tcW w:w="0" w:type="auto"/>
            <w:gridSpan w:val="2"/>
            <w:shd w:val="clear" w:color="auto" w:fill="CCEEFF"/>
            <w:tcMar>
              <w:top w:w="40" w:type="dxa"/>
              <w:left w:w="20" w:type="dxa"/>
              <w:bottom w:w="40" w:type="dxa"/>
              <w:right w:w="0" w:type="dxa"/>
            </w:tcMar>
            <w:vAlign w:val="bottom"/>
          </w:tcPr>
          <w:p w14:paraId="518B572A" w14:textId="77777777" w:rsidR="005C332D" w:rsidRDefault="00B93EAE">
            <w:pPr>
              <w:jc w:val="right"/>
              <w:textAlignment w:val="bottom"/>
            </w:pPr>
            <w:r>
              <w:rPr>
                <w:rFonts w:ascii="Times New Roman" w:eastAsia="宋体" w:hAnsi="Times New Roman"/>
                <w:b/>
                <w:bCs/>
                <w:color w:val="000000"/>
                <w:sz w:val="20"/>
                <w:szCs w:val="20"/>
              </w:rPr>
              <w:t>3,905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2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2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2D" w14:textId="77777777" w:rsidR="005C332D" w:rsidRDefault="00B93EAE">
            <w:pPr>
              <w:jc w:val="right"/>
              <w:textAlignment w:val="bottom"/>
            </w:pPr>
            <w:r>
              <w:rPr>
                <w:rFonts w:ascii="Times New Roman" w:eastAsia="宋体" w:hAnsi="Times New Roman"/>
                <w:color w:val="000000"/>
                <w:sz w:val="20"/>
                <w:szCs w:val="20"/>
              </w:rPr>
              <w:t>4,380 </w:t>
            </w:r>
          </w:p>
        </w:tc>
        <w:tc>
          <w:tcPr>
            <w:tcW w:w="0" w:type="auto"/>
            <w:shd w:val="clear" w:color="auto" w:fill="CCEEFF"/>
            <w:tcMar>
              <w:top w:w="40" w:type="dxa"/>
              <w:left w:w="0" w:type="dxa"/>
              <w:bottom w:w="40" w:type="dxa"/>
              <w:right w:w="20" w:type="dxa"/>
            </w:tcMar>
            <w:vAlign w:val="bottom"/>
          </w:tcPr>
          <w:p w14:paraId="518B572E" w14:textId="77777777" w:rsidR="005C332D" w:rsidRDefault="005C332D">
            <w:pPr>
              <w:jc w:val="right"/>
              <w:rPr>
                <w:rFonts w:ascii="宋体"/>
              </w:rPr>
            </w:pPr>
          </w:p>
        </w:tc>
      </w:tr>
      <w:tr w:rsidR="005C332D" w14:paraId="518B5736" w14:textId="77777777">
        <w:tc>
          <w:tcPr>
            <w:tcW w:w="0" w:type="auto"/>
            <w:gridSpan w:val="3"/>
            <w:shd w:val="clear" w:color="auto" w:fill="FFFFFF"/>
            <w:tcMar>
              <w:top w:w="40" w:type="dxa"/>
              <w:left w:w="380" w:type="dxa"/>
              <w:bottom w:w="40" w:type="dxa"/>
              <w:right w:w="20" w:type="dxa"/>
            </w:tcMar>
            <w:vAlign w:val="bottom"/>
          </w:tcPr>
          <w:p w14:paraId="518B5730" w14:textId="77777777" w:rsidR="005C332D" w:rsidRDefault="00B93EAE">
            <w:pPr>
              <w:textAlignment w:val="bottom"/>
            </w:pPr>
            <w:r>
              <w:rPr>
                <w:rFonts w:ascii="Times New Roman" w:eastAsia="宋体" w:hAnsi="Times New Roman"/>
                <w:color w:val="000000"/>
                <w:sz w:val="20"/>
                <w:szCs w:val="20"/>
              </w:rPr>
              <w:t>Other current assets</w:t>
            </w:r>
          </w:p>
        </w:tc>
        <w:tc>
          <w:tcPr>
            <w:tcW w:w="0" w:type="auto"/>
            <w:gridSpan w:val="2"/>
            <w:shd w:val="clear" w:color="auto" w:fill="FFFFFF"/>
            <w:tcMar>
              <w:top w:w="40" w:type="dxa"/>
              <w:left w:w="20" w:type="dxa"/>
              <w:bottom w:w="40" w:type="dxa"/>
              <w:right w:w="0" w:type="dxa"/>
            </w:tcMar>
            <w:vAlign w:val="bottom"/>
          </w:tcPr>
          <w:p w14:paraId="518B5731" w14:textId="77777777" w:rsidR="005C332D" w:rsidRDefault="00B93EAE">
            <w:pPr>
              <w:jc w:val="right"/>
              <w:textAlignment w:val="bottom"/>
            </w:pPr>
            <w:r>
              <w:rPr>
                <w:rFonts w:ascii="Times New Roman" w:eastAsia="宋体" w:hAnsi="Times New Roman"/>
                <w:b/>
                <w:bCs/>
                <w:color w:val="000000"/>
                <w:sz w:val="20"/>
                <w:szCs w:val="20"/>
              </w:rPr>
              <w:t>4,355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3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3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34" w14:textId="77777777" w:rsidR="005C332D" w:rsidRDefault="00B93EAE">
            <w:pPr>
              <w:jc w:val="right"/>
              <w:textAlignment w:val="bottom"/>
            </w:pPr>
            <w:r>
              <w:rPr>
                <w:rFonts w:ascii="Times New Roman" w:eastAsia="宋体" w:hAnsi="Times New Roman"/>
                <w:color w:val="000000"/>
                <w:sz w:val="20"/>
                <w:szCs w:val="20"/>
              </w:rPr>
              <w:t>2,889 </w:t>
            </w:r>
          </w:p>
        </w:tc>
        <w:tc>
          <w:tcPr>
            <w:tcW w:w="0" w:type="auto"/>
            <w:shd w:val="clear" w:color="auto" w:fill="FFFFFF"/>
            <w:tcMar>
              <w:top w:w="40" w:type="dxa"/>
              <w:left w:w="0" w:type="dxa"/>
              <w:bottom w:w="40" w:type="dxa"/>
              <w:right w:w="20" w:type="dxa"/>
            </w:tcMar>
            <w:vAlign w:val="bottom"/>
          </w:tcPr>
          <w:p w14:paraId="518B5735" w14:textId="77777777" w:rsidR="005C332D" w:rsidRDefault="005C332D">
            <w:pPr>
              <w:jc w:val="right"/>
              <w:rPr>
                <w:rFonts w:ascii="宋体"/>
              </w:rPr>
            </w:pPr>
          </w:p>
        </w:tc>
      </w:tr>
      <w:tr w:rsidR="005C332D" w14:paraId="518B573D" w14:textId="77777777">
        <w:tc>
          <w:tcPr>
            <w:tcW w:w="0" w:type="auto"/>
            <w:gridSpan w:val="3"/>
            <w:shd w:val="clear" w:color="auto" w:fill="CCEEFF"/>
            <w:tcMar>
              <w:top w:w="40" w:type="dxa"/>
              <w:left w:w="740" w:type="dxa"/>
              <w:bottom w:w="40" w:type="dxa"/>
              <w:right w:w="20" w:type="dxa"/>
            </w:tcMar>
            <w:vAlign w:val="bottom"/>
          </w:tcPr>
          <w:p w14:paraId="518B5737" w14:textId="77777777" w:rsidR="005C332D" w:rsidRDefault="00B93EAE">
            <w:pPr>
              <w:textAlignment w:val="bottom"/>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738" w14:textId="77777777" w:rsidR="005C332D" w:rsidRDefault="00B93EAE">
            <w:pPr>
              <w:jc w:val="right"/>
              <w:textAlignment w:val="bottom"/>
            </w:pPr>
            <w:r>
              <w:rPr>
                <w:rFonts w:ascii="Times New Roman" w:eastAsia="宋体" w:hAnsi="Times New Roman"/>
                <w:b/>
                <w:bCs/>
                <w:color w:val="000000"/>
                <w:sz w:val="20"/>
                <w:szCs w:val="20"/>
              </w:rPr>
              <w:t>36,717</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73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3A"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73B" w14:textId="77777777" w:rsidR="005C332D" w:rsidRDefault="00B93EAE">
            <w:pPr>
              <w:jc w:val="right"/>
              <w:textAlignment w:val="bottom"/>
            </w:pPr>
            <w:r>
              <w:rPr>
                <w:rFonts w:ascii="Times New Roman" w:eastAsia="宋体" w:hAnsi="Times New Roman"/>
                <w:color w:val="000000"/>
                <w:sz w:val="20"/>
                <w:szCs w:val="20"/>
              </w:rPr>
              <w:t>39,112 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73C" w14:textId="77777777" w:rsidR="005C332D" w:rsidRDefault="005C332D">
            <w:pPr>
              <w:jc w:val="right"/>
              <w:rPr>
                <w:rFonts w:ascii="宋体"/>
              </w:rPr>
            </w:pPr>
          </w:p>
        </w:tc>
      </w:tr>
      <w:tr w:rsidR="005C332D" w14:paraId="518B5744" w14:textId="77777777">
        <w:tc>
          <w:tcPr>
            <w:tcW w:w="0" w:type="auto"/>
            <w:gridSpan w:val="3"/>
            <w:shd w:val="clear" w:color="auto" w:fill="FFFFFF"/>
            <w:tcMar>
              <w:top w:w="40" w:type="dxa"/>
              <w:left w:w="20" w:type="dxa"/>
              <w:bottom w:w="40" w:type="dxa"/>
              <w:right w:w="20" w:type="dxa"/>
            </w:tcMar>
            <w:vAlign w:val="bottom"/>
          </w:tcPr>
          <w:p w14:paraId="518B573E" w14:textId="77777777" w:rsidR="005C332D" w:rsidRDefault="00B93EAE">
            <w:pPr>
              <w:textAlignment w:val="bottom"/>
            </w:pPr>
            <w:r>
              <w:rPr>
                <w:rFonts w:ascii="Times New Roman" w:eastAsia="宋体" w:hAnsi="Times New Roman"/>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14:paraId="518B573F" w14:textId="77777777" w:rsidR="005C332D" w:rsidRDefault="00B93EAE">
            <w:pPr>
              <w:jc w:val="right"/>
              <w:textAlignment w:val="bottom"/>
            </w:pPr>
            <w:r>
              <w:rPr>
                <w:rFonts w:ascii="Times New Roman" w:eastAsia="宋体" w:hAnsi="Times New Roman"/>
                <w:b/>
                <w:bCs/>
                <w:color w:val="000000"/>
                <w:sz w:val="20"/>
                <w:szCs w:val="20"/>
              </w:rPr>
              <w:t>1,997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4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4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42" w14:textId="77777777" w:rsidR="005C332D" w:rsidRDefault="00B93EAE">
            <w:pPr>
              <w:jc w:val="right"/>
              <w:textAlignment w:val="bottom"/>
            </w:pPr>
            <w:r>
              <w:rPr>
                <w:rFonts w:ascii="Times New Roman" w:eastAsia="宋体" w:hAnsi="Times New Roman"/>
                <w:color w:val="000000"/>
                <w:sz w:val="20"/>
                <w:szCs w:val="20"/>
              </w:rPr>
              <w:t>2,338 </w:t>
            </w:r>
          </w:p>
        </w:tc>
        <w:tc>
          <w:tcPr>
            <w:tcW w:w="0" w:type="auto"/>
            <w:shd w:val="clear" w:color="auto" w:fill="FFFFFF"/>
            <w:tcMar>
              <w:top w:w="40" w:type="dxa"/>
              <w:left w:w="0" w:type="dxa"/>
              <w:bottom w:w="40" w:type="dxa"/>
              <w:right w:w="20" w:type="dxa"/>
            </w:tcMar>
            <w:vAlign w:val="bottom"/>
          </w:tcPr>
          <w:p w14:paraId="518B5743" w14:textId="77777777" w:rsidR="005C332D" w:rsidRDefault="005C332D">
            <w:pPr>
              <w:jc w:val="right"/>
              <w:rPr>
                <w:rFonts w:ascii="宋体"/>
              </w:rPr>
            </w:pPr>
          </w:p>
        </w:tc>
      </w:tr>
      <w:tr w:rsidR="005C332D" w14:paraId="518B574B" w14:textId="77777777">
        <w:tc>
          <w:tcPr>
            <w:tcW w:w="0" w:type="auto"/>
            <w:gridSpan w:val="3"/>
            <w:shd w:val="clear" w:color="auto" w:fill="CCEEFF"/>
            <w:tcMar>
              <w:top w:w="40" w:type="dxa"/>
              <w:left w:w="20" w:type="dxa"/>
              <w:bottom w:w="40" w:type="dxa"/>
              <w:right w:w="20" w:type="dxa"/>
            </w:tcMar>
            <w:vAlign w:val="bottom"/>
          </w:tcPr>
          <w:p w14:paraId="518B5745" w14:textId="77777777" w:rsidR="005C332D" w:rsidRDefault="00B93EAE">
            <w:pPr>
              <w:textAlignment w:val="bottom"/>
            </w:pPr>
            <w:r>
              <w:rPr>
                <w:rFonts w:ascii="Times New Roman" w:eastAsia="宋体" w:hAnsi="Times New Roman"/>
                <w:color w:val="000000"/>
                <w:sz w:val="20"/>
                <w:szCs w:val="20"/>
              </w:rPr>
              <w:t>Financing receivables, net</w:t>
            </w:r>
          </w:p>
        </w:tc>
        <w:tc>
          <w:tcPr>
            <w:tcW w:w="0" w:type="auto"/>
            <w:gridSpan w:val="2"/>
            <w:shd w:val="clear" w:color="auto" w:fill="CCEEFF"/>
            <w:tcMar>
              <w:top w:w="40" w:type="dxa"/>
              <w:left w:w="20" w:type="dxa"/>
              <w:bottom w:w="40" w:type="dxa"/>
              <w:right w:w="0" w:type="dxa"/>
            </w:tcMar>
            <w:vAlign w:val="bottom"/>
          </w:tcPr>
          <w:p w14:paraId="518B5746" w14:textId="77777777" w:rsidR="005C332D" w:rsidRDefault="00B93EAE">
            <w:pPr>
              <w:jc w:val="right"/>
              <w:textAlignment w:val="bottom"/>
            </w:pPr>
            <w:r>
              <w:rPr>
                <w:rFonts w:ascii="Times New Roman" w:eastAsia="宋体" w:hAnsi="Times New Roman"/>
                <w:b/>
                <w:bCs/>
                <w:color w:val="000000"/>
                <w:sz w:val="20"/>
                <w:szCs w:val="20"/>
              </w:rPr>
              <w:t>4,009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4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4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49" w14:textId="77777777" w:rsidR="005C332D" w:rsidRDefault="00B93EAE">
            <w:pPr>
              <w:jc w:val="right"/>
              <w:textAlignment w:val="bottom"/>
            </w:pPr>
            <w:r>
              <w:rPr>
                <w:rFonts w:ascii="Times New Roman" w:eastAsia="宋体" w:hAnsi="Times New Roman"/>
                <w:color w:val="000000"/>
                <w:sz w:val="20"/>
                <w:szCs w:val="20"/>
              </w:rPr>
              <w:t>4,884 </w:t>
            </w:r>
          </w:p>
        </w:tc>
        <w:tc>
          <w:tcPr>
            <w:tcW w:w="0" w:type="auto"/>
            <w:shd w:val="clear" w:color="auto" w:fill="CCEEFF"/>
            <w:tcMar>
              <w:top w:w="40" w:type="dxa"/>
              <w:left w:w="0" w:type="dxa"/>
              <w:bottom w:w="40" w:type="dxa"/>
              <w:right w:w="20" w:type="dxa"/>
            </w:tcMar>
            <w:vAlign w:val="bottom"/>
          </w:tcPr>
          <w:p w14:paraId="518B574A" w14:textId="77777777" w:rsidR="005C332D" w:rsidRDefault="005C332D">
            <w:pPr>
              <w:jc w:val="right"/>
              <w:rPr>
                <w:rFonts w:ascii="宋体"/>
              </w:rPr>
            </w:pPr>
          </w:p>
        </w:tc>
      </w:tr>
      <w:tr w:rsidR="005C332D" w14:paraId="518B5752" w14:textId="77777777">
        <w:tc>
          <w:tcPr>
            <w:tcW w:w="0" w:type="auto"/>
            <w:gridSpan w:val="3"/>
            <w:shd w:val="clear" w:color="auto" w:fill="FFFFFF"/>
            <w:tcMar>
              <w:top w:w="40" w:type="dxa"/>
              <w:left w:w="20" w:type="dxa"/>
              <w:bottom w:w="40" w:type="dxa"/>
              <w:right w:w="20" w:type="dxa"/>
            </w:tcMar>
            <w:vAlign w:val="bottom"/>
          </w:tcPr>
          <w:p w14:paraId="518B574C" w14:textId="77777777" w:rsidR="005C332D" w:rsidRDefault="00B93EAE">
            <w:pPr>
              <w:textAlignment w:val="bottom"/>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518B574D" w14:textId="77777777" w:rsidR="005C332D" w:rsidRDefault="00B93EAE">
            <w:pPr>
              <w:jc w:val="right"/>
              <w:textAlignment w:val="bottom"/>
            </w:pPr>
            <w:r>
              <w:rPr>
                <w:rFonts w:ascii="Times New Roman" w:eastAsia="宋体" w:hAnsi="Times New Roman"/>
                <w:b/>
                <w:bCs/>
                <w:color w:val="000000"/>
                <w:sz w:val="20"/>
                <w:szCs w:val="20"/>
              </w:rPr>
              <w:t>38,304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4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4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50" w14:textId="77777777" w:rsidR="005C332D" w:rsidRDefault="00B93EAE">
            <w:pPr>
              <w:jc w:val="right"/>
              <w:textAlignment w:val="bottom"/>
            </w:pPr>
            <w:r>
              <w:rPr>
                <w:rFonts w:ascii="Times New Roman" w:eastAsia="宋体" w:hAnsi="Times New Roman"/>
                <w:color w:val="000000"/>
                <w:sz w:val="20"/>
                <w:szCs w:val="20"/>
              </w:rPr>
              <w:t>38,168 </w:t>
            </w:r>
          </w:p>
        </w:tc>
        <w:tc>
          <w:tcPr>
            <w:tcW w:w="0" w:type="auto"/>
            <w:shd w:val="clear" w:color="auto" w:fill="FFFFFF"/>
            <w:tcMar>
              <w:top w:w="40" w:type="dxa"/>
              <w:left w:w="0" w:type="dxa"/>
              <w:bottom w:w="40" w:type="dxa"/>
              <w:right w:w="20" w:type="dxa"/>
            </w:tcMar>
            <w:vAlign w:val="bottom"/>
          </w:tcPr>
          <w:p w14:paraId="518B5751" w14:textId="77777777" w:rsidR="005C332D" w:rsidRDefault="005C332D">
            <w:pPr>
              <w:jc w:val="right"/>
              <w:rPr>
                <w:rFonts w:ascii="宋体"/>
              </w:rPr>
            </w:pPr>
          </w:p>
        </w:tc>
      </w:tr>
      <w:tr w:rsidR="005C332D" w14:paraId="518B5759" w14:textId="77777777">
        <w:tc>
          <w:tcPr>
            <w:tcW w:w="0" w:type="auto"/>
            <w:gridSpan w:val="3"/>
            <w:shd w:val="clear" w:color="auto" w:fill="CCEEFF"/>
            <w:tcMar>
              <w:top w:w="40" w:type="dxa"/>
              <w:left w:w="20" w:type="dxa"/>
              <w:bottom w:w="40" w:type="dxa"/>
              <w:right w:w="20" w:type="dxa"/>
            </w:tcMar>
            <w:vAlign w:val="bottom"/>
          </w:tcPr>
          <w:p w14:paraId="518B5753" w14:textId="77777777" w:rsidR="005C332D" w:rsidRDefault="00B93EAE">
            <w:pPr>
              <w:textAlignment w:val="bottom"/>
            </w:pPr>
            <w:r>
              <w:rPr>
                <w:rFonts w:ascii="Times New Roman" w:eastAsia="宋体" w:hAnsi="Times New Roman"/>
                <w:color w:val="000000"/>
                <w:sz w:val="20"/>
                <w:szCs w:val="20"/>
              </w:rPr>
              <w:t>Purchased intangible assets, net</w:t>
            </w:r>
          </w:p>
        </w:tc>
        <w:tc>
          <w:tcPr>
            <w:tcW w:w="0" w:type="auto"/>
            <w:gridSpan w:val="2"/>
            <w:shd w:val="clear" w:color="auto" w:fill="CCEEFF"/>
            <w:tcMar>
              <w:top w:w="40" w:type="dxa"/>
              <w:left w:w="20" w:type="dxa"/>
              <w:bottom w:w="40" w:type="dxa"/>
              <w:right w:w="0" w:type="dxa"/>
            </w:tcMar>
            <w:vAlign w:val="bottom"/>
          </w:tcPr>
          <w:p w14:paraId="518B5754" w14:textId="77777777" w:rsidR="005C332D" w:rsidRDefault="00B93EAE">
            <w:pPr>
              <w:jc w:val="right"/>
              <w:textAlignment w:val="bottom"/>
            </w:pPr>
            <w:r>
              <w:rPr>
                <w:rFonts w:ascii="Times New Roman" w:eastAsia="宋体" w:hAnsi="Times New Roman"/>
                <w:b/>
                <w:bCs/>
                <w:color w:val="000000"/>
                <w:sz w:val="20"/>
                <w:szCs w:val="20"/>
              </w:rPr>
              <w:t>2,569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5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5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57" w14:textId="77777777" w:rsidR="005C332D" w:rsidRDefault="00B93EAE">
            <w:pPr>
              <w:jc w:val="right"/>
              <w:textAlignment w:val="bottom"/>
            </w:pPr>
            <w:r>
              <w:rPr>
                <w:rFonts w:ascii="Times New Roman" w:eastAsia="宋体" w:hAnsi="Times New Roman"/>
                <w:color w:val="000000"/>
                <w:sz w:val="20"/>
                <w:szCs w:val="20"/>
              </w:rPr>
              <w:t>3,619 </w:t>
            </w:r>
          </w:p>
        </w:tc>
        <w:tc>
          <w:tcPr>
            <w:tcW w:w="0" w:type="auto"/>
            <w:shd w:val="clear" w:color="auto" w:fill="CCEEFF"/>
            <w:tcMar>
              <w:top w:w="40" w:type="dxa"/>
              <w:left w:w="0" w:type="dxa"/>
              <w:bottom w:w="40" w:type="dxa"/>
              <w:right w:w="20" w:type="dxa"/>
            </w:tcMar>
            <w:vAlign w:val="bottom"/>
          </w:tcPr>
          <w:p w14:paraId="518B5758" w14:textId="77777777" w:rsidR="005C332D" w:rsidRDefault="005C332D">
            <w:pPr>
              <w:jc w:val="right"/>
              <w:rPr>
                <w:rFonts w:ascii="宋体"/>
              </w:rPr>
            </w:pPr>
          </w:p>
        </w:tc>
      </w:tr>
      <w:tr w:rsidR="005C332D" w14:paraId="518B5760" w14:textId="77777777">
        <w:tc>
          <w:tcPr>
            <w:tcW w:w="0" w:type="auto"/>
            <w:gridSpan w:val="3"/>
            <w:shd w:val="clear" w:color="auto" w:fill="FFFFFF"/>
            <w:tcMar>
              <w:top w:w="40" w:type="dxa"/>
              <w:left w:w="20" w:type="dxa"/>
              <w:bottom w:w="40" w:type="dxa"/>
              <w:right w:w="20" w:type="dxa"/>
            </w:tcMar>
            <w:vAlign w:val="bottom"/>
          </w:tcPr>
          <w:p w14:paraId="518B575A" w14:textId="77777777" w:rsidR="005C332D" w:rsidRDefault="00B93EAE">
            <w:pPr>
              <w:textAlignment w:val="bottom"/>
            </w:pPr>
            <w:r>
              <w:rPr>
                <w:rFonts w:ascii="Times New Roman" w:eastAsia="宋体" w:hAnsi="Times New Roman"/>
                <w:color w:val="000000"/>
                <w:sz w:val="20"/>
                <w:szCs w:val="20"/>
              </w:rPr>
              <w:t>Deferred tax assets</w:t>
            </w:r>
          </w:p>
        </w:tc>
        <w:tc>
          <w:tcPr>
            <w:tcW w:w="0" w:type="auto"/>
            <w:gridSpan w:val="2"/>
            <w:shd w:val="clear" w:color="auto" w:fill="FFFFFF"/>
            <w:tcMar>
              <w:top w:w="40" w:type="dxa"/>
              <w:left w:w="20" w:type="dxa"/>
              <w:bottom w:w="40" w:type="dxa"/>
              <w:right w:w="0" w:type="dxa"/>
            </w:tcMar>
            <w:vAlign w:val="bottom"/>
          </w:tcPr>
          <w:p w14:paraId="518B575B" w14:textId="77777777" w:rsidR="005C332D" w:rsidRDefault="00B93EAE">
            <w:pPr>
              <w:jc w:val="right"/>
              <w:textAlignment w:val="bottom"/>
            </w:pPr>
            <w:r>
              <w:rPr>
                <w:rFonts w:ascii="Times New Roman" w:eastAsia="宋体" w:hAnsi="Times New Roman"/>
                <w:b/>
                <w:bCs/>
                <w:color w:val="000000"/>
                <w:sz w:val="20"/>
                <w:szCs w:val="20"/>
              </w:rPr>
              <w:t>4,449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5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5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5E" w14:textId="77777777" w:rsidR="005C332D" w:rsidRDefault="00B93EAE">
            <w:pPr>
              <w:jc w:val="right"/>
              <w:textAlignment w:val="bottom"/>
            </w:pPr>
            <w:r>
              <w:rPr>
                <w:rFonts w:ascii="Times New Roman" w:eastAsia="宋体" w:hAnsi="Times New Roman"/>
                <w:color w:val="000000"/>
                <w:sz w:val="20"/>
                <w:szCs w:val="20"/>
              </w:rPr>
              <w:t>4,360 </w:t>
            </w:r>
          </w:p>
        </w:tc>
        <w:tc>
          <w:tcPr>
            <w:tcW w:w="0" w:type="auto"/>
            <w:shd w:val="clear" w:color="auto" w:fill="FFFFFF"/>
            <w:tcMar>
              <w:top w:w="40" w:type="dxa"/>
              <w:left w:w="0" w:type="dxa"/>
              <w:bottom w:w="40" w:type="dxa"/>
              <w:right w:w="20" w:type="dxa"/>
            </w:tcMar>
            <w:vAlign w:val="bottom"/>
          </w:tcPr>
          <w:p w14:paraId="518B575F" w14:textId="77777777" w:rsidR="005C332D" w:rsidRDefault="005C332D">
            <w:pPr>
              <w:jc w:val="right"/>
              <w:rPr>
                <w:rFonts w:ascii="宋体"/>
              </w:rPr>
            </w:pPr>
          </w:p>
        </w:tc>
      </w:tr>
      <w:tr w:rsidR="005C332D" w14:paraId="518B5767" w14:textId="77777777">
        <w:tc>
          <w:tcPr>
            <w:tcW w:w="0" w:type="auto"/>
            <w:gridSpan w:val="3"/>
            <w:shd w:val="clear" w:color="auto" w:fill="CCEEFF"/>
            <w:tcMar>
              <w:top w:w="40" w:type="dxa"/>
              <w:left w:w="20" w:type="dxa"/>
              <w:bottom w:w="40" w:type="dxa"/>
              <w:right w:w="20" w:type="dxa"/>
            </w:tcMar>
            <w:vAlign w:val="bottom"/>
          </w:tcPr>
          <w:p w14:paraId="518B5761" w14:textId="77777777" w:rsidR="005C332D" w:rsidRDefault="00B93EAE">
            <w:pPr>
              <w:textAlignment w:val="bottom"/>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518B5762" w14:textId="77777777" w:rsidR="005C332D" w:rsidRDefault="00B93EAE">
            <w:pPr>
              <w:jc w:val="right"/>
              <w:textAlignment w:val="bottom"/>
            </w:pPr>
            <w:r>
              <w:rPr>
                <w:rFonts w:ascii="Times New Roman" w:eastAsia="宋体" w:hAnsi="Times New Roman"/>
                <w:b/>
                <w:bCs/>
                <w:color w:val="000000"/>
                <w:sz w:val="20"/>
                <w:szCs w:val="20"/>
              </w:rPr>
              <w:t>5,957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6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6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65" w14:textId="77777777" w:rsidR="005C332D" w:rsidRDefault="00B93EAE">
            <w:pPr>
              <w:jc w:val="right"/>
              <w:textAlignment w:val="bottom"/>
            </w:pPr>
            <w:r>
              <w:rPr>
                <w:rFonts w:ascii="Times New Roman" w:eastAsia="宋体" w:hAnsi="Times New Roman"/>
                <w:color w:val="000000"/>
                <w:sz w:val="20"/>
                <w:szCs w:val="20"/>
              </w:rPr>
              <w:t>5,016 </w:t>
            </w:r>
          </w:p>
        </w:tc>
        <w:tc>
          <w:tcPr>
            <w:tcW w:w="0" w:type="auto"/>
            <w:shd w:val="clear" w:color="auto" w:fill="CCEEFF"/>
            <w:tcMar>
              <w:top w:w="40" w:type="dxa"/>
              <w:left w:w="0" w:type="dxa"/>
              <w:bottom w:w="40" w:type="dxa"/>
              <w:right w:w="20" w:type="dxa"/>
            </w:tcMar>
            <w:vAlign w:val="bottom"/>
          </w:tcPr>
          <w:p w14:paraId="518B5766" w14:textId="77777777" w:rsidR="005C332D" w:rsidRDefault="005C332D">
            <w:pPr>
              <w:jc w:val="right"/>
              <w:rPr>
                <w:rFonts w:ascii="宋体"/>
              </w:rPr>
            </w:pPr>
          </w:p>
        </w:tc>
      </w:tr>
      <w:tr w:rsidR="005C332D" w14:paraId="518B5770" w14:textId="77777777">
        <w:tc>
          <w:tcPr>
            <w:tcW w:w="0" w:type="auto"/>
            <w:gridSpan w:val="3"/>
            <w:shd w:val="clear" w:color="auto" w:fill="FFFFFF"/>
            <w:tcMar>
              <w:top w:w="40" w:type="dxa"/>
              <w:left w:w="740" w:type="dxa"/>
              <w:bottom w:w="40" w:type="dxa"/>
              <w:right w:w="20" w:type="dxa"/>
            </w:tcMar>
            <w:vAlign w:val="bottom"/>
          </w:tcPr>
          <w:p w14:paraId="518B5768" w14:textId="77777777" w:rsidR="005C332D" w:rsidRDefault="00B93EAE">
            <w:pPr>
              <w:textAlignment w:val="bottom"/>
            </w:pPr>
            <w:r>
              <w:rPr>
                <w:rFonts w:ascii="Times New Roman" w:eastAsia="宋体" w:hAnsi="Times New Roman"/>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518B576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576A" w14:textId="77777777" w:rsidR="005C332D" w:rsidRDefault="00B93EAE">
            <w:pPr>
              <w:jc w:val="right"/>
              <w:textAlignment w:val="bottom"/>
            </w:pPr>
            <w:r>
              <w:rPr>
                <w:rFonts w:ascii="Times New Roman" w:eastAsia="宋体" w:hAnsi="Times New Roman"/>
                <w:b/>
                <w:bCs/>
                <w:color w:val="000000"/>
                <w:sz w:val="20"/>
                <w:szCs w:val="20"/>
              </w:rPr>
              <w:t>94,002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76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6C"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576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576E" w14:textId="77777777" w:rsidR="005C332D" w:rsidRDefault="00B93EAE">
            <w:pPr>
              <w:jc w:val="right"/>
              <w:textAlignment w:val="bottom"/>
            </w:pPr>
            <w:r>
              <w:rPr>
                <w:rFonts w:ascii="Times New Roman" w:eastAsia="宋体" w:hAnsi="Times New Roman"/>
                <w:color w:val="000000"/>
                <w:sz w:val="20"/>
                <w:szCs w:val="20"/>
              </w:rPr>
              <w:t>97,497 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76F" w14:textId="77777777" w:rsidR="005C332D" w:rsidRDefault="005C332D">
            <w:pPr>
              <w:jc w:val="right"/>
              <w:rPr>
                <w:rFonts w:ascii="宋体"/>
              </w:rPr>
            </w:pPr>
          </w:p>
        </w:tc>
      </w:tr>
      <w:tr w:rsidR="005C332D" w14:paraId="518B5775" w14:textId="77777777">
        <w:tc>
          <w:tcPr>
            <w:tcW w:w="0" w:type="auto"/>
            <w:gridSpan w:val="3"/>
            <w:shd w:val="clear" w:color="auto" w:fill="CCEEFF"/>
            <w:tcMar>
              <w:top w:w="40" w:type="dxa"/>
              <w:left w:w="20" w:type="dxa"/>
              <w:bottom w:w="40" w:type="dxa"/>
              <w:right w:w="20" w:type="dxa"/>
            </w:tcMar>
            <w:vAlign w:val="bottom"/>
          </w:tcPr>
          <w:p w14:paraId="518B5771" w14:textId="77777777" w:rsidR="005C332D" w:rsidRDefault="00B93EAE">
            <w:pPr>
              <w:textAlignment w:val="bottom"/>
            </w:pPr>
            <w:r>
              <w:rPr>
                <w:rFonts w:ascii="Times New Roman" w:eastAsia="宋体" w:hAnsi="Times New Roman"/>
                <w:b/>
                <w:bCs/>
                <w:color w:val="000000"/>
                <w:sz w:val="20"/>
                <w:szCs w:val="20"/>
              </w:rPr>
              <w:t>LIABILITIES AND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77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773"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774" w14:textId="77777777" w:rsidR="005C332D" w:rsidRDefault="005C332D">
            <w:pPr>
              <w:rPr>
                <w:rFonts w:ascii="宋体"/>
              </w:rPr>
            </w:pPr>
          </w:p>
        </w:tc>
      </w:tr>
      <w:tr w:rsidR="005C332D" w14:paraId="518B577A" w14:textId="77777777">
        <w:tc>
          <w:tcPr>
            <w:tcW w:w="0" w:type="auto"/>
            <w:gridSpan w:val="3"/>
            <w:shd w:val="clear" w:color="auto" w:fill="FFFFFF"/>
            <w:tcMar>
              <w:top w:w="40" w:type="dxa"/>
              <w:left w:w="20" w:type="dxa"/>
              <w:bottom w:w="40" w:type="dxa"/>
              <w:right w:w="20" w:type="dxa"/>
            </w:tcMar>
            <w:vAlign w:val="bottom"/>
          </w:tcPr>
          <w:p w14:paraId="518B5776" w14:textId="77777777" w:rsidR="005C332D" w:rsidRDefault="00B93EAE">
            <w:pPr>
              <w:textAlignment w:val="bottom"/>
            </w:pPr>
            <w:r>
              <w:rPr>
                <w:rFonts w:ascii="Times New Roman" w:eastAsia="宋体" w:hAnsi="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bottom"/>
          </w:tcPr>
          <w:p w14:paraId="518B577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77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779" w14:textId="77777777" w:rsidR="005C332D" w:rsidRDefault="005C332D">
            <w:pPr>
              <w:rPr>
                <w:rFonts w:ascii="宋体"/>
              </w:rPr>
            </w:pPr>
          </w:p>
        </w:tc>
      </w:tr>
      <w:tr w:rsidR="005C332D" w14:paraId="518B5783" w14:textId="77777777">
        <w:tc>
          <w:tcPr>
            <w:tcW w:w="0" w:type="auto"/>
            <w:gridSpan w:val="3"/>
            <w:shd w:val="clear" w:color="auto" w:fill="CCEEFF"/>
            <w:tcMar>
              <w:top w:w="40" w:type="dxa"/>
              <w:left w:w="380" w:type="dxa"/>
              <w:bottom w:w="40" w:type="dxa"/>
              <w:right w:w="20" w:type="dxa"/>
            </w:tcMar>
            <w:vAlign w:val="bottom"/>
          </w:tcPr>
          <w:p w14:paraId="518B577B" w14:textId="77777777" w:rsidR="005C332D" w:rsidRDefault="00B93EAE">
            <w:pPr>
              <w:textAlignment w:val="bottom"/>
            </w:pPr>
            <w:r>
              <w:rPr>
                <w:rFonts w:ascii="Times New Roman" w:eastAsia="宋体" w:hAnsi="Times New Roman"/>
                <w:color w:val="000000"/>
                <w:sz w:val="20"/>
                <w:szCs w:val="20"/>
              </w:rPr>
              <w:t>Short-term debt</w:t>
            </w:r>
          </w:p>
        </w:tc>
        <w:tc>
          <w:tcPr>
            <w:tcW w:w="0" w:type="auto"/>
            <w:shd w:val="clear" w:color="auto" w:fill="CCEEFF"/>
            <w:tcMar>
              <w:top w:w="40" w:type="dxa"/>
              <w:left w:w="20" w:type="dxa"/>
              <w:bottom w:w="40" w:type="dxa"/>
              <w:right w:w="0" w:type="dxa"/>
            </w:tcMar>
            <w:vAlign w:val="bottom"/>
          </w:tcPr>
          <w:p w14:paraId="518B577C"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577D" w14:textId="77777777" w:rsidR="005C332D" w:rsidRDefault="00B93EAE">
            <w:pPr>
              <w:jc w:val="right"/>
              <w:textAlignment w:val="bottom"/>
            </w:pPr>
            <w:r>
              <w:rPr>
                <w:rFonts w:ascii="Times New Roman" w:eastAsia="宋体" w:hAnsi="Times New Roman"/>
                <w:b/>
                <w:bCs/>
                <w:color w:val="000000"/>
                <w:sz w:val="20"/>
                <w:szCs w:val="20"/>
              </w:rPr>
              <w:t>1,099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7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7F"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780"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781" w14:textId="77777777" w:rsidR="005C332D" w:rsidRDefault="00B93EAE">
            <w:pPr>
              <w:jc w:val="right"/>
              <w:textAlignment w:val="bottom"/>
            </w:pPr>
            <w:r>
              <w:rPr>
                <w:rFonts w:ascii="Times New Roman" w:eastAsia="宋体" w:hAnsi="Times New Roman"/>
                <w:color w:val="000000"/>
                <w:sz w:val="20"/>
                <w:szCs w:val="20"/>
              </w:rPr>
              <w:t>2,508 </w:t>
            </w:r>
          </w:p>
        </w:tc>
        <w:tc>
          <w:tcPr>
            <w:tcW w:w="0" w:type="auto"/>
            <w:shd w:val="clear" w:color="auto" w:fill="CCEEFF"/>
            <w:tcMar>
              <w:top w:w="40" w:type="dxa"/>
              <w:left w:w="0" w:type="dxa"/>
              <w:bottom w:w="40" w:type="dxa"/>
              <w:right w:w="20" w:type="dxa"/>
            </w:tcMar>
            <w:vAlign w:val="bottom"/>
          </w:tcPr>
          <w:p w14:paraId="518B5782" w14:textId="77777777" w:rsidR="005C332D" w:rsidRDefault="005C332D">
            <w:pPr>
              <w:jc w:val="right"/>
              <w:rPr>
                <w:rFonts w:ascii="宋体"/>
              </w:rPr>
            </w:pPr>
          </w:p>
        </w:tc>
      </w:tr>
      <w:tr w:rsidR="005C332D" w14:paraId="518B578A" w14:textId="77777777">
        <w:tc>
          <w:tcPr>
            <w:tcW w:w="0" w:type="auto"/>
            <w:gridSpan w:val="3"/>
            <w:shd w:val="clear" w:color="auto" w:fill="FFFFFF"/>
            <w:tcMar>
              <w:top w:w="40" w:type="dxa"/>
              <w:left w:w="380" w:type="dxa"/>
              <w:bottom w:w="40" w:type="dxa"/>
              <w:right w:w="20" w:type="dxa"/>
            </w:tcMar>
            <w:vAlign w:val="bottom"/>
          </w:tcPr>
          <w:p w14:paraId="518B5784" w14:textId="77777777" w:rsidR="005C332D" w:rsidRDefault="00B93EAE">
            <w:pPr>
              <w:textAlignment w:val="bottom"/>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518B5785" w14:textId="77777777" w:rsidR="005C332D" w:rsidRDefault="00B93EAE">
            <w:pPr>
              <w:jc w:val="right"/>
              <w:textAlignment w:val="bottom"/>
            </w:pPr>
            <w:r>
              <w:rPr>
                <w:rFonts w:ascii="Times New Roman" w:eastAsia="宋体" w:hAnsi="Times New Roman"/>
                <w:b/>
                <w:bCs/>
                <w:color w:val="000000"/>
                <w:sz w:val="20"/>
                <w:szCs w:val="20"/>
              </w:rPr>
              <w:t>2,281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8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8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88" w14:textId="77777777" w:rsidR="005C332D" w:rsidRDefault="00B93EAE">
            <w:pPr>
              <w:jc w:val="right"/>
              <w:textAlignment w:val="bottom"/>
            </w:pPr>
            <w:r>
              <w:rPr>
                <w:rFonts w:ascii="Times New Roman" w:eastAsia="宋体" w:hAnsi="Times New Roman"/>
                <w:color w:val="000000"/>
                <w:sz w:val="20"/>
                <w:szCs w:val="20"/>
              </w:rPr>
              <w:t>2,362 </w:t>
            </w:r>
          </w:p>
        </w:tc>
        <w:tc>
          <w:tcPr>
            <w:tcW w:w="0" w:type="auto"/>
            <w:shd w:val="clear" w:color="auto" w:fill="FFFFFF"/>
            <w:tcMar>
              <w:top w:w="40" w:type="dxa"/>
              <w:left w:w="0" w:type="dxa"/>
              <w:bottom w:w="40" w:type="dxa"/>
              <w:right w:w="20" w:type="dxa"/>
            </w:tcMar>
            <w:vAlign w:val="bottom"/>
          </w:tcPr>
          <w:p w14:paraId="518B5789" w14:textId="77777777" w:rsidR="005C332D" w:rsidRDefault="005C332D">
            <w:pPr>
              <w:jc w:val="right"/>
              <w:rPr>
                <w:rFonts w:ascii="宋体"/>
              </w:rPr>
            </w:pPr>
          </w:p>
        </w:tc>
      </w:tr>
      <w:tr w:rsidR="005C332D" w14:paraId="518B5791" w14:textId="77777777">
        <w:tc>
          <w:tcPr>
            <w:tcW w:w="0" w:type="auto"/>
            <w:gridSpan w:val="3"/>
            <w:shd w:val="clear" w:color="auto" w:fill="CCEEFF"/>
            <w:tcMar>
              <w:top w:w="40" w:type="dxa"/>
              <w:left w:w="380" w:type="dxa"/>
              <w:bottom w:w="40" w:type="dxa"/>
              <w:right w:w="20" w:type="dxa"/>
            </w:tcMar>
            <w:vAlign w:val="bottom"/>
          </w:tcPr>
          <w:p w14:paraId="518B578B" w14:textId="77777777" w:rsidR="005C332D" w:rsidRDefault="00B93EAE">
            <w:pPr>
              <w:textAlignment w:val="bottom"/>
            </w:pPr>
            <w:r>
              <w:rPr>
                <w:rFonts w:ascii="Times New Roman" w:eastAsia="宋体" w:hAnsi="Times New Roman"/>
                <w:color w:val="000000"/>
                <w:sz w:val="20"/>
                <w:szCs w:val="20"/>
              </w:rPr>
              <w:t>Income taxes payable</w:t>
            </w:r>
          </w:p>
        </w:tc>
        <w:tc>
          <w:tcPr>
            <w:tcW w:w="0" w:type="auto"/>
            <w:gridSpan w:val="2"/>
            <w:shd w:val="clear" w:color="auto" w:fill="CCEEFF"/>
            <w:tcMar>
              <w:top w:w="40" w:type="dxa"/>
              <w:left w:w="20" w:type="dxa"/>
              <w:bottom w:w="40" w:type="dxa"/>
              <w:right w:w="0" w:type="dxa"/>
            </w:tcMar>
            <w:vAlign w:val="bottom"/>
          </w:tcPr>
          <w:p w14:paraId="518B578C" w14:textId="77777777" w:rsidR="005C332D" w:rsidRDefault="00B93EAE">
            <w:pPr>
              <w:jc w:val="right"/>
              <w:textAlignment w:val="bottom"/>
            </w:pPr>
            <w:r>
              <w:rPr>
                <w:rFonts w:ascii="Times New Roman" w:eastAsia="宋体" w:hAnsi="Times New Roman"/>
                <w:b/>
                <w:bCs/>
                <w:color w:val="000000"/>
                <w:sz w:val="20"/>
                <w:szCs w:val="20"/>
              </w:rPr>
              <w:t>961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8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8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8F" w14:textId="77777777" w:rsidR="005C332D" w:rsidRDefault="00B93EAE">
            <w:pPr>
              <w:jc w:val="right"/>
              <w:textAlignment w:val="bottom"/>
            </w:pPr>
            <w:r>
              <w:rPr>
                <w:rFonts w:ascii="Times New Roman" w:eastAsia="宋体" w:hAnsi="Times New Roman"/>
                <w:color w:val="000000"/>
                <w:sz w:val="20"/>
                <w:szCs w:val="20"/>
              </w:rPr>
              <w:t>801 </w:t>
            </w:r>
          </w:p>
        </w:tc>
        <w:tc>
          <w:tcPr>
            <w:tcW w:w="0" w:type="auto"/>
            <w:shd w:val="clear" w:color="auto" w:fill="CCEEFF"/>
            <w:tcMar>
              <w:top w:w="40" w:type="dxa"/>
              <w:left w:w="0" w:type="dxa"/>
              <w:bottom w:w="40" w:type="dxa"/>
              <w:right w:w="20" w:type="dxa"/>
            </w:tcMar>
            <w:vAlign w:val="bottom"/>
          </w:tcPr>
          <w:p w14:paraId="518B5790" w14:textId="77777777" w:rsidR="005C332D" w:rsidRDefault="005C332D">
            <w:pPr>
              <w:jc w:val="right"/>
              <w:rPr>
                <w:rFonts w:ascii="宋体"/>
              </w:rPr>
            </w:pPr>
          </w:p>
        </w:tc>
      </w:tr>
      <w:tr w:rsidR="005C332D" w14:paraId="518B5798" w14:textId="77777777">
        <w:tc>
          <w:tcPr>
            <w:tcW w:w="0" w:type="auto"/>
            <w:gridSpan w:val="3"/>
            <w:shd w:val="clear" w:color="auto" w:fill="FFFFFF"/>
            <w:tcMar>
              <w:top w:w="40" w:type="dxa"/>
              <w:left w:w="380" w:type="dxa"/>
              <w:bottom w:w="40" w:type="dxa"/>
              <w:right w:w="20" w:type="dxa"/>
            </w:tcMar>
            <w:vAlign w:val="bottom"/>
          </w:tcPr>
          <w:p w14:paraId="518B5792" w14:textId="77777777" w:rsidR="005C332D" w:rsidRDefault="00B93EAE">
            <w:pPr>
              <w:textAlignment w:val="bottom"/>
            </w:pPr>
            <w:r>
              <w:rPr>
                <w:rFonts w:ascii="Times New Roman" w:eastAsia="宋体" w:hAnsi="Times New Roman"/>
                <w:color w:val="000000"/>
                <w:sz w:val="20"/>
                <w:szCs w:val="20"/>
              </w:rPr>
              <w:t>Accrued compensation</w:t>
            </w:r>
          </w:p>
        </w:tc>
        <w:tc>
          <w:tcPr>
            <w:tcW w:w="0" w:type="auto"/>
            <w:gridSpan w:val="2"/>
            <w:shd w:val="clear" w:color="auto" w:fill="FFFFFF"/>
            <w:tcMar>
              <w:top w:w="40" w:type="dxa"/>
              <w:left w:w="20" w:type="dxa"/>
              <w:bottom w:w="40" w:type="dxa"/>
              <w:right w:w="0" w:type="dxa"/>
            </w:tcMar>
            <w:vAlign w:val="bottom"/>
          </w:tcPr>
          <w:p w14:paraId="518B5793" w14:textId="77777777" w:rsidR="005C332D" w:rsidRDefault="00B93EAE">
            <w:pPr>
              <w:jc w:val="right"/>
              <w:textAlignment w:val="bottom"/>
            </w:pPr>
            <w:r>
              <w:rPr>
                <w:rFonts w:ascii="Times New Roman" w:eastAsia="宋体" w:hAnsi="Times New Roman"/>
                <w:b/>
                <w:bCs/>
                <w:color w:val="000000"/>
                <w:sz w:val="20"/>
                <w:szCs w:val="20"/>
              </w:rPr>
              <w:t>3,316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9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9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96" w14:textId="77777777" w:rsidR="005C332D" w:rsidRDefault="00B93EAE">
            <w:pPr>
              <w:jc w:val="right"/>
              <w:textAlignment w:val="bottom"/>
            </w:pPr>
            <w:r>
              <w:rPr>
                <w:rFonts w:ascii="Times New Roman" w:eastAsia="宋体" w:hAnsi="Times New Roman"/>
                <w:color w:val="000000"/>
                <w:sz w:val="20"/>
                <w:szCs w:val="20"/>
              </w:rPr>
              <w:t>3,818 </w:t>
            </w:r>
          </w:p>
        </w:tc>
        <w:tc>
          <w:tcPr>
            <w:tcW w:w="0" w:type="auto"/>
            <w:shd w:val="clear" w:color="auto" w:fill="FFFFFF"/>
            <w:tcMar>
              <w:top w:w="40" w:type="dxa"/>
              <w:left w:w="0" w:type="dxa"/>
              <w:bottom w:w="40" w:type="dxa"/>
              <w:right w:w="20" w:type="dxa"/>
            </w:tcMar>
            <w:vAlign w:val="bottom"/>
          </w:tcPr>
          <w:p w14:paraId="518B5797" w14:textId="77777777" w:rsidR="005C332D" w:rsidRDefault="005C332D">
            <w:pPr>
              <w:jc w:val="right"/>
              <w:rPr>
                <w:rFonts w:ascii="宋体"/>
              </w:rPr>
            </w:pPr>
          </w:p>
        </w:tc>
      </w:tr>
      <w:tr w:rsidR="005C332D" w14:paraId="518B579F" w14:textId="77777777">
        <w:tc>
          <w:tcPr>
            <w:tcW w:w="0" w:type="auto"/>
            <w:gridSpan w:val="3"/>
            <w:shd w:val="clear" w:color="auto" w:fill="CCEEFF"/>
            <w:tcMar>
              <w:top w:w="40" w:type="dxa"/>
              <w:left w:w="380" w:type="dxa"/>
              <w:bottom w:w="40" w:type="dxa"/>
              <w:right w:w="20" w:type="dxa"/>
            </w:tcMar>
            <w:vAlign w:val="bottom"/>
          </w:tcPr>
          <w:p w14:paraId="518B5799" w14:textId="77777777" w:rsidR="005C332D" w:rsidRDefault="00B93EAE">
            <w:pPr>
              <w:textAlignment w:val="bottom"/>
            </w:pPr>
            <w:r>
              <w:rPr>
                <w:rFonts w:ascii="Times New Roman" w:eastAsia="宋体" w:hAnsi="Times New Roman"/>
                <w:color w:val="000000"/>
                <w:sz w:val="20"/>
                <w:szCs w:val="20"/>
              </w:rPr>
              <w:t>Deferred revenue</w:t>
            </w:r>
          </w:p>
        </w:tc>
        <w:tc>
          <w:tcPr>
            <w:tcW w:w="0" w:type="auto"/>
            <w:gridSpan w:val="2"/>
            <w:shd w:val="clear" w:color="auto" w:fill="CCEEFF"/>
            <w:tcMar>
              <w:top w:w="40" w:type="dxa"/>
              <w:left w:w="20" w:type="dxa"/>
              <w:bottom w:w="40" w:type="dxa"/>
              <w:right w:w="0" w:type="dxa"/>
            </w:tcMar>
            <w:vAlign w:val="bottom"/>
          </w:tcPr>
          <w:p w14:paraId="518B579A" w14:textId="77777777" w:rsidR="005C332D" w:rsidRDefault="00B93EAE">
            <w:pPr>
              <w:jc w:val="right"/>
              <w:textAlignment w:val="bottom"/>
            </w:pPr>
            <w:r>
              <w:rPr>
                <w:rFonts w:ascii="Times New Roman" w:eastAsia="宋体" w:hAnsi="Times New Roman"/>
                <w:b/>
                <w:bCs/>
                <w:color w:val="000000"/>
                <w:sz w:val="20"/>
                <w:szCs w:val="20"/>
              </w:rPr>
              <w:t>12,784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9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9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9D" w14:textId="77777777" w:rsidR="005C332D" w:rsidRDefault="00B93EAE">
            <w:pPr>
              <w:jc w:val="right"/>
              <w:textAlignment w:val="bottom"/>
            </w:pPr>
            <w:r>
              <w:rPr>
                <w:rFonts w:ascii="Times New Roman" w:eastAsia="宋体" w:hAnsi="Times New Roman"/>
                <w:color w:val="000000"/>
                <w:sz w:val="20"/>
                <w:szCs w:val="20"/>
              </w:rPr>
              <w:t>12,148 </w:t>
            </w:r>
          </w:p>
        </w:tc>
        <w:tc>
          <w:tcPr>
            <w:tcW w:w="0" w:type="auto"/>
            <w:shd w:val="clear" w:color="auto" w:fill="CCEEFF"/>
            <w:tcMar>
              <w:top w:w="40" w:type="dxa"/>
              <w:left w:w="0" w:type="dxa"/>
              <w:bottom w:w="40" w:type="dxa"/>
              <w:right w:w="20" w:type="dxa"/>
            </w:tcMar>
            <w:vAlign w:val="bottom"/>
          </w:tcPr>
          <w:p w14:paraId="518B579E" w14:textId="77777777" w:rsidR="005C332D" w:rsidRDefault="005C332D">
            <w:pPr>
              <w:jc w:val="right"/>
              <w:rPr>
                <w:rFonts w:ascii="宋体"/>
              </w:rPr>
            </w:pPr>
          </w:p>
        </w:tc>
      </w:tr>
      <w:tr w:rsidR="005C332D" w14:paraId="518B57A6" w14:textId="77777777">
        <w:tc>
          <w:tcPr>
            <w:tcW w:w="0" w:type="auto"/>
            <w:gridSpan w:val="3"/>
            <w:shd w:val="clear" w:color="auto" w:fill="FFFFFF"/>
            <w:tcMar>
              <w:top w:w="40" w:type="dxa"/>
              <w:left w:w="380" w:type="dxa"/>
              <w:bottom w:w="40" w:type="dxa"/>
              <w:right w:w="20" w:type="dxa"/>
            </w:tcMar>
            <w:vAlign w:val="bottom"/>
          </w:tcPr>
          <w:p w14:paraId="518B57A0" w14:textId="77777777" w:rsidR="005C332D" w:rsidRDefault="00B93EAE">
            <w:pPr>
              <w:textAlignment w:val="bottom"/>
            </w:pPr>
            <w:r>
              <w:rPr>
                <w:rFonts w:ascii="Times New Roman" w:eastAsia="宋体" w:hAnsi="Times New Roman"/>
                <w:color w:val="000000"/>
                <w:sz w:val="20"/>
                <w:szCs w:val="20"/>
              </w:rPr>
              <w:t>Other current liabilities</w:t>
            </w:r>
          </w:p>
        </w:tc>
        <w:tc>
          <w:tcPr>
            <w:tcW w:w="0" w:type="auto"/>
            <w:gridSpan w:val="2"/>
            <w:shd w:val="clear" w:color="auto" w:fill="FFFFFF"/>
            <w:tcMar>
              <w:top w:w="40" w:type="dxa"/>
              <w:left w:w="20" w:type="dxa"/>
              <w:bottom w:w="40" w:type="dxa"/>
              <w:right w:w="0" w:type="dxa"/>
            </w:tcMar>
            <w:vAlign w:val="bottom"/>
          </w:tcPr>
          <w:p w14:paraId="518B57A1" w14:textId="77777777" w:rsidR="005C332D" w:rsidRDefault="00B93EAE">
            <w:pPr>
              <w:jc w:val="right"/>
              <w:textAlignment w:val="bottom"/>
            </w:pPr>
            <w:r>
              <w:rPr>
                <w:rFonts w:ascii="Times New Roman" w:eastAsia="宋体" w:hAnsi="Times New Roman"/>
                <w:b/>
                <w:bCs/>
                <w:color w:val="000000"/>
                <w:sz w:val="20"/>
                <w:szCs w:val="20"/>
              </w:rPr>
              <w:t>5,199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A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A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A4" w14:textId="77777777" w:rsidR="005C332D" w:rsidRDefault="00B93EAE">
            <w:pPr>
              <w:jc w:val="right"/>
              <w:textAlignment w:val="bottom"/>
            </w:pPr>
            <w:r>
              <w:rPr>
                <w:rFonts w:ascii="Times New Roman" w:eastAsia="宋体" w:hAnsi="Times New Roman"/>
                <w:color w:val="000000"/>
                <w:sz w:val="20"/>
                <w:szCs w:val="20"/>
              </w:rPr>
              <w:t>4,620 </w:t>
            </w:r>
          </w:p>
        </w:tc>
        <w:tc>
          <w:tcPr>
            <w:tcW w:w="0" w:type="auto"/>
            <w:shd w:val="clear" w:color="auto" w:fill="FFFFFF"/>
            <w:tcMar>
              <w:top w:w="40" w:type="dxa"/>
              <w:left w:w="0" w:type="dxa"/>
              <w:bottom w:w="40" w:type="dxa"/>
              <w:right w:w="20" w:type="dxa"/>
            </w:tcMar>
            <w:vAlign w:val="bottom"/>
          </w:tcPr>
          <w:p w14:paraId="518B57A5" w14:textId="77777777" w:rsidR="005C332D" w:rsidRDefault="005C332D">
            <w:pPr>
              <w:jc w:val="right"/>
              <w:rPr>
                <w:rFonts w:ascii="宋体"/>
              </w:rPr>
            </w:pPr>
          </w:p>
        </w:tc>
      </w:tr>
      <w:tr w:rsidR="005C332D" w14:paraId="518B57AD" w14:textId="77777777">
        <w:tc>
          <w:tcPr>
            <w:tcW w:w="0" w:type="auto"/>
            <w:gridSpan w:val="3"/>
            <w:shd w:val="clear" w:color="auto" w:fill="CCEEFF"/>
            <w:tcMar>
              <w:top w:w="40" w:type="dxa"/>
              <w:left w:w="740" w:type="dxa"/>
              <w:bottom w:w="40" w:type="dxa"/>
              <w:right w:w="20" w:type="dxa"/>
            </w:tcMar>
            <w:vAlign w:val="bottom"/>
          </w:tcPr>
          <w:p w14:paraId="518B57A7" w14:textId="77777777" w:rsidR="005C332D" w:rsidRDefault="00B93EAE">
            <w:pPr>
              <w:textAlignment w:val="bottom"/>
            </w:pPr>
            <w:r>
              <w:rPr>
                <w:rFonts w:ascii="Times New Roman" w:eastAsia="宋体" w:hAnsi="Times New Roman"/>
                <w:color w:val="000000"/>
                <w:sz w:val="20"/>
                <w:szCs w:val="20"/>
              </w:rPr>
              <w:t xml:space="preserve">Total current </w:t>
            </w:r>
            <w:r>
              <w:rPr>
                <w:rFonts w:ascii="Times New Roman" w:eastAsia="宋体" w:hAnsi="Times New Roman"/>
                <w:color w:val="000000"/>
                <w:sz w:val="20"/>
                <w:szCs w:val="20"/>
              </w:rPr>
              <w:t>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7A8" w14:textId="77777777" w:rsidR="005C332D" w:rsidRDefault="00B93EAE">
            <w:pPr>
              <w:jc w:val="right"/>
              <w:textAlignment w:val="bottom"/>
            </w:pPr>
            <w:r>
              <w:rPr>
                <w:rFonts w:ascii="Times New Roman" w:eastAsia="宋体" w:hAnsi="Times New Roman"/>
                <w:b/>
                <w:bCs/>
                <w:color w:val="000000"/>
                <w:sz w:val="20"/>
                <w:szCs w:val="20"/>
              </w:rPr>
              <w:t>25,640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7A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AA"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7AB" w14:textId="77777777" w:rsidR="005C332D" w:rsidRDefault="00B93EAE">
            <w:pPr>
              <w:jc w:val="right"/>
              <w:textAlignment w:val="bottom"/>
            </w:pPr>
            <w:r>
              <w:rPr>
                <w:rFonts w:ascii="Times New Roman" w:eastAsia="宋体" w:hAnsi="Times New Roman"/>
                <w:color w:val="000000"/>
                <w:sz w:val="20"/>
                <w:szCs w:val="20"/>
              </w:rPr>
              <w:t>26,257 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7AC" w14:textId="77777777" w:rsidR="005C332D" w:rsidRDefault="005C332D">
            <w:pPr>
              <w:jc w:val="right"/>
              <w:rPr>
                <w:rFonts w:ascii="宋体"/>
              </w:rPr>
            </w:pPr>
          </w:p>
        </w:tc>
      </w:tr>
      <w:tr w:rsidR="005C332D" w14:paraId="518B57B4" w14:textId="77777777">
        <w:tc>
          <w:tcPr>
            <w:tcW w:w="0" w:type="auto"/>
            <w:gridSpan w:val="3"/>
            <w:shd w:val="clear" w:color="auto" w:fill="FFFFFF"/>
            <w:tcMar>
              <w:top w:w="40" w:type="dxa"/>
              <w:left w:w="20" w:type="dxa"/>
              <w:bottom w:w="40" w:type="dxa"/>
              <w:right w:w="20" w:type="dxa"/>
            </w:tcMar>
            <w:vAlign w:val="bottom"/>
          </w:tcPr>
          <w:p w14:paraId="518B57AE" w14:textId="77777777" w:rsidR="005C332D" w:rsidRDefault="00B93EAE">
            <w:pPr>
              <w:textAlignment w:val="bottom"/>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518B57AF" w14:textId="77777777" w:rsidR="005C332D" w:rsidRDefault="00B93EAE">
            <w:pPr>
              <w:jc w:val="right"/>
              <w:textAlignment w:val="bottom"/>
            </w:pPr>
            <w:r>
              <w:rPr>
                <w:rFonts w:ascii="Times New Roman" w:eastAsia="宋体" w:hAnsi="Times New Roman"/>
                <w:b/>
                <w:bCs/>
                <w:color w:val="000000"/>
                <w:sz w:val="20"/>
                <w:szCs w:val="20"/>
              </w:rPr>
              <w:t>8,416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B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B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B2" w14:textId="77777777" w:rsidR="005C332D" w:rsidRDefault="00B93EAE">
            <w:pPr>
              <w:jc w:val="right"/>
              <w:textAlignment w:val="bottom"/>
            </w:pPr>
            <w:r>
              <w:rPr>
                <w:rFonts w:ascii="Times New Roman" w:eastAsia="宋体" w:hAnsi="Times New Roman"/>
                <w:color w:val="000000"/>
                <w:sz w:val="20"/>
                <w:szCs w:val="20"/>
              </w:rPr>
              <w:t>9,018 </w:t>
            </w:r>
          </w:p>
        </w:tc>
        <w:tc>
          <w:tcPr>
            <w:tcW w:w="0" w:type="auto"/>
            <w:shd w:val="clear" w:color="auto" w:fill="FFFFFF"/>
            <w:tcMar>
              <w:top w:w="40" w:type="dxa"/>
              <w:left w:w="0" w:type="dxa"/>
              <w:bottom w:w="40" w:type="dxa"/>
              <w:right w:w="20" w:type="dxa"/>
            </w:tcMar>
            <w:vAlign w:val="bottom"/>
          </w:tcPr>
          <w:p w14:paraId="518B57B3" w14:textId="77777777" w:rsidR="005C332D" w:rsidRDefault="005C332D">
            <w:pPr>
              <w:jc w:val="right"/>
              <w:rPr>
                <w:rFonts w:ascii="宋体"/>
              </w:rPr>
            </w:pPr>
          </w:p>
        </w:tc>
      </w:tr>
      <w:tr w:rsidR="005C332D" w14:paraId="518B57BB" w14:textId="77777777">
        <w:tc>
          <w:tcPr>
            <w:tcW w:w="0" w:type="auto"/>
            <w:gridSpan w:val="3"/>
            <w:shd w:val="clear" w:color="auto" w:fill="CCEEFF"/>
            <w:tcMar>
              <w:top w:w="40" w:type="dxa"/>
              <w:left w:w="20" w:type="dxa"/>
              <w:bottom w:w="40" w:type="dxa"/>
              <w:right w:w="20" w:type="dxa"/>
            </w:tcMar>
            <w:vAlign w:val="bottom"/>
          </w:tcPr>
          <w:p w14:paraId="518B57B5" w14:textId="77777777" w:rsidR="005C332D" w:rsidRDefault="00B93EAE">
            <w:pPr>
              <w:textAlignment w:val="bottom"/>
            </w:pPr>
            <w:r>
              <w:rPr>
                <w:rFonts w:ascii="Times New Roman" w:eastAsia="宋体" w:hAnsi="Times New Roman"/>
                <w:color w:val="000000"/>
                <w:sz w:val="20"/>
                <w:szCs w:val="20"/>
              </w:rPr>
              <w:t>Income taxes payable</w:t>
            </w:r>
          </w:p>
        </w:tc>
        <w:tc>
          <w:tcPr>
            <w:tcW w:w="0" w:type="auto"/>
            <w:gridSpan w:val="2"/>
            <w:shd w:val="clear" w:color="auto" w:fill="CCEEFF"/>
            <w:tcMar>
              <w:top w:w="40" w:type="dxa"/>
              <w:left w:w="20" w:type="dxa"/>
              <w:bottom w:w="40" w:type="dxa"/>
              <w:right w:w="0" w:type="dxa"/>
            </w:tcMar>
            <w:vAlign w:val="bottom"/>
          </w:tcPr>
          <w:p w14:paraId="518B57B6" w14:textId="77777777" w:rsidR="005C332D" w:rsidRDefault="00B93EAE">
            <w:pPr>
              <w:jc w:val="right"/>
              <w:textAlignment w:val="bottom"/>
            </w:pPr>
            <w:r>
              <w:rPr>
                <w:rFonts w:ascii="Times New Roman" w:eastAsia="宋体" w:hAnsi="Times New Roman"/>
                <w:b/>
                <w:bCs/>
                <w:color w:val="000000"/>
                <w:sz w:val="20"/>
                <w:szCs w:val="20"/>
              </w:rPr>
              <w:t>7,725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B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B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B9" w14:textId="77777777" w:rsidR="005C332D" w:rsidRDefault="00B93EAE">
            <w:pPr>
              <w:jc w:val="right"/>
              <w:textAlignment w:val="bottom"/>
            </w:pPr>
            <w:r>
              <w:rPr>
                <w:rFonts w:ascii="Times New Roman" w:eastAsia="宋体" w:hAnsi="Times New Roman"/>
                <w:color w:val="000000"/>
                <w:sz w:val="20"/>
                <w:szCs w:val="20"/>
              </w:rPr>
              <w:t>8,538 </w:t>
            </w:r>
          </w:p>
        </w:tc>
        <w:tc>
          <w:tcPr>
            <w:tcW w:w="0" w:type="auto"/>
            <w:shd w:val="clear" w:color="auto" w:fill="CCEEFF"/>
            <w:tcMar>
              <w:top w:w="40" w:type="dxa"/>
              <w:left w:w="0" w:type="dxa"/>
              <w:bottom w:w="40" w:type="dxa"/>
              <w:right w:w="20" w:type="dxa"/>
            </w:tcMar>
            <w:vAlign w:val="bottom"/>
          </w:tcPr>
          <w:p w14:paraId="518B57BA" w14:textId="77777777" w:rsidR="005C332D" w:rsidRDefault="005C332D">
            <w:pPr>
              <w:jc w:val="right"/>
              <w:rPr>
                <w:rFonts w:ascii="宋体"/>
              </w:rPr>
            </w:pPr>
          </w:p>
        </w:tc>
      </w:tr>
      <w:tr w:rsidR="005C332D" w14:paraId="518B57C2" w14:textId="77777777">
        <w:tc>
          <w:tcPr>
            <w:tcW w:w="0" w:type="auto"/>
            <w:gridSpan w:val="3"/>
            <w:shd w:val="clear" w:color="auto" w:fill="FFFFFF"/>
            <w:tcMar>
              <w:top w:w="40" w:type="dxa"/>
              <w:left w:w="20" w:type="dxa"/>
              <w:bottom w:w="40" w:type="dxa"/>
              <w:right w:w="20" w:type="dxa"/>
            </w:tcMar>
            <w:vAlign w:val="bottom"/>
          </w:tcPr>
          <w:p w14:paraId="518B57BC" w14:textId="77777777" w:rsidR="005C332D" w:rsidRDefault="00B93EAE">
            <w:pPr>
              <w:textAlignment w:val="bottom"/>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518B57BD" w14:textId="77777777" w:rsidR="005C332D" w:rsidRDefault="00B93EAE">
            <w:pPr>
              <w:jc w:val="right"/>
              <w:textAlignment w:val="bottom"/>
            </w:pPr>
            <w:r>
              <w:rPr>
                <w:rFonts w:ascii="Times New Roman" w:eastAsia="宋体" w:hAnsi="Times New Roman"/>
                <w:b/>
                <w:bCs/>
                <w:color w:val="000000"/>
                <w:sz w:val="20"/>
                <w:szCs w:val="20"/>
              </w:rPr>
              <w:t>10,480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B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B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C0" w14:textId="77777777" w:rsidR="005C332D" w:rsidRDefault="00B93EAE">
            <w:pPr>
              <w:jc w:val="right"/>
              <w:textAlignment w:val="bottom"/>
            </w:pPr>
            <w:r>
              <w:rPr>
                <w:rFonts w:ascii="Times New Roman" w:eastAsia="宋体" w:hAnsi="Times New Roman"/>
                <w:color w:val="000000"/>
                <w:sz w:val="20"/>
                <w:szCs w:val="20"/>
              </w:rPr>
              <w:t>10,016 </w:t>
            </w:r>
          </w:p>
        </w:tc>
        <w:tc>
          <w:tcPr>
            <w:tcW w:w="0" w:type="auto"/>
            <w:shd w:val="clear" w:color="auto" w:fill="FFFFFF"/>
            <w:tcMar>
              <w:top w:w="40" w:type="dxa"/>
              <w:left w:w="0" w:type="dxa"/>
              <w:bottom w:w="40" w:type="dxa"/>
              <w:right w:w="20" w:type="dxa"/>
            </w:tcMar>
            <w:vAlign w:val="bottom"/>
          </w:tcPr>
          <w:p w14:paraId="518B57C1" w14:textId="77777777" w:rsidR="005C332D" w:rsidRDefault="005C332D">
            <w:pPr>
              <w:jc w:val="right"/>
              <w:rPr>
                <w:rFonts w:ascii="宋体"/>
              </w:rPr>
            </w:pPr>
          </w:p>
        </w:tc>
      </w:tr>
      <w:tr w:rsidR="005C332D" w14:paraId="518B57C9" w14:textId="77777777">
        <w:tc>
          <w:tcPr>
            <w:tcW w:w="0" w:type="auto"/>
            <w:gridSpan w:val="3"/>
            <w:shd w:val="clear" w:color="auto" w:fill="CCEEFF"/>
            <w:tcMar>
              <w:top w:w="40" w:type="dxa"/>
              <w:left w:w="20" w:type="dxa"/>
              <w:bottom w:w="40" w:type="dxa"/>
              <w:right w:w="20" w:type="dxa"/>
            </w:tcMar>
            <w:vAlign w:val="bottom"/>
          </w:tcPr>
          <w:p w14:paraId="518B57C3" w14:textId="77777777" w:rsidR="005C332D" w:rsidRDefault="00B93EAE">
            <w:pPr>
              <w:textAlignment w:val="bottom"/>
            </w:pPr>
            <w:r>
              <w:rPr>
                <w:rFonts w:ascii="Times New Roman" w:eastAsia="宋体" w:hAnsi="Times New Roman"/>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14:paraId="518B57C4" w14:textId="77777777" w:rsidR="005C332D" w:rsidRDefault="00B93EAE">
            <w:pPr>
              <w:jc w:val="right"/>
              <w:textAlignment w:val="bottom"/>
            </w:pPr>
            <w:r>
              <w:rPr>
                <w:rFonts w:ascii="Times New Roman" w:eastAsia="宋体" w:hAnsi="Times New Roman"/>
                <w:b/>
                <w:bCs/>
                <w:color w:val="000000"/>
                <w:sz w:val="20"/>
                <w:szCs w:val="20"/>
              </w:rPr>
              <w:t>1,968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C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C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C7" w14:textId="77777777" w:rsidR="005C332D" w:rsidRDefault="00B93EAE">
            <w:pPr>
              <w:jc w:val="right"/>
              <w:textAlignment w:val="bottom"/>
            </w:pPr>
            <w:r>
              <w:rPr>
                <w:rFonts w:ascii="Times New Roman" w:eastAsia="宋体" w:hAnsi="Times New Roman"/>
                <w:color w:val="000000"/>
                <w:sz w:val="20"/>
                <w:szCs w:val="20"/>
              </w:rPr>
              <w:t>2,393 </w:t>
            </w:r>
          </w:p>
        </w:tc>
        <w:tc>
          <w:tcPr>
            <w:tcW w:w="0" w:type="auto"/>
            <w:shd w:val="clear" w:color="auto" w:fill="CCEEFF"/>
            <w:tcMar>
              <w:top w:w="40" w:type="dxa"/>
              <w:left w:w="0" w:type="dxa"/>
              <w:bottom w:w="40" w:type="dxa"/>
              <w:right w:w="20" w:type="dxa"/>
            </w:tcMar>
            <w:vAlign w:val="bottom"/>
          </w:tcPr>
          <w:p w14:paraId="518B57C8" w14:textId="77777777" w:rsidR="005C332D" w:rsidRDefault="005C332D">
            <w:pPr>
              <w:jc w:val="right"/>
              <w:rPr>
                <w:rFonts w:ascii="宋体"/>
              </w:rPr>
            </w:pPr>
          </w:p>
        </w:tc>
      </w:tr>
      <w:tr w:rsidR="005C332D" w14:paraId="518B57D0" w14:textId="77777777">
        <w:tc>
          <w:tcPr>
            <w:tcW w:w="0" w:type="auto"/>
            <w:gridSpan w:val="3"/>
            <w:shd w:val="clear" w:color="auto" w:fill="FFFFFF"/>
            <w:tcMar>
              <w:top w:w="40" w:type="dxa"/>
              <w:left w:w="740" w:type="dxa"/>
              <w:bottom w:w="40" w:type="dxa"/>
              <w:right w:w="20" w:type="dxa"/>
            </w:tcMar>
            <w:vAlign w:val="bottom"/>
          </w:tcPr>
          <w:p w14:paraId="518B57CA" w14:textId="77777777" w:rsidR="005C332D" w:rsidRDefault="00B93EAE">
            <w:pPr>
              <w:textAlignment w:val="bottom"/>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7CB" w14:textId="77777777" w:rsidR="005C332D" w:rsidRDefault="00B93EAE">
            <w:pPr>
              <w:jc w:val="right"/>
              <w:textAlignment w:val="bottom"/>
            </w:pPr>
            <w:r>
              <w:rPr>
                <w:rFonts w:ascii="Times New Roman" w:eastAsia="宋体" w:hAnsi="Times New Roman"/>
                <w:b/>
                <w:bCs/>
                <w:color w:val="000000"/>
                <w:sz w:val="20"/>
                <w:szCs w:val="20"/>
              </w:rPr>
              <w:t>54,229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7C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CD"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7CE" w14:textId="77777777" w:rsidR="005C332D" w:rsidRDefault="00B93EAE">
            <w:pPr>
              <w:jc w:val="right"/>
              <w:textAlignment w:val="bottom"/>
            </w:pPr>
            <w:r>
              <w:rPr>
                <w:rFonts w:ascii="Times New Roman" w:eastAsia="宋体" w:hAnsi="Times New Roman"/>
                <w:color w:val="000000"/>
                <w:sz w:val="20"/>
                <w:szCs w:val="20"/>
              </w:rPr>
              <w:t>56,222 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7CF" w14:textId="77777777" w:rsidR="005C332D" w:rsidRDefault="005C332D">
            <w:pPr>
              <w:jc w:val="right"/>
              <w:rPr>
                <w:rFonts w:ascii="宋体"/>
              </w:rPr>
            </w:pPr>
          </w:p>
        </w:tc>
      </w:tr>
      <w:tr w:rsidR="005C332D" w14:paraId="518B57D5" w14:textId="77777777">
        <w:tc>
          <w:tcPr>
            <w:tcW w:w="0" w:type="auto"/>
            <w:gridSpan w:val="3"/>
            <w:shd w:val="clear" w:color="auto" w:fill="CCEEFF"/>
            <w:tcMar>
              <w:top w:w="40" w:type="dxa"/>
              <w:left w:w="20" w:type="dxa"/>
              <w:bottom w:w="40" w:type="dxa"/>
              <w:right w:w="20" w:type="dxa"/>
            </w:tcMar>
            <w:vAlign w:val="bottom"/>
          </w:tcPr>
          <w:p w14:paraId="518B57D1" w14:textId="77777777" w:rsidR="005C332D" w:rsidRDefault="00B93EAE">
            <w:pPr>
              <w:textAlignment w:val="bottom"/>
            </w:pPr>
            <w:r>
              <w:rPr>
                <w:rFonts w:ascii="Times New Roman" w:eastAsia="宋体" w:hAnsi="Times New Roman"/>
                <w:color w:val="000000"/>
                <w:sz w:val="20"/>
                <w:szCs w:val="20"/>
              </w:rPr>
              <w:t xml:space="preserve">Commitments and </w:t>
            </w:r>
            <w:r>
              <w:rPr>
                <w:rFonts w:ascii="Times New Roman" w:eastAsia="宋体" w:hAnsi="Times New Roman"/>
                <w:color w:val="000000"/>
                <w:sz w:val="20"/>
                <w:szCs w:val="20"/>
              </w:rPr>
              <w:t>contingencies (Note 14)</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7D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7D3"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7D4" w14:textId="77777777" w:rsidR="005C332D" w:rsidRDefault="005C332D">
            <w:pPr>
              <w:rPr>
                <w:rFonts w:ascii="宋体"/>
              </w:rPr>
            </w:pPr>
          </w:p>
        </w:tc>
      </w:tr>
      <w:tr w:rsidR="005C332D" w14:paraId="518B57DA" w14:textId="77777777">
        <w:tc>
          <w:tcPr>
            <w:tcW w:w="0" w:type="auto"/>
            <w:gridSpan w:val="3"/>
            <w:shd w:val="clear" w:color="auto" w:fill="FFFFFF"/>
            <w:tcMar>
              <w:top w:w="40" w:type="dxa"/>
              <w:left w:w="20" w:type="dxa"/>
              <w:bottom w:w="40" w:type="dxa"/>
              <w:right w:w="20" w:type="dxa"/>
            </w:tcMar>
            <w:vAlign w:val="bottom"/>
          </w:tcPr>
          <w:p w14:paraId="518B57D6" w14:textId="77777777" w:rsidR="005C332D" w:rsidRDefault="00B93EAE">
            <w:pPr>
              <w:textAlignment w:val="bottom"/>
            </w:pPr>
            <w:r>
              <w:rPr>
                <w:rFonts w:ascii="Times New Roman" w:eastAsia="宋体" w:hAnsi="Times New Roman"/>
                <w:color w:val="000000"/>
                <w:sz w:val="20"/>
                <w:szCs w:val="20"/>
              </w:rPr>
              <w:t>Equity:</w:t>
            </w:r>
          </w:p>
        </w:tc>
        <w:tc>
          <w:tcPr>
            <w:tcW w:w="0" w:type="auto"/>
            <w:gridSpan w:val="3"/>
            <w:shd w:val="clear" w:color="auto" w:fill="FFFFFF"/>
            <w:tcMar>
              <w:top w:w="0" w:type="dxa"/>
              <w:left w:w="20" w:type="dxa"/>
              <w:bottom w:w="0" w:type="dxa"/>
              <w:right w:w="20" w:type="dxa"/>
            </w:tcMar>
            <w:vAlign w:val="bottom"/>
          </w:tcPr>
          <w:p w14:paraId="518B57D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7D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7D9" w14:textId="77777777" w:rsidR="005C332D" w:rsidRDefault="005C332D">
            <w:pPr>
              <w:rPr>
                <w:rFonts w:ascii="宋体"/>
              </w:rPr>
            </w:pPr>
          </w:p>
        </w:tc>
      </w:tr>
      <w:tr w:rsidR="005C332D" w14:paraId="518B57DF" w14:textId="77777777">
        <w:tc>
          <w:tcPr>
            <w:tcW w:w="0" w:type="auto"/>
            <w:gridSpan w:val="3"/>
            <w:shd w:val="clear" w:color="auto" w:fill="CCEEFF"/>
            <w:tcMar>
              <w:top w:w="40" w:type="dxa"/>
              <w:left w:w="380" w:type="dxa"/>
              <w:bottom w:w="40" w:type="dxa"/>
              <w:right w:w="20" w:type="dxa"/>
            </w:tcMar>
            <w:vAlign w:val="bottom"/>
          </w:tcPr>
          <w:p w14:paraId="518B57DB" w14:textId="77777777" w:rsidR="005C332D" w:rsidRDefault="00B93EAE">
            <w:pPr>
              <w:textAlignment w:val="bottom"/>
            </w:pPr>
            <w:r>
              <w:rPr>
                <w:rFonts w:ascii="Times New Roman" w:eastAsia="宋体" w:hAnsi="Times New Roman"/>
                <w:color w:val="000000"/>
                <w:sz w:val="20"/>
                <w:szCs w:val="20"/>
              </w:rPr>
              <w:t>Cisco stockholders’ equity:</w:t>
            </w:r>
          </w:p>
        </w:tc>
        <w:tc>
          <w:tcPr>
            <w:tcW w:w="0" w:type="auto"/>
            <w:gridSpan w:val="3"/>
            <w:shd w:val="clear" w:color="auto" w:fill="CCEEFF"/>
            <w:tcMar>
              <w:top w:w="0" w:type="dxa"/>
              <w:left w:w="20" w:type="dxa"/>
              <w:bottom w:w="0" w:type="dxa"/>
              <w:right w:w="20" w:type="dxa"/>
            </w:tcMar>
            <w:vAlign w:val="bottom"/>
          </w:tcPr>
          <w:p w14:paraId="518B57D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7D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7DE" w14:textId="77777777" w:rsidR="005C332D" w:rsidRDefault="005C332D">
            <w:pPr>
              <w:rPr>
                <w:rFonts w:ascii="宋体"/>
              </w:rPr>
            </w:pPr>
          </w:p>
        </w:tc>
      </w:tr>
      <w:tr w:rsidR="005C332D" w14:paraId="518B57E6" w14:textId="77777777">
        <w:tc>
          <w:tcPr>
            <w:tcW w:w="0" w:type="auto"/>
            <w:gridSpan w:val="3"/>
            <w:shd w:val="clear" w:color="auto" w:fill="FFFFFF"/>
            <w:tcMar>
              <w:top w:w="40" w:type="dxa"/>
              <w:left w:w="20" w:type="dxa"/>
              <w:bottom w:w="40" w:type="dxa"/>
              <w:right w:w="20" w:type="dxa"/>
            </w:tcMar>
            <w:vAlign w:val="bottom"/>
          </w:tcPr>
          <w:p w14:paraId="518B57E0" w14:textId="77777777" w:rsidR="005C332D" w:rsidRDefault="00B93EAE">
            <w:pPr>
              <w:textAlignment w:val="bottom"/>
            </w:pPr>
            <w:r>
              <w:rPr>
                <w:rFonts w:ascii="Times New Roman" w:eastAsia="宋体" w:hAnsi="Times New Roman"/>
                <w:color w:val="000000"/>
                <w:sz w:val="20"/>
                <w:szCs w:val="20"/>
              </w:rPr>
              <w:t>Preferred stock, $0.001 par value: 5 shares authorized; none issued and outstanding</w:t>
            </w:r>
          </w:p>
        </w:tc>
        <w:tc>
          <w:tcPr>
            <w:tcW w:w="0" w:type="auto"/>
            <w:gridSpan w:val="2"/>
            <w:shd w:val="clear" w:color="auto" w:fill="FFFFFF"/>
            <w:tcMar>
              <w:top w:w="40" w:type="dxa"/>
              <w:left w:w="20" w:type="dxa"/>
              <w:bottom w:w="40" w:type="dxa"/>
              <w:right w:w="0" w:type="dxa"/>
            </w:tcMar>
            <w:vAlign w:val="bottom"/>
          </w:tcPr>
          <w:p w14:paraId="518B57E1"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E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E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E4"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7E5" w14:textId="77777777" w:rsidR="005C332D" w:rsidRDefault="005C332D">
            <w:pPr>
              <w:jc w:val="right"/>
              <w:rPr>
                <w:rFonts w:ascii="宋体"/>
              </w:rPr>
            </w:pPr>
          </w:p>
        </w:tc>
      </w:tr>
      <w:tr w:rsidR="005C332D" w14:paraId="518B57ED" w14:textId="77777777">
        <w:tc>
          <w:tcPr>
            <w:tcW w:w="0" w:type="auto"/>
            <w:gridSpan w:val="3"/>
            <w:shd w:val="clear" w:color="auto" w:fill="CCEEFF"/>
            <w:tcMar>
              <w:top w:w="40" w:type="dxa"/>
              <w:left w:w="20" w:type="dxa"/>
              <w:bottom w:w="40" w:type="dxa"/>
              <w:right w:w="20" w:type="dxa"/>
            </w:tcMar>
            <w:vAlign w:val="bottom"/>
          </w:tcPr>
          <w:p w14:paraId="518B57E7" w14:textId="77777777" w:rsidR="005C332D" w:rsidRDefault="00B93EAE">
            <w:pPr>
              <w:textAlignment w:val="bottom"/>
            </w:pPr>
            <w:r>
              <w:rPr>
                <w:rFonts w:ascii="Times New Roman" w:eastAsia="宋体" w:hAnsi="Times New Roman"/>
                <w:color w:val="000000"/>
                <w:sz w:val="20"/>
                <w:szCs w:val="20"/>
              </w:rPr>
              <w:t xml:space="preserve">Common stock and additional paid-in capital, $0.001 par value: 20,000 shares </w:t>
            </w:r>
            <w:r>
              <w:rPr>
                <w:rFonts w:ascii="Times New Roman" w:eastAsia="宋体" w:hAnsi="Times New Roman"/>
                <w:color w:val="000000"/>
                <w:sz w:val="20"/>
                <w:szCs w:val="20"/>
              </w:rPr>
              <w:t>authorized; 4,110 and 4,217 shares issued and outstanding at July 30, 2022 and July 31, 2021, respectively</w:t>
            </w:r>
          </w:p>
        </w:tc>
        <w:tc>
          <w:tcPr>
            <w:tcW w:w="0" w:type="auto"/>
            <w:gridSpan w:val="2"/>
            <w:shd w:val="clear" w:color="auto" w:fill="CCEEFF"/>
            <w:tcMar>
              <w:top w:w="40" w:type="dxa"/>
              <w:left w:w="20" w:type="dxa"/>
              <w:bottom w:w="40" w:type="dxa"/>
              <w:right w:w="0" w:type="dxa"/>
            </w:tcMar>
            <w:vAlign w:val="bottom"/>
          </w:tcPr>
          <w:p w14:paraId="518B57E8" w14:textId="77777777" w:rsidR="005C332D" w:rsidRDefault="00B93EAE">
            <w:pPr>
              <w:jc w:val="right"/>
              <w:textAlignment w:val="bottom"/>
            </w:pPr>
            <w:r>
              <w:rPr>
                <w:rFonts w:ascii="Times New Roman" w:eastAsia="宋体" w:hAnsi="Times New Roman"/>
                <w:b/>
                <w:bCs/>
                <w:color w:val="000000"/>
                <w:sz w:val="20"/>
                <w:szCs w:val="20"/>
              </w:rPr>
              <w:t>42,714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7E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E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EB" w14:textId="77777777" w:rsidR="005C332D" w:rsidRDefault="00B93EAE">
            <w:pPr>
              <w:jc w:val="right"/>
              <w:textAlignment w:val="bottom"/>
            </w:pPr>
            <w:r>
              <w:rPr>
                <w:rFonts w:ascii="Times New Roman" w:eastAsia="宋体" w:hAnsi="Times New Roman"/>
                <w:color w:val="000000"/>
                <w:sz w:val="20"/>
                <w:szCs w:val="20"/>
              </w:rPr>
              <w:t>42,346 </w:t>
            </w:r>
          </w:p>
        </w:tc>
        <w:tc>
          <w:tcPr>
            <w:tcW w:w="0" w:type="auto"/>
            <w:shd w:val="clear" w:color="auto" w:fill="CCEEFF"/>
            <w:tcMar>
              <w:top w:w="40" w:type="dxa"/>
              <w:left w:w="0" w:type="dxa"/>
              <w:bottom w:w="40" w:type="dxa"/>
              <w:right w:w="20" w:type="dxa"/>
            </w:tcMar>
            <w:vAlign w:val="bottom"/>
          </w:tcPr>
          <w:p w14:paraId="518B57EC" w14:textId="77777777" w:rsidR="005C332D" w:rsidRDefault="005C332D">
            <w:pPr>
              <w:jc w:val="right"/>
              <w:rPr>
                <w:rFonts w:ascii="宋体"/>
              </w:rPr>
            </w:pPr>
          </w:p>
        </w:tc>
      </w:tr>
      <w:tr w:rsidR="005C332D" w14:paraId="518B57F4" w14:textId="77777777">
        <w:tc>
          <w:tcPr>
            <w:tcW w:w="0" w:type="auto"/>
            <w:gridSpan w:val="3"/>
            <w:shd w:val="clear" w:color="auto" w:fill="FFFFFF"/>
            <w:tcMar>
              <w:top w:w="40" w:type="dxa"/>
              <w:left w:w="380" w:type="dxa"/>
              <w:bottom w:w="40" w:type="dxa"/>
              <w:right w:w="20" w:type="dxa"/>
            </w:tcMar>
            <w:vAlign w:val="bottom"/>
          </w:tcPr>
          <w:p w14:paraId="518B57EE" w14:textId="77777777" w:rsidR="005C332D" w:rsidRDefault="00B93EAE">
            <w:pPr>
              <w:textAlignment w:val="bottom"/>
            </w:pPr>
            <w:r>
              <w:rPr>
                <w:rFonts w:ascii="Times New Roman" w:eastAsia="宋体" w:hAnsi="Times New Roman"/>
                <w:color w:val="000000"/>
                <w:sz w:val="20"/>
                <w:szCs w:val="20"/>
              </w:rPr>
              <w:t>Accumulated deficit</w:t>
            </w:r>
          </w:p>
        </w:tc>
        <w:tc>
          <w:tcPr>
            <w:tcW w:w="0" w:type="auto"/>
            <w:gridSpan w:val="2"/>
            <w:shd w:val="clear" w:color="auto" w:fill="FFFFFF"/>
            <w:tcMar>
              <w:top w:w="40" w:type="dxa"/>
              <w:left w:w="20" w:type="dxa"/>
              <w:bottom w:w="40" w:type="dxa"/>
              <w:right w:w="0" w:type="dxa"/>
            </w:tcMar>
            <w:vAlign w:val="bottom"/>
          </w:tcPr>
          <w:p w14:paraId="518B57EF" w14:textId="77777777" w:rsidR="005C332D" w:rsidRDefault="00B93EAE">
            <w:pPr>
              <w:jc w:val="right"/>
              <w:textAlignment w:val="bottom"/>
            </w:pPr>
            <w:r>
              <w:rPr>
                <w:rFonts w:ascii="Times New Roman" w:eastAsia="宋体" w:hAnsi="Times New Roman"/>
                <w:b/>
                <w:bCs/>
                <w:color w:val="000000"/>
                <w:sz w:val="20"/>
                <w:szCs w:val="20"/>
              </w:rPr>
              <w:t>(1,319)</w:t>
            </w:r>
          </w:p>
        </w:tc>
        <w:tc>
          <w:tcPr>
            <w:tcW w:w="0" w:type="auto"/>
            <w:shd w:val="clear" w:color="auto" w:fill="FFFFFF"/>
            <w:tcMar>
              <w:top w:w="40" w:type="dxa"/>
              <w:left w:w="0" w:type="dxa"/>
              <w:bottom w:w="40" w:type="dxa"/>
              <w:right w:w="20" w:type="dxa"/>
            </w:tcMar>
            <w:vAlign w:val="bottom"/>
          </w:tcPr>
          <w:p w14:paraId="518B57F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F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7F2" w14:textId="77777777" w:rsidR="005C332D" w:rsidRDefault="00B93EAE">
            <w:pPr>
              <w:jc w:val="right"/>
              <w:textAlignment w:val="bottom"/>
            </w:pPr>
            <w:r>
              <w:rPr>
                <w:rFonts w:ascii="Times New Roman" w:eastAsia="宋体" w:hAnsi="Times New Roman"/>
                <w:color w:val="000000"/>
                <w:sz w:val="20"/>
                <w:szCs w:val="20"/>
              </w:rPr>
              <w:t>(654)</w:t>
            </w:r>
          </w:p>
        </w:tc>
        <w:tc>
          <w:tcPr>
            <w:tcW w:w="0" w:type="auto"/>
            <w:shd w:val="clear" w:color="auto" w:fill="FFFFFF"/>
            <w:tcMar>
              <w:top w:w="40" w:type="dxa"/>
              <w:left w:w="0" w:type="dxa"/>
              <w:bottom w:w="40" w:type="dxa"/>
              <w:right w:w="20" w:type="dxa"/>
            </w:tcMar>
            <w:vAlign w:val="bottom"/>
          </w:tcPr>
          <w:p w14:paraId="518B57F3" w14:textId="77777777" w:rsidR="005C332D" w:rsidRDefault="005C332D">
            <w:pPr>
              <w:jc w:val="right"/>
              <w:rPr>
                <w:rFonts w:ascii="宋体"/>
              </w:rPr>
            </w:pPr>
          </w:p>
        </w:tc>
      </w:tr>
      <w:tr w:rsidR="005C332D" w14:paraId="518B57FB" w14:textId="77777777">
        <w:tc>
          <w:tcPr>
            <w:tcW w:w="0" w:type="auto"/>
            <w:gridSpan w:val="3"/>
            <w:shd w:val="clear" w:color="auto" w:fill="CCEEFF"/>
            <w:tcMar>
              <w:top w:w="40" w:type="dxa"/>
              <w:left w:w="380" w:type="dxa"/>
              <w:bottom w:w="40" w:type="dxa"/>
              <w:right w:w="20" w:type="dxa"/>
            </w:tcMar>
            <w:vAlign w:val="bottom"/>
          </w:tcPr>
          <w:p w14:paraId="518B57F5" w14:textId="77777777" w:rsidR="005C332D" w:rsidRDefault="00B93EAE">
            <w:pPr>
              <w:textAlignment w:val="bottom"/>
            </w:pPr>
            <w:r>
              <w:rPr>
                <w:rFonts w:ascii="Times New Roman" w:eastAsia="宋体" w:hAnsi="Times New Roman"/>
                <w:color w:val="000000"/>
                <w:sz w:val="20"/>
                <w:szCs w:val="20"/>
              </w:rPr>
              <w:t>Accumulated other comprehensive loss</w:t>
            </w:r>
          </w:p>
        </w:tc>
        <w:tc>
          <w:tcPr>
            <w:tcW w:w="0" w:type="auto"/>
            <w:gridSpan w:val="2"/>
            <w:shd w:val="clear" w:color="auto" w:fill="CCEEFF"/>
            <w:tcMar>
              <w:top w:w="40" w:type="dxa"/>
              <w:left w:w="20" w:type="dxa"/>
              <w:bottom w:w="40" w:type="dxa"/>
              <w:right w:w="0" w:type="dxa"/>
            </w:tcMar>
            <w:vAlign w:val="bottom"/>
          </w:tcPr>
          <w:p w14:paraId="518B57F6" w14:textId="77777777" w:rsidR="005C332D" w:rsidRDefault="00B93EAE">
            <w:pPr>
              <w:jc w:val="right"/>
              <w:textAlignment w:val="bottom"/>
            </w:pPr>
            <w:r>
              <w:rPr>
                <w:rFonts w:ascii="Times New Roman" w:eastAsia="宋体" w:hAnsi="Times New Roman"/>
                <w:b/>
                <w:bCs/>
                <w:color w:val="000000"/>
                <w:sz w:val="20"/>
                <w:szCs w:val="20"/>
              </w:rPr>
              <w:t>(1,622)</w:t>
            </w:r>
          </w:p>
        </w:tc>
        <w:tc>
          <w:tcPr>
            <w:tcW w:w="0" w:type="auto"/>
            <w:shd w:val="clear" w:color="auto" w:fill="CCEEFF"/>
            <w:tcMar>
              <w:top w:w="40" w:type="dxa"/>
              <w:left w:w="0" w:type="dxa"/>
              <w:bottom w:w="40" w:type="dxa"/>
              <w:right w:w="20" w:type="dxa"/>
            </w:tcMar>
            <w:vAlign w:val="bottom"/>
          </w:tcPr>
          <w:p w14:paraId="518B57F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7F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7F9" w14:textId="77777777" w:rsidR="005C332D" w:rsidRDefault="00B93EAE">
            <w:pPr>
              <w:jc w:val="right"/>
              <w:textAlignment w:val="bottom"/>
            </w:pPr>
            <w:r>
              <w:rPr>
                <w:rFonts w:ascii="Times New Roman" w:eastAsia="宋体" w:hAnsi="Times New Roman"/>
                <w:color w:val="000000"/>
                <w:sz w:val="20"/>
                <w:szCs w:val="20"/>
              </w:rPr>
              <w:t>(417)</w:t>
            </w:r>
          </w:p>
        </w:tc>
        <w:tc>
          <w:tcPr>
            <w:tcW w:w="0" w:type="auto"/>
            <w:shd w:val="clear" w:color="auto" w:fill="CCEEFF"/>
            <w:tcMar>
              <w:top w:w="40" w:type="dxa"/>
              <w:left w:w="0" w:type="dxa"/>
              <w:bottom w:w="40" w:type="dxa"/>
              <w:right w:w="20" w:type="dxa"/>
            </w:tcMar>
            <w:vAlign w:val="bottom"/>
          </w:tcPr>
          <w:p w14:paraId="518B57FA" w14:textId="77777777" w:rsidR="005C332D" w:rsidRDefault="005C332D">
            <w:pPr>
              <w:jc w:val="right"/>
              <w:rPr>
                <w:rFonts w:ascii="宋体"/>
              </w:rPr>
            </w:pPr>
          </w:p>
        </w:tc>
      </w:tr>
      <w:tr w:rsidR="005C332D" w14:paraId="518B5802" w14:textId="77777777">
        <w:tc>
          <w:tcPr>
            <w:tcW w:w="0" w:type="auto"/>
            <w:gridSpan w:val="3"/>
            <w:shd w:val="clear" w:color="auto" w:fill="FFFFFF"/>
            <w:tcMar>
              <w:top w:w="40" w:type="dxa"/>
              <w:left w:w="740" w:type="dxa"/>
              <w:bottom w:w="40" w:type="dxa"/>
              <w:right w:w="20" w:type="dxa"/>
            </w:tcMar>
            <w:vAlign w:val="bottom"/>
          </w:tcPr>
          <w:p w14:paraId="518B57FC" w14:textId="77777777" w:rsidR="005C332D" w:rsidRDefault="00B93EAE">
            <w:pPr>
              <w:textAlignment w:val="bottom"/>
            </w:pPr>
            <w:r>
              <w:rPr>
                <w:rFonts w:ascii="Times New Roman" w:eastAsia="宋体" w:hAnsi="Times New Roman"/>
                <w:color w:val="000000"/>
                <w:sz w:val="20"/>
                <w:szCs w:val="20"/>
              </w:rPr>
              <w:t>Total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7FD" w14:textId="77777777" w:rsidR="005C332D" w:rsidRDefault="00B93EAE">
            <w:pPr>
              <w:jc w:val="right"/>
              <w:textAlignment w:val="bottom"/>
            </w:pPr>
            <w:r>
              <w:rPr>
                <w:rFonts w:ascii="Times New Roman" w:eastAsia="宋体" w:hAnsi="Times New Roman"/>
                <w:b/>
                <w:bCs/>
                <w:color w:val="000000"/>
                <w:sz w:val="20"/>
                <w:szCs w:val="20"/>
              </w:rPr>
              <w:t>39,773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7F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7FF"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00" w14:textId="77777777" w:rsidR="005C332D" w:rsidRDefault="00B93EAE">
            <w:pPr>
              <w:jc w:val="right"/>
              <w:textAlignment w:val="bottom"/>
            </w:pPr>
            <w:r>
              <w:rPr>
                <w:rFonts w:ascii="Times New Roman" w:eastAsia="宋体" w:hAnsi="Times New Roman"/>
                <w:color w:val="000000"/>
                <w:sz w:val="20"/>
                <w:szCs w:val="20"/>
              </w:rPr>
              <w:t>41,275 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01" w14:textId="77777777" w:rsidR="005C332D" w:rsidRDefault="005C332D">
            <w:pPr>
              <w:jc w:val="right"/>
              <w:rPr>
                <w:rFonts w:ascii="宋体"/>
              </w:rPr>
            </w:pPr>
          </w:p>
        </w:tc>
      </w:tr>
      <w:tr w:rsidR="005C332D" w14:paraId="518B580B" w14:textId="77777777">
        <w:tc>
          <w:tcPr>
            <w:tcW w:w="0" w:type="auto"/>
            <w:gridSpan w:val="3"/>
            <w:shd w:val="clear" w:color="auto" w:fill="CCEEFF"/>
            <w:tcMar>
              <w:top w:w="40" w:type="dxa"/>
              <w:left w:w="740" w:type="dxa"/>
              <w:bottom w:w="40" w:type="dxa"/>
              <w:right w:w="20" w:type="dxa"/>
            </w:tcMar>
            <w:vAlign w:val="bottom"/>
          </w:tcPr>
          <w:p w14:paraId="518B5803" w14:textId="77777777" w:rsidR="005C332D" w:rsidRDefault="00B93EAE">
            <w:pPr>
              <w:textAlignment w:val="bottom"/>
            </w:pPr>
            <w:r>
              <w:rPr>
                <w:rFonts w:ascii="Times New Roman" w:eastAsia="宋体" w:hAnsi="Times New Roman"/>
                <w:b/>
                <w:bCs/>
                <w:color w:val="000000"/>
                <w:sz w:val="20"/>
                <w:szCs w:val="20"/>
              </w:rPr>
              <w:t>TOTAL LIABILITIES AND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80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805" w14:textId="77777777" w:rsidR="005C332D" w:rsidRDefault="00B93EAE">
            <w:pPr>
              <w:jc w:val="right"/>
              <w:textAlignment w:val="bottom"/>
            </w:pPr>
            <w:r>
              <w:rPr>
                <w:rFonts w:ascii="Times New Roman" w:eastAsia="宋体" w:hAnsi="Times New Roman"/>
                <w:b/>
                <w:bCs/>
                <w:color w:val="000000"/>
                <w:sz w:val="20"/>
                <w:szCs w:val="20"/>
              </w:rPr>
              <w:t>94,002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80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07"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80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809" w14:textId="77777777" w:rsidR="005C332D" w:rsidRDefault="00B93EAE">
            <w:pPr>
              <w:jc w:val="right"/>
              <w:textAlignment w:val="bottom"/>
            </w:pPr>
            <w:r>
              <w:rPr>
                <w:rFonts w:ascii="Times New Roman" w:eastAsia="宋体" w:hAnsi="Times New Roman"/>
                <w:color w:val="000000"/>
                <w:sz w:val="20"/>
                <w:szCs w:val="20"/>
              </w:rPr>
              <w:t>97,497 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80A" w14:textId="77777777" w:rsidR="005C332D" w:rsidRDefault="005C332D">
            <w:pPr>
              <w:jc w:val="right"/>
              <w:rPr>
                <w:rFonts w:ascii="宋体"/>
              </w:rPr>
            </w:pPr>
          </w:p>
        </w:tc>
      </w:tr>
    </w:tbl>
    <w:p w14:paraId="518B580C" w14:textId="77777777" w:rsidR="005C332D" w:rsidRDefault="00B93EAE">
      <w:pPr>
        <w:spacing w:before="100"/>
      </w:pPr>
      <w:r>
        <w:rPr>
          <w:rFonts w:ascii="Times New Roman" w:eastAsia="宋体" w:hAnsi="Times New Roman"/>
          <w:color w:val="000000"/>
          <w:sz w:val="20"/>
          <w:szCs w:val="20"/>
        </w:rPr>
        <w:t>See Notes to Consolidated Financial Statements.</w:t>
      </w:r>
    </w:p>
    <w:p w14:paraId="518B580D" w14:textId="77777777" w:rsidR="005C332D" w:rsidRDefault="00B93EAE">
      <w:pPr>
        <w:jc w:val="center"/>
      </w:pPr>
      <w:r>
        <w:rPr>
          <w:rFonts w:ascii="Times New Roman" w:eastAsia="宋体" w:hAnsi="Times New Roman"/>
          <w:color w:val="000000"/>
          <w:sz w:val="20"/>
          <w:szCs w:val="20"/>
        </w:rPr>
        <w:t>59</w:t>
      </w:r>
    </w:p>
    <w:p w14:paraId="518B580E" w14:textId="77777777" w:rsidR="005C332D" w:rsidRDefault="00B93EAE">
      <w:r>
        <w:pict w14:anchorId="518B8750">
          <v:rect id="_x0000_i1085" style="width:415.3pt;height:1.5pt" o:hralign="center" o:hrstd="t" o:hr="t" fillcolor="#a0a0a0" stroked="f"/>
        </w:pict>
      </w:r>
    </w:p>
    <w:p w14:paraId="518B580F" w14:textId="77777777" w:rsidR="005C332D" w:rsidRDefault="00B93EAE">
      <w:hyperlink r:id="rId170" w:anchor="i049852cab38845aabd2a79d07dacda86_7" w:history="1">
        <w:r>
          <w:rPr>
            <w:rStyle w:val="a5"/>
            <w:rFonts w:ascii="Times New Roman" w:eastAsia="宋体" w:hAnsi="Times New Roman"/>
            <w:sz w:val="20"/>
            <w:szCs w:val="20"/>
          </w:rPr>
          <w:t>Table of Contents</w:t>
        </w:r>
      </w:hyperlink>
    </w:p>
    <w:p w14:paraId="518B5810" w14:textId="77777777" w:rsidR="005C332D" w:rsidRDefault="00B93EAE">
      <w:pPr>
        <w:jc w:val="center"/>
      </w:pPr>
      <w:r>
        <w:rPr>
          <w:rFonts w:ascii="Times New Roman" w:eastAsia="宋体" w:hAnsi="Times New Roman"/>
          <w:b/>
          <w:bCs/>
          <w:color w:val="000000"/>
          <w:sz w:val="20"/>
          <w:szCs w:val="20"/>
        </w:rPr>
        <w:t>CISCO SYSTEMS, INC.</w:t>
      </w:r>
    </w:p>
    <w:p w14:paraId="518B5811" w14:textId="77777777" w:rsidR="005C332D" w:rsidRDefault="00B93EAE">
      <w:pPr>
        <w:jc w:val="center"/>
      </w:pPr>
      <w:r>
        <w:rPr>
          <w:rFonts w:ascii="Times New Roman" w:eastAsia="宋体" w:hAnsi="Times New Roman"/>
          <w:b/>
          <w:bCs/>
          <w:color w:val="000000"/>
          <w:sz w:val="20"/>
          <w:szCs w:val="20"/>
        </w:rPr>
        <w:t>Consolidated Statements of Operations</w:t>
      </w:r>
    </w:p>
    <w:p w14:paraId="518B5812" w14:textId="77777777" w:rsidR="005C332D" w:rsidRDefault="00B93EAE">
      <w:pPr>
        <w:jc w:val="center"/>
      </w:pPr>
      <w:r>
        <w:rPr>
          <w:rFonts w:ascii="Times New Roman" w:eastAsia="宋体" w:hAnsi="Times New Roman"/>
          <w:color w:val="000000"/>
          <w:sz w:val="20"/>
          <w:szCs w:val="20"/>
        </w:rPr>
        <w:t xml:space="preserve">(in millions, except </w:t>
      </w:r>
      <w:r>
        <w:rPr>
          <w:rFonts w:ascii="Times New Roman" w:eastAsia="宋体" w:hAnsi="Times New Roman"/>
          <w:color w:val="000000"/>
          <w:sz w:val="20"/>
          <w:szCs w:val="20"/>
        </w:rPr>
        <w:t>per-share amounts)</w:t>
      </w:r>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40"/>
        <w:gridCol w:w="4881"/>
        <w:gridCol w:w="37"/>
        <w:gridCol w:w="120"/>
        <w:gridCol w:w="920"/>
        <w:gridCol w:w="36"/>
        <w:gridCol w:w="36"/>
        <w:gridCol w:w="36"/>
        <w:gridCol w:w="36"/>
        <w:gridCol w:w="120"/>
        <w:gridCol w:w="880"/>
        <w:gridCol w:w="36"/>
        <w:gridCol w:w="36"/>
        <w:gridCol w:w="36"/>
        <w:gridCol w:w="36"/>
        <w:gridCol w:w="120"/>
        <w:gridCol w:w="882"/>
        <w:gridCol w:w="36"/>
      </w:tblGrid>
      <w:tr w:rsidR="005C332D" w14:paraId="518B5825" w14:textId="77777777">
        <w:tc>
          <w:tcPr>
            <w:tcW w:w="50" w:type="pct"/>
            <w:shd w:val="clear" w:color="auto" w:fill="auto"/>
            <w:vAlign w:val="bottom"/>
          </w:tcPr>
          <w:p w14:paraId="518B5813" w14:textId="77777777" w:rsidR="005C332D" w:rsidRDefault="005C332D">
            <w:pPr>
              <w:rPr>
                <w:rFonts w:ascii="宋体"/>
              </w:rPr>
            </w:pPr>
          </w:p>
        </w:tc>
        <w:tc>
          <w:tcPr>
            <w:tcW w:w="2961" w:type="pct"/>
            <w:shd w:val="clear" w:color="auto" w:fill="auto"/>
            <w:vAlign w:val="bottom"/>
          </w:tcPr>
          <w:p w14:paraId="518B5814" w14:textId="77777777" w:rsidR="005C332D" w:rsidRDefault="005C332D">
            <w:pPr>
              <w:rPr>
                <w:rFonts w:ascii="宋体"/>
              </w:rPr>
            </w:pPr>
          </w:p>
        </w:tc>
        <w:tc>
          <w:tcPr>
            <w:tcW w:w="5" w:type="pct"/>
            <w:shd w:val="clear" w:color="auto" w:fill="auto"/>
            <w:vAlign w:val="bottom"/>
          </w:tcPr>
          <w:p w14:paraId="518B5815" w14:textId="77777777" w:rsidR="005C332D" w:rsidRDefault="005C332D">
            <w:pPr>
              <w:rPr>
                <w:rFonts w:ascii="宋体"/>
              </w:rPr>
            </w:pPr>
          </w:p>
        </w:tc>
        <w:tc>
          <w:tcPr>
            <w:tcW w:w="50" w:type="pct"/>
            <w:shd w:val="clear" w:color="auto" w:fill="auto"/>
            <w:vAlign w:val="bottom"/>
          </w:tcPr>
          <w:p w14:paraId="518B5816" w14:textId="77777777" w:rsidR="005C332D" w:rsidRDefault="005C332D">
            <w:pPr>
              <w:rPr>
                <w:rFonts w:ascii="宋体"/>
              </w:rPr>
            </w:pPr>
          </w:p>
        </w:tc>
        <w:tc>
          <w:tcPr>
            <w:tcW w:w="581" w:type="pct"/>
            <w:shd w:val="clear" w:color="auto" w:fill="auto"/>
            <w:vAlign w:val="bottom"/>
          </w:tcPr>
          <w:p w14:paraId="518B5817" w14:textId="77777777" w:rsidR="005C332D" w:rsidRDefault="005C332D">
            <w:pPr>
              <w:rPr>
                <w:rFonts w:ascii="宋体"/>
              </w:rPr>
            </w:pPr>
          </w:p>
        </w:tc>
        <w:tc>
          <w:tcPr>
            <w:tcW w:w="5" w:type="pct"/>
            <w:shd w:val="clear" w:color="auto" w:fill="auto"/>
            <w:vAlign w:val="bottom"/>
          </w:tcPr>
          <w:p w14:paraId="518B5818" w14:textId="77777777" w:rsidR="005C332D" w:rsidRDefault="005C332D">
            <w:pPr>
              <w:rPr>
                <w:rFonts w:ascii="宋体"/>
              </w:rPr>
            </w:pPr>
          </w:p>
        </w:tc>
        <w:tc>
          <w:tcPr>
            <w:tcW w:w="5" w:type="pct"/>
            <w:shd w:val="clear" w:color="auto" w:fill="auto"/>
            <w:vAlign w:val="bottom"/>
          </w:tcPr>
          <w:p w14:paraId="518B5819" w14:textId="77777777" w:rsidR="005C332D" w:rsidRDefault="005C332D">
            <w:pPr>
              <w:rPr>
                <w:rFonts w:ascii="宋体"/>
              </w:rPr>
            </w:pPr>
          </w:p>
        </w:tc>
        <w:tc>
          <w:tcPr>
            <w:tcW w:w="26" w:type="pct"/>
            <w:shd w:val="clear" w:color="auto" w:fill="auto"/>
            <w:vAlign w:val="bottom"/>
          </w:tcPr>
          <w:p w14:paraId="518B581A" w14:textId="77777777" w:rsidR="005C332D" w:rsidRDefault="005C332D">
            <w:pPr>
              <w:rPr>
                <w:rFonts w:ascii="宋体"/>
              </w:rPr>
            </w:pPr>
          </w:p>
        </w:tc>
        <w:tc>
          <w:tcPr>
            <w:tcW w:w="5" w:type="pct"/>
            <w:shd w:val="clear" w:color="auto" w:fill="auto"/>
            <w:vAlign w:val="bottom"/>
          </w:tcPr>
          <w:p w14:paraId="518B581B" w14:textId="77777777" w:rsidR="005C332D" w:rsidRDefault="005C332D">
            <w:pPr>
              <w:rPr>
                <w:rFonts w:ascii="宋体"/>
              </w:rPr>
            </w:pPr>
          </w:p>
        </w:tc>
        <w:tc>
          <w:tcPr>
            <w:tcW w:w="50" w:type="pct"/>
            <w:shd w:val="clear" w:color="auto" w:fill="auto"/>
            <w:vAlign w:val="bottom"/>
          </w:tcPr>
          <w:p w14:paraId="518B581C" w14:textId="77777777" w:rsidR="005C332D" w:rsidRDefault="005C332D">
            <w:pPr>
              <w:rPr>
                <w:rFonts w:ascii="宋体"/>
              </w:rPr>
            </w:pPr>
          </w:p>
        </w:tc>
        <w:tc>
          <w:tcPr>
            <w:tcW w:w="581" w:type="pct"/>
            <w:shd w:val="clear" w:color="auto" w:fill="auto"/>
            <w:vAlign w:val="bottom"/>
          </w:tcPr>
          <w:p w14:paraId="518B581D" w14:textId="77777777" w:rsidR="005C332D" w:rsidRDefault="005C332D">
            <w:pPr>
              <w:rPr>
                <w:rFonts w:ascii="宋体"/>
              </w:rPr>
            </w:pPr>
          </w:p>
        </w:tc>
        <w:tc>
          <w:tcPr>
            <w:tcW w:w="5" w:type="pct"/>
            <w:shd w:val="clear" w:color="auto" w:fill="auto"/>
            <w:vAlign w:val="bottom"/>
          </w:tcPr>
          <w:p w14:paraId="518B581E" w14:textId="77777777" w:rsidR="005C332D" w:rsidRDefault="005C332D">
            <w:pPr>
              <w:rPr>
                <w:rFonts w:ascii="宋体"/>
              </w:rPr>
            </w:pPr>
          </w:p>
        </w:tc>
        <w:tc>
          <w:tcPr>
            <w:tcW w:w="5" w:type="pct"/>
            <w:shd w:val="clear" w:color="auto" w:fill="auto"/>
            <w:vAlign w:val="bottom"/>
          </w:tcPr>
          <w:p w14:paraId="518B581F" w14:textId="77777777" w:rsidR="005C332D" w:rsidRDefault="005C332D">
            <w:pPr>
              <w:rPr>
                <w:rFonts w:ascii="宋体"/>
              </w:rPr>
            </w:pPr>
          </w:p>
        </w:tc>
        <w:tc>
          <w:tcPr>
            <w:tcW w:w="26" w:type="pct"/>
            <w:shd w:val="clear" w:color="auto" w:fill="auto"/>
            <w:vAlign w:val="bottom"/>
          </w:tcPr>
          <w:p w14:paraId="518B5820" w14:textId="77777777" w:rsidR="005C332D" w:rsidRDefault="005C332D">
            <w:pPr>
              <w:rPr>
                <w:rFonts w:ascii="宋体"/>
              </w:rPr>
            </w:pPr>
          </w:p>
        </w:tc>
        <w:tc>
          <w:tcPr>
            <w:tcW w:w="5" w:type="pct"/>
            <w:shd w:val="clear" w:color="auto" w:fill="auto"/>
            <w:vAlign w:val="bottom"/>
          </w:tcPr>
          <w:p w14:paraId="518B5821" w14:textId="77777777" w:rsidR="005C332D" w:rsidRDefault="005C332D">
            <w:pPr>
              <w:rPr>
                <w:rFonts w:ascii="宋体"/>
              </w:rPr>
            </w:pPr>
          </w:p>
        </w:tc>
        <w:tc>
          <w:tcPr>
            <w:tcW w:w="50" w:type="pct"/>
            <w:shd w:val="clear" w:color="auto" w:fill="auto"/>
            <w:vAlign w:val="bottom"/>
          </w:tcPr>
          <w:p w14:paraId="518B5822" w14:textId="77777777" w:rsidR="005C332D" w:rsidRDefault="005C332D">
            <w:pPr>
              <w:rPr>
                <w:rFonts w:ascii="宋体"/>
              </w:rPr>
            </w:pPr>
          </w:p>
        </w:tc>
        <w:tc>
          <w:tcPr>
            <w:tcW w:w="582" w:type="pct"/>
            <w:shd w:val="clear" w:color="auto" w:fill="auto"/>
            <w:vAlign w:val="bottom"/>
          </w:tcPr>
          <w:p w14:paraId="518B5823" w14:textId="77777777" w:rsidR="005C332D" w:rsidRDefault="005C332D">
            <w:pPr>
              <w:rPr>
                <w:rFonts w:ascii="宋体"/>
              </w:rPr>
            </w:pPr>
          </w:p>
        </w:tc>
        <w:tc>
          <w:tcPr>
            <w:tcW w:w="5" w:type="pct"/>
            <w:shd w:val="clear" w:color="auto" w:fill="auto"/>
            <w:vAlign w:val="bottom"/>
          </w:tcPr>
          <w:p w14:paraId="518B5824" w14:textId="77777777" w:rsidR="005C332D" w:rsidRDefault="005C332D">
            <w:pPr>
              <w:rPr>
                <w:rFonts w:ascii="宋体"/>
              </w:rPr>
            </w:pPr>
          </w:p>
        </w:tc>
      </w:tr>
      <w:tr w:rsidR="005C332D" w14:paraId="518B582C" w14:textId="77777777">
        <w:tc>
          <w:tcPr>
            <w:tcW w:w="0" w:type="auto"/>
            <w:gridSpan w:val="3"/>
            <w:shd w:val="clear" w:color="auto" w:fill="auto"/>
            <w:tcMar>
              <w:top w:w="40" w:type="dxa"/>
              <w:left w:w="20" w:type="dxa"/>
              <w:bottom w:w="40" w:type="dxa"/>
              <w:right w:w="20" w:type="dxa"/>
            </w:tcMar>
            <w:vAlign w:val="bottom"/>
          </w:tcPr>
          <w:p w14:paraId="518B5826"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shd w:val="clear" w:color="auto" w:fill="auto"/>
            <w:tcMar>
              <w:top w:w="40" w:type="dxa"/>
              <w:left w:w="20" w:type="dxa"/>
              <w:bottom w:w="40" w:type="dxa"/>
              <w:right w:w="20" w:type="dxa"/>
            </w:tcMar>
            <w:vAlign w:val="bottom"/>
          </w:tcPr>
          <w:p w14:paraId="518B5827"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82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829"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82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82B"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5833" w14:textId="77777777">
        <w:tc>
          <w:tcPr>
            <w:tcW w:w="0" w:type="auto"/>
            <w:gridSpan w:val="3"/>
            <w:shd w:val="clear" w:color="auto" w:fill="CCEEFF"/>
            <w:tcMar>
              <w:top w:w="40" w:type="dxa"/>
              <w:left w:w="20" w:type="dxa"/>
              <w:bottom w:w="40" w:type="dxa"/>
              <w:right w:w="20" w:type="dxa"/>
            </w:tcMar>
            <w:vAlign w:val="bottom"/>
          </w:tcPr>
          <w:p w14:paraId="518B582D" w14:textId="77777777" w:rsidR="005C332D" w:rsidRDefault="00B93EAE">
            <w:pPr>
              <w:textAlignment w:val="bottom"/>
            </w:pPr>
            <w:r>
              <w:rPr>
                <w:rFonts w:ascii="Times New Roman" w:eastAsia="宋体" w:hAnsi="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82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82F"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83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831"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832" w14:textId="77777777" w:rsidR="005C332D" w:rsidRDefault="005C332D">
            <w:pPr>
              <w:rPr>
                <w:rFonts w:ascii="宋体"/>
              </w:rPr>
            </w:pPr>
          </w:p>
        </w:tc>
      </w:tr>
      <w:tr w:rsidR="005C332D" w14:paraId="518B5840" w14:textId="77777777">
        <w:tc>
          <w:tcPr>
            <w:tcW w:w="0" w:type="auto"/>
            <w:gridSpan w:val="3"/>
            <w:shd w:val="clear" w:color="auto" w:fill="FFFFFF"/>
            <w:tcMar>
              <w:top w:w="40" w:type="dxa"/>
              <w:left w:w="380" w:type="dxa"/>
              <w:bottom w:w="40" w:type="dxa"/>
              <w:right w:w="20" w:type="dxa"/>
            </w:tcMar>
            <w:vAlign w:val="bottom"/>
          </w:tcPr>
          <w:p w14:paraId="518B5834" w14:textId="77777777" w:rsidR="005C332D" w:rsidRDefault="00B93EAE">
            <w:pPr>
              <w:textAlignment w:val="bottom"/>
            </w:pPr>
            <w:r>
              <w:rPr>
                <w:rFonts w:ascii="Times New Roman" w:eastAsia="宋体" w:hAnsi="Times New Roman"/>
                <w:color w:val="000000"/>
                <w:sz w:val="20"/>
                <w:szCs w:val="20"/>
              </w:rPr>
              <w:t>Product</w:t>
            </w:r>
          </w:p>
        </w:tc>
        <w:tc>
          <w:tcPr>
            <w:tcW w:w="0" w:type="auto"/>
            <w:shd w:val="clear" w:color="auto" w:fill="FFFFFF"/>
            <w:tcMar>
              <w:top w:w="40" w:type="dxa"/>
              <w:left w:w="20" w:type="dxa"/>
              <w:bottom w:w="40" w:type="dxa"/>
              <w:right w:w="0" w:type="dxa"/>
            </w:tcMar>
            <w:vAlign w:val="bottom"/>
          </w:tcPr>
          <w:p w14:paraId="518B5835"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5836" w14:textId="77777777" w:rsidR="005C332D" w:rsidRDefault="00B93EAE">
            <w:pPr>
              <w:jc w:val="right"/>
              <w:textAlignment w:val="bottom"/>
            </w:pPr>
            <w:r>
              <w:rPr>
                <w:rFonts w:ascii="Times New Roman" w:eastAsia="宋体" w:hAnsi="Times New Roman"/>
                <w:b/>
                <w:bCs/>
                <w:color w:val="000000"/>
                <w:sz w:val="20"/>
                <w:szCs w:val="20"/>
              </w:rPr>
              <w:t>38,018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83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38"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83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83A" w14:textId="77777777" w:rsidR="005C332D" w:rsidRDefault="00B93EAE">
            <w:pPr>
              <w:jc w:val="right"/>
              <w:textAlignment w:val="bottom"/>
            </w:pPr>
            <w:r>
              <w:rPr>
                <w:rFonts w:ascii="Times New Roman" w:eastAsia="宋体" w:hAnsi="Times New Roman"/>
                <w:color w:val="000000"/>
                <w:sz w:val="20"/>
                <w:szCs w:val="20"/>
              </w:rPr>
              <w:t>36,014 </w:t>
            </w:r>
          </w:p>
        </w:tc>
        <w:tc>
          <w:tcPr>
            <w:tcW w:w="0" w:type="auto"/>
            <w:shd w:val="clear" w:color="auto" w:fill="FFFFFF"/>
            <w:tcMar>
              <w:top w:w="40" w:type="dxa"/>
              <w:left w:w="0" w:type="dxa"/>
              <w:bottom w:w="40" w:type="dxa"/>
              <w:right w:w="20" w:type="dxa"/>
            </w:tcMar>
            <w:vAlign w:val="bottom"/>
          </w:tcPr>
          <w:p w14:paraId="518B583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3C"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83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83E" w14:textId="77777777" w:rsidR="005C332D" w:rsidRDefault="00B93EAE">
            <w:pPr>
              <w:jc w:val="right"/>
              <w:textAlignment w:val="bottom"/>
            </w:pPr>
            <w:r>
              <w:rPr>
                <w:rFonts w:ascii="Times New Roman" w:eastAsia="宋体" w:hAnsi="Times New Roman"/>
                <w:color w:val="000000"/>
                <w:sz w:val="20"/>
                <w:szCs w:val="20"/>
              </w:rPr>
              <w:t>35,978 </w:t>
            </w:r>
          </w:p>
        </w:tc>
        <w:tc>
          <w:tcPr>
            <w:tcW w:w="0" w:type="auto"/>
            <w:shd w:val="clear" w:color="auto" w:fill="FFFFFF"/>
            <w:tcMar>
              <w:top w:w="40" w:type="dxa"/>
              <w:left w:w="0" w:type="dxa"/>
              <w:bottom w:w="40" w:type="dxa"/>
              <w:right w:w="20" w:type="dxa"/>
            </w:tcMar>
            <w:vAlign w:val="bottom"/>
          </w:tcPr>
          <w:p w14:paraId="518B583F" w14:textId="77777777" w:rsidR="005C332D" w:rsidRDefault="005C332D">
            <w:pPr>
              <w:jc w:val="right"/>
              <w:rPr>
                <w:rFonts w:ascii="宋体"/>
              </w:rPr>
            </w:pPr>
          </w:p>
        </w:tc>
      </w:tr>
      <w:tr w:rsidR="005C332D" w14:paraId="518B584A" w14:textId="77777777">
        <w:tc>
          <w:tcPr>
            <w:tcW w:w="0" w:type="auto"/>
            <w:gridSpan w:val="3"/>
            <w:shd w:val="clear" w:color="auto" w:fill="CCEEFF"/>
            <w:tcMar>
              <w:top w:w="40" w:type="dxa"/>
              <w:left w:w="380" w:type="dxa"/>
              <w:bottom w:w="40" w:type="dxa"/>
              <w:right w:w="20" w:type="dxa"/>
            </w:tcMar>
            <w:vAlign w:val="bottom"/>
          </w:tcPr>
          <w:p w14:paraId="518B5841" w14:textId="77777777" w:rsidR="005C332D" w:rsidRDefault="00B93EAE">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518B5842" w14:textId="77777777" w:rsidR="005C332D" w:rsidRDefault="00B93EAE">
            <w:pPr>
              <w:jc w:val="right"/>
              <w:textAlignment w:val="bottom"/>
            </w:pPr>
            <w:r>
              <w:rPr>
                <w:rFonts w:ascii="Times New Roman" w:eastAsia="宋体" w:hAnsi="Times New Roman"/>
                <w:b/>
                <w:bCs/>
                <w:color w:val="000000"/>
                <w:sz w:val="20"/>
                <w:szCs w:val="20"/>
              </w:rPr>
              <w:t>13,539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84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4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45" w14:textId="77777777" w:rsidR="005C332D" w:rsidRDefault="00B93EAE">
            <w:pPr>
              <w:jc w:val="right"/>
              <w:textAlignment w:val="bottom"/>
            </w:pPr>
            <w:r>
              <w:rPr>
                <w:rFonts w:ascii="Times New Roman" w:eastAsia="宋体" w:hAnsi="Times New Roman"/>
                <w:color w:val="000000"/>
                <w:sz w:val="20"/>
                <w:szCs w:val="20"/>
              </w:rPr>
              <w:t>13,804 </w:t>
            </w:r>
          </w:p>
        </w:tc>
        <w:tc>
          <w:tcPr>
            <w:tcW w:w="0" w:type="auto"/>
            <w:shd w:val="clear" w:color="auto" w:fill="CCEEFF"/>
            <w:tcMar>
              <w:top w:w="40" w:type="dxa"/>
              <w:left w:w="0" w:type="dxa"/>
              <w:bottom w:w="40" w:type="dxa"/>
              <w:right w:w="20" w:type="dxa"/>
            </w:tcMar>
            <w:vAlign w:val="bottom"/>
          </w:tcPr>
          <w:p w14:paraId="518B584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4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48" w14:textId="77777777" w:rsidR="005C332D" w:rsidRDefault="00B93EAE">
            <w:pPr>
              <w:jc w:val="right"/>
              <w:textAlignment w:val="bottom"/>
            </w:pPr>
            <w:r>
              <w:rPr>
                <w:rFonts w:ascii="Times New Roman" w:eastAsia="宋体" w:hAnsi="Times New Roman"/>
                <w:color w:val="000000"/>
                <w:sz w:val="20"/>
                <w:szCs w:val="20"/>
              </w:rPr>
              <w:t>13,323 </w:t>
            </w:r>
          </w:p>
        </w:tc>
        <w:tc>
          <w:tcPr>
            <w:tcW w:w="0" w:type="auto"/>
            <w:shd w:val="clear" w:color="auto" w:fill="CCEEFF"/>
            <w:tcMar>
              <w:top w:w="40" w:type="dxa"/>
              <w:left w:w="0" w:type="dxa"/>
              <w:bottom w:w="40" w:type="dxa"/>
              <w:right w:w="20" w:type="dxa"/>
            </w:tcMar>
            <w:vAlign w:val="bottom"/>
          </w:tcPr>
          <w:p w14:paraId="518B5849" w14:textId="77777777" w:rsidR="005C332D" w:rsidRDefault="005C332D">
            <w:pPr>
              <w:jc w:val="right"/>
              <w:rPr>
                <w:rFonts w:ascii="宋体"/>
              </w:rPr>
            </w:pPr>
          </w:p>
        </w:tc>
      </w:tr>
      <w:tr w:rsidR="005C332D" w14:paraId="518B5854" w14:textId="77777777">
        <w:tc>
          <w:tcPr>
            <w:tcW w:w="0" w:type="auto"/>
            <w:gridSpan w:val="3"/>
            <w:shd w:val="clear" w:color="auto" w:fill="FFFFFF"/>
            <w:tcMar>
              <w:top w:w="40" w:type="dxa"/>
              <w:left w:w="740" w:type="dxa"/>
              <w:bottom w:w="40" w:type="dxa"/>
              <w:right w:w="20" w:type="dxa"/>
            </w:tcMar>
            <w:vAlign w:val="bottom"/>
          </w:tcPr>
          <w:p w14:paraId="518B584B" w14:textId="77777777" w:rsidR="005C332D" w:rsidRDefault="00B93EAE">
            <w:pPr>
              <w:textAlignment w:val="bottom"/>
            </w:pPr>
            <w:r>
              <w:rPr>
                <w:rFonts w:ascii="Times New Roman" w:eastAsia="宋体" w:hAnsi="Times New Roman"/>
                <w:color w:val="000000"/>
                <w:sz w:val="20"/>
                <w:szCs w:val="20"/>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4C" w14:textId="77777777" w:rsidR="005C332D" w:rsidRDefault="00B93EAE">
            <w:pPr>
              <w:jc w:val="right"/>
              <w:textAlignment w:val="bottom"/>
            </w:pPr>
            <w:r>
              <w:rPr>
                <w:rFonts w:ascii="Times New Roman" w:eastAsia="宋体" w:hAnsi="Times New Roman"/>
                <w:b/>
                <w:bCs/>
                <w:color w:val="000000"/>
                <w:sz w:val="20"/>
                <w:szCs w:val="20"/>
              </w:rPr>
              <w:t>51,557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4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4E"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4F" w14:textId="77777777" w:rsidR="005C332D" w:rsidRDefault="00B93EAE">
            <w:pPr>
              <w:jc w:val="right"/>
              <w:textAlignment w:val="bottom"/>
            </w:pPr>
            <w:r>
              <w:rPr>
                <w:rFonts w:ascii="Times New Roman" w:eastAsia="宋体" w:hAnsi="Times New Roman"/>
                <w:color w:val="000000"/>
                <w:sz w:val="20"/>
                <w:szCs w:val="20"/>
              </w:rPr>
              <w:t>49,818 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5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51"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52" w14:textId="77777777" w:rsidR="005C332D" w:rsidRDefault="00B93EAE">
            <w:pPr>
              <w:jc w:val="right"/>
              <w:textAlignment w:val="bottom"/>
            </w:pPr>
            <w:r>
              <w:rPr>
                <w:rFonts w:ascii="Times New Roman" w:eastAsia="宋体" w:hAnsi="Times New Roman"/>
                <w:color w:val="000000"/>
                <w:sz w:val="20"/>
                <w:szCs w:val="20"/>
              </w:rPr>
              <w:t>49,301 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53" w14:textId="77777777" w:rsidR="005C332D" w:rsidRDefault="005C332D">
            <w:pPr>
              <w:jc w:val="right"/>
              <w:rPr>
                <w:rFonts w:ascii="宋体"/>
              </w:rPr>
            </w:pPr>
          </w:p>
        </w:tc>
      </w:tr>
      <w:tr w:rsidR="005C332D" w14:paraId="518B585B" w14:textId="77777777">
        <w:tc>
          <w:tcPr>
            <w:tcW w:w="0" w:type="auto"/>
            <w:gridSpan w:val="3"/>
            <w:shd w:val="clear" w:color="auto" w:fill="CCEEFF"/>
            <w:tcMar>
              <w:top w:w="40" w:type="dxa"/>
              <w:left w:w="20" w:type="dxa"/>
              <w:bottom w:w="40" w:type="dxa"/>
              <w:right w:w="20" w:type="dxa"/>
            </w:tcMar>
            <w:vAlign w:val="bottom"/>
          </w:tcPr>
          <w:p w14:paraId="518B5855" w14:textId="77777777" w:rsidR="005C332D" w:rsidRDefault="00B93EAE">
            <w:pPr>
              <w:textAlignment w:val="bottom"/>
            </w:pPr>
            <w:r>
              <w:rPr>
                <w:rFonts w:ascii="Times New Roman" w:eastAsia="宋体" w:hAnsi="Times New Roman"/>
                <w:b/>
                <w:bCs/>
                <w:color w:val="000000"/>
                <w:sz w:val="20"/>
                <w:szCs w:val="20"/>
              </w:rPr>
              <w:t>COST OF SALES: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85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857"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85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859"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85A" w14:textId="77777777" w:rsidR="005C332D" w:rsidRDefault="005C332D">
            <w:pPr>
              <w:rPr>
                <w:rFonts w:ascii="宋体"/>
              </w:rPr>
            </w:pPr>
          </w:p>
        </w:tc>
      </w:tr>
      <w:tr w:rsidR="005C332D" w14:paraId="518B5865" w14:textId="77777777">
        <w:tc>
          <w:tcPr>
            <w:tcW w:w="0" w:type="auto"/>
            <w:gridSpan w:val="3"/>
            <w:shd w:val="clear" w:color="auto" w:fill="FFFFFF"/>
            <w:tcMar>
              <w:top w:w="40" w:type="dxa"/>
              <w:left w:w="380" w:type="dxa"/>
              <w:bottom w:w="40" w:type="dxa"/>
              <w:right w:w="20" w:type="dxa"/>
            </w:tcMar>
            <w:vAlign w:val="bottom"/>
          </w:tcPr>
          <w:p w14:paraId="518B585C" w14:textId="77777777" w:rsidR="005C332D" w:rsidRDefault="00B93EAE">
            <w:pPr>
              <w:textAlignment w:val="bottom"/>
            </w:pPr>
            <w:r>
              <w:rPr>
                <w:rFonts w:ascii="Times New Roman" w:eastAsia="宋体" w:hAnsi="Times New Roman"/>
                <w:color w:val="000000"/>
                <w:sz w:val="20"/>
                <w:szCs w:val="20"/>
              </w:rPr>
              <w:t>Product</w:t>
            </w:r>
          </w:p>
        </w:tc>
        <w:tc>
          <w:tcPr>
            <w:tcW w:w="0" w:type="auto"/>
            <w:gridSpan w:val="2"/>
            <w:shd w:val="clear" w:color="auto" w:fill="FFFFFF"/>
            <w:tcMar>
              <w:top w:w="40" w:type="dxa"/>
              <w:left w:w="20" w:type="dxa"/>
              <w:bottom w:w="40" w:type="dxa"/>
              <w:right w:w="0" w:type="dxa"/>
            </w:tcMar>
            <w:vAlign w:val="bottom"/>
          </w:tcPr>
          <w:p w14:paraId="518B585D" w14:textId="77777777" w:rsidR="005C332D" w:rsidRDefault="00B93EAE">
            <w:pPr>
              <w:jc w:val="right"/>
              <w:textAlignment w:val="bottom"/>
            </w:pPr>
            <w:r>
              <w:rPr>
                <w:rFonts w:ascii="Times New Roman" w:eastAsia="宋体" w:hAnsi="Times New Roman"/>
                <w:b/>
                <w:bCs/>
                <w:color w:val="000000"/>
                <w:sz w:val="20"/>
                <w:szCs w:val="20"/>
              </w:rPr>
              <w:t>14,814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85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5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860" w14:textId="77777777" w:rsidR="005C332D" w:rsidRDefault="00B93EAE">
            <w:pPr>
              <w:jc w:val="right"/>
              <w:textAlignment w:val="bottom"/>
            </w:pPr>
            <w:r>
              <w:rPr>
                <w:rFonts w:ascii="Times New Roman" w:eastAsia="宋体" w:hAnsi="Times New Roman"/>
                <w:color w:val="000000"/>
                <w:sz w:val="20"/>
                <w:szCs w:val="20"/>
              </w:rPr>
              <w:t>13,300 </w:t>
            </w:r>
          </w:p>
        </w:tc>
        <w:tc>
          <w:tcPr>
            <w:tcW w:w="0" w:type="auto"/>
            <w:shd w:val="clear" w:color="auto" w:fill="FFFFFF"/>
            <w:tcMar>
              <w:top w:w="40" w:type="dxa"/>
              <w:left w:w="0" w:type="dxa"/>
              <w:bottom w:w="40" w:type="dxa"/>
              <w:right w:w="20" w:type="dxa"/>
            </w:tcMar>
            <w:vAlign w:val="bottom"/>
          </w:tcPr>
          <w:p w14:paraId="518B586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6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863" w14:textId="77777777" w:rsidR="005C332D" w:rsidRDefault="00B93EAE">
            <w:pPr>
              <w:jc w:val="right"/>
              <w:textAlignment w:val="bottom"/>
            </w:pPr>
            <w:r>
              <w:rPr>
                <w:rFonts w:ascii="Times New Roman" w:eastAsia="宋体" w:hAnsi="Times New Roman"/>
                <w:color w:val="000000"/>
                <w:sz w:val="20"/>
                <w:szCs w:val="20"/>
              </w:rPr>
              <w:t>13,199 </w:t>
            </w:r>
          </w:p>
        </w:tc>
        <w:tc>
          <w:tcPr>
            <w:tcW w:w="0" w:type="auto"/>
            <w:shd w:val="clear" w:color="auto" w:fill="FFFFFF"/>
            <w:tcMar>
              <w:top w:w="40" w:type="dxa"/>
              <w:left w:w="0" w:type="dxa"/>
              <w:bottom w:w="40" w:type="dxa"/>
              <w:right w:w="20" w:type="dxa"/>
            </w:tcMar>
            <w:vAlign w:val="bottom"/>
          </w:tcPr>
          <w:p w14:paraId="518B5864" w14:textId="77777777" w:rsidR="005C332D" w:rsidRDefault="005C332D">
            <w:pPr>
              <w:jc w:val="right"/>
              <w:rPr>
                <w:rFonts w:ascii="宋体"/>
              </w:rPr>
            </w:pPr>
          </w:p>
        </w:tc>
      </w:tr>
      <w:tr w:rsidR="005C332D" w14:paraId="518B586F" w14:textId="77777777">
        <w:tc>
          <w:tcPr>
            <w:tcW w:w="0" w:type="auto"/>
            <w:gridSpan w:val="3"/>
            <w:shd w:val="clear" w:color="auto" w:fill="CCEEFF"/>
            <w:tcMar>
              <w:top w:w="40" w:type="dxa"/>
              <w:left w:w="380" w:type="dxa"/>
              <w:bottom w:w="40" w:type="dxa"/>
              <w:right w:w="20" w:type="dxa"/>
            </w:tcMar>
            <w:vAlign w:val="bottom"/>
          </w:tcPr>
          <w:p w14:paraId="518B5866" w14:textId="77777777" w:rsidR="005C332D" w:rsidRDefault="00B93EAE">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518B5867" w14:textId="77777777" w:rsidR="005C332D" w:rsidRDefault="00B93EAE">
            <w:pPr>
              <w:jc w:val="right"/>
              <w:textAlignment w:val="bottom"/>
            </w:pPr>
            <w:r>
              <w:rPr>
                <w:rFonts w:ascii="Times New Roman" w:eastAsia="宋体" w:hAnsi="Times New Roman"/>
                <w:b/>
                <w:bCs/>
                <w:color w:val="000000"/>
                <w:sz w:val="20"/>
                <w:szCs w:val="20"/>
              </w:rPr>
              <w:t>4,495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86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6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6A" w14:textId="77777777" w:rsidR="005C332D" w:rsidRDefault="00B93EAE">
            <w:pPr>
              <w:jc w:val="right"/>
              <w:textAlignment w:val="bottom"/>
            </w:pPr>
            <w:r>
              <w:rPr>
                <w:rFonts w:ascii="Times New Roman" w:eastAsia="宋体" w:hAnsi="Times New Roman"/>
                <w:color w:val="000000"/>
                <w:sz w:val="20"/>
                <w:szCs w:val="20"/>
              </w:rPr>
              <w:t>4,624 </w:t>
            </w:r>
          </w:p>
        </w:tc>
        <w:tc>
          <w:tcPr>
            <w:tcW w:w="0" w:type="auto"/>
            <w:shd w:val="clear" w:color="auto" w:fill="CCEEFF"/>
            <w:tcMar>
              <w:top w:w="40" w:type="dxa"/>
              <w:left w:w="0" w:type="dxa"/>
              <w:bottom w:w="40" w:type="dxa"/>
              <w:right w:w="20" w:type="dxa"/>
            </w:tcMar>
            <w:vAlign w:val="bottom"/>
          </w:tcPr>
          <w:p w14:paraId="518B586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6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6D" w14:textId="77777777" w:rsidR="005C332D" w:rsidRDefault="00B93EAE">
            <w:pPr>
              <w:jc w:val="right"/>
              <w:textAlignment w:val="bottom"/>
            </w:pPr>
            <w:r>
              <w:rPr>
                <w:rFonts w:ascii="Times New Roman" w:eastAsia="宋体" w:hAnsi="Times New Roman"/>
                <w:color w:val="000000"/>
                <w:sz w:val="20"/>
                <w:szCs w:val="20"/>
              </w:rPr>
              <w:t>4,419 </w:t>
            </w:r>
          </w:p>
        </w:tc>
        <w:tc>
          <w:tcPr>
            <w:tcW w:w="0" w:type="auto"/>
            <w:shd w:val="clear" w:color="auto" w:fill="CCEEFF"/>
            <w:tcMar>
              <w:top w:w="40" w:type="dxa"/>
              <w:left w:w="0" w:type="dxa"/>
              <w:bottom w:w="40" w:type="dxa"/>
              <w:right w:w="20" w:type="dxa"/>
            </w:tcMar>
            <w:vAlign w:val="bottom"/>
          </w:tcPr>
          <w:p w14:paraId="518B586E" w14:textId="77777777" w:rsidR="005C332D" w:rsidRDefault="005C332D">
            <w:pPr>
              <w:jc w:val="right"/>
              <w:rPr>
                <w:rFonts w:ascii="宋体"/>
              </w:rPr>
            </w:pPr>
          </w:p>
        </w:tc>
      </w:tr>
      <w:tr w:rsidR="005C332D" w14:paraId="518B5879" w14:textId="77777777">
        <w:tc>
          <w:tcPr>
            <w:tcW w:w="0" w:type="auto"/>
            <w:gridSpan w:val="3"/>
            <w:shd w:val="clear" w:color="auto" w:fill="FFFFFF"/>
            <w:tcMar>
              <w:top w:w="40" w:type="dxa"/>
              <w:left w:w="740" w:type="dxa"/>
              <w:bottom w:w="40" w:type="dxa"/>
              <w:right w:w="20" w:type="dxa"/>
            </w:tcMar>
            <w:vAlign w:val="bottom"/>
          </w:tcPr>
          <w:p w14:paraId="518B5870" w14:textId="77777777" w:rsidR="005C332D" w:rsidRDefault="00B93EAE">
            <w:pPr>
              <w:textAlignment w:val="bottom"/>
            </w:pPr>
            <w:r>
              <w:rPr>
                <w:rFonts w:ascii="Times New Roman" w:eastAsia="宋体" w:hAnsi="Times New Roman"/>
                <w:color w:val="000000"/>
                <w:sz w:val="20"/>
                <w:szCs w:val="20"/>
              </w:rPr>
              <w:t>Total cost of sales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71" w14:textId="77777777" w:rsidR="005C332D" w:rsidRDefault="00B93EAE">
            <w:pPr>
              <w:jc w:val="right"/>
              <w:textAlignment w:val="bottom"/>
            </w:pPr>
            <w:r>
              <w:rPr>
                <w:rFonts w:ascii="Times New Roman" w:eastAsia="宋体" w:hAnsi="Times New Roman"/>
                <w:b/>
                <w:bCs/>
                <w:color w:val="000000"/>
                <w:sz w:val="20"/>
                <w:szCs w:val="20"/>
              </w:rPr>
              <w:t>19,309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7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73"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74" w14:textId="77777777" w:rsidR="005C332D" w:rsidRDefault="00B93EAE">
            <w:pPr>
              <w:jc w:val="right"/>
              <w:textAlignment w:val="bottom"/>
            </w:pPr>
            <w:r>
              <w:rPr>
                <w:rFonts w:ascii="Times New Roman" w:eastAsia="宋体" w:hAnsi="Times New Roman"/>
                <w:color w:val="000000"/>
                <w:sz w:val="20"/>
                <w:szCs w:val="20"/>
              </w:rPr>
              <w:t>17,924 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7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76"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77" w14:textId="77777777" w:rsidR="005C332D" w:rsidRDefault="00B93EAE">
            <w:pPr>
              <w:jc w:val="right"/>
              <w:textAlignment w:val="bottom"/>
            </w:pPr>
            <w:r>
              <w:rPr>
                <w:rFonts w:ascii="Times New Roman" w:eastAsia="宋体" w:hAnsi="Times New Roman"/>
                <w:color w:val="000000"/>
                <w:sz w:val="20"/>
                <w:szCs w:val="20"/>
              </w:rPr>
              <w:t>17,618 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78" w14:textId="77777777" w:rsidR="005C332D" w:rsidRDefault="005C332D">
            <w:pPr>
              <w:jc w:val="right"/>
              <w:rPr>
                <w:rFonts w:ascii="宋体"/>
              </w:rPr>
            </w:pPr>
          </w:p>
        </w:tc>
      </w:tr>
      <w:tr w:rsidR="005C332D" w14:paraId="518B5883" w14:textId="77777777">
        <w:tc>
          <w:tcPr>
            <w:tcW w:w="0" w:type="auto"/>
            <w:gridSpan w:val="3"/>
            <w:shd w:val="clear" w:color="auto" w:fill="CCEEFF"/>
            <w:tcMar>
              <w:top w:w="40" w:type="dxa"/>
              <w:left w:w="20" w:type="dxa"/>
              <w:bottom w:w="40" w:type="dxa"/>
              <w:right w:w="20" w:type="dxa"/>
            </w:tcMar>
            <w:vAlign w:val="bottom"/>
          </w:tcPr>
          <w:p w14:paraId="518B587A" w14:textId="77777777" w:rsidR="005C332D" w:rsidRDefault="00B93EAE">
            <w:pPr>
              <w:textAlignment w:val="bottom"/>
            </w:pPr>
            <w:r>
              <w:rPr>
                <w:rFonts w:ascii="Times New Roman" w:eastAsia="宋体" w:hAnsi="Times New Roman"/>
                <w:b/>
                <w:bCs/>
                <w:color w:val="000000"/>
                <w:sz w:val="20"/>
                <w:szCs w:val="20"/>
              </w:rPr>
              <w:t xml:space="preserve">GROSS </w:t>
            </w:r>
            <w:r>
              <w:rPr>
                <w:rFonts w:ascii="Times New Roman" w:eastAsia="宋体" w:hAnsi="Times New Roman"/>
                <w:b/>
                <w:bCs/>
                <w:color w:val="000000"/>
                <w:sz w:val="20"/>
                <w:szCs w:val="20"/>
              </w:rPr>
              <w:t>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87B" w14:textId="77777777" w:rsidR="005C332D" w:rsidRDefault="00B93EAE">
            <w:pPr>
              <w:jc w:val="right"/>
              <w:textAlignment w:val="bottom"/>
            </w:pPr>
            <w:r>
              <w:rPr>
                <w:rFonts w:ascii="Times New Roman" w:eastAsia="宋体" w:hAnsi="Times New Roman"/>
                <w:b/>
                <w:bCs/>
                <w:color w:val="000000"/>
                <w:sz w:val="20"/>
                <w:szCs w:val="20"/>
              </w:rPr>
              <w:t>32,248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87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7D"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87E" w14:textId="77777777" w:rsidR="005C332D" w:rsidRDefault="00B93EAE">
            <w:pPr>
              <w:jc w:val="right"/>
              <w:textAlignment w:val="bottom"/>
            </w:pPr>
            <w:r>
              <w:rPr>
                <w:rFonts w:ascii="Times New Roman" w:eastAsia="宋体" w:hAnsi="Times New Roman"/>
                <w:color w:val="000000"/>
                <w:sz w:val="20"/>
                <w:szCs w:val="20"/>
              </w:rPr>
              <w:t>31,894 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87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80"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881" w14:textId="77777777" w:rsidR="005C332D" w:rsidRDefault="00B93EAE">
            <w:pPr>
              <w:jc w:val="right"/>
              <w:textAlignment w:val="bottom"/>
            </w:pPr>
            <w:r>
              <w:rPr>
                <w:rFonts w:ascii="Times New Roman" w:eastAsia="宋体" w:hAnsi="Times New Roman"/>
                <w:color w:val="000000"/>
                <w:sz w:val="20"/>
                <w:szCs w:val="20"/>
              </w:rPr>
              <w:t>31,683 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882" w14:textId="77777777" w:rsidR="005C332D" w:rsidRDefault="005C332D">
            <w:pPr>
              <w:jc w:val="right"/>
              <w:rPr>
                <w:rFonts w:ascii="宋体"/>
              </w:rPr>
            </w:pPr>
          </w:p>
        </w:tc>
      </w:tr>
      <w:tr w:rsidR="005C332D" w14:paraId="518B588A" w14:textId="77777777">
        <w:tc>
          <w:tcPr>
            <w:tcW w:w="0" w:type="auto"/>
            <w:gridSpan w:val="3"/>
            <w:shd w:val="clear" w:color="auto" w:fill="FFFFFF"/>
            <w:tcMar>
              <w:top w:w="40" w:type="dxa"/>
              <w:left w:w="20" w:type="dxa"/>
              <w:bottom w:w="40" w:type="dxa"/>
              <w:right w:w="20" w:type="dxa"/>
            </w:tcMar>
            <w:vAlign w:val="bottom"/>
          </w:tcPr>
          <w:p w14:paraId="518B5884" w14:textId="77777777" w:rsidR="005C332D" w:rsidRDefault="00B93EAE">
            <w:pPr>
              <w:textAlignment w:val="bottom"/>
            </w:pPr>
            <w:r>
              <w:rPr>
                <w:rFonts w:ascii="Times New Roman" w:eastAsia="宋体" w:hAnsi="Times New Roman"/>
                <w:b/>
                <w:bCs/>
                <w:color w:val="000000"/>
                <w:sz w:val="20"/>
                <w:szCs w:val="20"/>
              </w:rPr>
              <w:t>OPERATING EXPENSES:</w:t>
            </w:r>
          </w:p>
        </w:tc>
        <w:tc>
          <w:tcPr>
            <w:tcW w:w="0" w:type="auto"/>
            <w:gridSpan w:val="3"/>
            <w:shd w:val="clear" w:color="auto" w:fill="FFFFFF"/>
            <w:tcMar>
              <w:top w:w="0" w:type="dxa"/>
              <w:left w:w="20" w:type="dxa"/>
              <w:bottom w:w="0" w:type="dxa"/>
              <w:right w:w="20" w:type="dxa"/>
            </w:tcMar>
            <w:vAlign w:val="bottom"/>
          </w:tcPr>
          <w:p w14:paraId="518B588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88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88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88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889" w14:textId="77777777" w:rsidR="005C332D" w:rsidRDefault="005C332D">
            <w:pPr>
              <w:rPr>
                <w:rFonts w:ascii="宋体"/>
              </w:rPr>
            </w:pPr>
          </w:p>
        </w:tc>
      </w:tr>
      <w:tr w:rsidR="005C332D" w14:paraId="518B5894" w14:textId="77777777">
        <w:tc>
          <w:tcPr>
            <w:tcW w:w="0" w:type="auto"/>
            <w:gridSpan w:val="3"/>
            <w:shd w:val="clear" w:color="auto" w:fill="CCEEFF"/>
            <w:tcMar>
              <w:top w:w="40" w:type="dxa"/>
              <w:left w:w="380" w:type="dxa"/>
              <w:bottom w:w="40" w:type="dxa"/>
              <w:right w:w="20" w:type="dxa"/>
            </w:tcMar>
            <w:vAlign w:val="bottom"/>
          </w:tcPr>
          <w:p w14:paraId="518B588B" w14:textId="77777777" w:rsidR="005C332D" w:rsidRDefault="00B93EAE">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518B588C" w14:textId="77777777" w:rsidR="005C332D" w:rsidRDefault="00B93EAE">
            <w:pPr>
              <w:jc w:val="right"/>
              <w:textAlignment w:val="bottom"/>
            </w:pPr>
            <w:r>
              <w:rPr>
                <w:rFonts w:ascii="Times New Roman" w:eastAsia="宋体" w:hAnsi="Times New Roman"/>
                <w:b/>
                <w:bCs/>
                <w:color w:val="000000"/>
                <w:sz w:val="20"/>
                <w:szCs w:val="20"/>
              </w:rPr>
              <w:t>6,774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88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8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8F" w14:textId="77777777" w:rsidR="005C332D" w:rsidRDefault="00B93EAE">
            <w:pPr>
              <w:jc w:val="right"/>
              <w:textAlignment w:val="bottom"/>
            </w:pPr>
            <w:r>
              <w:rPr>
                <w:rFonts w:ascii="Times New Roman" w:eastAsia="宋体" w:hAnsi="Times New Roman"/>
                <w:color w:val="000000"/>
                <w:sz w:val="20"/>
                <w:szCs w:val="20"/>
              </w:rPr>
              <w:t>6,549 </w:t>
            </w:r>
          </w:p>
        </w:tc>
        <w:tc>
          <w:tcPr>
            <w:tcW w:w="0" w:type="auto"/>
            <w:shd w:val="clear" w:color="auto" w:fill="CCEEFF"/>
            <w:tcMar>
              <w:top w:w="40" w:type="dxa"/>
              <w:left w:w="0" w:type="dxa"/>
              <w:bottom w:w="40" w:type="dxa"/>
              <w:right w:w="20" w:type="dxa"/>
            </w:tcMar>
            <w:vAlign w:val="bottom"/>
          </w:tcPr>
          <w:p w14:paraId="518B589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9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92" w14:textId="77777777" w:rsidR="005C332D" w:rsidRDefault="00B93EAE">
            <w:pPr>
              <w:jc w:val="right"/>
              <w:textAlignment w:val="bottom"/>
            </w:pPr>
            <w:r>
              <w:rPr>
                <w:rFonts w:ascii="Times New Roman" w:eastAsia="宋体" w:hAnsi="Times New Roman"/>
                <w:color w:val="000000"/>
                <w:sz w:val="20"/>
                <w:szCs w:val="20"/>
              </w:rPr>
              <w:t>6,347 </w:t>
            </w:r>
          </w:p>
        </w:tc>
        <w:tc>
          <w:tcPr>
            <w:tcW w:w="0" w:type="auto"/>
            <w:shd w:val="clear" w:color="auto" w:fill="CCEEFF"/>
            <w:tcMar>
              <w:top w:w="40" w:type="dxa"/>
              <w:left w:w="0" w:type="dxa"/>
              <w:bottom w:w="40" w:type="dxa"/>
              <w:right w:w="20" w:type="dxa"/>
            </w:tcMar>
            <w:vAlign w:val="bottom"/>
          </w:tcPr>
          <w:p w14:paraId="518B5893" w14:textId="77777777" w:rsidR="005C332D" w:rsidRDefault="005C332D">
            <w:pPr>
              <w:jc w:val="right"/>
              <w:rPr>
                <w:rFonts w:ascii="宋体"/>
              </w:rPr>
            </w:pPr>
          </w:p>
        </w:tc>
      </w:tr>
      <w:tr w:rsidR="005C332D" w14:paraId="518B589E" w14:textId="77777777">
        <w:tc>
          <w:tcPr>
            <w:tcW w:w="0" w:type="auto"/>
            <w:gridSpan w:val="3"/>
            <w:shd w:val="clear" w:color="auto" w:fill="FFFFFF"/>
            <w:tcMar>
              <w:top w:w="40" w:type="dxa"/>
              <w:left w:w="380" w:type="dxa"/>
              <w:bottom w:w="40" w:type="dxa"/>
              <w:right w:w="20" w:type="dxa"/>
            </w:tcMar>
            <w:vAlign w:val="bottom"/>
          </w:tcPr>
          <w:p w14:paraId="518B5895" w14:textId="77777777" w:rsidR="005C332D" w:rsidRDefault="00B93EAE">
            <w:pPr>
              <w:textAlignment w:val="bottom"/>
            </w:pPr>
            <w:r>
              <w:rPr>
                <w:rFonts w:ascii="Times New Roman" w:eastAsia="宋体" w:hAnsi="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14:paraId="518B5896" w14:textId="77777777" w:rsidR="005C332D" w:rsidRDefault="00B93EAE">
            <w:pPr>
              <w:jc w:val="right"/>
              <w:textAlignment w:val="bottom"/>
            </w:pPr>
            <w:r>
              <w:rPr>
                <w:rFonts w:ascii="Times New Roman" w:eastAsia="宋体" w:hAnsi="Times New Roman"/>
                <w:b/>
                <w:bCs/>
                <w:color w:val="000000"/>
                <w:sz w:val="20"/>
                <w:szCs w:val="20"/>
              </w:rPr>
              <w:t>9,085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89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9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899" w14:textId="77777777" w:rsidR="005C332D" w:rsidRDefault="00B93EAE">
            <w:pPr>
              <w:jc w:val="right"/>
              <w:textAlignment w:val="bottom"/>
            </w:pPr>
            <w:r>
              <w:rPr>
                <w:rFonts w:ascii="Times New Roman" w:eastAsia="宋体" w:hAnsi="Times New Roman"/>
                <w:color w:val="000000"/>
                <w:sz w:val="20"/>
                <w:szCs w:val="20"/>
              </w:rPr>
              <w:t>9,259 </w:t>
            </w:r>
          </w:p>
        </w:tc>
        <w:tc>
          <w:tcPr>
            <w:tcW w:w="0" w:type="auto"/>
            <w:shd w:val="clear" w:color="auto" w:fill="FFFFFF"/>
            <w:tcMar>
              <w:top w:w="40" w:type="dxa"/>
              <w:left w:w="0" w:type="dxa"/>
              <w:bottom w:w="40" w:type="dxa"/>
              <w:right w:w="20" w:type="dxa"/>
            </w:tcMar>
            <w:vAlign w:val="bottom"/>
          </w:tcPr>
          <w:p w14:paraId="518B589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9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89C" w14:textId="77777777" w:rsidR="005C332D" w:rsidRDefault="00B93EAE">
            <w:pPr>
              <w:jc w:val="right"/>
              <w:textAlignment w:val="bottom"/>
            </w:pPr>
            <w:r>
              <w:rPr>
                <w:rFonts w:ascii="Times New Roman" w:eastAsia="宋体" w:hAnsi="Times New Roman"/>
                <w:color w:val="000000"/>
                <w:sz w:val="20"/>
                <w:szCs w:val="20"/>
              </w:rPr>
              <w:t>9,169 </w:t>
            </w:r>
          </w:p>
        </w:tc>
        <w:tc>
          <w:tcPr>
            <w:tcW w:w="0" w:type="auto"/>
            <w:shd w:val="clear" w:color="auto" w:fill="FFFFFF"/>
            <w:tcMar>
              <w:top w:w="40" w:type="dxa"/>
              <w:left w:w="0" w:type="dxa"/>
              <w:bottom w:w="40" w:type="dxa"/>
              <w:right w:w="20" w:type="dxa"/>
            </w:tcMar>
            <w:vAlign w:val="bottom"/>
          </w:tcPr>
          <w:p w14:paraId="518B589D" w14:textId="77777777" w:rsidR="005C332D" w:rsidRDefault="005C332D">
            <w:pPr>
              <w:jc w:val="right"/>
              <w:rPr>
                <w:rFonts w:ascii="宋体"/>
              </w:rPr>
            </w:pPr>
          </w:p>
        </w:tc>
      </w:tr>
      <w:tr w:rsidR="005C332D" w14:paraId="518B58A8" w14:textId="77777777">
        <w:tc>
          <w:tcPr>
            <w:tcW w:w="0" w:type="auto"/>
            <w:gridSpan w:val="3"/>
            <w:shd w:val="clear" w:color="auto" w:fill="CCEEFF"/>
            <w:tcMar>
              <w:top w:w="40" w:type="dxa"/>
              <w:left w:w="380" w:type="dxa"/>
              <w:bottom w:w="40" w:type="dxa"/>
              <w:right w:w="20" w:type="dxa"/>
            </w:tcMar>
            <w:vAlign w:val="bottom"/>
          </w:tcPr>
          <w:p w14:paraId="518B589F" w14:textId="77777777" w:rsidR="005C332D" w:rsidRDefault="00B93EAE">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518B58A0" w14:textId="77777777" w:rsidR="005C332D" w:rsidRDefault="00B93EAE">
            <w:pPr>
              <w:jc w:val="right"/>
              <w:textAlignment w:val="bottom"/>
            </w:pPr>
            <w:r>
              <w:rPr>
                <w:rFonts w:ascii="Times New Roman" w:eastAsia="宋体" w:hAnsi="Times New Roman"/>
                <w:b/>
                <w:bCs/>
                <w:color w:val="000000"/>
                <w:sz w:val="20"/>
                <w:szCs w:val="20"/>
              </w:rPr>
              <w:t>2,101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8A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A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A3" w14:textId="77777777" w:rsidR="005C332D" w:rsidRDefault="00B93EAE">
            <w:pPr>
              <w:jc w:val="right"/>
              <w:textAlignment w:val="bottom"/>
            </w:pPr>
            <w:r>
              <w:rPr>
                <w:rFonts w:ascii="Times New Roman" w:eastAsia="宋体" w:hAnsi="Times New Roman"/>
                <w:color w:val="000000"/>
                <w:sz w:val="20"/>
                <w:szCs w:val="20"/>
              </w:rPr>
              <w:t>2,152 </w:t>
            </w:r>
          </w:p>
        </w:tc>
        <w:tc>
          <w:tcPr>
            <w:tcW w:w="0" w:type="auto"/>
            <w:shd w:val="clear" w:color="auto" w:fill="CCEEFF"/>
            <w:tcMar>
              <w:top w:w="40" w:type="dxa"/>
              <w:left w:w="0" w:type="dxa"/>
              <w:bottom w:w="40" w:type="dxa"/>
              <w:right w:w="20" w:type="dxa"/>
            </w:tcMar>
            <w:vAlign w:val="bottom"/>
          </w:tcPr>
          <w:p w14:paraId="518B58A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A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A6" w14:textId="77777777" w:rsidR="005C332D" w:rsidRDefault="00B93EAE">
            <w:pPr>
              <w:jc w:val="right"/>
              <w:textAlignment w:val="bottom"/>
            </w:pPr>
            <w:r>
              <w:rPr>
                <w:rFonts w:ascii="Times New Roman" w:eastAsia="宋体" w:hAnsi="Times New Roman"/>
                <w:color w:val="000000"/>
                <w:sz w:val="20"/>
                <w:szCs w:val="20"/>
              </w:rPr>
              <w:t>1,925 </w:t>
            </w:r>
          </w:p>
        </w:tc>
        <w:tc>
          <w:tcPr>
            <w:tcW w:w="0" w:type="auto"/>
            <w:shd w:val="clear" w:color="auto" w:fill="CCEEFF"/>
            <w:tcMar>
              <w:top w:w="40" w:type="dxa"/>
              <w:left w:w="0" w:type="dxa"/>
              <w:bottom w:w="40" w:type="dxa"/>
              <w:right w:w="20" w:type="dxa"/>
            </w:tcMar>
            <w:vAlign w:val="bottom"/>
          </w:tcPr>
          <w:p w14:paraId="518B58A7" w14:textId="77777777" w:rsidR="005C332D" w:rsidRDefault="005C332D">
            <w:pPr>
              <w:jc w:val="right"/>
              <w:rPr>
                <w:rFonts w:ascii="宋体"/>
              </w:rPr>
            </w:pPr>
          </w:p>
        </w:tc>
      </w:tr>
      <w:tr w:rsidR="005C332D" w14:paraId="518B58B2" w14:textId="77777777">
        <w:tc>
          <w:tcPr>
            <w:tcW w:w="0" w:type="auto"/>
            <w:gridSpan w:val="3"/>
            <w:shd w:val="clear" w:color="auto" w:fill="FFFFFF"/>
            <w:tcMar>
              <w:top w:w="40" w:type="dxa"/>
              <w:left w:w="380" w:type="dxa"/>
              <w:bottom w:w="40" w:type="dxa"/>
              <w:right w:w="20" w:type="dxa"/>
            </w:tcMar>
            <w:vAlign w:val="bottom"/>
          </w:tcPr>
          <w:p w14:paraId="518B58A9" w14:textId="77777777" w:rsidR="005C332D" w:rsidRDefault="00B93EAE">
            <w:pPr>
              <w:textAlignment w:val="bottom"/>
            </w:pPr>
            <w:r>
              <w:rPr>
                <w:rFonts w:ascii="Times New Roman" w:eastAsia="宋体" w:hAnsi="Times New Roman"/>
                <w:color w:val="000000"/>
                <w:sz w:val="20"/>
                <w:szCs w:val="20"/>
              </w:rPr>
              <w:t xml:space="preserve">Amortization of purchased </w:t>
            </w:r>
            <w:r>
              <w:rPr>
                <w:rFonts w:ascii="Times New Roman" w:eastAsia="宋体" w:hAnsi="Times New Roman"/>
                <w:color w:val="000000"/>
                <w:sz w:val="20"/>
                <w:szCs w:val="20"/>
              </w:rPr>
              <w:t>intangible assets</w:t>
            </w:r>
          </w:p>
        </w:tc>
        <w:tc>
          <w:tcPr>
            <w:tcW w:w="0" w:type="auto"/>
            <w:gridSpan w:val="2"/>
            <w:shd w:val="clear" w:color="auto" w:fill="FFFFFF"/>
            <w:tcMar>
              <w:top w:w="40" w:type="dxa"/>
              <w:left w:w="20" w:type="dxa"/>
              <w:bottom w:w="40" w:type="dxa"/>
              <w:right w:w="0" w:type="dxa"/>
            </w:tcMar>
            <w:vAlign w:val="bottom"/>
          </w:tcPr>
          <w:p w14:paraId="518B58AA" w14:textId="77777777" w:rsidR="005C332D" w:rsidRDefault="00B93EAE">
            <w:pPr>
              <w:jc w:val="right"/>
              <w:textAlignment w:val="bottom"/>
            </w:pPr>
            <w:r>
              <w:rPr>
                <w:rFonts w:ascii="Times New Roman" w:eastAsia="宋体" w:hAnsi="Times New Roman"/>
                <w:b/>
                <w:bCs/>
                <w:color w:val="000000"/>
                <w:sz w:val="20"/>
                <w:szCs w:val="20"/>
              </w:rPr>
              <w:t>313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8A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A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8AD" w14:textId="77777777" w:rsidR="005C332D" w:rsidRDefault="00B93EAE">
            <w:pPr>
              <w:jc w:val="right"/>
              <w:textAlignment w:val="bottom"/>
            </w:pPr>
            <w:r>
              <w:rPr>
                <w:rFonts w:ascii="Times New Roman" w:eastAsia="宋体" w:hAnsi="Times New Roman"/>
                <w:color w:val="000000"/>
                <w:sz w:val="20"/>
                <w:szCs w:val="20"/>
              </w:rPr>
              <w:t>215 </w:t>
            </w:r>
          </w:p>
        </w:tc>
        <w:tc>
          <w:tcPr>
            <w:tcW w:w="0" w:type="auto"/>
            <w:shd w:val="clear" w:color="auto" w:fill="FFFFFF"/>
            <w:tcMar>
              <w:top w:w="40" w:type="dxa"/>
              <w:left w:w="0" w:type="dxa"/>
              <w:bottom w:w="40" w:type="dxa"/>
              <w:right w:w="20" w:type="dxa"/>
            </w:tcMar>
            <w:vAlign w:val="bottom"/>
          </w:tcPr>
          <w:p w14:paraId="518B58A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A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8B0" w14:textId="77777777" w:rsidR="005C332D" w:rsidRDefault="00B93EAE">
            <w:pPr>
              <w:jc w:val="right"/>
              <w:textAlignment w:val="bottom"/>
            </w:pPr>
            <w:r>
              <w:rPr>
                <w:rFonts w:ascii="Times New Roman" w:eastAsia="宋体" w:hAnsi="Times New Roman"/>
                <w:color w:val="000000"/>
                <w:sz w:val="20"/>
                <w:szCs w:val="20"/>
              </w:rPr>
              <w:t>141 </w:t>
            </w:r>
          </w:p>
        </w:tc>
        <w:tc>
          <w:tcPr>
            <w:tcW w:w="0" w:type="auto"/>
            <w:shd w:val="clear" w:color="auto" w:fill="FFFFFF"/>
            <w:tcMar>
              <w:top w:w="40" w:type="dxa"/>
              <w:left w:w="0" w:type="dxa"/>
              <w:bottom w:w="40" w:type="dxa"/>
              <w:right w:w="20" w:type="dxa"/>
            </w:tcMar>
            <w:vAlign w:val="bottom"/>
          </w:tcPr>
          <w:p w14:paraId="518B58B1" w14:textId="77777777" w:rsidR="005C332D" w:rsidRDefault="005C332D">
            <w:pPr>
              <w:jc w:val="right"/>
              <w:rPr>
                <w:rFonts w:ascii="宋体"/>
              </w:rPr>
            </w:pPr>
          </w:p>
        </w:tc>
      </w:tr>
      <w:tr w:rsidR="005C332D" w14:paraId="518B58BC" w14:textId="77777777">
        <w:tc>
          <w:tcPr>
            <w:tcW w:w="0" w:type="auto"/>
            <w:gridSpan w:val="3"/>
            <w:shd w:val="clear" w:color="auto" w:fill="CCEEFF"/>
            <w:tcMar>
              <w:top w:w="40" w:type="dxa"/>
              <w:left w:w="380" w:type="dxa"/>
              <w:bottom w:w="40" w:type="dxa"/>
              <w:right w:w="20" w:type="dxa"/>
            </w:tcMar>
            <w:vAlign w:val="bottom"/>
          </w:tcPr>
          <w:p w14:paraId="518B58B3" w14:textId="77777777" w:rsidR="005C332D" w:rsidRDefault="00B93EAE">
            <w:pPr>
              <w:textAlignment w:val="bottom"/>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518B58B4" w14:textId="77777777" w:rsidR="005C332D" w:rsidRDefault="00B93EAE">
            <w:pPr>
              <w:jc w:val="right"/>
              <w:textAlignment w:val="bottom"/>
            </w:pPr>
            <w:r>
              <w:rPr>
                <w:rFonts w:ascii="Times New Roman" w:eastAsia="宋体" w:hAnsi="Times New Roman"/>
                <w:b/>
                <w:bCs/>
                <w:color w:val="000000"/>
                <w:sz w:val="20"/>
                <w:szCs w:val="20"/>
              </w:rPr>
              <w:t>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8B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B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B7" w14:textId="77777777" w:rsidR="005C332D" w:rsidRDefault="00B93EAE">
            <w:pPr>
              <w:jc w:val="right"/>
              <w:textAlignment w:val="bottom"/>
            </w:pPr>
            <w:r>
              <w:rPr>
                <w:rFonts w:ascii="Times New Roman" w:eastAsia="宋体" w:hAnsi="Times New Roman"/>
                <w:color w:val="000000"/>
                <w:sz w:val="20"/>
                <w:szCs w:val="20"/>
              </w:rPr>
              <w:t>886 </w:t>
            </w:r>
          </w:p>
        </w:tc>
        <w:tc>
          <w:tcPr>
            <w:tcW w:w="0" w:type="auto"/>
            <w:shd w:val="clear" w:color="auto" w:fill="CCEEFF"/>
            <w:tcMar>
              <w:top w:w="40" w:type="dxa"/>
              <w:left w:w="0" w:type="dxa"/>
              <w:bottom w:w="40" w:type="dxa"/>
              <w:right w:w="20" w:type="dxa"/>
            </w:tcMar>
            <w:vAlign w:val="bottom"/>
          </w:tcPr>
          <w:p w14:paraId="518B58B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B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BA" w14:textId="77777777" w:rsidR="005C332D" w:rsidRDefault="00B93EAE">
            <w:pPr>
              <w:jc w:val="right"/>
              <w:textAlignment w:val="bottom"/>
            </w:pPr>
            <w:r>
              <w:rPr>
                <w:rFonts w:ascii="Times New Roman" w:eastAsia="宋体" w:hAnsi="Times New Roman"/>
                <w:color w:val="000000"/>
                <w:sz w:val="20"/>
                <w:szCs w:val="20"/>
              </w:rPr>
              <w:t>481 </w:t>
            </w:r>
          </w:p>
        </w:tc>
        <w:tc>
          <w:tcPr>
            <w:tcW w:w="0" w:type="auto"/>
            <w:shd w:val="clear" w:color="auto" w:fill="CCEEFF"/>
            <w:tcMar>
              <w:top w:w="40" w:type="dxa"/>
              <w:left w:w="0" w:type="dxa"/>
              <w:bottom w:w="40" w:type="dxa"/>
              <w:right w:w="20" w:type="dxa"/>
            </w:tcMar>
            <w:vAlign w:val="bottom"/>
          </w:tcPr>
          <w:p w14:paraId="518B58BB" w14:textId="77777777" w:rsidR="005C332D" w:rsidRDefault="005C332D">
            <w:pPr>
              <w:jc w:val="right"/>
              <w:rPr>
                <w:rFonts w:ascii="宋体"/>
              </w:rPr>
            </w:pPr>
          </w:p>
        </w:tc>
      </w:tr>
      <w:tr w:rsidR="005C332D" w14:paraId="518B58C6" w14:textId="77777777">
        <w:tc>
          <w:tcPr>
            <w:tcW w:w="0" w:type="auto"/>
            <w:gridSpan w:val="3"/>
            <w:shd w:val="clear" w:color="auto" w:fill="FFFFFF"/>
            <w:tcMar>
              <w:top w:w="40" w:type="dxa"/>
              <w:left w:w="740" w:type="dxa"/>
              <w:bottom w:w="40" w:type="dxa"/>
              <w:right w:w="20" w:type="dxa"/>
            </w:tcMar>
            <w:vAlign w:val="bottom"/>
          </w:tcPr>
          <w:p w14:paraId="518B58BD" w14:textId="77777777" w:rsidR="005C332D" w:rsidRDefault="00B93EAE">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BE" w14:textId="77777777" w:rsidR="005C332D" w:rsidRDefault="00B93EAE">
            <w:pPr>
              <w:jc w:val="right"/>
              <w:textAlignment w:val="bottom"/>
            </w:pPr>
            <w:r>
              <w:rPr>
                <w:rFonts w:ascii="Times New Roman" w:eastAsia="宋体" w:hAnsi="Times New Roman"/>
                <w:b/>
                <w:bCs/>
                <w:color w:val="000000"/>
                <w:sz w:val="20"/>
                <w:szCs w:val="20"/>
              </w:rPr>
              <w:t>18,279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B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C0"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C1" w14:textId="77777777" w:rsidR="005C332D" w:rsidRDefault="00B93EAE">
            <w:pPr>
              <w:jc w:val="right"/>
              <w:textAlignment w:val="bottom"/>
            </w:pPr>
            <w:r>
              <w:rPr>
                <w:rFonts w:ascii="Times New Roman" w:eastAsia="宋体" w:hAnsi="Times New Roman"/>
                <w:color w:val="000000"/>
                <w:sz w:val="20"/>
                <w:szCs w:val="20"/>
              </w:rPr>
              <w:t>19,061 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C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C3"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C4" w14:textId="77777777" w:rsidR="005C332D" w:rsidRDefault="00B93EAE">
            <w:pPr>
              <w:jc w:val="right"/>
              <w:textAlignment w:val="bottom"/>
            </w:pPr>
            <w:r>
              <w:rPr>
                <w:rFonts w:ascii="Times New Roman" w:eastAsia="宋体" w:hAnsi="Times New Roman"/>
                <w:color w:val="000000"/>
                <w:sz w:val="20"/>
                <w:szCs w:val="20"/>
              </w:rPr>
              <w:t>18,063 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C5" w14:textId="77777777" w:rsidR="005C332D" w:rsidRDefault="005C332D">
            <w:pPr>
              <w:jc w:val="right"/>
              <w:rPr>
                <w:rFonts w:ascii="宋体"/>
              </w:rPr>
            </w:pPr>
          </w:p>
        </w:tc>
      </w:tr>
      <w:tr w:rsidR="005C332D" w14:paraId="518B58D0" w14:textId="77777777">
        <w:tc>
          <w:tcPr>
            <w:tcW w:w="0" w:type="auto"/>
            <w:gridSpan w:val="3"/>
            <w:shd w:val="clear" w:color="auto" w:fill="CCEEFF"/>
            <w:tcMar>
              <w:top w:w="40" w:type="dxa"/>
              <w:left w:w="20" w:type="dxa"/>
              <w:bottom w:w="40" w:type="dxa"/>
              <w:right w:w="20" w:type="dxa"/>
            </w:tcMar>
            <w:vAlign w:val="bottom"/>
          </w:tcPr>
          <w:p w14:paraId="518B58C7" w14:textId="77777777" w:rsidR="005C332D" w:rsidRDefault="00B93EAE">
            <w:pPr>
              <w:textAlignment w:val="bottom"/>
            </w:pPr>
            <w:r>
              <w:rPr>
                <w:rFonts w:ascii="Times New Roman" w:eastAsia="宋体" w:hAnsi="Times New Roman"/>
                <w:b/>
                <w:bCs/>
                <w:color w:val="000000"/>
                <w:sz w:val="20"/>
                <w:szCs w:val="20"/>
              </w:rPr>
              <w:t>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8C8" w14:textId="77777777" w:rsidR="005C332D" w:rsidRDefault="00B93EAE">
            <w:pPr>
              <w:jc w:val="right"/>
              <w:textAlignment w:val="bottom"/>
            </w:pPr>
            <w:r>
              <w:rPr>
                <w:rFonts w:ascii="Times New Roman" w:eastAsia="宋体" w:hAnsi="Times New Roman"/>
                <w:b/>
                <w:bCs/>
                <w:color w:val="000000"/>
                <w:sz w:val="20"/>
                <w:szCs w:val="20"/>
              </w:rPr>
              <w:t>13,969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8C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CA"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8CB" w14:textId="77777777" w:rsidR="005C332D" w:rsidRDefault="00B93EAE">
            <w:pPr>
              <w:jc w:val="right"/>
              <w:textAlignment w:val="bottom"/>
            </w:pPr>
            <w:r>
              <w:rPr>
                <w:rFonts w:ascii="Times New Roman" w:eastAsia="宋体" w:hAnsi="Times New Roman"/>
                <w:color w:val="000000"/>
                <w:sz w:val="20"/>
                <w:szCs w:val="20"/>
              </w:rPr>
              <w:t>12,833 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8C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CD"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8CE" w14:textId="77777777" w:rsidR="005C332D" w:rsidRDefault="00B93EAE">
            <w:pPr>
              <w:jc w:val="right"/>
              <w:textAlignment w:val="bottom"/>
            </w:pPr>
            <w:r>
              <w:rPr>
                <w:rFonts w:ascii="Times New Roman" w:eastAsia="宋体" w:hAnsi="Times New Roman"/>
                <w:color w:val="000000"/>
                <w:sz w:val="20"/>
                <w:szCs w:val="20"/>
              </w:rPr>
              <w:t>13,620 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8CF" w14:textId="77777777" w:rsidR="005C332D" w:rsidRDefault="005C332D">
            <w:pPr>
              <w:jc w:val="right"/>
              <w:rPr>
                <w:rFonts w:ascii="宋体"/>
              </w:rPr>
            </w:pPr>
          </w:p>
        </w:tc>
      </w:tr>
      <w:tr w:rsidR="005C332D" w14:paraId="518B58DA" w14:textId="77777777">
        <w:tc>
          <w:tcPr>
            <w:tcW w:w="0" w:type="auto"/>
            <w:gridSpan w:val="3"/>
            <w:shd w:val="clear" w:color="auto" w:fill="FFFFFF"/>
            <w:tcMar>
              <w:top w:w="40" w:type="dxa"/>
              <w:left w:w="380" w:type="dxa"/>
              <w:bottom w:w="40" w:type="dxa"/>
              <w:right w:w="20" w:type="dxa"/>
            </w:tcMar>
            <w:vAlign w:val="bottom"/>
          </w:tcPr>
          <w:p w14:paraId="518B58D1" w14:textId="77777777" w:rsidR="005C332D" w:rsidRDefault="00B93EAE">
            <w:pPr>
              <w:textAlignment w:val="bottom"/>
            </w:pPr>
            <w:r>
              <w:rPr>
                <w:rFonts w:ascii="Times New Roman" w:eastAsia="宋体" w:hAnsi="Times New Roman"/>
                <w:color w:val="000000"/>
                <w:sz w:val="20"/>
                <w:szCs w:val="20"/>
              </w:rPr>
              <w:t>Interest income</w:t>
            </w:r>
          </w:p>
        </w:tc>
        <w:tc>
          <w:tcPr>
            <w:tcW w:w="0" w:type="auto"/>
            <w:gridSpan w:val="2"/>
            <w:shd w:val="clear" w:color="auto" w:fill="FFFFFF"/>
            <w:tcMar>
              <w:top w:w="40" w:type="dxa"/>
              <w:left w:w="20" w:type="dxa"/>
              <w:bottom w:w="40" w:type="dxa"/>
              <w:right w:w="0" w:type="dxa"/>
            </w:tcMar>
            <w:vAlign w:val="bottom"/>
          </w:tcPr>
          <w:p w14:paraId="518B58D2" w14:textId="77777777" w:rsidR="005C332D" w:rsidRDefault="00B93EAE">
            <w:pPr>
              <w:jc w:val="right"/>
              <w:textAlignment w:val="bottom"/>
            </w:pPr>
            <w:r>
              <w:rPr>
                <w:rFonts w:ascii="Times New Roman" w:eastAsia="宋体" w:hAnsi="Times New Roman"/>
                <w:b/>
                <w:bCs/>
                <w:color w:val="000000"/>
                <w:sz w:val="20"/>
                <w:szCs w:val="20"/>
              </w:rPr>
              <w:t>476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8D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D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8D5" w14:textId="77777777" w:rsidR="005C332D" w:rsidRDefault="00B93EAE">
            <w:pPr>
              <w:jc w:val="right"/>
              <w:textAlignment w:val="bottom"/>
            </w:pPr>
            <w:r>
              <w:rPr>
                <w:rFonts w:ascii="Times New Roman" w:eastAsia="宋体" w:hAnsi="Times New Roman"/>
                <w:color w:val="000000"/>
                <w:sz w:val="20"/>
                <w:szCs w:val="20"/>
              </w:rPr>
              <w:t>618 </w:t>
            </w:r>
          </w:p>
        </w:tc>
        <w:tc>
          <w:tcPr>
            <w:tcW w:w="0" w:type="auto"/>
            <w:shd w:val="clear" w:color="auto" w:fill="FFFFFF"/>
            <w:tcMar>
              <w:top w:w="40" w:type="dxa"/>
              <w:left w:w="0" w:type="dxa"/>
              <w:bottom w:w="40" w:type="dxa"/>
              <w:right w:w="20" w:type="dxa"/>
            </w:tcMar>
            <w:vAlign w:val="bottom"/>
          </w:tcPr>
          <w:p w14:paraId="518B58D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D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8D8" w14:textId="77777777" w:rsidR="005C332D" w:rsidRDefault="00B93EAE">
            <w:pPr>
              <w:jc w:val="right"/>
              <w:textAlignment w:val="bottom"/>
            </w:pPr>
            <w:r>
              <w:rPr>
                <w:rFonts w:ascii="Times New Roman" w:eastAsia="宋体" w:hAnsi="Times New Roman"/>
                <w:color w:val="000000"/>
                <w:sz w:val="20"/>
                <w:szCs w:val="20"/>
              </w:rPr>
              <w:t>920 </w:t>
            </w:r>
          </w:p>
        </w:tc>
        <w:tc>
          <w:tcPr>
            <w:tcW w:w="0" w:type="auto"/>
            <w:shd w:val="clear" w:color="auto" w:fill="FFFFFF"/>
            <w:tcMar>
              <w:top w:w="40" w:type="dxa"/>
              <w:left w:w="0" w:type="dxa"/>
              <w:bottom w:w="40" w:type="dxa"/>
              <w:right w:w="20" w:type="dxa"/>
            </w:tcMar>
            <w:vAlign w:val="bottom"/>
          </w:tcPr>
          <w:p w14:paraId="518B58D9" w14:textId="77777777" w:rsidR="005C332D" w:rsidRDefault="005C332D">
            <w:pPr>
              <w:jc w:val="right"/>
              <w:rPr>
                <w:rFonts w:ascii="宋体"/>
              </w:rPr>
            </w:pPr>
          </w:p>
        </w:tc>
      </w:tr>
      <w:tr w:rsidR="005C332D" w14:paraId="518B58E4" w14:textId="77777777">
        <w:tc>
          <w:tcPr>
            <w:tcW w:w="0" w:type="auto"/>
            <w:gridSpan w:val="3"/>
            <w:shd w:val="clear" w:color="auto" w:fill="CCEEFF"/>
            <w:tcMar>
              <w:top w:w="40" w:type="dxa"/>
              <w:left w:w="380" w:type="dxa"/>
              <w:bottom w:w="40" w:type="dxa"/>
              <w:right w:w="20" w:type="dxa"/>
            </w:tcMar>
            <w:vAlign w:val="bottom"/>
          </w:tcPr>
          <w:p w14:paraId="518B58DB" w14:textId="77777777" w:rsidR="005C332D" w:rsidRDefault="00B93EAE">
            <w:pPr>
              <w:textAlignment w:val="bottom"/>
            </w:pPr>
            <w:r>
              <w:rPr>
                <w:rFonts w:ascii="Times New Roman" w:eastAsia="宋体" w:hAnsi="Times New Roman"/>
                <w:color w:val="000000"/>
                <w:sz w:val="20"/>
                <w:szCs w:val="20"/>
              </w:rPr>
              <w:t>Interest expense</w:t>
            </w:r>
          </w:p>
        </w:tc>
        <w:tc>
          <w:tcPr>
            <w:tcW w:w="0" w:type="auto"/>
            <w:gridSpan w:val="2"/>
            <w:shd w:val="clear" w:color="auto" w:fill="CCEEFF"/>
            <w:tcMar>
              <w:top w:w="40" w:type="dxa"/>
              <w:left w:w="20" w:type="dxa"/>
              <w:bottom w:w="40" w:type="dxa"/>
              <w:right w:w="0" w:type="dxa"/>
            </w:tcMar>
            <w:vAlign w:val="bottom"/>
          </w:tcPr>
          <w:p w14:paraId="518B58DC" w14:textId="77777777" w:rsidR="005C332D" w:rsidRDefault="00B93EAE">
            <w:pPr>
              <w:jc w:val="right"/>
              <w:textAlignment w:val="bottom"/>
            </w:pPr>
            <w:r>
              <w:rPr>
                <w:rFonts w:ascii="Times New Roman" w:eastAsia="宋体" w:hAnsi="Times New Roman"/>
                <w:b/>
                <w:bCs/>
                <w:color w:val="000000"/>
                <w:sz w:val="20"/>
                <w:szCs w:val="20"/>
              </w:rPr>
              <w:t>(360)</w:t>
            </w:r>
          </w:p>
        </w:tc>
        <w:tc>
          <w:tcPr>
            <w:tcW w:w="0" w:type="auto"/>
            <w:shd w:val="clear" w:color="auto" w:fill="CCEEFF"/>
            <w:tcMar>
              <w:top w:w="40" w:type="dxa"/>
              <w:left w:w="0" w:type="dxa"/>
              <w:bottom w:w="40" w:type="dxa"/>
              <w:right w:w="20" w:type="dxa"/>
            </w:tcMar>
            <w:vAlign w:val="bottom"/>
          </w:tcPr>
          <w:p w14:paraId="518B58D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D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DF" w14:textId="77777777" w:rsidR="005C332D" w:rsidRDefault="00B93EAE">
            <w:pPr>
              <w:jc w:val="right"/>
              <w:textAlignment w:val="bottom"/>
            </w:pPr>
            <w:r>
              <w:rPr>
                <w:rFonts w:ascii="Times New Roman" w:eastAsia="宋体" w:hAnsi="Times New Roman"/>
                <w:color w:val="000000"/>
                <w:sz w:val="20"/>
                <w:szCs w:val="20"/>
              </w:rPr>
              <w:t>(434)</w:t>
            </w:r>
          </w:p>
        </w:tc>
        <w:tc>
          <w:tcPr>
            <w:tcW w:w="0" w:type="auto"/>
            <w:shd w:val="clear" w:color="auto" w:fill="CCEEFF"/>
            <w:tcMar>
              <w:top w:w="40" w:type="dxa"/>
              <w:left w:w="0" w:type="dxa"/>
              <w:bottom w:w="40" w:type="dxa"/>
              <w:right w:w="20" w:type="dxa"/>
            </w:tcMar>
            <w:vAlign w:val="bottom"/>
          </w:tcPr>
          <w:p w14:paraId="518B58E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E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8E2" w14:textId="77777777" w:rsidR="005C332D" w:rsidRDefault="00B93EAE">
            <w:pPr>
              <w:jc w:val="right"/>
              <w:textAlignment w:val="bottom"/>
            </w:pPr>
            <w:r>
              <w:rPr>
                <w:rFonts w:ascii="Times New Roman" w:eastAsia="宋体" w:hAnsi="Times New Roman"/>
                <w:color w:val="000000"/>
                <w:sz w:val="20"/>
                <w:szCs w:val="20"/>
              </w:rPr>
              <w:t>(585)</w:t>
            </w:r>
          </w:p>
        </w:tc>
        <w:tc>
          <w:tcPr>
            <w:tcW w:w="0" w:type="auto"/>
            <w:shd w:val="clear" w:color="auto" w:fill="CCEEFF"/>
            <w:tcMar>
              <w:top w:w="40" w:type="dxa"/>
              <w:left w:w="0" w:type="dxa"/>
              <w:bottom w:w="40" w:type="dxa"/>
              <w:right w:w="20" w:type="dxa"/>
            </w:tcMar>
            <w:vAlign w:val="bottom"/>
          </w:tcPr>
          <w:p w14:paraId="518B58E3" w14:textId="77777777" w:rsidR="005C332D" w:rsidRDefault="005C332D">
            <w:pPr>
              <w:jc w:val="right"/>
              <w:rPr>
                <w:rFonts w:ascii="宋体"/>
              </w:rPr>
            </w:pPr>
          </w:p>
        </w:tc>
      </w:tr>
      <w:tr w:rsidR="005C332D" w14:paraId="518B58EE" w14:textId="77777777">
        <w:tc>
          <w:tcPr>
            <w:tcW w:w="0" w:type="auto"/>
            <w:gridSpan w:val="3"/>
            <w:shd w:val="clear" w:color="auto" w:fill="FFFFFF"/>
            <w:tcMar>
              <w:top w:w="40" w:type="dxa"/>
              <w:left w:w="380" w:type="dxa"/>
              <w:bottom w:w="40" w:type="dxa"/>
              <w:right w:w="20" w:type="dxa"/>
            </w:tcMar>
            <w:vAlign w:val="bottom"/>
          </w:tcPr>
          <w:p w14:paraId="518B58E5" w14:textId="77777777" w:rsidR="005C332D" w:rsidRDefault="00B93EAE">
            <w:pPr>
              <w:textAlignment w:val="bottom"/>
            </w:pPr>
            <w:r>
              <w:rPr>
                <w:rFonts w:ascii="Times New Roman" w:eastAsia="宋体" w:hAnsi="Times New Roman"/>
                <w:color w:val="000000"/>
                <w:sz w:val="20"/>
                <w:szCs w:val="20"/>
              </w:rPr>
              <w:t>Other income (loss), net</w:t>
            </w:r>
          </w:p>
        </w:tc>
        <w:tc>
          <w:tcPr>
            <w:tcW w:w="0" w:type="auto"/>
            <w:gridSpan w:val="2"/>
            <w:shd w:val="clear" w:color="auto" w:fill="FFFFFF"/>
            <w:tcMar>
              <w:top w:w="40" w:type="dxa"/>
              <w:left w:w="20" w:type="dxa"/>
              <w:bottom w:w="40" w:type="dxa"/>
              <w:right w:w="0" w:type="dxa"/>
            </w:tcMar>
            <w:vAlign w:val="bottom"/>
          </w:tcPr>
          <w:p w14:paraId="518B58E6" w14:textId="77777777" w:rsidR="005C332D" w:rsidRDefault="00B93EAE">
            <w:pPr>
              <w:jc w:val="right"/>
              <w:textAlignment w:val="bottom"/>
            </w:pPr>
            <w:r>
              <w:rPr>
                <w:rFonts w:ascii="Times New Roman" w:eastAsia="宋体" w:hAnsi="Times New Roman"/>
                <w:b/>
                <w:bCs/>
                <w:color w:val="000000"/>
                <w:sz w:val="20"/>
                <w:szCs w:val="20"/>
              </w:rPr>
              <w:t>392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8E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E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8E9" w14:textId="77777777" w:rsidR="005C332D" w:rsidRDefault="00B93EAE">
            <w:pPr>
              <w:jc w:val="right"/>
              <w:textAlignment w:val="bottom"/>
            </w:pPr>
            <w:r>
              <w:rPr>
                <w:rFonts w:ascii="Times New Roman" w:eastAsia="宋体" w:hAnsi="Times New Roman"/>
                <w:color w:val="000000"/>
                <w:sz w:val="20"/>
                <w:szCs w:val="20"/>
              </w:rPr>
              <w:t>245 </w:t>
            </w:r>
          </w:p>
        </w:tc>
        <w:tc>
          <w:tcPr>
            <w:tcW w:w="0" w:type="auto"/>
            <w:shd w:val="clear" w:color="auto" w:fill="FFFFFF"/>
            <w:tcMar>
              <w:top w:w="40" w:type="dxa"/>
              <w:left w:w="0" w:type="dxa"/>
              <w:bottom w:w="40" w:type="dxa"/>
              <w:right w:w="20" w:type="dxa"/>
            </w:tcMar>
            <w:vAlign w:val="bottom"/>
          </w:tcPr>
          <w:p w14:paraId="518B58E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E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8EC" w14:textId="77777777" w:rsidR="005C332D" w:rsidRDefault="00B93EAE">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518B58ED" w14:textId="77777777" w:rsidR="005C332D" w:rsidRDefault="005C332D">
            <w:pPr>
              <w:jc w:val="right"/>
              <w:rPr>
                <w:rFonts w:ascii="宋体"/>
              </w:rPr>
            </w:pPr>
          </w:p>
        </w:tc>
      </w:tr>
      <w:tr w:rsidR="005C332D" w14:paraId="518B58F8" w14:textId="77777777">
        <w:tc>
          <w:tcPr>
            <w:tcW w:w="0" w:type="auto"/>
            <w:gridSpan w:val="3"/>
            <w:shd w:val="clear" w:color="auto" w:fill="CCEEFF"/>
            <w:tcMar>
              <w:top w:w="40" w:type="dxa"/>
              <w:left w:w="740" w:type="dxa"/>
              <w:bottom w:w="40" w:type="dxa"/>
              <w:right w:w="20" w:type="dxa"/>
            </w:tcMar>
            <w:vAlign w:val="bottom"/>
          </w:tcPr>
          <w:p w14:paraId="518B58EF" w14:textId="77777777" w:rsidR="005C332D" w:rsidRDefault="00B93EAE">
            <w:pPr>
              <w:textAlignment w:val="bottom"/>
            </w:pPr>
            <w:r>
              <w:rPr>
                <w:rFonts w:ascii="Times New Roman" w:eastAsia="宋体" w:hAnsi="Times New Roman"/>
                <w:color w:val="000000"/>
                <w:sz w:val="20"/>
                <w:szCs w:val="20"/>
              </w:rPr>
              <w:t>Interest and other income (loss),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8F0" w14:textId="77777777" w:rsidR="005C332D" w:rsidRDefault="00B93EAE">
            <w:pPr>
              <w:jc w:val="right"/>
              <w:textAlignment w:val="bottom"/>
            </w:pPr>
            <w:r>
              <w:rPr>
                <w:rFonts w:ascii="Times New Roman" w:eastAsia="宋体" w:hAnsi="Times New Roman"/>
                <w:b/>
                <w:bCs/>
                <w:color w:val="000000"/>
                <w:sz w:val="20"/>
                <w:szCs w:val="20"/>
              </w:rPr>
              <w:t>508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8F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F2"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8F3" w14:textId="77777777" w:rsidR="005C332D" w:rsidRDefault="00B93EAE">
            <w:pPr>
              <w:jc w:val="right"/>
              <w:textAlignment w:val="bottom"/>
            </w:pPr>
            <w:r>
              <w:rPr>
                <w:rFonts w:ascii="Times New Roman" w:eastAsia="宋体" w:hAnsi="Times New Roman"/>
                <w:color w:val="000000"/>
                <w:sz w:val="20"/>
                <w:szCs w:val="20"/>
              </w:rPr>
              <w:t>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8F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8F5"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8F6" w14:textId="77777777" w:rsidR="005C332D" w:rsidRDefault="00B93EAE">
            <w:pPr>
              <w:jc w:val="right"/>
              <w:textAlignment w:val="bottom"/>
            </w:pPr>
            <w:r>
              <w:rPr>
                <w:rFonts w:ascii="Times New Roman" w:eastAsia="宋体" w:hAnsi="Times New Roman"/>
                <w:color w:val="000000"/>
                <w:sz w:val="20"/>
                <w:szCs w:val="20"/>
              </w:rPr>
              <w:t>350 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8F7" w14:textId="77777777" w:rsidR="005C332D" w:rsidRDefault="005C332D">
            <w:pPr>
              <w:jc w:val="right"/>
              <w:rPr>
                <w:rFonts w:ascii="宋体"/>
              </w:rPr>
            </w:pPr>
          </w:p>
        </w:tc>
      </w:tr>
      <w:tr w:rsidR="005C332D" w14:paraId="518B5902" w14:textId="77777777">
        <w:tc>
          <w:tcPr>
            <w:tcW w:w="0" w:type="auto"/>
            <w:gridSpan w:val="3"/>
            <w:shd w:val="clear" w:color="auto" w:fill="FFFFFF"/>
            <w:tcMar>
              <w:top w:w="40" w:type="dxa"/>
              <w:left w:w="20" w:type="dxa"/>
              <w:bottom w:w="40" w:type="dxa"/>
              <w:right w:w="20" w:type="dxa"/>
            </w:tcMar>
            <w:vAlign w:val="bottom"/>
          </w:tcPr>
          <w:p w14:paraId="518B58F9" w14:textId="77777777" w:rsidR="005C332D" w:rsidRDefault="00B93EAE">
            <w:pPr>
              <w:textAlignment w:val="bottom"/>
            </w:pPr>
            <w:r>
              <w:rPr>
                <w:rFonts w:ascii="Times New Roman" w:eastAsia="宋体" w:hAnsi="Times New Roman"/>
                <w:b/>
                <w:bCs/>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FA" w14:textId="77777777" w:rsidR="005C332D" w:rsidRDefault="00B93EAE">
            <w:pPr>
              <w:jc w:val="right"/>
              <w:textAlignment w:val="bottom"/>
            </w:pPr>
            <w:r>
              <w:rPr>
                <w:rFonts w:ascii="Times New Roman" w:eastAsia="宋体" w:hAnsi="Times New Roman"/>
                <w:b/>
                <w:bCs/>
                <w:color w:val="000000"/>
                <w:sz w:val="20"/>
                <w:szCs w:val="20"/>
              </w:rPr>
              <w:t>14,477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F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FC"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8FD" w14:textId="77777777" w:rsidR="005C332D" w:rsidRDefault="00B93EAE">
            <w:pPr>
              <w:jc w:val="right"/>
              <w:textAlignment w:val="bottom"/>
            </w:pPr>
            <w:r>
              <w:rPr>
                <w:rFonts w:ascii="Times New Roman" w:eastAsia="宋体" w:hAnsi="Times New Roman"/>
                <w:color w:val="000000"/>
                <w:sz w:val="20"/>
                <w:szCs w:val="20"/>
              </w:rPr>
              <w:t>13,262 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8F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8FF"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900" w14:textId="77777777" w:rsidR="005C332D" w:rsidRDefault="00B93EAE">
            <w:pPr>
              <w:jc w:val="right"/>
              <w:textAlignment w:val="bottom"/>
            </w:pPr>
            <w:r>
              <w:rPr>
                <w:rFonts w:ascii="Times New Roman" w:eastAsia="宋体" w:hAnsi="Times New Roman"/>
                <w:color w:val="000000"/>
                <w:sz w:val="20"/>
                <w:szCs w:val="20"/>
              </w:rPr>
              <w:t>13,970 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901" w14:textId="77777777" w:rsidR="005C332D" w:rsidRDefault="005C332D">
            <w:pPr>
              <w:jc w:val="right"/>
              <w:rPr>
                <w:rFonts w:ascii="宋体"/>
              </w:rPr>
            </w:pPr>
          </w:p>
        </w:tc>
      </w:tr>
      <w:tr w:rsidR="005C332D" w14:paraId="518B590C" w14:textId="77777777">
        <w:tc>
          <w:tcPr>
            <w:tcW w:w="0" w:type="auto"/>
            <w:gridSpan w:val="3"/>
            <w:shd w:val="clear" w:color="auto" w:fill="CCEEFF"/>
            <w:tcMar>
              <w:top w:w="40" w:type="dxa"/>
              <w:left w:w="20" w:type="dxa"/>
              <w:bottom w:w="40" w:type="dxa"/>
              <w:right w:w="20" w:type="dxa"/>
            </w:tcMar>
            <w:vAlign w:val="bottom"/>
          </w:tcPr>
          <w:p w14:paraId="518B5903" w14:textId="77777777" w:rsidR="005C332D" w:rsidRDefault="00B93EAE">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518B5904" w14:textId="77777777" w:rsidR="005C332D" w:rsidRDefault="00B93EAE">
            <w:pPr>
              <w:jc w:val="right"/>
              <w:textAlignment w:val="bottom"/>
            </w:pPr>
            <w:r>
              <w:rPr>
                <w:rFonts w:ascii="Times New Roman" w:eastAsia="宋体" w:hAnsi="Times New Roman"/>
                <w:b/>
                <w:bCs/>
                <w:color w:val="000000"/>
                <w:sz w:val="20"/>
                <w:szCs w:val="20"/>
              </w:rPr>
              <w:t>2,665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90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0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907" w14:textId="77777777" w:rsidR="005C332D" w:rsidRDefault="00B93EAE">
            <w:pPr>
              <w:jc w:val="right"/>
              <w:textAlignment w:val="bottom"/>
            </w:pPr>
            <w:r>
              <w:rPr>
                <w:rFonts w:ascii="Times New Roman" w:eastAsia="宋体" w:hAnsi="Times New Roman"/>
                <w:color w:val="000000"/>
                <w:sz w:val="20"/>
                <w:szCs w:val="20"/>
              </w:rPr>
              <w:t>2,671 </w:t>
            </w:r>
          </w:p>
        </w:tc>
        <w:tc>
          <w:tcPr>
            <w:tcW w:w="0" w:type="auto"/>
            <w:shd w:val="clear" w:color="auto" w:fill="CCEEFF"/>
            <w:tcMar>
              <w:top w:w="40" w:type="dxa"/>
              <w:left w:w="0" w:type="dxa"/>
              <w:bottom w:w="40" w:type="dxa"/>
              <w:right w:w="20" w:type="dxa"/>
            </w:tcMar>
            <w:vAlign w:val="bottom"/>
          </w:tcPr>
          <w:p w14:paraId="518B590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0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90A" w14:textId="77777777" w:rsidR="005C332D" w:rsidRDefault="00B93EAE">
            <w:pPr>
              <w:jc w:val="right"/>
              <w:textAlignment w:val="bottom"/>
            </w:pPr>
            <w:r>
              <w:rPr>
                <w:rFonts w:ascii="Times New Roman" w:eastAsia="宋体" w:hAnsi="Times New Roman"/>
                <w:color w:val="000000"/>
                <w:sz w:val="20"/>
                <w:szCs w:val="20"/>
              </w:rPr>
              <w:t>2,756 </w:t>
            </w:r>
          </w:p>
        </w:tc>
        <w:tc>
          <w:tcPr>
            <w:tcW w:w="0" w:type="auto"/>
            <w:shd w:val="clear" w:color="auto" w:fill="CCEEFF"/>
            <w:tcMar>
              <w:top w:w="40" w:type="dxa"/>
              <w:left w:w="0" w:type="dxa"/>
              <w:bottom w:w="40" w:type="dxa"/>
              <w:right w:w="20" w:type="dxa"/>
            </w:tcMar>
            <w:vAlign w:val="bottom"/>
          </w:tcPr>
          <w:p w14:paraId="518B590B" w14:textId="77777777" w:rsidR="005C332D" w:rsidRDefault="005C332D">
            <w:pPr>
              <w:jc w:val="right"/>
              <w:rPr>
                <w:rFonts w:ascii="宋体"/>
              </w:rPr>
            </w:pPr>
          </w:p>
        </w:tc>
      </w:tr>
      <w:tr w:rsidR="005C332D" w14:paraId="518B5919" w14:textId="77777777">
        <w:tc>
          <w:tcPr>
            <w:tcW w:w="0" w:type="auto"/>
            <w:gridSpan w:val="3"/>
            <w:shd w:val="clear" w:color="auto" w:fill="FFFFFF"/>
            <w:tcMar>
              <w:top w:w="40" w:type="dxa"/>
              <w:left w:w="380" w:type="dxa"/>
              <w:bottom w:w="40" w:type="dxa"/>
              <w:right w:w="20" w:type="dxa"/>
            </w:tcMar>
            <w:vAlign w:val="bottom"/>
          </w:tcPr>
          <w:p w14:paraId="518B590D" w14:textId="77777777" w:rsidR="005C332D" w:rsidRDefault="00B93EAE">
            <w:pPr>
              <w:textAlignment w:val="bottom"/>
            </w:pPr>
            <w:r>
              <w:rPr>
                <w:rFonts w:ascii="Times New Roman" w:eastAsia="宋体" w:hAnsi="Times New Roman"/>
                <w:b/>
                <w:bCs/>
                <w:color w:val="000000"/>
                <w:sz w:val="20"/>
                <w:szCs w:val="20"/>
              </w:rPr>
              <w:t xml:space="preserve">NET </w:t>
            </w:r>
            <w:r>
              <w:rPr>
                <w:rFonts w:ascii="Times New Roman" w:eastAsia="宋体" w:hAnsi="Times New Roman"/>
                <w:b/>
                <w:bCs/>
                <w:color w:val="000000"/>
                <w:sz w:val="20"/>
                <w:szCs w:val="20"/>
              </w:rPr>
              <w:t>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518B590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590F" w14:textId="77777777" w:rsidR="005C332D" w:rsidRDefault="00B93EAE">
            <w:pPr>
              <w:jc w:val="right"/>
              <w:textAlignment w:val="bottom"/>
            </w:pPr>
            <w:r>
              <w:rPr>
                <w:rFonts w:ascii="Times New Roman" w:eastAsia="宋体" w:hAnsi="Times New Roman"/>
                <w:b/>
                <w:bCs/>
                <w:color w:val="000000"/>
                <w:sz w:val="20"/>
                <w:szCs w:val="20"/>
              </w:rPr>
              <w:t>11,812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91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11"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591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5913" w14:textId="77777777" w:rsidR="005C332D" w:rsidRDefault="00B93EAE">
            <w:pPr>
              <w:jc w:val="right"/>
              <w:textAlignment w:val="bottom"/>
            </w:pPr>
            <w:r>
              <w:rPr>
                <w:rFonts w:ascii="Times New Roman" w:eastAsia="宋体" w:hAnsi="Times New Roman"/>
                <w:color w:val="000000"/>
                <w:sz w:val="20"/>
                <w:szCs w:val="20"/>
              </w:rPr>
              <w:t>10,591 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91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15"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591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5917" w14:textId="77777777" w:rsidR="005C332D" w:rsidRDefault="00B93EAE">
            <w:pPr>
              <w:jc w:val="right"/>
              <w:textAlignment w:val="bottom"/>
            </w:pPr>
            <w:r>
              <w:rPr>
                <w:rFonts w:ascii="Times New Roman" w:eastAsia="宋体" w:hAnsi="Times New Roman"/>
                <w:color w:val="000000"/>
                <w:sz w:val="20"/>
                <w:szCs w:val="20"/>
              </w:rPr>
              <w:t>11,214 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918" w14:textId="77777777" w:rsidR="005C332D" w:rsidRDefault="005C332D">
            <w:pPr>
              <w:jc w:val="right"/>
              <w:rPr>
                <w:rFonts w:ascii="宋体"/>
              </w:rPr>
            </w:pPr>
          </w:p>
        </w:tc>
      </w:tr>
      <w:tr w:rsidR="005C332D" w14:paraId="518B5920" w14:textId="77777777">
        <w:trPr>
          <w:trHeight w:val="280"/>
        </w:trPr>
        <w:tc>
          <w:tcPr>
            <w:tcW w:w="0" w:type="auto"/>
            <w:gridSpan w:val="3"/>
            <w:shd w:val="clear" w:color="auto" w:fill="CCEEFF"/>
            <w:tcMar>
              <w:top w:w="0" w:type="dxa"/>
              <w:left w:w="20" w:type="dxa"/>
              <w:bottom w:w="0" w:type="dxa"/>
              <w:right w:w="20" w:type="dxa"/>
            </w:tcMar>
            <w:vAlign w:val="bottom"/>
          </w:tcPr>
          <w:p w14:paraId="518B591A"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91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91C"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91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91E"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91F" w14:textId="77777777" w:rsidR="005C332D" w:rsidRDefault="005C332D">
            <w:pPr>
              <w:rPr>
                <w:rFonts w:ascii="宋体"/>
              </w:rPr>
            </w:pPr>
          </w:p>
        </w:tc>
      </w:tr>
      <w:tr w:rsidR="005C332D" w14:paraId="518B5927" w14:textId="77777777">
        <w:tc>
          <w:tcPr>
            <w:tcW w:w="0" w:type="auto"/>
            <w:gridSpan w:val="3"/>
            <w:shd w:val="clear" w:color="auto" w:fill="FFFFFF"/>
            <w:tcMar>
              <w:top w:w="40" w:type="dxa"/>
              <w:left w:w="20" w:type="dxa"/>
              <w:bottom w:w="40" w:type="dxa"/>
              <w:right w:w="20" w:type="dxa"/>
            </w:tcMar>
            <w:vAlign w:val="bottom"/>
          </w:tcPr>
          <w:p w14:paraId="518B5921" w14:textId="77777777" w:rsidR="005C332D" w:rsidRDefault="00B93EAE">
            <w:pPr>
              <w:textAlignment w:val="bottom"/>
            </w:pPr>
            <w:r>
              <w:rPr>
                <w:rFonts w:ascii="Times New Roman" w:eastAsia="宋体" w:hAnsi="Times New Roman"/>
                <w:color w:val="000000"/>
                <w:sz w:val="20"/>
                <w:szCs w:val="20"/>
              </w:rPr>
              <w:t>Net income per share:</w:t>
            </w:r>
          </w:p>
        </w:tc>
        <w:tc>
          <w:tcPr>
            <w:tcW w:w="0" w:type="auto"/>
            <w:gridSpan w:val="3"/>
            <w:shd w:val="clear" w:color="auto" w:fill="FFFFFF"/>
            <w:tcMar>
              <w:top w:w="0" w:type="dxa"/>
              <w:left w:w="20" w:type="dxa"/>
              <w:bottom w:w="0" w:type="dxa"/>
              <w:right w:w="20" w:type="dxa"/>
            </w:tcMar>
            <w:vAlign w:val="bottom"/>
          </w:tcPr>
          <w:p w14:paraId="518B592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92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92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92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926" w14:textId="77777777" w:rsidR="005C332D" w:rsidRDefault="005C332D">
            <w:pPr>
              <w:rPr>
                <w:rFonts w:ascii="宋体"/>
              </w:rPr>
            </w:pPr>
          </w:p>
        </w:tc>
      </w:tr>
      <w:tr w:rsidR="005C332D" w14:paraId="518B5934" w14:textId="77777777">
        <w:tc>
          <w:tcPr>
            <w:tcW w:w="0" w:type="auto"/>
            <w:gridSpan w:val="3"/>
            <w:shd w:val="clear" w:color="auto" w:fill="CCEEFF"/>
            <w:tcMar>
              <w:top w:w="40" w:type="dxa"/>
              <w:left w:w="155" w:type="dxa"/>
              <w:bottom w:w="40" w:type="dxa"/>
              <w:right w:w="20" w:type="dxa"/>
            </w:tcMar>
            <w:vAlign w:val="bottom"/>
          </w:tcPr>
          <w:p w14:paraId="518B5928" w14:textId="77777777" w:rsidR="005C332D" w:rsidRDefault="00B93EAE">
            <w:pPr>
              <w:textAlignment w:val="bottom"/>
            </w:pPr>
            <w:r>
              <w:rPr>
                <w:rFonts w:ascii="Times New Roman" w:eastAsia="宋体" w:hAnsi="Times New Roman"/>
                <w:color w:val="000000"/>
                <w:sz w:val="20"/>
                <w:szCs w:val="20"/>
              </w:rPr>
              <w:t>Basic</w:t>
            </w:r>
          </w:p>
        </w:tc>
        <w:tc>
          <w:tcPr>
            <w:tcW w:w="0" w:type="auto"/>
            <w:shd w:val="clear" w:color="auto" w:fill="CCEEFF"/>
            <w:tcMar>
              <w:top w:w="40" w:type="dxa"/>
              <w:left w:w="20" w:type="dxa"/>
              <w:bottom w:w="40" w:type="dxa"/>
              <w:right w:w="0" w:type="dxa"/>
            </w:tcMar>
            <w:vAlign w:val="bottom"/>
          </w:tcPr>
          <w:p w14:paraId="518B5929"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592A" w14:textId="77777777" w:rsidR="005C332D" w:rsidRDefault="00B93EAE">
            <w:pPr>
              <w:jc w:val="right"/>
              <w:textAlignment w:val="bottom"/>
            </w:pPr>
            <w:r>
              <w:rPr>
                <w:rFonts w:ascii="Times New Roman" w:eastAsia="宋体" w:hAnsi="Times New Roman"/>
                <w:b/>
                <w:bCs/>
                <w:color w:val="000000"/>
                <w:sz w:val="20"/>
                <w:szCs w:val="20"/>
              </w:rPr>
              <w:t>2.83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92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2C"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92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92E" w14:textId="77777777" w:rsidR="005C332D" w:rsidRDefault="00B93EAE">
            <w:pPr>
              <w:jc w:val="right"/>
              <w:textAlignment w:val="bottom"/>
            </w:pPr>
            <w:r>
              <w:rPr>
                <w:rFonts w:ascii="Times New Roman" w:eastAsia="宋体" w:hAnsi="Times New Roman"/>
                <w:color w:val="000000"/>
                <w:sz w:val="20"/>
                <w:szCs w:val="20"/>
              </w:rPr>
              <w:t>2.51 </w:t>
            </w:r>
          </w:p>
        </w:tc>
        <w:tc>
          <w:tcPr>
            <w:tcW w:w="0" w:type="auto"/>
            <w:shd w:val="clear" w:color="auto" w:fill="CCEEFF"/>
            <w:tcMar>
              <w:top w:w="40" w:type="dxa"/>
              <w:left w:w="0" w:type="dxa"/>
              <w:bottom w:w="40" w:type="dxa"/>
              <w:right w:w="20" w:type="dxa"/>
            </w:tcMar>
            <w:vAlign w:val="bottom"/>
          </w:tcPr>
          <w:p w14:paraId="518B592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30"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93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5932" w14:textId="77777777" w:rsidR="005C332D" w:rsidRDefault="00B93EAE">
            <w:pPr>
              <w:jc w:val="right"/>
              <w:textAlignment w:val="bottom"/>
            </w:pPr>
            <w:r>
              <w:rPr>
                <w:rFonts w:ascii="Times New Roman" w:eastAsia="宋体" w:hAnsi="Times New Roman"/>
                <w:color w:val="000000"/>
                <w:sz w:val="20"/>
                <w:szCs w:val="20"/>
              </w:rPr>
              <w:t>2.65 </w:t>
            </w:r>
          </w:p>
        </w:tc>
        <w:tc>
          <w:tcPr>
            <w:tcW w:w="0" w:type="auto"/>
            <w:shd w:val="clear" w:color="auto" w:fill="CCEEFF"/>
            <w:tcMar>
              <w:top w:w="40" w:type="dxa"/>
              <w:left w:w="0" w:type="dxa"/>
              <w:bottom w:w="40" w:type="dxa"/>
              <w:right w:w="20" w:type="dxa"/>
            </w:tcMar>
            <w:vAlign w:val="bottom"/>
          </w:tcPr>
          <w:p w14:paraId="518B5933" w14:textId="77777777" w:rsidR="005C332D" w:rsidRDefault="005C332D">
            <w:pPr>
              <w:jc w:val="right"/>
              <w:rPr>
                <w:rFonts w:ascii="宋体"/>
              </w:rPr>
            </w:pPr>
          </w:p>
        </w:tc>
      </w:tr>
      <w:tr w:rsidR="005C332D" w14:paraId="518B5941" w14:textId="77777777">
        <w:tc>
          <w:tcPr>
            <w:tcW w:w="0" w:type="auto"/>
            <w:gridSpan w:val="3"/>
            <w:shd w:val="clear" w:color="auto" w:fill="FFFFFF"/>
            <w:tcMar>
              <w:top w:w="40" w:type="dxa"/>
              <w:left w:w="155" w:type="dxa"/>
              <w:bottom w:w="40" w:type="dxa"/>
              <w:right w:w="20" w:type="dxa"/>
            </w:tcMar>
            <w:vAlign w:val="bottom"/>
          </w:tcPr>
          <w:p w14:paraId="518B5935" w14:textId="77777777" w:rsidR="005C332D" w:rsidRDefault="00B93EAE">
            <w:pPr>
              <w:textAlignment w:val="bottom"/>
            </w:pPr>
            <w:r>
              <w:rPr>
                <w:rFonts w:ascii="Times New Roman" w:eastAsia="宋体" w:hAnsi="Times New Roman"/>
                <w:color w:val="000000"/>
                <w:sz w:val="20"/>
                <w:szCs w:val="20"/>
              </w:rPr>
              <w:t>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518B5936"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18B5937" w14:textId="77777777" w:rsidR="005C332D" w:rsidRDefault="00B93EAE">
            <w:pPr>
              <w:jc w:val="right"/>
              <w:textAlignment w:val="bottom"/>
            </w:pPr>
            <w:r>
              <w:rPr>
                <w:rFonts w:ascii="Times New Roman" w:eastAsia="宋体" w:hAnsi="Times New Roman"/>
                <w:b/>
                <w:bCs/>
                <w:color w:val="000000"/>
                <w:sz w:val="20"/>
                <w:szCs w:val="20"/>
              </w:rPr>
              <w:t>2.82</w:t>
            </w: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18B593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39" w14:textId="77777777" w:rsidR="005C332D" w:rsidRDefault="005C332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18B593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18B593B" w14:textId="77777777" w:rsidR="005C332D" w:rsidRDefault="00B93EAE">
            <w:pPr>
              <w:jc w:val="right"/>
              <w:textAlignment w:val="bottom"/>
            </w:pPr>
            <w:r>
              <w:rPr>
                <w:rFonts w:ascii="Times New Roman" w:eastAsia="宋体" w:hAnsi="Times New Roman"/>
                <w:color w:val="000000"/>
                <w:sz w:val="20"/>
                <w:szCs w:val="20"/>
              </w:rPr>
              <w:t>2.50 </w:t>
            </w:r>
          </w:p>
        </w:tc>
        <w:tc>
          <w:tcPr>
            <w:tcW w:w="0" w:type="auto"/>
            <w:tcBorders>
              <w:top w:val="double" w:sz="6" w:space="0" w:color="000000"/>
            </w:tcBorders>
            <w:shd w:val="clear" w:color="auto" w:fill="FFFFFF"/>
            <w:tcMar>
              <w:top w:w="40" w:type="dxa"/>
              <w:left w:w="0" w:type="dxa"/>
              <w:bottom w:w="40" w:type="dxa"/>
              <w:right w:w="20" w:type="dxa"/>
            </w:tcMar>
            <w:vAlign w:val="bottom"/>
          </w:tcPr>
          <w:p w14:paraId="518B593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3D" w14:textId="77777777" w:rsidR="005C332D" w:rsidRDefault="005C332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18B593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18B593F" w14:textId="77777777" w:rsidR="005C332D" w:rsidRDefault="00B93EAE">
            <w:pPr>
              <w:jc w:val="right"/>
              <w:textAlignment w:val="bottom"/>
            </w:pPr>
            <w:r>
              <w:rPr>
                <w:rFonts w:ascii="Times New Roman" w:eastAsia="宋体" w:hAnsi="Times New Roman"/>
                <w:color w:val="000000"/>
                <w:sz w:val="20"/>
                <w:szCs w:val="20"/>
              </w:rPr>
              <w:t>2.64 </w:t>
            </w:r>
          </w:p>
        </w:tc>
        <w:tc>
          <w:tcPr>
            <w:tcW w:w="0" w:type="auto"/>
            <w:tcBorders>
              <w:top w:val="double" w:sz="6" w:space="0" w:color="000000"/>
            </w:tcBorders>
            <w:shd w:val="clear" w:color="auto" w:fill="FFFFFF"/>
            <w:tcMar>
              <w:top w:w="40" w:type="dxa"/>
              <w:left w:w="0" w:type="dxa"/>
              <w:bottom w:w="40" w:type="dxa"/>
              <w:right w:w="20" w:type="dxa"/>
            </w:tcMar>
            <w:vAlign w:val="bottom"/>
          </w:tcPr>
          <w:p w14:paraId="518B5940" w14:textId="77777777" w:rsidR="005C332D" w:rsidRDefault="005C332D">
            <w:pPr>
              <w:jc w:val="right"/>
              <w:rPr>
                <w:rFonts w:ascii="宋体"/>
              </w:rPr>
            </w:pPr>
          </w:p>
        </w:tc>
      </w:tr>
      <w:tr w:rsidR="005C332D" w14:paraId="518B5948" w14:textId="77777777">
        <w:tc>
          <w:tcPr>
            <w:tcW w:w="0" w:type="auto"/>
            <w:gridSpan w:val="3"/>
            <w:shd w:val="clear" w:color="auto" w:fill="CCEEFF"/>
            <w:tcMar>
              <w:top w:w="40" w:type="dxa"/>
              <w:left w:w="20" w:type="dxa"/>
              <w:bottom w:w="40" w:type="dxa"/>
              <w:right w:w="20" w:type="dxa"/>
            </w:tcMar>
            <w:vAlign w:val="bottom"/>
          </w:tcPr>
          <w:p w14:paraId="518B5942" w14:textId="77777777" w:rsidR="005C332D" w:rsidRDefault="00B93EAE">
            <w:pPr>
              <w:textAlignment w:val="bottom"/>
            </w:pPr>
            <w:r>
              <w:rPr>
                <w:rFonts w:ascii="Times New Roman" w:eastAsia="宋体" w:hAnsi="Times New Roman"/>
                <w:color w:val="000000"/>
                <w:sz w:val="20"/>
                <w:szCs w:val="20"/>
              </w:rPr>
              <w:t>Shares used in per-share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94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944"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94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946"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947" w14:textId="77777777" w:rsidR="005C332D" w:rsidRDefault="005C332D">
            <w:pPr>
              <w:rPr>
                <w:rFonts w:ascii="宋体"/>
              </w:rPr>
            </w:pPr>
          </w:p>
        </w:tc>
      </w:tr>
      <w:tr w:rsidR="005C332D" w14:paraId="518B5952" w14:textId="77777777">
        <w:tc>
          <w:tcPr>
            <w:tcW w:w="0" w:type="auto"/>
            <w:gridSpan w:val="3"/>
            <w:shd w:val="clear" w:color="auto" w:fill="FFFFFF"/>
            <w:tcMar>
              <w:top w:w="40" w:type="dxa"/>
              <w:left w:w="155" w:type="dxa"/>
              <w:bottom w:w="40" w:type="dxa"/>
              <w:right w:w="20" w:type="dxa"/>
            </w:tcMar>
            <w:vAlign w:val="bottom"/>
          </w:tcPr>
          <w:p w14:paraId="518B5949" w14:textId="77777777" w:rsidR="005C332D" w:rsidRDefault="00B93EAE">
            <w:pPr>
              <w:textAlignment w:val="bottom"/>
            </w:pPr>
            <w:r>
              <w:rPr>
                <w:rFonts w:ascii="Times New Roman" w:eastAsia="宋体" w:hAnsi="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518B594A" w14:textId="77777777" w:rsidR="005C332D" w:rsidRDefault="00B93EAE">
            <w:pPr>
              <w:jc w:val="right"/>
              <w:textAlignment w:val="bottom"/>
            </w:pPr>
            <w:r>
              <w:rPr>
                <w:rFonts w:ascii="Times New Roman" w:eastAsia="宋体" w:hAnsi="Times New Roman"/>
                <w:b/>
                <w:bCs/>
                <w:color w:val="000000"/>
                <w:sz w:val="20"/>
                <w:szCs w:val="20"/>
              </w:rPr>
              <w:t>4,170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94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4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94D" w14:textId="77777777" w:rsidR="005C332D" w:rsidRDefault="00B93EAE">
            <w:pPr>
              <w:jc w:val="right"/>
              <w:textAlignment w:val="bottom"/>
            </w:pPr>
            <w:r>
              <w:rPr>
                <w:rFonts w:ascii="Times New Roman" w:eastAsia="宋体" w:hAnsi="Times New Roman"/>
                <w:color w:val="000000"/>
                <w:sz w:val="20"/>
                <w:szCs w:val="20"/>
              </w:rPr>
              <w:t>4,222 </w:t>
            </w:r>
          </w:p>
        </w:tc>
        <w:tc>
          <w:tcPr>
            <w:tcW w:w="0" w:type="auto"/>
            <w:shd w:val="clear" w:color="auto" w:fill="FFFFFF"/>
            <w:tcMar>
              <w:top w:w="40" w:type="dxa"/>
              <w:left w:w="0" w:type="dxa"/>
              <w:bottom w:w="40" w:type="dxa"/>
              <w:right w:w="20" w:type="dxa"/>
            </w:tcMar>
            <w:vAlign w:val="bottom"/>
          </w:tcPr>
          <w:p w14:paraId="518B594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4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950" w14:textId="77777777" w:rsidR="005C332D" w:rsidRDefault="00B93EAE">
            <w:pPr>
              <w:jc w:val="right"/>
              <w:textAlignment w:val="bottom"/>
            </w:pPr>
            <w:r>
              <w:rPr>
                <w:rFonts w:ascii="Times New Roman" w:eastAsia="宋体" w:hAnsi="Times New Roman"/>
                <w:color w:val="000000"/>
                <w:sz w:val="20"/>
                <w:szCs w:val="20"/>
              </w:rPr>
              <w:t>4,236 </w:t>
            </w:r>
          </w:p>
        </w:tc>
        <w:tc>
          <w:tcPr>
            <w:tcW w:w="0" w:type="auto"/>
            <w:shd w:val="clear" w:color="auto" w:fill="FFFFFF"/>
            <w:tcMar>
              <w:top w:w="40" w:type="dxa"/>
              <w:left w:w="0" w:type="dxa"/>
              <w:bottom w:w="40" w:type="dxa"/>
              <w:right w:w="20" w:type="dxa"/>
            </w:tcMar>
            <w:vAlign w:val="bottom"/>
          </w:tcPr>
          <w:p w14:paraId="518B5951" w14:textId="77777777" w:rsidR="005C332D" w:rsidRDefault="005C332D">
            <w:pPr>
              <w:jc w:val="right"/>
              <w:rPr>
                <w:rFonts w:ascii="宋体"/>
              </w:rPr>
            </w:pPr>
          </w:p>
        </w:tc>
      </w:tr>
      <w:tr w:rsidR="005C332D" w14:paraId="518B595C" w14:textId="77777777">
        <w:tc>
          <w:tcPr>
            <w:tcW w:w="0" w:type="auto"/>
            <w:gridSpan w:val="3"/>
            <w:shd w:val="clear" w:color="auto" w:fill="CCEEFF"/>
            <w:tcMar>
              <w:top w:w="40" w:type="dxa"/>
              <w:left w:w="155" w:type="dxa"/>
              <w:bottom w:w="40" w:type="dxa"/>
              <w:right w:w="20" w:type="dxa"/>
            </w:tcMar>
            <w:vAlign w:val="bottom"/>
          </w:tcPr>
          <w:p w14:paraId="518B5953" w14:textId="77777777" w:rsidR="005C332D" w:rsidRDefault="00B93EAE">
            <w:pPr>
              <w:textAlignment w:val="bottom"/>
            </w:pPr>
            <w:r>
              <w:rPr>
                <w:rFonts w:ascii="Times New Roman" w:eastAsia="宋体" w:hAnsi="Times New Roman"/>
                <w:color w:val="000000"/>
                <w:sz w:val="20"/>
                <w:szCs w:val="20"/>
              </w:rPr>
              <w:t>Diluted</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18B5954" w14:textId="77777777" w:rsidR="005C332D" w:rsidRDefault="00B93EAE">
            <w:pPr>
              <w:jc w:val="right"/>
              <w:textAlignment w:val="bottom"/>
            </w:pPr>
            <w:r>
              <w:rPr>
                <w:rFonts w:ascii="Times New Roman" w:eastAsia="宋体" w:hAnsi="Times New Roman"/>
                <w:b/>
                <w:bCs/>
                <w:color w:val="000000"/>
                <w:sz w:val="20"/>
                <w:szCs w:val="20"/>
              </w:rPr>
              <w:t>4,192</w:t>
            </w:r>
            <w:r>
              <w:rPr>
                <w:rFonts w:ascii="Times New Roman" w:eastAsia="宋体" w:hAnsi="Times New Roman"/>
                <w:color w:val="000000"/>
                <w:sz w:val="20"/>
                <w:szCs w:val="20"/>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18B595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56" w14:textId="77777777" w:rsidR="005C332D" w:rsidRDefault="005C332D">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18B5957" w14:textId="77777777" w:rsidR="005C332D" w:rsidRDefault="00B93EAE">
            <w:pPr>
              <w:jc w:val="right"/>
              <w:textAlignment w:val="bottom"/>
            </w:pPr>
            <w:r>
              <w:rPr>
                <w:rFonts w:ascii="Times New Roman" w:eastAsia="宋体" w:hAnsi="Times New Roman"/>
                <w:color w:val="000000"/>
                <w:sz w:val="20"/>
                <w:szCs w:val="20"/>
              </w:rPr>
              <w:t>4,236 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18B595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59" w14:textId="77777777" w:rsidR="005C332D" w:rsidRDefault="005C332D">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18B595A" w14:textId="77777777" w:rsidR="005C332D" w:rsidRDefault="00B93EAE">
            <w:pPr>
              <w:jc w:val="right"/>
              <w:textAlignment w:val="bottom"/>
            </w:pPr>
            <w:r>
              <w:rPr>
                <w:rFonts w:ascii="Times New Roman" w:eastAsia="宋体" w:hAnsi="Times New Roman"/>
                <w:color w:val="000000"/>
                <w:sz w:val="20"/>
                <w:szCs w:val="20"/>
              </w:rPr>
              <w:t>4,254 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18B595B" w14:textId="77777777" w:rsidR="005C332D" w:rsidRDefault="005C332D">
            <w:pPr>
              <w:jc w:val="right"/>
              <w:rPr>
                <w:rFonts w:ascii="宋体"/>
              </w:rPr>
            </w:pPr>
          </w:p>
        </w:tc>
      </w:tr>
    </w:tbl>
    <w:p w14:paraId="518B595D" w14:textId="77777777" w:rsidR="005C332D" w:rsidRDefault="00B93EAE">
      <w:pPr>
        <w:spacing w:before="180"/>
      </w:pPr>
      <w:r>
        <w:rPr>
          <w:rFonts w:ascii="Times New Roman" w:eastAsia="宋体" w:hAnsi="Times New Roman"/>
          <w:color w:val="000000"/>
          <w:sz w:val="20"/>
          <w:szCs w:val="20"/>
        </w:rPr>
        <w:t xml:space="preserve">See Notes to Consolidated Financial </w:t>
      </w:r>
      <w:r>
        <w:rPr>
          <w:rFonts w:ascii="Times New Roman" w:eastAsia="宋体" w:hAnsi="Times New Roman"/>
          <w:color w:val="000000"/>
          <w:sz w:val="20"/>
          <w:szCs w:val="20"/>
        </w:rPr>
        <w:t>Statements.</w:t>
      </w:r>
    </w:p>
    <w:p w14:paraId="518B595E" w14:textId="77777777" w:rsidR="005C332D" w:rsidRDefault="00B93EAE">
      <w:pPr>
        <w:jc w:val="center"/>
      </w:pPr>
      <w:r>
        <w:rPr>
          <w:rFonts w:ascii="Times New Roman" w:eastAsia="宋体" w:hAnsi="Times New Roman"/>
          <w:color w:val="000000"/>
          <w:sz w:val="20"/>
          <w:szCs w:val="20"/>
        </w:rPr>
        <w:t>60</w:t>
      </w:r>
    </w:p>
    <w:p w14:paraId="518B595F" w14:textId="77777777" w:rsidR="005C332D" w:rsidRDefault="00B93EAE">
      <w:r>
        <w:pict w14:anchorId="518B8751">
          <v:rect id="_x0000_i1086" style="width:415.3pt;height:1.5pt" o:hralign="center" o:hrstd="t" o:hr="t" fillcolor="#a0a0a0" stroked="f"/>
        </w:pict>
      </w:r>
    </w:p>
    <w:p w14:paraId="518B5960" w14:textId="77777777" w:rsidR="005C332D" w:rsidRDefault="00B93EAE">
      <w:hyperlink r:id="rId171" w:anchor="i049852cab38845aabd2a79d07dacda86_7" w:history="1">
        <w:r>
          <w:rPr>
            <w:rStyle w:val="a5"/>
            <w:rFonts w:ascii="Times New Roman" w:eastAsia="宋体" w:hAnsi="Times New Roman"/>
            <w:sz w:val="20"/>
            <w:szCs w:val="20"/>
          </w:rPr>
          <w:t>Table of Contents</w:t>
        </w:r>
      </w:hyperlink>
    </w:p>
    <w:p w14:paraId="518B5961" w14:textId="77777777" w:rsidR="005C332D" w:rsidRDefault="00B93EAE">
      <w:pPr>
        <w:jc w:val="center"/>
      </w:pPr>
      <w:r>
        <w:rPr>
          <w:rFonts w:ascii="Times New Roman" w:eastAsia="宋体" w:hAnsi="Times New Roman"/>
          <w:b/>
          <w:bCs/>
          <w:color w:val="000000"/>
          <w:sz w:val="20"/>
          <w:szCs w:val="20"/>
        </w:rPr>
        <w:t>CISCO SYSTEMS, INC.</w:t>
      </w:r>
    </w:p>
    <w:p w14:paraId="518B5962" w14:textId="77777777" w:rsidR="005C332D" w:rsidRDefault="00B93EAE">
      <w:pPr>
        <w:jc w:val="center"/>
      </w:pPr>
      <w:r>
        <w:rPr>
          <w:rFonts w:ascii="Times New Roman" w:eastAsia="宋体" w:hAnsi="Times New Roman"/>
          <w:b/>
          <w:bCs/>
          <w:color w:val="000000"/>
          <w:sz w:val="20"/>
          <w:szCs w:val="20"/>
        </w:rPr>
        <w:t>Consolidated Statements of Comprehensive Income</w:t>
      </w:r>
    </w:p>
    <w:p w14:paraId="518B5963" w14:textId="77777777" w:rsidR="005C332D" w:rsidRDefault="00B93EAE">
      <w:pPr>
        <w:jc w:val="center"/>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bl>
      <w:tblPr>
        <w:tblW w:w="4905" w:type="pct"/>
        <w:jc w:val="center"/>
        <w:tblCellMar>
          <w:top w:w="15" w:type="dxa"/>
          <w:left w:w="15" w:type="dxa"/>
          <w:bottom w:w="15" w:type="dxa"/>
          <w:right w:w="15" w:type="dxa"/>
        </w:tblCellMar>
        <w:tblLook w:val="04A0" w:firstRow="1" w:lastRow="0" w:firstColumn="1" w:lastColumn="0" w:noHBand="0" w:noVBand="1"/>
      </w:tblPr>
      <w:tblGrid>
        <w:gridCol w:w="39"/>
        <w:gridCol w:w="4732"/>
        <w:gridCol w:w="37"/>
        <w:gridCol w:w="120"/>
        <w:gridCol w:w="922"/>
        <w:gridCol w:w="36"/>
        <w:gridCol w:w="36"/>
        <w:gridCol w:w="36"/>
        <w:gridCol w:w="36"/>
        <w:gridCol w:w="120"/>
        <w:gridCol w:w="882"/>
        <w:gridCol w:w="36"/>
        <w:gridCol w:w="36"/>
        <w:gridCol w:w="36"/>
        <w:gridCol w:w="36"/>
        <w:gridCol w:w="120"/>
        <w:gridCol w:w="882"/>
        <w:gridCol w:w="36"/>
      </w:tblGrid>
      <w:tr w:rsidR="005C332D" w14:paraId="518B5976" w14:textId="77777777">
        <w:trPr>
          <w:jc w:val="center"/>
        </w:trPr>
        <w:tc>
          <w:tcPr>
            <w:tcW w:w="50" w:type="pct"/>
            <w:shd w:val="clear" w:color="auto" w:fill="auto"/>
            <w:vAlign w:val="bottom"/>
          </w:tcPr>
          <w:p w14:paraId="518B5964" w14:textId="77777777" w:rsidR="005C332D" w:rsidRDefault="005C332D">
            <w:pPr>
              <w:rPr>
                <w:rFonts w:ascii="宋体"/>
              </w:rPr>
            </w:pPr>
          </w:p>
        </w:tc>
        <w:tc>
          <w:tcPr>
            <w:tcW w:w="2925" w:type="pct"/>
            <w:shd w:val="clear" w:color="auto" w:fill="auto"/>
            <w:vAlign w:val="bottom"/>
          </w:tcPr>
          <w:p w14:paraId="518B5965" w14:textId="77777777" w:rsidR="005C332D" w:rsidRDefault="005C332D">
            <w:pPr>
              <w:rPr>
                <w:rFonts w:ascii="宋体"/>
              </w:rPr>
            </w:pPr>
          </w:p>
        </w:tc>
        <w:tc>
          <w:tcPr>
            <w:tcW w:w="5" w:type="pct"/>
            <w:shd w:val="clear" w:color="auto" w:fill="auto"/>
            <w:vAlign w:val="bottom"/>
          </w:tcPr>
          <w:p w14:paraId="518B5966" w14:textId="77777777" w:rsidR="005C332D" w:rsidRDefault="005C332D">
            <w:pPr>
              <w:rPr>
                <w:rFonts w:ascii="宋体"/>
              </w:rPr>
            </w:pPr>
          </w:p>
        </w:tc>
        <w:tc>
          <w:tcPr>
            <w:tcW w:w="50" w:type="pct"/>
            <w:shd w:val="clear" w:color="auto" w:fill="auto"/>
            <w:vAlign w:val="bottom"/>
          </w:tcPr>
          <w:p w14:paraId="518B5967" w14:textId="77777777" w:rsidR="005C332D" w:rsidRDefault="005C332D">
            <w:pPr>
              <w:rPr>
                <w:rFonts w:ascii="宋体"/>
              </w:rPr>
            </w:pPr>
          </w:p>
        </w:tc>
        <w:tc>
          <w:tcPr>
            <w:tcW w:w="593" w:type="pct"/>
            <w:shd w:val="clear" w:color="auto" w:fill="auto"/>
            <w:vAlign w:val="bottom"/>
          </w:tcPr>
          <w:p w14:paraId="518B5968" w14:textId="77777777" w:rsidR="005C332D" w:rsidRDefault="005C332D">
            <w:pPr>
              <w:rPr>
                <w:rFonts w:ascii="宋体"/>
              </w:rPr>
            </w:pPr>
          </w:p>
        </w:tc>
        <w:tc>
          <w:tcPr>
            <w:tcW w:w="5" w:type="pct"/>
            <w:shd w:val="clear" w:color="auto" w:fill="auto"/>
            <w:vAlign w:val="bottom"/>
          </w:tcPr>
          <w:p w14:paraId="518B5969" w14:textId="77777777" w:rsidR="005C332D" w:rsidRDefault="005C332D">
            <w:pPr>
              <w:rPr>
                <w:rFonts w:ascii="宋体"/>
              </w:rPr>
            </w:pPr>
          </w:p>
        </w:tc>
        <w:tc>
          <w:tcPr>
            <w:tcW w:w="5" w:type="pct"/>
            <w:shd w:val="clear" w:color="auto" w:fill="auto"/>
            <w:vAlign w:val="bottom"/>
          </w:tcPr>
          <w:p w14:paraId="518B596A" w14:textId="77777777" w:rsidR="005C332D" w:rsidRDefault="005C332D">
            <w:pPr>
              <w:rPr>
                <w:rFonts w:ascii="宋体"/>
              </w:rPr>
            </w:pPr>
          </w:p>
        </w:tc>
        <w:tc>
          <w:tcPr>
            <w:tcW w:w="27" w:type="pct"/>
            <w:shd w:val="clear" w:color="auto" w:fill="auto"/>
            <w:vAlign w:val="bottom"/>
          </w:tcPr>
          <w:p w14:paraId="518B596B" w14:textId="77777777" w:rsidR="005C332D" w:rsidRDefault="005C332D">
            <w:pPr>
              <w:rPr>
                <w:rFonts w:ascii="宋体"/>
              </w:rPr>
            </w:pPr>
          </w:p>
        </w:tc>
        <w:tc>
          <w:tcPr>
            <w:tcW w:w="5" w:type="pct"/>
            <w:shd w:val="clear" w:color="auto" w:fill="auto"/>
            <w:vAlign w:val="bottom"/>
          </w:tcPr>
          <w:p w14:paraId="518B596C" w14:textId="77777777" w:rsidR="005C332D" w:rsidRDefault="005C332D">
            <w:pPr>
              <w:rPr>
                <w:rFonts w:ascii="宋体"/>
              </w:rPr>
            </w:pPr>
          </w:p>
        </w:tc>
        <w:tc>
          <w:tcPr>
            <w:tcW w:w="50" w:type="pct"/>
            <w:shd w:val="clear" w:color="auto" w:fill="auto"/>
            <w:vAlign w:val="bottom"/>
          </w:tcPr>
          <w:p w14:paraId="518B596D" w14:textId="77777777" w:rsidR="005C332D" w:rsidRDefault="005C332D">
            <w:pPr>
              <w:rPr>
                <w:rFonts w:ascii="宋体"/>
              </w:rPr>
            </w:pPr>
          </w:p>
        </w:tc>
        <w:tc>
          <w:tcPr>
            <w:tcW w:w="593" w:type="pct"/>
            <w:shd w:val="clear" w:color="auto" w:fill="auto"/>
            <w:vAlign w:val="bottom"/>
          </w:tcPr>
          <w:p w14:paraId="518B596E" w14:textId="77777777" w:rsidR="005C332D" w:rsidRDefault="005C332D">
            <w:pPr>
              <w:rPr>
                <w:rFonts w:ascii="宋体"/>
              </w:rPr>
            </w:pPr>
          </w:p>
        </w:tc>
        <w:tc>
          <w:tcPr>
            <w:tcW w:w="5" w:type="pct"/>
            <w:shd w:val="clear" w:color="auto" w:fill="auto"/>
            <w:vAlign w:val="bottom"/>
          </w:tcPr>
          <w:p w14:paraId="518B596F" w14:textId="77777777" w:rsidR="005C332D" w:rsidRDefault="005C332D">
            <w:pPr>
              <w:rPr>
                <w:rFonts w:ascii="宋体"/>
              </w:rPr>
            </w:pPr>
          </w:p>
        </w:tc>
        <w:tc>
          <w:tcPr>
            <w:tcW w:w="5" w:type="pct"/>
            <w:shd w:val="clear" w:color="auto" w:fill="auto"/>
            <w:vAlign w:val="bottom"/>
          </w:tcPr>
          <w:p w14:paraId="518B5970" w14:textId="77777777" w:rsidR="005C332D" w:rsidRDefault="005C332D">
            <w:pPr>
              <w:rPr>
                <w:rFonts w:ascii="宋体"/>
              </w:rPr>
            </w:pPr>
          </w:p>
        </w:tc>
        <w:tc>
          <w:tcPr>
            <w:tcW w:w="27" w:type="pct"/>
            <w:shd w:val="clear" w:color="auto" w:fill="auto"/>
            <w:vAlign w:val="bottom"/>
          </w:tcPr>
          <w:p w14:paraId="518B5971" w14:textId="77777777" w:rsidR="005C332D" w:rsidRDefault="005C332D">
            <w:pPr>
              <w:rPr>
                <w:rFonts w:ascii="宋体"/>
              </w:rPr>
            </w:pPr>
          </w:p>
        </w:tc>
        <w:tc>
          <w:tcPr>
            <w:tcW w:w="5" w:type="pct"/>
            <w:shd w:val="clear" w:color="auto" w:fill="auto"/>
            <w:vAlign w:val="bottom"/>
          </w:tcPr>
          <w:p w14:paraId="518B5972" w14:textId="77777777" w:rsidR="005C332D" w:rsidRDefault="005C332D">
            <w:pPr>
              <w:rPr>
                <w:rFonts w:ascii="宋体"/>
              </w:rPr>
            </w:pPr>
          </w:p>
        </w:tc>
        <w:tc>
          <w:tcPr>
            <w:tcW w:w="50" w:type="pct"/>
            <w:shd w:val="clear" w:color="auto" w:fill="auto"/>
            <w:vAlign w:val="bottom"/>
          </w:tcPr>
          <w:p w14:paraId="518B5973" w14:textId="77777777" w:rsidR="005C332D" w:rsidRDefault="005C332D">
            <w:pPr>
              <w:rPr>
                <w:rFonts w:ascii="宋体"/>
              </w:rPr>
            </w:pPr>
          </w:p>
        </w:tc>
        <w:tc>
          <w:tcPr>
            <w:tcW w:w="593" w:type="pct"/>
            <w:shd w:val="clear" w:color="auto" w:fill="auto"/>
            <w:vAlign w:val="bottom"/>
          </w:tcPr>
          <w:p w14:paraId="518B5974" w14:textId="77777777" w:rsidR="005C332D" w:rsidRDefault="005C332D">
            <w:pPr>
              <w:rPr>
                <w:rFonts w:ascii="宋体"/>
              </w:rPr>
            </w:pPr>
          </w:p>
        </w:tc>
        <w:tc>
          <w:tcPr>
            <w:tcW w:w="5" w:type="pct"/>
            <w:shd w:val="clear" w:color="auto" w:fill="auto"/>
            <w:vAlign w:val="bottom"/>
          </w:tcPr>
          <w:p w14:paraId="518B5975" w14:textId="77777777" w:rsidR="005C332D" w:rsidRDefault="005C332D">
            <w:pPr>
              <w:rPr>
                <w:rFonts w:ascii="宋体"/>
              </w:rPr>
            </w:pPr>
          </w:p>
        </w:tc>
      </w:tr>
      <w:tr w:rsidR="005C332D" w14:paraId="518B597D" w14:textId="77777777">
        <w:trPr>
          <w:jc w:val="center"/>
        </w:trPr>
        <w:tc>
          <w:tcPr>
            <w:tcW w:w="0" w:type="auto"/>
            <w:gridSpan w:val="3"/>
            <w:shd w:val="clear" w:color="auto" w:fill="auto"/>
            <w:tcMar>
              <w:top w:w="40" w:type="dxa"/>
              <w:left w:w="20" w:type="dxa"/>
              <w:bottom w:w="40" w:type="dxa"/>
              <w:right w:w="20" w:type="dxa"/>
            </w:tcMar>
            <w:vAlign w:val="bottom"/>
          </w:tcPr>
          <w:p w14:paraId="518B5977"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shd w:val="clear" w:color="auto" w:fill="auto"/>
            <w:tcMar>
              <w:top w:w="40" w:type="dxa"/>
              <w:left w:w="20" w:type="dxa"/>
              <w:bottom w:w="40" w:type="dxa"/>
              <w:right w:w="20" w:type="dxa"/>
            </w:tcMar>
            <w:vAlign w:val="bottom"/>
          </w:tcPr>
          <w:p w14:paraId="518B5978"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97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97A"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97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97C"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598A" w14:textId="77777777">
        <w:trPr>
          <w:jc w:val="center"/>
        </w:trPr>
        <w:tc>
          <w:tcPr>
            <w:tcW w:w="0" w:type="auto"/>
            <w:gridSpan w:val="3"/>
            <w:shd w:val="clear" w:color="auto" w:fill="CCEEFF"/>
            <w:tcMar>
              <w:top w:w="40" w:type="dxa"/>
              <w:left w:w="20" w:type="dxa"/>
              <w:bottom w:w="40" w:type="dxa"/>
              <w:right w:w="20" w:type="dxa"/>
            </w:tcMar>
            <w:vAlign w:val="bottom"/>
          </w:tcPr>
          <w:p w14:paraId="518B597E" w14:textId="77777777" w:rsidR="005C332D" w:rsidRDefault="00B93EAE">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97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980" w14:textId="77777777" w:rsidR="005C332D" w:rsidRDefault="00B93EAE">
            <w:pPr>
              <w:jc w:val="right"/>
              <w:textAlignment w:val="bottom"/>
            </w:pPr>
            <w:r>
              <w:rPr>
                <w:rFonts w:ascii="Times New Roman" w:eastAsia="宋体" w:hAnsi="Times New Roman"/>
                <w:b/>
                <w:bCs/>
                <w:color w:val="000000"/>
                <w:sz w:val="20"/>
                <w:szCs w:val="20"/>
              </w:rPr>
              <w:t>11,812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8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8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98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984" w14:textId="77777777" w:rsidR="005C332D" w:rsidRDefault="00B93EAE">
            <w:pPr>
              <w:jc w:val="right"/>
              <w:textAlignment w:val="bottom"/>
            </w:pPr>
            <w:r>
              <w:rPr>
                <w:rFonts w:ascii="Times New Roman" w:eastAsia="宋体" w:hAnsi="Times New Roman"/>
                <w:color w:val="000000"/>
                <w:sz w:val="20"/>
                <w:szCs w:val="20"/>
              </w:rPr>
              <w:t>10,591 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8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8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98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988" w14:textId="77777777" w:rsidR="005C332D" w:rsidRDefault="00B93EAE">
            <w:pPr>
              <w:jc w:val="right"/>
              <w:textAlignment w:val="bottom"/>
            </w:pPr>
            <w:r>
              <w:rPr>
                <w:rFonts w:ascii="Times New Roman" w:eastAsia="宋体" w:hAnsi="Times New Roman"/>
                <w:color w:val="000000"/>
                <w:sz w:val="20"/>
                <w:szCs w:val="20"/>
              </w:rPr>
              <w:t>11,214 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89" w14:textId="77777777" w:rsidR="005C332D" w:rsidRDefault="005C332D">
            <w:pPr>
              <w:jc w:val="right"/>
              <w:rPr>
                <w:rFonts w:ascii="宋体"/>
              </w:rPr>
            </w:pPr>
          </w:p>
        </w:tc>
      </w:tr>
      <w:tr w:rsidR="005C332D" w14:paraId="518B5991" w14:textId="77777777">
        <w:trPr>
          <w:jc w:val="center"/>
        </w:trPr>
        <w:tc>
          <w:tcPr>
            <w:tcW w:w="0" w:type="auto"/>
            <w:gridSpan w:val="3"/>
            <w:shd w:val="clear" w:color="auto" w:fill="FFFFFF"/>
            <w:tcMar>
              <w:top w:w="40" w:type="dxa"/>
              <w:left w:w="155" w:type="dxa"/>
              <w:bottom w:w="40" w:type="dxa"/>
              <w:right w:w="20" w:type="dxa"/>
            </w:tcMar>
            <w:vAlign w:val="bottom"/>
          </w:tcPr>
          <w:p w14:paraId="518B598B" w14:textId="77777777" w:rsidR="005C332D" w:rsidRDefault="00B93EAE">
            <w:pPr>
              <w:textAlignment w:val="bottom"/>
            </w:pPr>
            <w:r>
              <w:rPr>
                <w:rFonts w:ascii="Times New Roman" w:eastAsia="宋体" w:hAnsi="Times New Roman"/>
                <w:color w:val="000000"/>
                <w:sz w:val="20"/>
                <w:szCs w:val="20"/>
              </w:rPr>
              <w:t>Available-for-sale investments: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598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98D"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598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98F"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5990" w14:textId="77777777" w:rsidR="005C332D" w:rsidRDefault="005C332D">
            <w:pPr>
              <w:rPr>
                <w:rFonts w:ascii="宋体"/>
              </w:rPr>
            </w:pPr>
          </w:p>
        </w:tc>
      </w:tr>
      <w:tr w:rsidR="005C332D" w14:paraId="518B599B" w14:textId="77777777">
        <w:trPr>
          <w:jc w:val="center"/>
        </w:trPr>
        <w:tc>
          <w:tcPr>
            <w:tcW w:w="0" w:type="auto"/>
            <w:gridSpan w:val="3"/>
            <w:shd w:val="clear" w:color="auto" w:fill="CCEEFF"/>
            <w:tcMar>
              <w:top w:w="40" w:type="dxa"/>
              <w:left w:w="20" w:type="dxa"/>
              <w:bottom w:w="40" w:type="dxa"/>
              <w:right w:w="20" w:type="dxa"/>
            </w:tcMar>
            <w:vAlign w:val="bottom"/>
          </w:tcPr>
          <w:p w14:paraId="518B5992" w14:textId="77777777" w:rsidR="005C332D" w:rsidRDefault="00B93EAE">
            <w:pPr>
              <w:textAlignment w:val="bottom"/>
            </w:pPr>
            <w:r>
              <w:rPr>
                <w:rFonts w:ascii="Times New Roman" w:eastAsia="宋体" w:hAnsi="Times New Roman"/>
                <w:color w:val="000000"/>
                <w:sz w:val="20"/>
                <w:szCs w:val="20"/>
              </w:rPr>
              <w:t>Change in net unrealized gains and losses, net of tax benefit (expense) of $174, $46, and $(84) for fiscal 2022, 2021, and 2020, respectively</w:t>
            </w:r>
          </w:p>
        </w:tc>
        <w:tc>
          <w:tcPr>
            <w:tcW w:w="0" w:type="auto"/>
            <w:gridSpan w:val="2"/>
            <w:shd w:val="clear" w:color="auto" w:fill="CCEEFF"/>
            <w:tcMar>
              <w:top w:w="40" w:type="dxa"/>
              <w:left w:w="20" w:type="dxa"/>
              <w:bottom w:w="40" w:type="dxa"/>
              <w:right w:w="0" w:type="dxa"/>
            </w:tcMar>
            <w:vAlign w:val="bottom"/>
          </w:tcPr>
          <w:p w14:paraId="518B5993" w14:textId="77777777" w:rsidR="005C332D" w:rsidRDefault="00B93EAE">
            <w:pPr>
              <w:jc w:val="right"/>
              <w:textAlignment w:val="bottom"/>
            </w:pPr>
            <w:r>
              <w:rPr>
                <w:rFonts w:ascii="Times New Roman" w:eastAsia="宋体" w:hAnsi="Times New Roman"/>
                <w:b/>
                <w:bCs/>
                <w:color w:val="000000"/>
                <w:sz w:val="20"/>
                <w:szCs w:val="20"/>
              </w:rPr>
              <w:t>(557)</w:t>
            </w:r>
          </w:p>
        </w:tc>
        <w:tc>
          <w:tcPr>
            <w:tcW w:w="0" w:type="auto"/>
            <w:shd w:val="clear" w:color="auto" w:fill="CCEEFF"/>
            <w:tcMar>
              <w:top w:w="40" w:type="dxa"/>
              <w:left w:w="0" w:type="dxa"/>
              <w:bottom w:w="40" w:type="dxa"/>
              <w:right w:w="20" w:type="dxa"/>
            </w:tcMar>
            <w:vAlign w:val="bottom"/>
          </w:tcPr>
          <w:p w14:paraId="518B599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9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996" w14:textId="77777777" w:rsidR="005C332D" w:rsidRDefault="00B93EAE">
            <w:pPr>
              <w:jc w:val="right"/>
              <w:textAlignment w:val="bottom"/>
            </w:pPr>
            <w:r>
              <w:rPr>
                <w:rFonts w:ascii="Times New Roman" w:eastAsia="宋体" w:hAnsi="Times New Roman"/>
                <w:color w:val="000000"/>
                <w:sz w:val="20"/>
                <w:szCs w:val="20"/>
              </w:rPr>
              <w:t>(95)</w:t>
            </w:r>
          </w:p>
        </w:tc>
        <w:tc>
          <w:tcPr>
            <w:tcW w:w="0" w:type="auto"/>
            <w:shd w:val="clear" w:color="auto" w:fill="CCEEFF"/>
            <w:tcMar>
              <w:top w:w="40" w:type="dxa"/>
              <w:left w:w="0" w:type="dxa"/>
              <w:bottom w:w="40" w:type="dxa"/>
              <w:right w:w="20" w:type="dxa"/>
            </w:tcMar>
            <w:vAlign w:val="bottom"/>
          </w:tcPr>
          <w:p w14:paraId="518B599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9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999" w14:textId="77777777" w:rsidR="005C332D" w:rsidRDefault="00B93EAE">
            <w:pPr>
              <w:jc w:val="right"/>
              <w:textAlignment w:val="bottom"/>
            </w:pPr>
            <w:r>
              <w:rPr>
                <w:rFonts w:ascii="Times New Roman" w:eastAsia="宋体" w:hAnsi="Times New Roman"/>
                <w:color w:val="000000"/>
                <w:sz w:val="20"/>
                <w:szCs w:val="20"/>
              </w:rPr>
              <w:t>336 </w:t>
            </w:r>
          </w:p>
        </w:tc>
        <w:tc>
          <w:tcPr>
            <w:tcW w:w="0" w:type="auto"/>
            <w:shd w:val="clear" w:color="auto" w:fill="CCEEFF"/>
            <w:tcMar>
              <w:top w:w="40" w:type="dxa"/>
              <w:left w:w="0" w:type="dxa"/>
              <w:bottom w:w="40" w:type="dxa"/>
              <w:right w:w="20" w:type="dxa"/>
            </w:tcMar>
            <w:vAlign w:val="bottom"/>
          </w:tcPr>
          <w:p w14:paraId="518B599A" w14:textId="77777777" w:rsidR="005C332D" w:rsidRDefault="005C332D">
            <w:pPr>
              <w:jc w:val="right"/>
              <w:rPr>
                <w:rFonts w:ascii="宋体"/>
              </w:rPr>
            </w:pPr>
          </w:p>
        </w:tc>
      </w:tr>
      <w:tr w:rsidR="005C332D" w14:paraId="518B59A5" w14:textId="77777777">
        <w:trPr>
          <w:jc w:val="center"/>
        </w:trPr>
        <w:tc>
          <w:tcPr>
            <w:tcW w:w="0" w:type="auto"/>
            <w:gridSpan w:val="3"/>
            <w:shd w:val="clear" w:color="auto" w:fill="FFFFFF"/>
            <w:tcMar>
              <w:top w:w="40" w:type="dxa"/>
              <w:left w:w="20" w:type="dxa"/>
              <w:bottom w:w="40" w:type="dxa"/>
              <w:right w:w="20" w:type="dxa"/>
            </w:tcMar>
            <w:vAlign w:val="bottom"/>
          </w:tcPr>
          <w:p w14:paraId="518B599C" w14:textId="77777777" w:rsidR="005C332D" w:rsidRDefault="00B93EAE">
            <w:pPr>
              <w:textAlignment w:val="bottom"/>
            </w:pPr>
            <w:r>
              <w:rPr>
                <w:rFonts w:ascii="Times New Roman" w:eastAsia="宋体" w:hAnsi="Times New Roman"/>
                <w:color w:val="000000"/>
                <w:sz w:val="20"/>
                <w:szCs w:val="20"/>
              </w:rPr>
              <w:t xml:space="preserve">Net (gains) </w:t>
            </w:r>
            <w:r>
              <w:rPr>
                <w:rFonts w:ascii="Times New Roman" w:eastAsia="宋体" w:hAnsi="Times New Roman"/>
                <w:color w:val="000000"/>
                <w:sz w:val="20"/>
                <w:szCs w:val="20"/>
              </w:rPr>
              <w:t>losses reclassified into earnings, net of tax expense (benefit) of $5, $15, and $21 for fiscal 2022, 2021, and 2020, respectively</w:t>
            </w:r>
          </w:p>
        </w:tc>
        <w:tc>
          <w:tcPr>
            <w:tcW w:w="0" w:type="auto"/>
            <w:gridSpan w:val="2"/>
            <w:shd w:val="clear" w:color="auto" w:fill="FFFFFF"/>
            <w:tcMar>
              <w:top w:w="40" w:type="dxa"/>
              <w:left w:w="20" w:type="dxa"/>
              <w:bottom w:w="40" w:type="dxa"/>
              <w:right w:w="0" w:type="dxa"/>
            </w:tcMar>
            <w:vAlign w:val="bottom"/>
          </w:tcPr>
          <w:p w14:paraId="518B599D" w14:textId="77777777" w:rsidR="005C332D" w:rsidRDefault="00B93EAE">
            <w:pPr>
              <w:jc w:val="right"/>
              <w:textAlignment w:val="bottom"/>
            </w:pPr>
            <w:r>
              <w:rPr>
                <w:rFonts w:ascii="Times New Roman" w:eastAsia="宋体" w:hAnsi="Times New Roman"/>
                <w:b/>
                <w:bCs/>
                <w:color w:val="000000"/>
                <w:sz w:val="20"/>
                <w:szCs w:val="20"/>
              </w:rPr>
              <w:t>(4)</w:t>
            </w:r>
          </w:p>
        </w:tc>
        <w:tc>
          <w:tcPr>
            <w:tcW w:w="0" w:type="auto"/>
            <w:shd w:val="clear" w:color="auto" w:fill="FFFFFF"/>
            <w:tcMar>
              <w:top w:w="40" w:type="dxa"/>
              <w:left w:w="0" w:type="dxa"/>
              <w:bottom w:w="40" w:type="dxa"/>
              <w:right w:w="20" w:type="dxa"/>
            </w:tcMar>
            <w:vAlign w:val="bottom"/>
          </w:tcPr>
          <w:p w14:paraId="518B599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9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9A0" w14:textId="77777777" w:rsidR="005C332D" w:rsidRDefault="00B93EAE">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518B59A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A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9A3" w14:textId="77777777" w:rsidR="005C332D" w:rsidRDefault="00B93EAE">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518B59A4" w14:textId="77777777" w:rsidR="005C332D" w:rsidRDefault="005C332D">
            <w:pPr>
              <w:jc w:val="right"/>
              <w:rPr>
                <w:rFonts w:ascii="宋体"/>
              </w:rPr>
            </w:pPr>
          </w:p>
        </w:tc>
      </w:tr>
      <w:tr w:rsidR="005C332D" w14:paraId="518B59AF" w14:textId="77777777">
        <w:trPr>
          <w:jc w:val="center"/>
        </w:trPr>
        <w:tc>
          <w:tcPr>
            <w:tcW w:w="0" w:type="auto"/>
            <w:gridSpan w:val="3"/>
            <w:shd w:val="clear" w:color="auto" w:fill="CCEEFF"/>
            <w:tcMar>
              <w:top w:w="0" w:type="dxa"/>
              <w:left w:w="20" w:type="dxa"/>
              <w:bottom w:w="0" w:type="dxa"/>
              <w:right w:w="20" w:type="dxa"/>
            </w:tcMar>
            <w:vAlign w:val="bottom"/>
          </w:tcPr>
          <w:p w14:paraId="518B59A6"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9A7" w14:textId="77777777" w:rsidR="005C332D" w:rsidRDefault="00B93EAE">
            <w:pPr>
              <w:jc w:val="right"/>
              <w:textAlignment w:val="bottom"/>
            </w:pPr>
            <w:r>
              <w:rPr>
                <w:rFonts w:ascii="Times New Roman" w:eastAsia="宋体" w:hAnsi="Times New Roman"/>
                <w:b/>
                <w:bCs/>
                <w:color w:val="000000"/>
                <w:sz w:val="20"/>
                <w:szCs w:val="20"/>
              </w:rPr>
              <w:t>(561)</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A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A9"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9AA" w14:textId="77777777" w:rsidR="005C332D" w:rsidRDefault="00B93EAE">
            <w:pPr>
              <w:jc w:val="right"/>
              <w:textAlignment w:val="bottom"/>
            </w:pPr>
            <w:r>
              <w:rPr>
                <w:rFonts w:ascii="Times New Roman" w:eastAsia="宋体" w:hAnsi="Times New Roman"/>
                <w:color w:val="000000"/>
                <w:sz w:val="20"/>
                <w:szCs w:val="20"/>
              </w:rPr>
              <w:t>(133)</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A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AC"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9AD" w14:textId="77777777" w:rsidR="005C332D" w:rsidRDefault="00B93EAE">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AE" w14:textId="77777777" w:rsidR="005C332D" w:rsidRDefault="005C332D">
            <w:pPr>
              <w:jc w:val="right"/>
              <w:rPr>
                <w:rFonts w:ascii="宋体"/>
              </w:rPr>
            </w:pPr>
          </w:p>
        </w:tc>
      </w:tr>
      <w:tr w:rsidR="005C332D" w14:paraId="518B59B6" w14:textId="77777777">
        <w:trPr>
          <w:jc w:val="center"/>
        </w:trPr>
        <w:tc>
          <w:tcPr>
            <w:tcW w:w="0" w:type="auto"/>
            <w:gridSpan w:val="3"/>
            <w:shd w:val="clear" w:color="auto" w:fill="FFFFFF"/>
            <w:tcMar>
              <w:top w:w="40" w:type="dxa"/>
              <w:left w:w="155" w:type="dxa"/>
              <w:bottom w:w="40" w:type="dxa"/>
              <w:right w:w="20" w:type="dxa"/>
            </w:tcMar>
            <w:vAlign w:val="bottom"/>
          </w:tcPr>
          <w:p w14:paraId="518B59B0" w14:textId="77777777" w:rsidR="005C332D" w:rsidRDefault="00B93EAE">
            <w:pPr>
              <w:textAlignment w:val="bottom"/>
            </w:pPr>
            <w:r>
              <w:rPr>
                <w:rFonts w:ascii="Times New Roman" w:eastAsia="宋体" w:hAnsi="Times New Roman"/>
                <w:color w:val="000000"/>
                <w:sz w:val="20"/>
                <w:szCs w:val="20"/>
              </w:rPr>
              <w:t>Cash flow hedging instruments:</w:t>
            </w:r>
          </w:p>
        </w:tc>
        <w:tc>
          <w:tcPr>
            <w:tcW w:w="0" w:type="auto"/>
            <w:gridSpan w:val="3"/>
            <w:shd w:val="clear" w:color="auto" w:fill="FFFFFF"/>
            <w:tcMar>
              <w:top w:w="0" w:type="dxa"/>
              <w:left w:w="20" w:type="dxa"/>
              <w:bottom w:w="0" w:type="dxa"/>
              <w:right w:w="20" w:type="dxa"/>
            </w:tcMar>
            <w:vAlign w:val="bottom"/>
          </w:tcPr>
          <w:p w14:paraId="518B59B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9B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9B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9B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9B5" w14:textId="77777777" w:rsidR="005C332D" w:rsidRDefault="005C332D">
            <w:pPr>
              <w:rPr>
                <w:rFonts w:ascii="宋体"/>
              </w:rPr>
            </w:pPr>
          </w:p>
        </w:tc>
      </w:tr>
      <w:tr w:rsidR="005C332D" w14:paraId="518B59C0" w14:textId="77777777">
        <w:trPr>
          <w:jc w:val="center"/>
        </w:trPr>
        <w:tc>
          <w:tcPr>
            <w:tcW w:w="0" w:type="auto"/>
            <w:gridSpan w:val="3"/>
            <w:shd w:val="clear" w:color="auto" w:fill="CCEEFF"/>
            <w:tcMar>
              <w:top w:w="40" w:type="dxa"/>
              <w:left w:w="20" w:type="dxa"/>
              <w:bottom w:w="40" w:type="dxa"/>
              <w:right w:w="20" w:type="dxa"/>
            </w:tcMar>
            <w:vAlign w:val="bottom"/>
          </w:tcPr>
          <w:p w14:paraId="518B59B7" w14:textId="77777777" w:rsidR="005C332D" w:rsidRDefault="00B93EAE">
            <w:pPr>
              <w:textAlignment w:val="bottom"/>
            </w:pPr>
            <w:r>
              <w:rPr>
                <w:rFonts w:ascii="Times New Roman" w:eastAsia="宋体" w:hAnsi="Times New Roman"/>
                <w:color w:val="000000"/>
                <w:sz w:val="20"/>
                <w:szCs w:val="20"/>
              </w:rPr>
              <w:t xml:space="preserve">Change in unrealized gains and losses, net </w:t>
            </w:r>
            <w:r>
              <w:rPr>
                <w:rFonts w:ascii="Times New Roman" w:eastAsia="宋体" w:hAnsi="Times New Roman"/>
                <w:color w:val="000000"/>
                <w:sz w:val="20"/>
                <w:szCs w:val="20"/>
              </w:rPr>
              <w:t>of tax benefit (expense) of $(20), $(4), and $0 for fiscal 2022, 2021, and 2020, respectively</w:t>
            </w:r>
          </w:p>
        </w:tc>
        <w:tc>
          <w:tcPr>
            <w:tcW w:w="0" w:type="auto"/>
            <w:gridSpan w:val="2"/>
            <w:shd w:val="clear" w:color="auto" w:fill="CCEEFF"/>
            <w:tcMar>
              <w:top w:w="40" w:type="dxa"/>
              <w:left w:w="20" w:type="dxa"/>
              <w:bottom w:w="40" w:type="dxa"/>
              <w:right w:w="0" w:type="dxa"/>
            </w:tcMar>
            <w:vAlign w:val="bottom"/>
          </w:tcPr>
          <w:p w14:paraId="518B59B8" w14:textId="77777777" w:rsidR="005C332D" w:rsidRDefault="00B93EAE">
            <w:pPr>
              <w:jc w:val="right"/>
              <w:textAlignment w:val="bottom"/>
            </w:pPr>
            <w:r>
              <w:rPr>
                <w:rFonts w:ascii="Times New Roman" w:eastAsia="宋体" w:hAnsi="Times New Roman"/>
                <w:b/>
                <w:bCs/>
                <w:color w:val="000000"/>
                <w:sz w:val="20"/>
                <w:szCs w:val="20"/>
              </w:rPr>
              <w:t>67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9B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B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9BB" w14:textId="77777777" w:rsidR="005C332D" w:rsidRDefault="00B93EAE">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518B59B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B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9BE" w14:textId="77777777" w:rsidR="005C332D" w:rsidRDefault="00B93EAE">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518B59BF" w14:textId="77777777" w:rsidR="005C332D" w:rsidRDefault="005C332D">
            <w:pPr>
              <w:jc w:val="right"/>
              <w:rPr>
                <w:rFonts w:ascii="宋体"/>
              </w:rPr>
            </w:pPr>
          </w:p>
        </w:tc>
      </w:tr>
      <w:tr w:rsidR="005C332D" w14:paraId="518B59CA" w14:textId="77777777">
        <w:trPr>
          <w:jc w:val="center"/>
        </w:trPr>
        <w:tc>
          <w:tcPr>
            <w:tcW w:w="0" w:type="auto"/>
            <w:gridSpan w:val="3"/>
            <w:shd w:val="clear" w:color="auto" w:fill="FFFFFF"/>
            <w:tcMar>
              <w:top w:w="40" w:type="dxa"/>
              <w:left w:w="20" w:type="dxa"/>
              <w:bottom w:w="40" w:type="dxa"/>
              <w:right w:w="20" w:type="dxa"/>
            </w:tcMar>
            <w:vAlign w:val="bottom"/>
          </w:tcPr>
          <w:p w14:paraId="518B59C1" w14:textId="77777777" w:rsidR="005C332D" w:rsidRDefault="00B93EAE">
            <w:pPr>
              <w:textAlignment w:val="bottom"/>
            </w:pPr>
            <w:r>
              <w:rPr>
                <w:rFonts w:ascii="Times New Roman" w:eastAsia="宋体" w:hAnsi="Times New Roman"/>
                <w:color w:val="000000"/>
                <w:sz w:val="20"/>
                <w:szCs w:val="20"/>
              </w:rPr>
              <w:t xml:space="preserve">Net (gains) losses reclassified into earnings, net of tax (benefit) expense of $7, $3, and $0 for fiscal 2022, 2021, and 2020, </w:t>
            </w:r>
            <w:r>
              <w:rPr>
                <w:rFonts w:ascii="Times New Roman" w:eastAsia="宋体" w:hAnsi="Times New Roman"/>
                <w:color w:val="000000"/>
                <w:sz w:val="20"/>
                <w:szCs w:val="20"/>
              </w:rPr>
              <w:t>respectively</w:t>
            </w:r>
          </w:p>
        </w:tc>
        <w:tc>
          <w:tcPr>
            <w:tcW w:w="0" w:type="auto"/>
            <w:gridSpan w:val="2"/>
            <w:shd w:val="clear" w:color="auto" w:fill="FFFFFF"/>
            <w:tcMar>
              <w:top w:w="40" w:type="dxa"/>
              <w:left w:w="20" w:type="dxa"/>
              <w:bottom w:w="40" w:type="dxa"/>
              <w:right w:w="0" w:type="dxa"/>
            </w:tcMar>
            <w:vAlign w:val="bottom"/>
          </w:tcPr>
          <w:p w14:paraId="518B59C2" w14:textId="77777777" w:rsidR="005C332D" w:rsidRDefault="00B93EAE">
            <w:pPr>
              <w:jc w:val="right"/>
              <w:textAlignment w:val="bottom"/>
            </w:pPr>
            <w:r>
              <w:rPr>
                <w:rFonts w:ascii="Times New Roman" w:eastAsia="宋体" w:hAnsi="Times New Roman"/>
                <w:b/>
                <w:bCs/>
                <w:color w:val="000000"/>
                <w:sz w:val="20"/>
                <w:szCs w:val="20"/>
              </w:rPr>
              <w:t>(22)</w:t>
            </w:r>
          </w:p>
        </w:tc>
        <w:tc>
          <w:tcPr>
            <w:tcW w:w="0" w:type="auto"/>
            <w:shd w:val="clear" w:color="auto" w:fill="FFFFFF"/>
            <w:tcMar>
              <w:top w:w="40" w:type="dxa"/>
              <w:left w:w="0" w:type="dxa"/>
              <w:bottom w:w="40" w:type="dxa"/>
              <w:right w:w="20" w:type="dxa"/>
            </w:tcMar>
            <w:vAlign w:val="bottom"/>
          </w:tcPr>
          <w:p w14:paraId="518B59C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C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9C5" w14:textId="77777777" w:rsidR="005C332D" w:rsidRDefault="00B93EAE">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518B59C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C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9C8"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518B59C9" w14:textId="77777777" w:rsidR="005C332D" w:rsidRDefault="005C332D">
            <w:pPr>
              <w:jc w:val="right"/>
              <w:rPr>
                <w:rFonts w:ascii="宋体"/>
              </w:rPr>
            </w:pPr>
          </w:p>
        </w:tc>
      </w:tr>
      <w:tr w:rsidR="005C332D" w14:paraId="518B59D4" w14:textId="77777777">
        <w:trPr>
          <w:jc w:val="center"/>
        </w:trPr>
        <w:tc>
          <w:tcPr>
            <w:tcW w:w="0" w:type="auto"/>
            <w:gridSpan w:val="3"/>
            <w:shd w:val="clear" w:color="auto" w:fill="CCEEFF"/>
            <w:tcMar>
              <w:top w:w="0" w:type="dxa"/>
              <w:left w:w="20" w:type="dxa"/>
              <w:bottom w:w="0" w:type="dxa"/>
              <w:right w:w="20" w:type="dxa"/>
            </w:tcMar>
            <w:vAlign w:val="bottom"/>
          </w:tcPr>
          <w:p w14:paraId="518B59CB"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9CC" w14:textId="77777777" w:rsidR="005C332D" w:rsidRDefault="00B93EAE">
            <w:pPr>
              <w:jc w:val="right"/>
              <w:textAlignment w:val="bottom"/>
            </w:pPr>
            <w:r>
              <w:rPr>
                <w:rFonts w:ascii="Times New Roman" w:eastAsia="宋体" w:hAnsi="Times New Roman"/>
                <w:b/>
                <w:bCs/>
                <w:color w:val="000000"/>
                <w:sz w:val="20"/>
                <w:szCs w:val="20"/>
              </w:rPr>
              <w:t>45</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C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CE"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9CF" w14:textId="77777777" w:rsidR="005C332D" w:rsidRDefault="00B93EAE">
            <w:pPr>
              <w:jc w:val="right"/>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D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D1"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9D2" w14:textId="77777777" w:rsidR="005C332D" w:rsidRDefault="00B93EAE">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D3" w14:textId="77777777" w:rsidR="005C332D" w:rsidRDefault="005C332D">
            <w:pPr>
              <w:jc w:val="right"/>
              <w:rPr>
                <w:rFonts w:ascii="宋体"/>
              </w:rPr>
            </w:pPr>
          </w:p>
        </w:tc>
      </w:tr>
      <w:tr w:rsidR="005C332D" w14:paraId="518B59DE" w14:textId="77777777">
        <w:trPr>
          <w:jc w:val="center"/>
        </w:trPr>
        <w:tc>
          <w:tcPr>
            <w:tcW w:w="0" w:type="auto"/>
            <w:gridSpan w:val="3"/>
            <w:shd w:val="clear" w:color="auto" w:fill="FFFFFF"/>
            <w:tcMar>
              <w:top w:w="40" w:type="dxa"/>
              <w:left w:w="20" w:type="dxa"/>
              <w:bottom w:w="40" w:type="dxa"/>
              <w:right w:w="20" w:type="dxa"/>
            </w:tcMar>
            <w:vAlign w:val="bottom"/>
          </w:tcPr>
          <w:p w14:paraId="518B59D5" w14:textId="77777777" w:rsidR="005C332D" w:rsidRDefault="00B93EAE">
            <w:pPr>
              <w:textAlignment w:val="bottom"/>
            </w:pPr>
            <w:r>
              <w:rPr>
                <w:rFonts w:ascii="Times New Roman" w:eastAsia="宋体" w:hAnsi="Times New Roman"/>
                <w:color w:val="000000"/>
                <w:sz w:val="20"/>
                <w:szCs w:val="20"/>
              </w:rPr>
              <w:t>Net change in cumulative translation adjustment and actuarial gains and losses, net of tax benefit (expense) of $(44), $(2), and $(5) for fiscal 2022, 2021, and 2020, respectively</w:t>
            </w:r>
          </w:p>
        </w:tc>
        <w:tc>
          <w:tcPr>
            <w:tcW w:w="0" w:type="auto"/>
            <w:gridSpan w:val="2"/>
            <w:shd w:val="clear" w:color="auto" w:fill="FFFFFF"/>
            <w:tcMar>
              <w:top w:w="40" w:type="dxa"/>
              <w:left w:w="20" w:type="dxa"/>
              <w:bottom w:w="40" w:type="dxa"/>
              <w:right w:w="0" w:type="dxa"/>
            </w:tcMar>
            <w:vAlign w:val="bottom"/>
          </w:tcPr>
          <w:p w14:paraId="518B59D6" w14:textId="77777777" w:rsidR="005C332D" w:rsidRDefault="00B93EAE">
            <w:pPr>
              <w:jc w:val="right"/>
              <w:textAlignment w:val="bottom"/>
            </w:pPr>
            <w:r>
              <w:rPr>
                <w:rFonts w:ascii="Times New Roman" w:eastAsia="宋体" w:hAnsi="Times New Roman"/>
                <w:b/>
                <w:bCs/>
                <w:color w:val="000000"/>
                <w:sz w:val="20"/>
                <w:szCs w:val="20"/>
              </w:rPr>
              <w:t>(689)</w:t>
            </w:r>
          </w:p>
        </w:tc>
        <w:tc>
          <w:tcPr>
            <w:tcW w:w="0" w:type="auto"/>
            <w:shd w:val="clear" w:color="auto" w:fill="FFFFFF"/>
            <w:tcMar>
              <w:top w:w="40" w:type="dxa"/>
              <w:left w:w="0" w:type="dxa"/>
              <w:bottom w:w="40" w:type="dxa"/>
              <w:right w:w="20" w:type="dxa"/>
            </w:tcMar>
            <w:vAlign w:val="bottom"/>
          </w:tcPr>
          <w:p w14:paraId="518B59D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D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9D9" w14:textId="77777777" w:rsidR="005C332D" w:rsidRDefault="00B93EAE">
            <w:pPr>
              <w:jc w:val="right"/>
              <w:textAlignment w:val="bottom"/>
            </w:pPr>
            <w:r>
              <w:rPr>
                <w:rFonts w:ascii="Times New Roman" w:eastAsia="宋体" w:hAnsi="Times New Roman"/>
                <w:color w:val="000000"/>
                <w:sz w:val="20"/>
                <w:szCs w:val="20"/>
              </w:rPr>
              <w:t>230 </w:t>
            </w:r>
          </w:p>
        </w:tc>
        <w:tc>
          <w:tcPr>
            <w:tcW w:w="0" w:type="auto"/>
            <w:shd w:val="clear" w:color="auto" w:fill="FFFFFF"/>
            <w:tcMar>
              <w:top w:w="40" w:type="dxa"/>
              <w:left w:w="0" w:type="dxa"/>
              <w:bottom w:w="40" w:type="dxa"/>
              <w:right w:w="20" w:type="dxa"/>
            </w:tcMar>
            <w:vAlign w:val="bottom"/>
          </w:tcPr>
          <w:p w14:paraId="518B59D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D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9DC" w14:textId="77777777" w:rsidR="005C332D" w:rsidRDefault="00B93EAE">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518B59DD" w14:textId="77777777" w:rsidR="005C332D" w:rsidRDefault="005C332D">
            <w:pPr>
              <w:jc w:val="right"/>
              <w:rPr>
                <w:rFonts w:ascii="宋体"/>
              </w:rPr>
            </w:pPr>
          </w:p>
        </w:tc>
      </w:tr>
      <w:tr w:rsidR="005C332D" w14:paraId="518B59E8" w14:textId="77777777">
        <w:trPr>
          <w:jc w:val="center"/>
        </w:trPr>
        <w:tc>
          <w:tcPr>
            <w:tcW w:w="0" w:type="auto"/>
            <w:gridSpan w:val="3"/>
            <w:shd w:val="clear" w:color="auto" w:fill="CCEEFF"/>
            <w:tcMar>
              <w:top w:w="40" w:type="dxa"/>
              <w:left w:w="20" w:type="dxa"/>
              <w:bottom w:w="40" w:type="dxa"/>
              <w:right w:w="20" w:type="dxa"/>
            </w:tcMar>
            <w:vAlign w:val="bottom"/>
          </w:tcPr>
          <w:p w14:paraId="518B59DF" w14:textId="77777777" w:rsidR="005C332D" w:rsidRDefault="00B93EAE">
            <w:pPr>
              <w:textAlignment w:val="bottom"/>
            </w:pPr>
            <w:r>
              <w:rPr>
                <w:rFonts w:ascii="Times New Roman" w:eastAsia="宋体" w:hAnsi="Times New Roman"/>
                <w:color w:val="000000"/>
                <w:sz w:val="20"/>
                <w:szCs w:val="20"/>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9E0" w14:textId="77777777" w:rsidR="005C332D" w:rsidRDefault="00B93EAE">
            <w:pPr>
              <w:jc w:val="right"/>
              <w:textAlignment w:val="bottom"/>
            </w:pPr>
            <w:r>
              <w:rPr>
                <w:rFonts w:ascii="Times New Roman" w:eastAsia="宋体" w:hAnsi="Times New Roman"/>
                <w:b/>
                <w:bCs/>
                <w:color w:val="000000"/>
                <w:sz w:val="20"/>
                <w:szCs w:val="20"/>
              </w:rPr>
              <w:t>(1,205)</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E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E2"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9E3" w14:textId="77777777" w:rsidR="005C332D" w:rsidRDefault="00B93EAE">
            <w:pPr>
              <w:jc w:val="right"/>
              <w:textAlignment w:val="bottom"/>
            </w:pPr>
            <w:r>
              <w:rPr>
                <w:rFonts w:ascii="Times New Roman" w:eastAsia="宋体" w:hAnsi="Times New Roman"/>
                <w:color w:val="000000"/>
                <w:sz w:val="20"/>
                <w:szCs w:val="20"/>
              </w:rPr>
              <w:t>102 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E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9E5"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9E6" w14:textId="77777777" w:rsidR="005C332D" w:rsidRDefault="00B93EAE">
            <w:pPr>
              <w:jc w:val="right"/>
              <w:textAlignment w:val="bottom"/>
            </w:pPr>
            <w:r>
              <w:rPr>
                <w:rFonts w:ascii="Times New Roman" w:eastAsia="宋体" w:hAnsi="Times New Roman"/>
                <w:color w:val="000000"/>
                <w:sz w:val="20"/>
                <w:szCs w:val="20"/>
              </w:rPr>
              <w:t>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9E7" w14:textId="77777777" w:rsidR="005C332D" w:rsidRDefault="005C332D">
            <w:pPr>
              <w:jc w:val="right"/>
              <w:rPr>
                <w:rFonts w:ascii="宋体"/>
              </w:rPr>
            </w:pPr>
          </w:p>
        </w:tc>
      </w:tr>
      <w:tr w:rsidR="005C332D" w14:paraId="518B59F5" w14:textId="77777777">
        <w:trPr>
          <w:jc w:val="center"/>
        </w:trPr>
        <w:tc>
          <w:tcPr>
            <w:tcW w:w="0" w:type="auto"/>
            <w:gridSpan w:val="3"/>
            <w:shd w:val="clear" w:color="auto" w:fill="FFFFFF"/>
            <w:tcMar>
              <w:top w:w="40" w:type="dxa"/>
              <w:left w:w="20" w:type="dxa"/>
              <w:bottom w:w="40" w:type="dxa"/>
              <w:right w:w="20" w:type="dxa"/>
            </w:tcMar>
            <w:vAlign w:val="bottom"/>
          </w:tcPr>
          <w:p w14:paraId="518B59E9" w14:textId="77777777" w:rsidR="005C332D" w:rsidRDefault="00B93EAE">
            <w:pPr>
              <w:textAlignment w:val="bottom"/>
            </w:pPr>
            <w:r>
              <w:rPr>
                <w:rFonts w:ascii="Times New Roman" w:eastAsia="宋体" w:hAnsi="Times New Roman"/>
                <w:color w:val="000000"/>
                <w:sz w:val="20"/>
                <w:szCs w:val="20"/>
              </w:rPr>
              <w:t>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9E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9EB" w14:textId="77777777" w:rsidR="005C332D" w:rsidRDefault="00B93EAE">
            <w:pPr>
              <w:jc w:val="right"/>
              <w:textAlignment w:val="bottom"/>
            </w:pPr>
            <w:r>
              <w:rPr>
                <w:rFonts w:ascii="Times New Roman" w:eastAsia="宋体" w:hAnsi="Times New Roman"/>
                <w:b/>
                <w:bCs/>
                <w:color w:val="000000"/>
                <w:sz w:val="20"/>
                <w:szCs w:val="20"/>
              </w:rPr>
              <w:t>10,607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9E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ED"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9E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9EF" w14:textId="77777777" w:rsidR="005C332D" w:rsidRDefault="00B93EAE">
            <w:pPr>
              <w:jc w:val="right"/>
              <w:textAlignment w:val="bottom"/>
            </w:pPr>
            <w:r>
              <w:rPr>
                <w:rFonts w:ascii="Times New Roman" w:eastAsia="宋体" w:hAnsi="Times New Roman"/>
                <w:color w:val="000000"/>
                <w:sz w:val="20"/>
                <w:szCs w:val="20"/>
              </w:rPr>
              <w:t>10,693 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9F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9F1"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9F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9F3" w14:textId="77777777" w:rsidR="005C332D" w:rsidRDefault="00B93EAE">
            <w:pPr>
              <w:jc w:val="right"/>
              <w:textAlignment w:val="bottom"/>
            </w:pPr>
            <w:r>
              <w:rPr>
                <w:rFonts w:ascii="Times New Roman" w:eastAsia="宋体" w:hAnsi="Times New Roman"/>
                <w:color w:val="000000"/>
                <w:sz w:val="20"/>
                <w:szCs w:val="20"/>
              </w:rPr>
              <w:t>11,487 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9F4" w14:textId="77777777" w:rsidR="005C332D" w:rsidRDefault="005C332D">
            <w:pPr>
              <w:jc w:val="right"/>
              <w:rPr>
                <w:rFonts w:ascii="宋体"/>
              </w:rPr>
            </w:pPr>
          </w:p>
        </w:tc>
      </w:tr>
    </w:tbl>
    <w:p w14:paraId="518B59F6" w14:textId="77777777" w:rsidR="005C332D" w:rsidRDefault="00B93EAE">
      <w:pPr>
        <w:spacing w:before="180"/>
      </w:pPr>
      <w:r>
        <w:rPr>
          <w:rFonts w:ascii="Times New Roman" w:eastAsia="宋体" w:hAnsi="Times New Roman"/>
          <w:color w:val="000000"/>
          <w:sz w:val="20"/>
          <w:szCs w:val="20"/>
        </w:rPr>
        <w:t>See Notes to Consolidated Financial Statements.</w:t>
      </w:r>
    </w:p>
    <w:p w14:paraId="518B59F7" w14:textId="77777777" w:rsidR="005C332D" w:rsidRDefault="005C332D"/>
    <w:p w14:paraId="518B59F8" w14:textId="77777777" w:rsidR="005C332D" w:rsidRDefault="00B93EAE">
      <w:pPr>
        <w:jc w:val="center"/>
      </w:pPr>
      <w:r>
        <w:rPr>
          <w:rFonts w:ascii="Times New Roman" w:eastAsia="宋体" w:hAnsi="Times New Roman"/>
          <w:color w:val="000000"/>
          <w:sz w:val="20"/>
          <w:szCs w:val="20"/>
        </w:rPr>
        <w:t>61</w:t>
      </w:r>
    </w:p>
    <w:p w14:paraId="518B59F9" w14:textId="77777777" w:rsidR="005C332D" w:rsidRDefault="00B93EAE">
      <w:r>
        <w:pict w14:anchorId="518B8752">
          <v:rect id="_x0000_i1087" style="width:415.3pt;height:1.5pt" o:hralign="center" o:hrstd="t" o:hr="t" fillcolor="#a0a0a0" stroked="f"/>
        </w:pict>
      </w:r>
    </w:p>
    <w:p w14:paraId="518B59FA" w14:textId="77777777" w:rsidR="005C332D" w:rsidRDefault="00B93EAE">
      <w:hyperlink r:id="rId172" w:anchor="i049852cab38845aabd2a79d07dacda86_7" w:history="1">
        <w:r>
          <w:rPr>
            <w:rStyle w:val="a5"/>
            <w:rFonts w:ascii="Times New Roman" w:eastAsia="宋体" w:hAnsi="Times New Roman"/>
            <w:sz w:val="20"/>
            <w:szCs w:val="20"/>
          </w:rPr>
          <w:t>Table of Contents</w:t>
        </w:r>
      </w:hyperlink>
    </w:p>
    <w:p w14:paraId="518B59FB" w14:textId="77777777" w:rsidR="005C332D" w:rsidRDefault="00B93EAE">
      <w:pPr>
        <w:jc w:val="center"/>
      </w:pPr>
      <w:r>
        <w:rPr>
          <w:rFonts w:ascii="Times New Roman" w:eastAsia="宋体" w:hAnsi="Times New Roman"/>
          <w:b/>
          <w:bCs/>
          <w:color w:val="000000"/>
          <w:sz w:val="20"/>
          <w:szCs w:val="20"/>
        </w:rPr>
        <w:t>CISCO SYSTEMS, INC.</w:t>
      </w:r>
    </w:p>
    <w:p w14:paraId="518B59FC" w14:textId="77777777" w:rsidR="005C332D" w:rsidRDefault="00B93EAE">
      <w:pPr>
        <w:jc w:val="center"/>
      </w:pPr>
      <w:r>
        <w:rPr>
          <w:rFonts w:ascii="Times New Roman" w:eastAsia="宋体" w:hAnsi="Times New Roman"/>
          <w:b/>
          <w:bCs/>
          <w:color w:val="000000"/>
          <w:sz w:val="20"/>
          <w:szCs w:val="20"/>
        </w:rPr>
        <w:t>Consolidated Statements of Cash Flows</w:t>
      </w:r>
    </w:p>
    <w:p w14:paraId="518B59FD" w14:textId="77777777" w:rsidR="005C332D" w:rsidRDefault="00B93EAE">
      <w:pPr>
        <w:jc w:val="center"/>
      </w:pPr>
      <w:r>
        <w:rPr>
          <w:rFonts w:ascii="Times New Roman" w:eastAsia="宋体" w:hAnsi="Times New Roman"/>
          <w:color w:val="000000"/>
          <w:sz w:val="20"/>
          <w:szCs w:val="20"/>
        </w:rPr>
        <w:t>(in millions)</w:t>
      </w:r>
    </w:p>
    <w:tbl>
      <w:tblPr>
        <w:tblW w:w="4978" w:type="pct"/>
        <w:tblCellMar>
          <w:top w:w="15" w:type="dxa"/>
          <w:left w:w="15" w:type="dxa"/>
          <w:bottom w:w="15" w:type="dxa"/>
          <w:right w:w="15" w:type="dxa"/>
        </w:tblCellMar>
        <w:tblLook w:val="04A0" w:firstRow="1" w:lastRow="0" w:firstColumn="1" w:lastColumn="0" w:noHBand="0" w:noVBand="1"/>
      </w:tblPr>
      <w:tblGrid>
        <w:gridCol w:w="42"/>
        <w:gridCol w:w="5272"/>
        <w:gridCol w:w="41"/>
        <w:gridCol w:w="115"/>
        <w:gridCol w:w="784"/>
        <w:gridCol w:w="36"/>
        <w:gridCol w:w="36"/>
        <w:gridCol w:w="36"/>
        <w:gridCol w:w="36"/>
        <w:gridCol w:w="115"/>
        <w:gridCol w:w="745"/>
        <w:gridCol w:w="36"/>
        <w:gridCol w:w="36"/>
        <w:gridCol w:w="36"/>
        <w:gridCol w:w="36"/>
        <w:gridCol w:w="115"/>
        <w:gridCol w:w="746"/>
        <w:gridCol w:w="36"/>
      </w:tblGrid>
      <w:tr w:rsidR="005C332D" w14:paraId="518B5A10" w14:textId="77777777">
        <w:tc>
          <w:tcPr>
            <w:tcW w:w="50" w:type="pct"/>
            <w:shd w:val="clear" w:color="auto" w:fill="auto"/>
            <w:vAlign w:val="bottom"/>
          </w:tcPr>
          <w:p w14:paraId="518B59FE" w14:textId="77777777" w:rsidR="005C332D" w:rsidRDefault="005C332D">
            <w:pPr>
              <w:rPr>
                <w:rFonts w:ascii="宋体"/>
              </w:rPr>
            </w:pPr>
          </w:p>
        </w:tc>
        <w:tc>
          <w:tcPr>
            <w:tcW w:w="3206" w:type="pct"/>
            <w:shd w:val="clear" w:color="auto" w:fill="auto"/>
            <w:vAlign w:val="bottom"/>
          </w:tcPr>
          <w:p w14:paraId="518B59FF" w14:textId="77777777" w:rsidR="005C332D" w:rsidRDefault="005C332D">
            <w:pPr>
              <w:rPr>
                <w:rFonts w:ascii="宋体"/>
              </w:rPr>
            </w:pPr>
          </w:p>
        </w:tc>
        <w:tc>
          <w:tcPr>
            <w:tcW w:w="5" w:type="pct"/>
            <w:shd w:val="clear" w:color="auto" w:fill="auto"/>
            <w:vAlign w:val="bottom"/>
          </w:tcPr>
          <w:p w14:paraId="518B5A00" w14:textId="77777777" w:rsidR="005C332D" w:rsidRDefault="005C332D">
            <w:pPr>
              <w:rPr>
                <w:rFonts w:ascii="宋体"/>
              </w:rPr>
            </w:pPr>
          </w:p>
        </w:tc>
        <w:tc>
          <w:tcPr>
            <w:tcW w:w="50" w:type="pct"/>
            <w:shd w:val="clear" w:color="auto" w:fill="auto"/>
            <w:vAlign w:val="bottom"/>
          </w:tcPr>
          <w:p w14:paraId="518B5A01" w14:textId="77777777" w:rsidR="005C332D" w:rsidRDefault="005C332D">
            <w:pPr>
              <w:rPr>
                <w:rFonts w:ascii="宋体"/>
              </w:rPr>
            </w:pPr>
          </w:p>
        </w:tc>
        <w:tc>
          <w:tcPr>
            <w:tcW w:w="500" w:type="pct"/>
            <w:shd w:val="clear" w:color="auto" w:fill="auto"/>
            <w:vAlign w:val="bottom"/>
          </w:tcPr>
          <w:p w14:paraId="518B5A02" w14:textId="77777777" w:rsidR="005C332D" w:rsidRDefault="005C332D">
            <w:pPr>
              <w:rPr>
                <w:rFonts w:ascii="宋体"/>
              </w:rPr>
            </w:pPr>
          </w:p>
        </w:tc>
        <w:tc>
          <w:tcPr>
            <w:tcW w:w="5" w:type="pct"/>
            <w:shd w:val="clear" w:color="auto" w:fill="auto"/>
            <w:vAlign w:val="bottom"/>
          </w:tcPr>
          <w:p w14:paraId="518B5A03" w14:textId="77777777" w:rsidR="005C332D" w:rsidRDefault="005C332D">
            <w:pPr>
              <w:rPr>
                <w:rFonts w:ascii="宋体"/>
              </w:rPr>
            </w:pPr>
          </w:p>
        </w:tc>
        <w:tc>
          <w:tcPr>
            <w:tcW w:w="5" w:type="pct"/>
            <w:shd w:val="clear" w:color="auto" w:fill="auto"/>
            <w:vAlign w:val="bottom"/>
          </w:tcPr>
          <w:p w14:paraId="518B5A04" w14:textId="77777777" w:rsidR="005C332D" w:rsidRDefault="005C332D">
            <w:pPr>
              <w:rPr>
                <w:rFonts w:ascii="宋体"/>
              </w:rPr>
            </w:pPr>
          </w:p>
        </w:tc>
        <w:tc>
          <w:tcPr>
            <w:tcW w:w="26" w:type="pct"/>
            <w:shd w:val="clear" w:color="auto" w:fill="auto"/>
            <w:vAlign w:val="bottom"/>
          </w:tcPr>
          <w:p w14:paraId="518B5A05" w14:textId="77777777" w:rsidR="005C332D" w:rsidRDefault="005C332D">
            <w:pPr>
              <w:rPr>
                <w:rFonts w:ascii="宋体"/>
              </w:rPr>
            </w:pPr>
          </w:p>
        </w:tc>
        <w:tc>
          <w:tcPr>
            <w:tcW w:w="5" w:type="pct"/>
            <w:shd w:val="clear" w:color="auto" w:fill="auto"/>
            <w:vAlign w:val="bottom"/>
          </w:tcPr>
          <w:p w14:paraId="518B5A06" w14:textId="77777777" w:rsidR="005C332D" w:rsidRDefault="005C332D">
            <w:pPr>
              <w:rPr>
                <w:rFonts w:ascii="宋体"/>
              </w:rPr>
            </w:pPr>
          </w:p>
        </w:tc>
        <w:tc>
          <w:tcPr>
            <w:tcW w:w="50" w:type="pct"/>
            <w:shd w:val="clear" w:color="auto" w:fill="auto"/>
            <w:vAlign w:val="bottom"/>
          </w:tcPr>
          <w:p w14:paraId="518B5A07" w14:textId="77777777" w:rsidR="005C332D" w:rsidRDefault="005C332D">
            <w:pPr>
              <w:rPr>
                <w:rFonts w:ascii="宋体"/>
              </w:rPr>
            </w:pPr>
          </w:p>
        </w:tc>
        <w:tc>
          <w:tcPr>
            <w:tcW w:w="500" w:type="pct"/>
            <w:shd w:val="clear" w:color="auto" w:fill="auto"/>
            <w:vAlign w:val="bottom"/>
          </w:tcPr>
          <w:p w14:paraId="518B5A08" w14:textId="77777777" w:rsidR="005C332D" w:rsidRDefault="005C332D">
            <w:pPr>
              <w:rPr>
                <w:rFonts w:ascii="宋体"/>
              </w:rPr>
            </w:pPr>
          </w:p>
        </w:tc>
        <w:tc>
          <w:tcPr>
            <w:tcW w:w="5" w:type="pct"/>
            <w:shd w:val="clear" w:color="auto" w:fill="auto"/>
            <w:vAlign w:val="bottom"/>
          </w:tcPr>
          <w:p w14:paraId="518B5A09" w14:textId="77777777" w:rsidR="005C332D" w:rsidRDefault="005C332D">
            <w:pPr>
              <w:rPr>
                <w:rFonts w:ascii="宋体"/>
              </w:rPr>
            </w:pPr>
          </w:p>
        </w:tc>
        <w:tc>
          <w:tcPr>
            <w:tcW w:w="5" w:type="pct"/>
            <w:shd w:val="clear" w:color="auto" w:fill="auto"/>
            <w:vAlign w:val="bottom"/>
          </w:tcPr>
          <w:p w14:paraId="518B5A0A" w14:textId="77777777" w:rsidR="005C332D" w:rsidRDefault="005C332D">
            <w:pPr>
              <w:rPr>
                <w:rFonts w:ascii="宋体"/>
              </w:rPr>
            </w:pPr>
          </w:p>
        </w:tc>
        <w:tc>
          <w:tcPr>
            <w:tcW w:w="26" w:type="pct"/>
            <w:shd w:val="clear" w:color="auto" w:fill="auto"/>
            <w:vAlign w:val="bottom"/>
          </w:tcPr>
          <w:p w14:paraId="518B5A0B" w14:textId="77777777" w:rsidR="005C332D" w:rsidRDefault="005C332D">
            <w:pPr>
              <w:rPr>
                <w:rFonts w:ascii="宋体"/>
              </w:rPr>
            </w:pPr>
          </w:p>
        </w:tc>
        <w:tc>
          <w:tcPr>
            <w:tcW w:w="5" w:type="pct"/>
            <w:shd w:val="clear" w:color="auto" w:fill="auto"/>
            <w:vAlign w:val="bottom"/>
          </w:tcPr>
          <w:p w14:paraId="518B5A0C" w14:textId="77777777" w:rsidR="005C332D" w:rsidRDefault="005C332D">
            <w:pPr>
              <w:rPr>
                <w:rFonts w:ascii="宋体"/>
              </w:rPr>
            </w:pPr>
          </w:p>
        </w:tc>
        <w:tc>
          <w:tcPr>
            <w:tcW w:w="50" w:type="pct"/>
            <w:shd w:val="clear" w:color="auto" w:fill="auto"/>
            <w:vAlign w:val="bottom"/>
          </w:tcPr>
          <w:p w14:paraId="518B5A0D" w14:textId="77777777" w:rsidR="005C332D" w:rsidRDefault="005C332D">
            <w:pPr>
              <w:rPr>
                <w:rFonts w:ascii="宋体"/>
              </w:rPr>
            </w:pPr>
          </w:p>
        </w:tc>
        <w:tc>
          <w:tcPr>
            <w:tcW w:w="500" w:type="pct"/>
            <w:shd w:val="clear" w:color="auto" w:fill="auto"/>
            <w:vAlign w:val="bottom"/>
          </w:tcPr>
          <w:p w14:paraId="518B5A0E" w14:textId="77777777" w:rsidR="005C332D" w:rsidRDefault="005C332D">
            <w:pPr>
              <w:rPr>
                <w:rFonts w:ascii="宋体"/>
              </w:rPr>
            </w:pPr>
          </w:p>
        </w:tc>
        <w:tc>
          <w:tcPr>
            <w:tcW w:w="5" w:type="pct"/>
            <w:shd w:val="clear" w:color="auto" w:fill="auto"/>
            <w:vAlign w:val="bottom"/>
          </w:tcPr>
          <w:p w14:paraId="518B5A0F" w14:textId="77777777" w:rsidR="005C332D" w:rsidRDefault="005C332D">
            <w:pPr>
              <w:rPr>
                <w:rFonts w:ascii="宋体"/>
              </w:rPr>
            </w:pPr>
          </w:p>
        </w:tc>
      </w:tr>
      <w:tr w:rsidR="005C332D" w14:paraId="518B5A17" w14:textId="77777777">
        <w:tc>
          <w:tcPr>
            <w:tcW w:w="0" w:type="auto"/>
            <w:gridSpan w:val="3"/>
            <w:shd w:val="clear" w:color="auto" w:fill="auto"/>
            <w:tcMar>
              <w:top w:w="40" w:type="dxa"/>
              <w:left w:w="20" w:type="dxa"/>
              <w:bottom w:w="40" w:type="dxa"/>
              <w:right w:w="20" w:type="dxa"/>
            </w:tcMar>
            <w:vAlign w:val="bottom"/>
          </w:tcPr>
          <w:p w14:paraId="518B5A11"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shd w:val="clear" w:color="auto" w:fill="auto"/>
            <w:tcMar>
              <w:top w:w="40" w:type="dxa"/>
              <w:left w:w="20" w:type="dxa"/>
              <w:bottom w:w="40" w:type="dxa"/>
              <w:right w:w="20" w:type="dxa"/>
            </w:tcMar>
            <w:vAlign w:val="bottom"/>
          </w:tcPr>
          <w:p w14:paraId="518B5A12"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A1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A14"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A1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A16"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5A1E" w14:textId="77777777">
        <w:tc>
          <w:tcPr>
            <w:tcW w:w="0" w:type="auto"/>
            <w:gridSpan w:val="3"/>
            <w:shd w:val="clear" w:color="auto" w:fill="CCEEFF"/>
            <w:tcMar>
              <w:top w:w="40" w:type="dxa"/>
              <w:left w:w="20" w:type="dxa"/>
              <w:bottom w:w="40" w:type="dxa"/>
              <w:right w:w="20" w:type="dxa"/>
            </w:tcMar>
            <w:vAlign w:val="bottom"/>
          </w:tcPr>
          <w:p w14:paraId="518B5A18" w14:textId="77777777" w:rsidR="005C332D" w:rsidRDefault="00B93EAE">
            <w:pPr>
              <w:textAlignment w:val="bottom"/>
            </w:pPr>
            <w:r>
              <w:rPr>
                <w:rFonts w:ascii="Times New Roman" w:eastAsia="宋体" w:hAnsi="Times New Roman"/>
                <w:color w:val="000000"/>
                <w:sz w:val="19"/>
                <w:szCs w:val="19"/>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A1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A1A"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A1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A1C"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A1D" w14:textId="77777777" w:rsidR="005C332D" w:rsidRDefault="005C332D">
            <w:pPr>
              <w:rPr>
                <w:rFonts w:ascii="宋体"/>
              </w:rPr>
            </w:pPr>
          </w:p>
        </w:tc>
      </w:tr>
      <w:tr w:rsidR="005C332D" w14:paraId="518B5A2B" w14:textId="77777777">
        <w:tc>
          <w:tcPr>
            <w:tcW w:w="0" w:type="auto"/>
            <w:gridSpan w:val="3"/>
            <w:shd w:val="clear" w:color="auto" w:fill="FFFFFF"/>
            <w:tcMar>
              <w:top w:w="40" w:type="dxa"/>
              <w:left w:w="380" w:type="dxa"/>
              <w:bottom w:w="40" w:type="dxa"/>
              <w:right w:w="20" w:type="dxa"/>
            </w:tcMar>
            <w:vAlign w:val="bottom"/>
          </w:tcPr>
          <w:p w14:paraId="518B5A1F" w14:textId="77777777" w:rsidR="005C332D" w:rsidRDefault="00B93EAE">
            <w:pPr>
              <w:textAlignment w:val="bottom"/>
            </w:pPr>
            <w:r>
              <w:rPr>
                <w:rFonts w:ascii="Times New Roman" w:eastAsia="宋体" w:hAnsi="Times New Roman"/>
                <w:color w:val="000000"/>
                <w:sz w:val="19"/>
                <w:szCs w:val="19"/>
              </w:rPr>
              <w:t>Net income</w:t>
            </w:r>
          </w:p>
        </w:tc>
        <w:tc>
          <w:tcPr>
            <w:tcW w:w="0" w:type="auto"/>
            <w:shd w:val="clear" w:color="auto" w:fill="FFFFFF"/>
            <w:tcMar>
              <w:top w:w="40" w:type="dxa"/>
              <w:left w:w="20" w:type="dxa"/>
              <w:bottom w:w="40" w:type="dxa"/>
              <w:right w:w="0" w:type="dxa"/>
            </w:tcMar>
            <w:vAlign w:val="bottom"/>
          </w:tcPr>
          <w:p w14:paraId="518B5A20" w14:textId="77777777" w:rsidR="005C332D" w:rsidRDefault="00B93EAE">
            <w:pPr>
              <w:textAlignment w:val="bottom"/>
            </w:pPr>
            <w:r>
              <w:rPr>
                <w:rFonts w:ascii="Times New Roman" w:eastAsia="宋体" w:hAnsi="Times New Roman"/>
                <w:b/>
                <w:bCs/>
                <w:color w:val="000000"/>
                <w:sz w:val="19"/>
                <w:szCs w:val="19"/>
              </w:rPr>
              <w:t>$</w:t>
            </w:r>
          </w:p>
        </w:tc>
        <w:tc>
          <w:tcPr>
            <w:tcW w:w="0" w:type="auto"/>
            <w:shd w:val="clear" w:color="auto" w:fill="FFFFFF"/>
            <w:tcMar>
              <w:top w:w="40" w:type="dxa"/>
              <w:left w:w="0" w:type="dxa"/>
              <w:bottom w:w="40" w:type="dxa"/>
              <w:right w:w="0" w:type="dxa"/>
            </w:tcMar>
            <w:vAlign w:val="bottom"/>
          </w:tcPr>
          <w:p w14:paraId="518B5A21" w14:textId="77777777" w:rsidR="005C332D" w:rsidRDefault="00B93EAE">
            <w:pPr>
              <w:jc w:val="right"/>
              <w:textAlignment w:val="bottom"/>
            </w:pPr>
            <w:r>
              <w:rPr>
                <w:rFonts w:ascii="Times New Roman" w:eastAsia="宋体" w:hAnsi="Times New Roman"/>
                <w:b/>
                <w:bCs/>
                <w:color w:val="000000"/>
                <w:sz w:val="19"/>
                <w:szCs w:val="19"/>
              </w:rPr>
              <w:t>11,812</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A2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23"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A24" w14:textId="77777777" w:rsidR="005C332D" w:rsidRDefault="00B93EAE">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518B5A25" w14:textId="77777777" w:rsidR="005C332D" w:rsidRDefault="00B93EAE">
            <w:pPr>
              <w:jc w:val="right"/>
              <w:textAlignment w:val="bottom"/>
            </w:pPr>
            <w:r>
              <w:rPr>
                <w:rFonts w:ascii="Times New Roman" w:eastAsia="宋体" w:hAnsi="Times New Roman"/>
                <w:color w:val="000000"/>
                <w:sz w:val="19"/>
                <w:szCs w:val="19"/>
              </w:rPr>
              <w:t>10,591 </w:t>
            </w:r>
          </w:p>
        </w:tc>
        <w:tc>
          <w:tcPr>
            <w:tcW w:w="0" w:type="auto"/>
            <w:shd w:val="clear" w:color="auto" w:fill="FFFFFF"/>
            <w:tcMar>
              <w:top w:w="40" w:type="dxa"/>
              <w:left w:w="0" w:type="dxa"/>
              <w:bottom w:w="40" w:type="dxa"/>
              <w:right w:w="20" w:type="dxa"/>
            </w:tcMar>
            <w:vAlign w:val="bottom"/>
          </w:tcPr>
          <w:p w14:paraId="518B5A2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27"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A28" w14:textId="77777777" w:rsidR="005C332D" w:rsidRDefault="00B93EAE">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518B5A29" w14:textId="77777777" w:rsidR="005C332D" w:rsidRDefault="00B93EAE">
            <w:pPr>
              <w:jc w:val="right"/>
              <w:textAlignment w:val="bottom"/>
            </w:pPr>
            <w:r>
              <w:rPr>
                <w:rFonts w:ascii="Times New Roman" w:eastAsia="宋体" w:hAnsi="Times New Roman"/>
                <w:color w:val="000000"/>
                <w:sz w:val="19"/>
                <w:szCs w:val="19"/>
              </w:rPr>
              <w:t>11,214 </w:t>
            </w:r>
          </w:p>
        </w:tc>
        <w:tc>
          <w:tcPr>
            <w:tcW w:w="0" w:type="auto"/>
            <w:shd w:val="clear" w:color="auto" w:fill="FFFFFF"/>
            <w:tcMar>
              <w:top w:w="40" w:type="dxa"/>
              <w:left w:w="0" w:type="dxa"/>
              <w:bottom w:w="40" w:type="dxa"/>
              <w:right w:w="20" w:type="dxa"/>
            </w:tcMar>
            <w:vAlign w:val="bottom"/>
          </w:tcPr>
          <w:p w14:paraId="518B5A2A" w14:textId="77777777" w:rsidR="005C332D" w:rsidRDefault="005C332D">
            <w:pPr>
              <w:jc w:val="right"/>
              <w:rPr>
                <w:rFonts w:ascii="宋体"/>
              </w:rPr>
            </w:pPr>
          </w:p>
        </w:tc>
      </w:tr>
      <w:tr w:rsidR="005C332D" w14:paraId="518B5A32" w14:textId="77777777">
        <w:tc>
          <w:tcPr>
            <w:tcW w:w="0" w:type="auto"/>
            <w:gridSpan w:val="3"/>
            <w:shd w:val="clear" w:color="auto" w:fill="CCEEFF"/>
            <w:tcMar>
              <w:top w:w="40" w:type="dxa"/>
              <w:left w:w="380" w:type="dxa"/>
              <w:bottom w:w="40" w:type="dxa"/>
              <w:right w:w="20" w:type="dxa"/>
            </w:tcMar>
            <w:vAlign w:val="bottom"/>
          </w:tcPr>
          <w:p w14:paraId="518B5A2C" w14:textId="77777777" w:rsidR="005C332D" w:rsidRDefault="00B93EAE">
            <w:pPr>
              <w:textAlignment w:val="bottom"/>
            </w:pPr>
            <w:r>
              <w:rPr>
                <w:rFonts w:ascii="Times New Roman" w:eastAsia="宋体" w:hAnsi="Times New Roman"/>
                <w:color w:val="000000"/>
                <w:sz w:val="19"/>
                <w:szCs w:val="19"/>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518B5A2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A2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A2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A3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A31" w14:textId="77777777" w:rsidR="005C332D" w:rsidRDefault="005C332D">
            <w:pPr>
              <w:rPr>
                <w:rFonts w:ascii="宋体"/>
              </w:rPr>
            </w:pPr>
          </w:p>
        </w:tc>
      </w:tr>
      <w:tr w:rsidR="005C332D" w14:paraId="518B5A3C" w14:textId="77777777">
        <w:tc>
          <w:tcPr>
            <w:tcW w:w="0" w:type="auto"/>
            <w:gridSpan w:val="3"/>
            <w:shd w:val="clear" w:color="auto" w:fill="FFFFFF"/>
            <w:tcMar>
              <w:top w:w="40" w:type="dxa"/>
              <w:left w:w="740" w:type="dxa"/>
              <w:bottom w:w="40" w:type="dxa"/>
              <w:right w:w="20" w:type="dxa"/>
            </w:tcMar>
            <w:vAlign w:val="bottom"/>
          </w:tcPr>
          <w:p w14:paraId="518B5A33" w14:textId="77777777" w:rsidR="005C332D" w:rsidRDefault="00B93EAE">
            <w:pPr>
              <w:textAlignment w:val="bottom"/>
            </w:pPr>
            <w:r>
              <w:rPr>
                <w:rFonts w:ascii="Times New Roman" w:eastAsia="宋体" w:hAnsi="Times New Roman"/>
                <w:color w:val="000000"/>
                <w:sz w:val="19"/>
                <w:szCs w:val="19"/>
              </w:rPr>
              <w:t>Depreciation, amortization, and other</w:t>
            </w:r>
          </w:p>
        </w:tc>
        <w:tc>
          <w:tcPr>
            <w:tcW w:w="0" w:type="auto"/>
            <w:gridSpan w:val="2"/>
            <w:shd w:val="clear" w:color="auto" w:fill="FFFFFF"/>
            <w:tcMar>
              <w:top w:w="40" w:type="dxa"/>
              <w:left w:w="20" w:type="dxa"/>
              <w:bottom w:w="40" w:type="dxa"/>
              <w:right w:w="0" w:type="dxa"/>
            </w:tcMar>
            <w:vAlign w:val="bottom"/>
          </w:tcPr>
          <w:p w14:paraId="518B5A34" w14:textId="77777777" w:rsidR="005C332D" w:rsidRDefault="00B93EAE">
            <w:pPr>
              <w:jc w:val="right"/>
              <w:textAlignment w:val="bottom"/>
            </w:pPr>
            <w:r>
              <w:rPr>
                <w:rFonts w:ascii="Times New Roman" w:eastAsia="宋体" w:hAnsi="Times New Roman"/>
                <w:b/>
                <w:bCs/>
                <w:color w:val="000000"/>
                <w:sz w:val="19"/>
                <w:szCs w:val="19"/>
              </w:rPr>
              <w:t>1,957</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A3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3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37" w14:textId="77777777" w:rsidR="005C332D" w:rsidRDefault="00B93EAE">
            <w:pPr>
              <w:jc w:val="right"/>
              <w:textAlignment w:val="bottom"/>
            </w:pPr>
            <w:r>
              <w:rPr>
                <w:rFonts w:ascii="Times New Roman" w:eastAsia="宋体" w:hAnsi="Times New Roman"/>
                <w:color w:val="000000"/>
                <w:sz w:val="19"/>
                <w:szCs w:val="19"/>
              </w:rPr>
              <w:t>1,862 </w:t>
            </w:r>
          </w:p>
        </w:tc>
        <w:tc>
          <w:tcPr>
            <w:tcW w:w="0" w:type="auto"/>
            <w:shd w:val="clear" w:color="auto" w:fill="FFFFFF"/>
            <w:tcMar>
              <w:top w:w="40" w:type="dxa"/>
              <w:left w:w="0" w:type="dxa"/>
              <w:bottom w:w="40" w:type="dxa"/>
              <w:right w:w="20" w:type="dxa"/>
            </w:tcMar>
            <w:vAlign w:val="bottom"/>
          </w:tcPr>
          <w:p w14:paraId="518B5A3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3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3A" w14:textId="77777777" w:rsidR="005C332D" w:rsidRDefault="00B93EAE">
            <w:pPr>
              <w:jc w:val="right"/>
              <w:textAlignment w:val="bottom"/>
            </w:pPr>
            <w:r>
              <w:rPr>
                <w:rFonts w:ascii="Times New Roman" w:eastAsia="宋体" w:hAnsi="Times New Roman"/>
                <w:color w:val="000000"/>
                <w:sz w:val="19"/>
                <w:szCs w:val="19"/>
              </w:rPr>
              <w:t>1,808 </w:t>
            </w:r>
          </w:p>
        </w:tc>
        <w:tc>
          <w:tcPr>
            <w:tcW w:w="0" w:type="auto"/>
            <w:shd w:val="clear" w:color="auto" w:fill="FFFFFF"/>
            <w:tcMar>
              <w:top w:w="40" w:type="dxa"/>
              <w:left w:w="0" w:type="dxa"/>
              <w:bottom w:w="40" w:type="dxa"/>
              <w:right w:w="20" w:type="dxa"/>
            </w:tcMar>
            <w:vAlign w:val="bottom"/>
          </w:tcPr>
          <w:p w14:paraId="518B5A3B" w14:textId="77777777" w:rsidR="005C332D" w:rsidRDefault="005C332D">
            <w:pPr>
              <w:jc w:val="right"/>
              <w:rPr>
                <w:rFonts w:ascii="宋体"/>
              </w:rPr>
            </w:pPr>
          </w:p>
        </w:tc>
      </w:tr>
      <w:tr w:rsidR="005C332D" w14:paraId="518B5A46" w14:textId="77777777">
        <w:tc>
          <w:tcPr>
            <w:tcW w:w="0" w:type="auto"/>
            <w:gridSpan w:val="3"/>
            <w:shd w:val="clear" w:color="auto" w:fill="CCEEFF"/>
            <w:tcMar>
              <w:top w:w="40" w:type="dxa"/>
              <w:left w:w="740" w:type="dxa"/>
              <w:bottom w:w="40" w:type="dxa"/>
              <w:right w:w="20" w:type="dxa"/>
            </w:tcMar>
            <w:vAlign w:val="bottom"/>
          </w:tcPr>
          <w:p w14:paraId="518B5A3D" w14:textId="77777777" w:rsidR="005C332D" w:rsidRDefault="00B93EAE">
            <w:pPr>
              <w:textAlignment w:val="bottom"/>
            </w:pPr>
            <w:r>
              <w:rPr>
                <w:rFonts w:ascii="Times New Roman" w:eastAsia="宋体" w:hAnsi="Times New Roman"/>
                <w:color w:val="000000"/>
                <w:sz w:val="19"/>
                <w:szCs w:val="19"/>
              </w:rPr>
              <w:t>Share-based compensation expense</w:t>
            </w:r>
          </w:p>
        </w:tc>
        <w:tc>
          <w:tcPr>
            <w:tcW w:w="0" w:type="auto"/>
            <w:gridSpan w:val="2"/>
            <w:shd w:val="clear" w:color="auto" w:fill="CCEEFF"/>
            <w:tcMar>
              <w:top w:w="40" w:type="dxa"/>
              <w:left w:w="20" w:type="dxa"/>
              <w:bottom w:w="40" w:type="dxa"/>
              <w:right w:w="0" w:type="dxa"/>
            </w:tcMar>
            <w:vAlign w:val="bottom"/>
          </w:tcPr>
          <w:p w14:paraId="518B5A3E" w14:textId="77777777" w:rsidR="005C332D" w:rsidRDefault="00B93EAE">
            <w:pPr>
              <w:jc w:val="right"/>
              <w:textAlignment w:val="bottom"/>
            </w:pPr>
            <w:r>
              <w:rPr>
                <w:rFonts w:ascii="Times New Roman" w:eastAsia="宋体" w:hAnsi="Times New Roman"/>
                <w:b/>
                <w:bCs/>
                <w:color w:val="000000"/>
                <w:sz w:val="19"/>
                <w:szCs w:val="19"/>
              </w:rPr>
              <w:t>1,886</w:t>
            </w: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518B5A3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4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41" w14:textId="77777777" w:rsidR="005C332D" w:rsidRDefault="00B93EAE">
            <w:pPr>
              <w:jc w:val="right"/>
              <w:textAlignment w:val="bottom"/>
            </w:pPr>
            <w:r>
              <w:rPr>
                <w:rFonts w:ascii="Times New Roman" w:eastAsia="宋体" w:hAnsi="Times New Roman"/>
                <w:color w:val="000000"/>
                <w:sz w:val="19"/>
                <w:szCs w:val="19"/>
              </w:rPr>
              <w:t>1,761 </w:t>
            </w:r>
          </w:p>
        </w:tc>
        <w:tc>
          <w:tcPr>
            <w:tcW w:w="0" w:type="auto"/>
            <w:shd w:val="clear" w:color="auto" w:fill="CCEEFF"/>
            <w:tcMar>
              <w:top w:w="40" w:type="dxa"/>
              <w:left w:w="0" w:type="dxa"/>
              <w:bottom w:w="40" w:type="dxa"/>
              <w:right w:w="20" w:type="dxa"/>
            </w:tcMar>
            <w:vAlign w:val="bottom"/>
          </w:tcPr>
          <w:p w14:paraId="518B5A4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4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44" w14:textId="77777777" w:rsidR="005C332D" w:rsidRDefault="00B93EAE">
            <w:pPr>
              <w:jc w:val="right"/>
              <w:textAlignment w:val="bottom"/>
            </w:pPr>
            <w:r>
              <w:rPr>
                <w:rFonts w:ascii="Times New Roman" w:eastAsia="宋体" w:hAnsi="Times New Roman"/>
                <w:color w:val="000000"/>
                <w:sz w:val="19"/>
                <w:szCs w:val="19"/>
              </w:rPr>
              <w:t>1,569 </w:t>
            </w:r>
          </w:p>
        </w:tc>
        <w:tc>
          <w:tcPr>
            <w:tcW w:w="0" w:type="auto"/>
            <w:shd w:val="clear" w:color="auto" w:fill="CCEEFF"/>
            <w:tcMar>
              <w:top w:w="40" w:type="dxa"/>
              <w:left w:w="0" w:type="dxa"/>
              <w:bottom w:w="40" w:type="dxa"/>
              <w:right w:w="20" w:type="dxa"/>
            </w:tcMar>
            <w:vAlign w:val="bottom"/>
          </w:tcPr>
          <w:p w14:paraId="518B5A45" w14:textId="77777777" w:rsidR="005C332D" w:rsidRDefault="005C332D">
            <w:pPr>
              <w:jc w:val="right"/>
              <w:rPr>
                <w:rFonts w:ascii="宋体"/>
              </w:rPr>
            </w:pPr>
          </w:p>
        </w:tc>
      </w:tr>
      <w:tr w:rsidR="005C332D" w14:paraId="518B5A50" w14:textId="77777777">
        <w:tc>
          <w:tcPr>
            <w:tcW w:w="0" w:type="auto"/>
            <w:gridSpan w:val="3"/>
            <w:shd w:val="clear" w:color="auto" w:fill="FFFFFF"/>
            <w:tcMar>
              <w:top w:w="40" w:type="dxa"/>
              <w:left w:w="740" w:type="dxa"/>
              <w:bottom w:w="40" w:type="dxa"/>
              <w:right w:w="20" w:type="dxa"/>
            </w:tcMar>
            <w:vAlign w:val="bottom"/>
          </w:tcPr>
          <w:p w14:paraId="518B5A47" w14:textId="77777777" w:rsidR="005C332D" w:rsidRDefault="00B93EAE">
            <w:pPr>
              <w:textAlignment w:val="bottom"/>
            </w:pPr>
            <w:r>
              <w:rPr>
                <w:rFonts w:ascii="Times New Roman" w:eastAsia="宋体" w:hAnsi="Times New Roman"/>
                <w:color w:val="000000"/>
                <w:sz w:val="19"/>
                <w:szCs w:val="19"/>
              </w:rPr>
              <w:t>Provision (benefit) for receivables</w:t>
            </w:r>
          </w:p>
        </w:tc>
        <w:tc>
          <w:tcPr>
            <w:tcW w:w="0" w:type="auto"/>
            <w:gridSpan w:val="2"/>
            <w:shd w:val="clear" w:color="auto" w:fill="FFFFFF"/>
            <w:tcMar>
              <w:top w:w="40" w:type="dxa"/>
              <w:left w:w="20" w:type="dxa"/>
              <w:bottom w:w="40" w:type="dxa"/>
              <w:right w:w="0" w:type="dxa"/>
            </w:tcMar>
            <w:vAlign w:val="bottom"/>
          </w:tcPr>
          <w:p w14:paraId="518B5A48" w14:textId="77777777" w:rsidR="005C332D" w:rsidRDefault="00B93EAE">
            <w:pPr>
              <w:jc w:val="right"/>
              <w:textAlignment w:val="bottom"/>
            </w:pPr>
            <w:r>
              <w:rPr>
                <w:rFonts w:ascii="Times New Roman" w:eastAsia="宋体" w:hAnsi="Times New Roman"/>
                <w:b/>
                <w:bCs/>
                <w:color w:val="000000"/>
                <w:sz w:val="19"/>
                <w:szCs w:val="19"/>
              </w:rPr>
              <w:t>55</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A4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4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4B" w14:textId="77777777" w:rsidR="005C332D" w:rsidRDefault="00B93EAE">
            <w:pPr>
              <w:jc w:val="right"/>
              <w:textAlignment w:val="bottom"/>
            </w:pPr>
            <w:r>
              <w:rPr>
                <w:rFonts w:ascii="Times New Roman" w:eastAsia="宋体" w:hAnsi="Times New Roman"/>
                <w:color w:val="000000"/>
                <w:sz w:val="19"/>
                <w:szCs w:val="19"/>
              </w:rPr>
              <w:t>(6)</w:t>
            </w:r>
          </w:p>
        </w:tc>
        <w:tc>
          <w:tcPr>
            <w:tcW w:w="0" w:type="auto"/>
            <w:shd w:val="clear" w:color="auto" w:fill="FFFFFF"/>
            <w:tcMar>
              <w:top w:w="40" w:type="dxa"/>
              <w:left w:w="0" w:type="dxa"/>
              <w:bottom w:w="40" w:type="dxa"/>
              <w:right w:w="20" w:type="dxa"/>
            </w:tcMar>
            <w:vAlign w:val="bottom"/>
          </w:tcPr>
          <w:p w14:paraId="518B5A4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4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4E" w14:textId="77777777" w:rsidR="005C332D" w:rsidRDefault="00B93EAE">
            <w:pPr>
              <w:jc w:val="right"/>
              <w:textAlignment w:val="bottom"/>
            </w:pPr>
            <w:r>
              <w:rPr>
                <w:rFonts w:ascii="Times New Roman" w:eastAsia="宋体" w:hAnsi="Times New Roman"/>
                <w:color w:val="000000"/>
                <w:sz w:val="19"/>
                <w:szCs w:val="19"/>
              </w:rPr>
              <w:t>93 </w:t>
            </w:r>
          </w:p>
        </w:tc>
        <w:tc>
          <w:tcPr>
            <w:tcW w:w="0" w:type="auto"/>
            <w:shd w:val="clear" w:color="auto" w:fill="FFFFFF"/>
            <w:tcMar>
              <w:top w:w="40" w:type="dxa"/>
              <w:left w:w="0" w:type="dxa"/>
              <w:bottom w:w="40" w:type="dxa"/>
              <w:right w:w="20" w:type="dxa"/>
            </w:tcMar>
            <w:vAlign w:val="bottom"/>
          </w:tcPr>
          <w:p w14:paraId="518B5A4F" w14:textId="77777777" w:rsidR="005C332D" w:rsidRDefault="005C332D">
            <w:pPr>
              <w:jc w:val="right"/>
              <w:rPr>
                <w:rFonts w:ascii="宋体"/>
              </w:rPr>
            </w:pPr>
          </w:p>
        </w:tc>
      </w:tr>
      <w:tr w:rsidR="005C332D" w14:paraId="518B5A5A" w14:textId="77777777">
        <w:tc>
          <w:tcPr>
            <w:tcW w:w="0" w:type="auto"/>
            <w:gridSpan w:val="3"/>
            <w:shd w:val="clear" w:color="auto" w:fill="CCEEFF"/>
            <w:tcMar>
              <w:top w:w="40" w:type="dxa"/>
              <w:left w:w="740" w:type="dxa"/>
              <w:bottom w:w="40" w:type="dxa"/>
              <w:right w:w="20" w:type="dxa"/>
            </w:tcMar>
            <w:vAlign w:val="bottom"/>
          </w:tcPr>
          <w:p w14:paraId="518B5A51" w14:textId="77777777" w:rsidR="005C332D" w:rsidRDefault="00B93EAE">
            <w:pPr>
              <w:textAlignment w:val="bottom"/>
            </w:pPr>
            <w:r>
              <w:rPr>
                <w:rFonts w:ascii="Times New Roman" w:eastAsia="宋体" w:hAnsi="Times New Roman"/>
                <w:color w:val="000000"/>
                <w:sz w:val="19"/>
                <w:szCs w:val="19"/>
              </w:rPr>
              <w:t>Deferred income taxes</w:t>
            </w:r>
          </w:p>
        </w:tc>
        <w:tc>
          <w:tcPr>
            <w:tcW w:w="0" w:type="auto"/>
            <w:gridSpan w:val="2"/>
            <w:shd w:val="clear" w:color="auto" w:fill="CCEEFF"/>
            <w:tcMar>
              <w:top w:w="40" w:type="dxa"/>
              <w:left w:w="20" w:type="dxa"/>
              <w:bottom w:w="40" w:type="dxa"/>
              <w:right w:w="0" w:type="dxa"/>
            </w:tcMar>
            <w:vAlign w:val="bottom"/>
          </w:tcPr>
          <w:p w14:paraId="518B5A52" w14:textId="77777777" w:rsidR="005C332D" w:rsidRDefault="00B93EAE">
            <w:pPr>
              <w:jc w:val="right"/>
              <w:textAlignment w:val="bottom"/>
            </w:pPr>
            <w:r>
              <w:rPr>
                <w:rFonts w:ascii="Times New Roman" w:eastAsia="宋体" w:hAnsi="Times New Roman"/>
                <w:b/>
                <w:bCs/>
                <w:color w:val="000000"/>
                <w:sz w:val="19"/>
                <w:szCs w:val="19"/>
              </w:rPr>
              <w:t>(309)</w:t>
            </w:r>
          </w:p>
        </w:tc>
        <w:tc>
          <w:tcPr>
            <w:tcW w:w="0" w:type="auto"/>
            <w:shd w:val="clear" w:color="auto" w:fill="CCEEFF"/>
            <w:tcMar>
              <w:top w:w="40" w:type="dxa"/>
              <w:left w:w="0" w:type="dxa"/>
              <w:bottom w:w="40" w:type="dxa"/>
              <w:right w:w="20" w:type="dxa"/>
            </w:tcMar>
            <w:vAlign w:val="bottom"/>
          </w:tcPr>
          <w:p w14:paraId="518B5A5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5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55" w14:textId="77777777" w:rsidR="005C332D" w:rsidRDefault="00B93EAE">
            <w:pPr>
              <w:jc w:val="right"/>
              <w:textAlignment w:val="bottom"/>
            </w:pPr>
            <w:r>
              <w:rPr>
                <w:rFonts w:ascii="Times New Roman" w:eastAsia="宋体" w:hAnsi="Times New Roman"/>
                <w:color w:val="000000"/>
                <w:sz w:val="19"/>
                <w:szCs w:val="19"/>
              </w:rPr>
              <w:t>(384)</w:t>
            </w:r>
          </w:p>
        </w:tc>
        <w:tc>
          <w:tcPr>
            <w:tcW w:w="0" w:type="auto"/>
            <w:shd w:val="clear" w:color="auto" w:fill="CCEEFF"/>
            <w:tcMar>
              <w:top w:w="40" w:type="dxa"/>
              <w:left w:w="0" w:type="dxa"/>
              <w:bottom w:w="40" w:type="dxa"/>
              <w:right w:w="20" w:type="dxa"/>
            </w:tcMar>
            <w:vAlign w:val="bottom"/>
          </w:tcPr>
          <w:p w14:paraId="518B5A5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5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58" w14:textId="77777777" w:rsidR="005C332D" w:rsidRDefault="00B93EAE">
            <w:pPr>
              <w:jc w:val="right"/>
              <w:textAlignment w:val="bottom"/>
            </w:pPr>
            <w:r>
              <w:rPr>
                <w:rFonts w:ascii="Times New Roman" w:eastAsia="宋体" w:hAnsi="Times New Roman"/>
                <w:color w:val="000000"/>
                <w:sz w:val="19"/>
                <w:szCs w:val="19"/>
              </w:rPr>
              <w:t>(38)</w:t>
            </w:r>
          </w:p>
        </w:tc>
        <w:tc>
          <w:tcPr>
            <w:tcW w:w="0" w:type="auto"/>
            <w:shd w:val="clear" w:color="auto" w:fill="CCEEFF"/>
            <w:tcMar>
              <w:top w:w="40" w:type="dxa"/>
              <w:left w:w="0" w:type="dxa"/>
              <w:bottom w:w="40" w:type="dxa"/>
              <w:right w:w="20" w:type="dxa"/>
            </w:tcMar>
            <w:vAlign w:val="bottom"/>
          </w:tcPr>
          <w:p w14:paraId="518B5A59" w14:textId="77777777" w:rsidR="005C332D" w:rsidRDefault="005C332D">
            <w:pPr>
              <w:jc w:val="right"/>
              <w:rPr>
                <w:rFonts w:ascii="宋体"/>
              </w:rPr>
            </w:pPr>
          </w:p>
        </w:tc>
      </w:tr>
      <w:tr w:rsidR="005C332D" w14:paraId="518B5A64" w14:textId="77777777">
        <w:tc>
          <w:tcPr>
            <w:tcW w:w="0" w:type="auto"/>
            <w:gridSpan w:val="3"/>
            <w:shd w:val="clear" w:color="auto" w:fill="FFFFFF"/>
            <w:tcMar>
              <w:top w:w="40" w:type="dxa"/>
              <w:left w:w="740" w:type="dxa"/>
              <w:bottom w:w="40" w:type="dxa"/>
              <w:right w:w="20" w:type="dxa"/>
            </w:tcMar>
            <w:vAlign w:val="bottom"/>
          </w:tcPr>
          <w:p w14:paraId="518B5A5B" w14:textId="77777777" w:rsidR="005C332D" w:rsidRDefault="00B93EAE">
            <w:pPr>
              <w:textAlignment w:val="bottom"/>
            </w:pPr>
            <w:r>
              <w:rPr>
                <w:rFonts w:ascii="Times New Roman" w:eastAsia="宋体" w:hAnsi="Times New Roman"/>
                <w:color w:val="000000"/>
                <w:sz w:val="19"/>
                <w:szCs w:val="19"/>
              </w:rPr>
              <w:t>(Gains) losses on divestitures, investments and other, net</w:t>
            </w:r>
          </w:p>
        </w:tc>
        <w:tc>
          <w:tcPr>
            <w:tcW w:w="0" w:type="auto"/>
            <w:gridSpan w:val="2"/>
            <w:shd w:val="clear" w:color="auto" w:fill="FFFFFF"/>
            <w:tcMar>
              <w:top w:w="40" w:type="dxa"/>
              <w:left w:w="20" w:type="dxa"/>
              <w:bottom w:w="40" w:type="dxa"/>
              <w:right w:w="0" w:type="dxa"/>
            </w:tcMar>
            <w:vAlign w:val="bottom"/>
          </w:tcPr>
          <w:p w14:paraId="518B5A5C" w14:textId="77777777" w:rsidR="005C332D" w:rsidRDefault="00B93EAE">
            <w:pPr>
              <w:jc w:val="right"/>
              <w:textAlignment w:val="bottom"/>
            </w:pPr>
            <w:r>
              <w:rPr>
                <w:rFonts w:ascii="Times New Roman" w:eastAsia="宋体" w:hAnsi="Times New Roman"/>
                <w:b/>
                <w:bCs/>
                <w:color w:val="000000"/>
                <w:sz w:val="19"/>
                <w:szCs w:val="19"/>
              </w:rPr>
              <w:t>(453)</w:t>
            </w:r>
          </w:p>
        </w:tc>
        <w:tc>
          <w:tcPr>
            <w:tcW w:w="0" w:type="auto"/>
            <w:shd w:val="clear" w:color="auto" w:fill="FFFFFF"/>
            <w:tcMar>
              <w:top w:w="40" w:type="dxa"/>
              <w:left w:w="0" w:type="dxa"/>
              <w:bottom w:w="40" w:type="dxa"/>
              <w:right w:w="20" w:type="dxa"/>
            </w:tcMar>
            <w:vAlign w:val="bottom"/>
          </w:tcPr>
          <w:p w14:paraId="518B5A5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5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5F" w14:textId="77777777" w:rsidR="005C332D" w:rsidRDefault="00B93EAE">
            <w:pPr>
              <w:jc w:val="right"/>
              <w:textAlignment w:val="bottom"/>
            </w:pPr>
            <w:r>
              <w:rPr>
                <w:rFonts w:ascii="Times New Roman" w:eastAsia="宋体" w:hAnsi="Times New Roman"/>
                <w:color w:val="000000"/>
                <w:sz w:val="19"/>
                <w:szCs w:val="19"/>
              </w:rPr>
              <w:t>(354)</w:t>
            </w:r>
          </w:p>
        </w:tc>
        <w:tc>
          <w:tcPr>
            <w:tcW w:w="0" w:type="auto"/>
            <w:shd w:val="clear" w:color="auto" w:fill="FFFFFF"/>
            <w:tcMar>
              <w:top w:w="40" w:type="dxa"/>
              <w:left w:w="0" w:type="dxa"/>
              <w:bottom w:w="40" w:type="dxa"/>
              <w:right w:w="20" w:type="dxa"/>
            </w:tcMar>
            <w:vAlign w:val="bottom"/>
          </w:tcPr>
          <w:p w14:paraId="518B5A6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6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62" w14:textId="77777777" w:rsidR="005C332D" w:rsidRDefault="00B93EAE">
            <w:pPr>
              <w:jc w:val="right"/>
              <w:textAlignment w:val="bottom"/>
            </w:pPr>
            <w:r>
              <w:rPr>
                <w:rFonts w:ascii="Times New Roman" w:eastAsia="宋体" w:hAnsi="Times New Roman"/>
                <w:color w:val="000000"/>
                <w:sz w:val="19"/>
                <w:szCs w:val="19"/>
              </w:rPr>
              <w:t>(138)</w:t>
            </w:r>
          </w:p>
        </w:tc>
        <w:tc>
          <w:tcPr>
            <w:tcW w:w="0" w:type="auto"/>
            <w:shd w:val="clear" w:color="auto" w:fill="FFFFFF"/>
            <w:tcMar>
              <w:top w:w="40" w:type="dxa"/>
              <w:left w:w="0" w:type="dxa"/>
              <w:bottom w:w="40" w:type="dxa"/>
              <w:right w:w="20" w:type="dxa"/>
            </w:tcMar>
            <w:vAlign w:val="bottom"/>
          </w:tcPr>
          <w:p w14:paraId="518B5A63" w14:textId="77777777" w:rsidR="005C332D" w:rsidRDefault="005C332D">
            <w:pPr>
              <w:jc w:val="right"/>
              <w:rPr>
                <w:rFonts w:ascii="宋体"/>
              </w:rPr>
            </w:pPr>
          </w:p>
        </w:tc>
      </w:tr>
      <w:tr w:rsidR="005C332D" w14:paraId="518B5A6B" w14:textId="77777777">
        <w:tc>
          <w:tcPr>
            <w:tcW w:w="0" w:type="auto"/>
            <w:gridSpan w:val="3"/>
            <w:shd w:val="clear" w:color="auto" w:fill="CCEEFF"/>
            <w:tcMar>
              <w:top w:w="40" w:type="dxa"/>
              <w:left w:w="380" w:type="dxa"/>
              <w:bottom w:w="40" w:type="dxa"/>
              <w:right w:w="20" w:type="dxa"/>
            </w:tcMar>
            <w:vAlign w:val="bottom"/>
          </w:tcPr>
          <w:p w14:paraId="518B5A65" w14:textId="77777777" w:rsidR="005C332D" w:rsidRDefault="00B93EAE">
            <w:pPr>
              <w:textAlignment w:val="bottom"/>
            </w:pPr>
            <w:r>
              <w:rPr>
                <w:rFonts w:ascii="Times New Roman" w:eastAsia="宋体" w:hAnsi="Times New Roman"/>
                <w:color w:val="000000"/>
                <w:sz w:val="19"/>
                <w:szCs w:val="19"/>
              </w:rPr>
              <w:t xml:space="preserve">Change in operating assets and liabilities, net of effects of </w:t>
            </w:r>
            <w:r>
              <w:rPr>
                <w:rFonts w:ascii="Times New Roman" w:eastAsia="宋体" w:hAnsi="Times New Roman"/>
                <w:color w:val="000000"/>
                <w:sz w:val="19"/>
                <w:szCs w:val="19"/>
              </w:rPr>
              <w:t>acquisitions and divestitures:</w:t>
            </w:r>
          </w:p>
        </w:tc>
        <w:tc>
          <w:tcPr>
            <w:tcW w:w="0" w:type="auto"/>
            <w:gridSpan w:val="3"/>
            <w:shd w:val="clear" w:color="auto" w:fill="CCEEFF"/>
            <w:tcMar>
              <w:top w:w="0" w:type="dxa"/>
              <w:left w:w="20" w:type="dxa"/>
              <w:bottom w:w="0" w:type="dxa"/>
              <w:right w:w="20" w:type="dxa"/>
            </w:tcMar>
            <w:vAlign w:val="bottom"/>
          </w:tcPr>
          <w:p w14:paraId="518B5A6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A6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A6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A6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A6A" w14:textId="77777777" w:rsidR="005C332D" w:rsidRDefault="005C332D">
            <w:pPr>
              <w:rPr>
                <w:rFonts w:ascii="宋体"/>
              </w:rPr>
            </w:pPr>
          </w:p>
        </w:tc>
      </w:tr>
      <w:tr w:rsidR="005C332D" w14:paraId="518B5A75" w14:textId="77777777">
        <w:tc>
          <w:tcPr>
            <w:tcW w:w="0" w:type="auto"/>
            <w:gridSpan w:val="3"/>
            <w:shd w:val="clear" w:color="auto" w:fill="FFFFFF"/>
            <w:tcMar>
              <w:top w:w="40" w:type="dxa"/>
              <w:left w:w="740" w:type="dxa"/>
              <w:bottom w:w="40" w:type="dxa"/>
              <w:right w:w="20" w:type="dxa"/>
            </w:tcMar>
            <w:vAlign w:val="bottom"/>
          </w:tcPr>
          <w:p w14:paraId="518B5A6C" w14:textId="77777777" w:rsidR="005C332D" w:rsidRDefault="00B93EAE">
            <w:pPr>
              <w:textAlignment w:val="bottom"/>
            </w:pPr>
            <w:r>
              <w:rPr>
                <w:rFonts w:ascii="Times New Roman" w:eastAsia="宋体" w:hAnsi="Times New Roman"/>
                <w:color w:val="000000"/>
                <w:sz w:val="19"/>
                <w:szCs w:val="19"/>
              </w:rPr>
              <w:t>Accounts receivable</w:t>
            </w:r>
          </w:p>
        </w:tc>
        <w:tc>
          <w:tcPr>
            <w:tcW w:w="0" w:type="auto"/>
            <w:gridSpan w:val="2"/>
            <w:shd w:val="clear" w:color="auto" w:fill="FFFFFF"/>
            <w:tcMar>
              <w:top w:w="40" w:type="dxa"/>
              <w:left w:w="20" w:type="dxa"/>
              <w:bottom w:w="40" w:type="dxa"/>
              <w:right w:w="0" w:type="dxa"/>
            </w:tcMar>
            <w:vAlign w:val="bottom"/>
          </w:tcPr>
          <w:p w14:paraId="518B5A6D" w14:textId="77777777" w:rsidR="005C332D" w:rsidRDefault="00B93EAE">
            <w:pPr>
              <w:jc w:val="right"/>
              <w:textAlignment w:val="bottom"/>
            </w:pPr>
            <w:r>
              <w:rPr>
                <w:rFonts w:ascii="Times New Roman" w:eastAsia="宋体" w:hAnsi="Times New Roman"/>
                <w:b/>
                <w:bCs/>
                <w:color w:val="000000"/>
                <w:sz w:val="19"/>
                <w:szCs w:val="19"/>
              </w:rPr>
              <w:t>(1,009)</w:t>
            </w:r>
          </w:p>
        </w:tc>
        <w:tc>
          <w:tcPr>
            <w:tcW w:w="0" w:type="auto"/>
            <w:shd w:val="clear" w:color="auto" w:fill="FFFFFF"/>
            <w:tcMar>
              <w:top w:w="40" w:type="dxa"/>
              <w:left w:w="0" w:type="dxa"/>
              <w:bottom w:w="40" w:type="dxa"/>
              <w:right w:w="20" w:type="dxa"/>
            </w:tcMar>
            <w:vAlign w:val="bottom"/>
          </w:tcPr>
          <w:p w14:paraId="518B5A6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6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70" w14:textId="77777777" w:rsidR="005C332D" w:rsidRDefault="00B93EAE">
            <w:pPr>
              <w:jc w:val="right"/>
              <w:textAlignment w:val="bottom"/>
            </w:pPr>
            <w:r>
              <w:rPr>
                <w:rFonts w:ascii="Times New Roman" w:eastAsia="宋体" w:hAnsi="Times New Roman"/>
                <w:color w:val="000000"/>
                <w:sz w:val="19"/>
                <w:szCs w:val="19"/>
              </w:rPr>
              <w:t>(107)</w:t>
            </w:r>
          </w:p>
        </w:tc>
        <w:tc>
          <w:tcPr>
            <w:tcW w:w="0" w:type="auto"/>
            <w:shd w:val="clear" w:color="auto" w:fill="FFFFFF"/>
            <w:tcMar>
              <w:top w:w="40" w:type="dxa"/>
              <w:left w:w="0" w:type="dxa"/>
              <w:bottom w:w="40" w:type="dxa"/>
              <w:right w:w="20" w:type="dxa"/>
            </w:tcMar>
            <w:vAlign w:val="bottom"/>
          </w:tcPr>
          <w:p w14:paraId="518B5A7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7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73" w14:textId="77777777" w:rsidR="005C332D" w:rsidRDefault="00B93EAE">
            <w:pPr>
              <w:jc w:val="right"/>
              <w:textAlignment w:val="bottom"/>
            </w:pPr>
            <w:r>
              <w:rPr>
                <w:rFonts w:ascii="Times New Roman" w:eastAsia="宋体" w:hAnsi="Times New Roman"/>
                <w:color w:val="000000"/>
                <w:sz w:val="19"/>
                <w:szCs w:val="19"/>
              </w:rPr>
              <w:t>(107)</w:t>
            </w:r>
          </w:p>
        </w:tc>
        <w:tc>
          <w:tcPr>
            <w:tcW w:w="0" w:type="auto"/>
            <w:shd w:val="clear" w:color="auto" w:fill="FFFFFF"/>
            <w:tcMar>
              <w:top w:w="40" w:type="dxa"/>
              <w:left w:w="0" w:type="dxa"/>
              <w:bottom w:w="40" w:type="dxa"/>
              <w:right w:w="20" w:type="dxa"/>
            </w:tcMar>
            <w:vAlign w:val="bottom"/>
          </w:tcPr>
          <w:p w14:paraId="518B5A74" w14:textId="77777777" w:rsidR="005C332D" w:rsidRDefault="005C332D">
            <w:pPr>
              <w:jc w:val="right"/>
              <w:rPr>
                <w:rFonts w:ascii="宋体"/>
              </w:rPr>
            </w:pPr>
          </w:p>
        </w:tc>
      </w:tr>
      <w:tr w:rsidR="005C332D" w14:paraId="518B5A7F" w14:textId="77777777">
        <w:tc>
          <w:tcPr>
            <w:tcW w:w="0" w:type="auto"/>
            <w:gridSpan w:val="3"/>
            <w:shd w:val="clear" w:color="auto" w:fill="CCEEFF"/>
            <w:tcMar>
              <w:top w:w="40" w:type="dxa"/>
              <w:left w:w="740" w:type="dxa"/>
              <w:bottom w:w="40" w:type="dxa"/>
              <w:right w:w="20" w:type="dxa"/>
            </w:tcMar>
            <w:vAlign w:val="bottom"/>
          </w:tcPr>
          <w:p w14:paraId="518B5A76" w14:textId="77777777" w:rsidR="005C332D" w:rsidRDefault="00B93EAE">
            <w:pPr>
              <w:textAlignment w:val="bottom"/>
            </w:pPr>
            <w:r>
              <w:rPr>
                <w:rFonts w:ascii="Times New Roman" w:eastAsia="宋体" w:hAnsi="Times New Roman"/>
                <w:color w:val="000000"/>
                <w:sz w:val="19"/>
                <w:szCs w:val="19"/>
              </w:rPr>
              <w:t>Inventories</w:t>
            </w:r>
          </w:p>
        </w:tc>
        <w:tc>
          <w:tcPr>
            <w:tcW w:w="0" w:type="auto"/>
            <w:gridSpan w:val="2"/>
            <w:shd w:val="clear" w:color="auto" w:fill="CCEEFF"/>
            <w:tcMar>
              <w:top w:w="40" w:type="dxa"/>
              <w:left w:w="20" w:type="dxa"/>
              <w:bottom w:w="40" w:type="dxa"/>
              <w:right w:w="0" w:type="dxa"/>
            </w:tcMar>
            <w:vAlign w:val="bottom"/>
          </w:tcPr>
          <w:p w14:paraId="518B5A77" w14:textId="77777777" w:rsidR="005C332D" w:rsidRDefault="00B93EAE">
            <w:pPr>
              <w:jc w:val="right"/>
              <w:textAlignment w:val="bottom"/>
            </w:pPr>
            <w:r>
              <w:rPr>
                <w:rFonts w:ascii="Times New Roman" w:eastAsia="宋体" w:hAnsi="Times New Roman"/>
                <w:b/>
                <w:bCs/>
                <w:color w:val="000000"/>
                <w:sz w:val="19"/>
                <w:szCs w:val="19"/>
              </w:rPr>
              <w:t>(1,030)</w:t>
            </w:r>
          </w:p>
        </w:tc>
        <w:tc>
          <w:tcPr>
            <w:tcW w:w="0" w:type="auto"/>
            <w:shd w:val="clear" w:color="auto" w:fill="CCEEFF"/>
            <w:tcMar>
              <w:top w:w="40" w:type="dxa"/>
              <w:left w:w="0" w:type="dxa"/>
              <w:bottom w:w="40" w:type="dxa"/>
              <w:right w:w="20" w:type="dxa"/>
            </w:tcMar>
            <w:vAlign w:val="bottom"/>
          </w:tcPr>
          <w:p w14:paraId="518B5A7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7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7A" w14:textId="77777777" w:rsidR="005C332D" w:rsidRDefault="00B93EAE">
            <w:pPr>
              <w:jc w:val="right"/>
              <w:textAlignment w:val="bottom"/>
            </w:pPr>
            <w:r>
              <w:rPr>
                <w:rFonts w:ascii="Times New Roman" w:eastAsia="宋体" w:hAnsi="Times New Roman"/>
                <w:color w:val="000000"/>
                <w:sz w:val="19"/>
                <w:szCs w:val="19"/>
              </w:rPr>
              <w:t>(244)</w:t>
            </w:r>
          </w:p>
        </w:tc>
        <w:tc>
          <w:tcPr>
            <w:tcW w:w="0" w:type="auto"/>
            <w:shd w:val="clear" w:color="auto" w:fill="CCEEFF"/>
            <w:tcMar>
              <w:top w:w="40" w:type="dxa"/>
              <w:left w:w="0" w:type="dxa"/>
              <w:bottom w:w="40" w:type="dxa"/>
              <w:right w:w="20" w:type="dxa"/>
            </w:tcMar>
            <w:vAlign w:val="bottom"/>
          </w:tcPr>
          <w:p w14:paraId="518B5A7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7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7D" w14:textId="77777777" w:rsidR="005C332D" w:rsidRDefault="00B93EAE">
            <w:pPr>
              <w:jc w:val="right"/>
              <w:textAlignment w:val="bottom"/>
            </w:pPr>
            <w:r>
              <w:rPr>
                <w:rFonts w:ascii="Times New Roman" w:eastAsia="宋体" w:hAnsi="Times New Roman"/>
                <w:color w:val="000000"/>
                <w:sz w:val="19"/>
                <w:szCs w:val="19"/>
              </w:rPr>
              <w:t>84 </w:t>
            </w:r>
          </w:p>
        </w:tc>
        <w:tc>
          <w:tcPr>
            <w:tcW w:w="0" w:type="auto"/>
            <w:shd w:val="clear" w:color="auto" w:fill="CCEEFF"/>
            <w:tcMar>
              <w:top w:w="40" w:type="dxa"/>
              <w:left w:w="0" w:type="dxa"/>
              <w:bottom w:w="40" w:type="dxa"/>
              <w:right w:w="20" w:type="dxa"/>
            </w:tcMar>
            <w:vAlign w:val="bottom"/>
          </w:tcPr>
          <w:p w14:paraId="518B5A7E" w14:textId="77777777" w:rsidR="005C332D" w:rsidRDefault="005C332D">
            <w:pPr>
              <w:jc w:val="right"/>
              <w:rPr>
                <w:rFonts w:ascii="宋体"/>
              </w:rPr>
            </w:pPr>
          </w:p>
        </w:tc>
      </w:tr>
      <w:tr w:rsidR="005C332D" w14:paraId="518B5A89" w14:textId="77777777">
        <w:tc>
          <w:tcPr>
            <w:tcW w:w="0" w:type="auto"/>
            <w:gridSpan w:val="3"/>
            <w:shd w:val="clear" w:color="auto" w:fill="FFFFFF"/>
            <w:tcMar>
              <w:top w:w="40" w:type="dxa"/>
              <w:left w:w="740" w:type="dxa"/>
              <w:bottom w:w="40" w:type="dxa"/>
              <w:right w:w="20" w:type="dxa"/>
            </w:tcMar>
            <w:vAlign w:val="bottom"/>
          </w:tcPr>
          <w:p w14:paraId="518B5A80" w14:textId="77777777" w:rsidR="005C332D" w:rsidRDefault="00B93EAE">
            <w:pPr>
              <w:textAlignment w:val="bottom"/>
            </w:pPr>
            <w:r>
              <w:rPr>
                <w:rFonts w:ascii="Times New Roman" w:eastAsia="宋体" w:hAnsi="Times New Roman"/>
                <w:color w:val="000000"/>
                <w:sz w:val="19"/>
                <w:szCs w:val="19"/>
              </w:rPr>
              <w:t>Financing receivables</w:t>
            </w:r>
          </w:p>
        </w:tc>
        <w:tc>
          <w:tcPr>
            <w:tcW w:w="0" w:type="auto"/>
            <w:gridSpan w:val="2"/>
            <w:shd w:val="clear" w:color="auto" w:fill="FFFFFF"/>
            <w:tcMar>
              <w:top w:w="40" w:type="dxa"/>
              <w:left w:w="20" w:type="dxa"/>
              <w:bottom w:w="40" w:type="dxa"/>
              <w:right w:w="0" w:type="dxa"/>
            </w:tcMar>
            <w:vAlign w:val="bottom"/>
          </w:tcPr>
          <w:p w14:paraId="518B5A81" w14:textId="77777777" w:rsidR="005C332D" w:rsidRDefault="00B93EAE">
            <w:pPr>
              <w:jc w:val="right"/>
              <w:textAlignment w:val="bottom"/>
            </w:pPr>
            <w:r>
              <w:rPr>
                <w:rFonts w:ascii="Times New Roman" w:eastAsia="宋体" w:hAnsi="Times New Roman"/>
                <w:b/>
                <w:bCs/>
                <w:color w:val="000000"/>
                <w:sz w:val="19"/>
                <w:szCs w:val="19"/>
              </w:rPr>
              <w:t>1,241</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A8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8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84" w14:textId="77777777" w:rsidR="005C332D" w:rsidRDefault="00B93EAE">
            <w:pPr>
              <w:jc w:val="right"/>
              <w:textAlignment w:val="bottom"/>
            </w:pPr>
            <w:r>
              <w:rPr>
                <w:rFonts w:ascii="Times New Roman" w:eastAsia="宋体" w:hAnsi="Times New Roman"/>
                <w:color w:val="000000"/>
                <w:sz w:val="19"/>
                <w:szCs w:val="19"/>
              </w:rPr>
              <w:t>1,577 </w:t>
            </w:r>
          </w:p>
        </w:tc>
        <w:tc>
          <w:tcPr>
            <w:tcW w:w="0" w:type="auto"/>
            <w:shd w:val="clear" w:color="auto" w:fill="FFFFFF"/>
            <w:tcMar>
              <w:top w:w="40" w:type="dxa"/>
              <w:left w:w="0" w:type="dxa"/>
              <w:bottom w:w="40" w:type="dxa"/>
              <w:right w:w="20" w:type="dxa"/>
            </w:tcMar>
            <w:vAlign w:val="bottom"/>
          </w:tcPr>
          <w:p w14:paraId="518B5A8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8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87" w14:textId="77777777" w:rsidR="005C332D" w:rsidRDefault="00B93EAE">
            <w:pPr>
              <w:jc w:val="right"/>
              <w:textAlignment w:val="bottom"/>
            </w:pPr>
            <w:r>
              <w:rPr>
                <w:rFonts w:ascii="Times New Roman" w:eastAsia="宋体" w:hAnsi="Times New Roman"/>
                <w:color w:val="000000"/>
                <w:sz w:val="19"/>
                <w:szCs w:val="19"/>
              </w:rPr>
              <w:t>(797)</w:t>
            </w:r>
          </w:p>
        </w:tc>
        <w:tc>
          <w:tcPr>
            <w:tcW w:w="0" w:type="auto"/>
            <w:shd w:val="clear" w:color="auto" w:fill="FFFFFF"/>
            <w:tcMar>
              <w:top w:w="40" w:type="dxa"/>
              <w:left w:w="0" w:type="dxa"/>
              <w:bottom w:w="40" w:type="dxa"/>
              <w:right w:w="20" w:type="dxa"/>
            </w:tcMar>
            <w:vAlign w:val="bottom"/>
          </w:tcPr>
          <w:p w14:paraId="518B5A88" w14:textId="77777777" w:rsidR="005C332D" w:rsidRDefault="005C332D">
            <w:pPr>
              <w:jc w:val="right"/>
              <w:rPr>
                <w:rFonts w:ascii="宋体"/>
              </w:rPr>
            </w:pPr>
          </w:p>
        </w:tc>
      </w:tr>
      <w:tr w:rsidR="005C332D" w14:paraId="518B5A93" w14:textId="77777777">
        <w:tc>
          <w:tcPr>
            <w:tcW w:w="0" w:type="auto"/>
            <w:gridSpan w:val="3"/>
            <w:shd w:val="clear" w:color="auto" w:fill="CCEEFF"/>
            <w:tcMar>
              <w:top w:w="40" w:type="dxa"/>
              <w:left w:w="740" w:type="dxa"/>
              <w:bottom w:w="40" w:type="dxa"/>
              <w:right w:w="20" w:type="dxa"/>
            </w:tcMar>
            <w:vAlign w:val="bottom"/>
          </w:tcPr>
          <w:p w14:paraId="518B5A8A" w14:textId="77777777" w:rsidR="005C332D" w:rsidRDefault="00B93EAE">
            <w:pPr>
              <w:textAlignment w:val="bottom"/>
            </w:pPr>
            <w:r>
              <w:rPr>
                <w:rFonts w:ascii="Times New Roman" w:eastAsia="宋体" w:hAnsi="Times New Roman"/>
                <w:color w:val="000000"/>
                <w:sz w:val="19"/>
                <w:szCs w:val="19"/>
              </w:rPr>
              <w:t>Other assets</w:t>
            </w:r>
          </w:p>
        </w:tc>
        <w:tc>
          <w:tcPr>
            <w:tcW w:w="0" w:type="auto"/>
            <w:gridSpan w:val="2"/>
            <w:shd w:val="clear" w:color="auto" w:fill="CCEEFF"/>
            <w:tcMar>
              <w:top w:w="40" w:type="dxa"/>
              <w:left w:w="20" w:type="dxa"/>
              <w:bottom w:w="40" w:type="dxa"/>
              <w:right w:w="0" w:type="dxa"/>
            </w:tcMar>
            <w:vAlign w:val="bottom"/>
          </w:tcPr>
          <w:p w14:paraId="518B5A8B" w14:textId="77777777" w:rsidR="005C332D" w:rsidRDefault="00B93EAE">
            <w:pPr>
              <w:jc w:val="right"/>
              <w:textAlignment w:val="bottom"/>
            </w:pPr>
            <w:r>
              <w:rPr>
                <w:rFonts w:ascii="Times New Roman" w:eastAsia="宋体" w:hAnsi="Times New Roman"/>
                <w:b/>
                <w:bCs/>
                <w:color w:val="000000"/>
                <w:sz w:val="19"/>
                <w:szCs w:val="19"/>
              </w:rPr>
              <w:t>(1,615)</w:t>
            </w:r>
          </w:p>
        </w:tc>
        <w:tc>
          <w:tcPr>
            <w:tcW w:w="0" w:type="auto"/>
            <w:shd w:val="clear" w:color="auto" w:fill="CCEEFF"/>
            <w:tcMar>
              <w:top w:w="40" w:type="dxa"/>
              <w:left w:w="0" w:type="dxa"/>
              <w:bottom w:w="40" w:type="dxa"/>
              <w:right w:w="20" w:type="dxa"/>
            </w:tcMar>
            <w:vAlign w:val="bottom"/>
          </w:tcPr>
          <w:p w14:paraId="518B5A8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8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8E" w14:textId="77777777" w:rsidR="005C332D" w:rsidRDefault="00B93EAE">
            <w:pPr>
              <w:jc w:val="right"/>
              <w:textAlignment w:val="bottom"/>
            </w:pPr>
            <w:r>
              <w:rPr>
                <w:rFonts w:ascii="Times New Roman" w:eastAsia="宋体" w:hAnsi="Times New Roman"/>
                <w:color w:val="000000"/>
                <w:sz w:val="19"/>
                <w:szCs w:val="19"/>
              </w:rPr>
              <w:t>(797)</w:t>
            </w:r>
          </w:p>
        </w:tc>
        <w:tc>
          <w:tcPr>
            <w:tcW w:w="0" w:type="auto"/>
            <w:shd w:val="clear" w:color="auto" w:fill="CCEEFF"/>
            <w:tcMar>
              <w:top w:w="40" w:type="dxa"/>
              <w:left w:w="0" w:type="dxa"/>
              <w:bottom w:w="40" w:type="dxa"/>
              <w:right w:w="20" w:type="dxa"/>
            </w:tcMar>
            <w:vAlign w:val="bottom"/>
          </w:tcPr>
          <w:p w14:paraId="518B5A8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9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91" w14:textId="77777777" w:rsidR="005C332D" w:rsidRDefault="00B93EAE">
            <w:pPr>
              <w:jc w:val="right"/>
              <w:textAlignment w:val="bottom"/>
            </w:pPr>
            <w:r>
              <w:rPr>
                <w:rFonts w:ascii="Times New Roman" w:eastAsia="宋体" w:hAnsi="Times New Roman"/>
                <w:color w:val="000000"/>
                <w:sz w:val="19"/>
                <w:szCs w:val="19"/>
              </w:rPr>
              <w:t>96 </w:t>
            </w:r>
          </w:p>
        </w:tc>
        <w:tc>
          <w:tcPr>
            <w:tcW w:w="0" w:type="auto"/>
            <w:shd w:val="clear" w:color="auto" w:fill="CCEEFF"/>
            <w:tcMar>
              <w:top w:w="40" w:type="dxa"/>
              <w:left w:w="0" w:type="dxa"/>
              <w:bottom w:w="40" w:type="dxa"/>
              <w:right w:w="20" w:type="dxa"/>
            </w:tcMar>
            <w:vAlign w:val="bottom"/>
          </w:tcPr>
          <w:p w14:paraId="518B5A92" w14:textId="77777777" w:rsidR="005C332D" w:rsidRDefault="005C332D">
            <w:pPr>
              <w:jc w:val="right"/>
              <w:rPr>
                <w:rFonts w:ascii="宋体"/>
              </w:rPr>
            </w:pPr>
          </w:p>
        </w:tc>
      </w:tr>
      <w:tr w:rsidR="005C332D" w14:paraId="518B5A9D" w14:textId="77777777">
        <w:tc>
          <w:tcPr>
            <w:tcW w:w="0" w:type="auto"/>
            <w:gridSpan w:val="3"/>
            <w:shd w:val="clear" w:color="auto" w:fill="FFFFFF"/>
            <w:tcMar>
              <w:top w:w="40" w:type="dxa"/>
              <w:left w:w="740" w:type="dxa"/>
              <w:bottom w:w="40" w:type="dxa"/>
              <w:right w:w="20" w:type="dxa"/>
            </w:tcMar>
            <w:vAlign w:val="bottom"/>
          </w:tcPr>
          <w:p w14:paraId="518B5A94" w14:textId="77777777" w:rsidR="005C332D" w:rsidRDefault="00B93EAE">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518B5A95" w14:textId="77777777" w:rsidR="005C332D" w:rsidRDefault="00B93EAE">
            <w:pPr>
              <w:jc w:val="right"/>
              <w:textAlignment w:val="bottom"/>
            </w:pPr>
            <w:r>
              <w:rPr>
                <w:rFonts w:ascii="Times New Roman" w:eastAsia="宋体" w:hAnsi="Times New Roman"/>
                <w:b/>
                <w:bCs/>
                <w:color w:val="000000"/>
                <w:sz w:val="19"/>
                <w:szCs w:val="19"/>
              </w:rPr>
              <w:t>(55)</w:t>
            </w:r>
          </w:p>
        </w:tc>
        <w:tc>
          <w:tcPr>
            <w:tcW w:w="0" w:type="auto"/>
            <w:shd w:val="clear" w:color="auto" w:fill="FFFFFF"/>
            <w:tcMar>
              <w:top w:w="40" w:type="dxa"/>
              <w:left w:w="0" w:type="dxa"/>
              <w:bottom w:w="40" w:type="dxa"/>
              <w:right w:w="20" w:type="dxa"/>
            </w:tcMar>
            <w:vAlign w:val="bottom"/>
          </w:tcPr>
          <w:p w14:paraId="518B5A9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9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98" w14:textId="77777777" w:rsidR="005C332D" w:rsidRDefault="00B93EAE">
            <w:pPr>
              <w:jc w:val="right"/>
              <w:textAlignment w:val="bottom"/>
            </w:pPr>
            <w:r>
              <w:rPr>
                <w:rFonts w:ascii="Times New Roman" w:eastAsia="宋体" w:hAnsi="Times New Roman"/>
                <w:color w:val="000000"/>
                <w:sz w:val="19"/>
                <w:szCs w:val="19"/>
              </w:rPr>
              <w:t>(53)</w:t>
            </w:r>
          </w:p>
        </w:tc>
        <w:tc>
          <w:tcPr>
            <w:tcW w:w="0" w:type="auto"/>
            <w:shd w:val="clear" w:color="auto" w:fill="FFFFFF"/>
            <w:tcMar>
              <w:top w:w="40" w:type="dxa"/>
              <w:left w:w="0" w:type="dxa"/>
              <w:bottom w:w="40" w:type="dxa"/>
              <w:right w:w="20" w:type="dxa"/>
            </w:tcMar>
            <w:vAlign w:val="bottom"/>
          </w:tcPr>
          <w:p w14:paraId="518B5A9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9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9B" w14:textId="77777777" w:rsidR="005C332D" w:rsidRDefault="00B93EAE">
            <w:pPr>
              <w:jc w:val="right"/>
              <w:textAlignment w:val="bottom"/>
            </w:pPr>
            <w:r>
              <w:rPr>
                <w:rFonts w:ascii="Times New Roman" w:eastAsia="宋体" w:hAnsi="Times New Roman"/>
                <w:color w:val="000000"/>
                <w:sz w:val="19"/>
                <w:szCs w:val="19"/>
              </w:rPr>
              <w:t>141 </w:t>
            </w:r>
          </w:p>
        </w:tc>
        <w:tc>
          <w:tcPr>
            <w:tcW w:w="0" w:type="auto"/>
            <w:shd w:val="clear" w:color="auto" w:fill="FFFFFF"/>
            <w:tcMar>
              <w:top w:w="40" w:type="dxa"/>
              <w:left w:w="0" w:type="dxa"/>
              <w:bottom w:w="40" w:type="dxa"/>
              <w:right w:w="20" w:type="dxa"/>
            </w:tcMar>
            <w:vAlign w:val="bottom"/>
          </w:tcPr>
          <w:p w14:paraId="518B5A9C" w14:textId="77777777" w:rsidR="005C332D" w:rsidRDefault="005C332D">
            <w:pPr>
              <w:jc w:val="right"/>
              <w:rPr>
                <w:rFonts w:ascii="宋体"/>
              </w:rPr>
            </w:pPr>
          </w:p>
        </w:tc>
      </w:tr>
      <w:tr w:rsidR="005C332D" w14:paraId="518B5AA7" w14:textId="77777777">
        <w:tc>
          <w:tcPr>
            <w:tcW w:w="0" w:type="auto"/>
            <w:gridSpan w:val="3"/>
            <w:shd w:val="clear" w:color="auto" w:fill="CCEEFF"/>
            <w:tcMar>
              <w:top w:w="40" w:type="dxa"/>
              <w:left w:w="740" w:type="dxa"/>
              <w:bottom w:w="40" w:type="dxa"/>
              <w:right w:w="20" w:type="dxa"/>
            </w:tcMar>
            <w:vAlign w:val="bottom"/>
          </w:tcPr>
          <w:p w14:paraId="518B5A9E" w14:textId="77777777" w:rsidR="005C332D" w:rsidRDefault="00B93EAE">
            <w:pPr>
              <w:textAlignment w:val="bottom"/>
            </w:pPr>
            <w:r>
              <w:rPr>
                <w:rFonts w:ascii="Times New Roman" w:eastAsia="宋体" w:hAnsi="Times New Roman"/>
                <w:color w:val="000000"/>
                <w:sz w:val="19"/>
                <w:szCs w:val="19"/>
              </w:rPr>
              <w:t xml:space="preserve">Income </w:t>
            </w:r>
            <w:r>
              <w:rPr>
                <w:rFonts w:ascii="Times New Roman" w:eastAsia="宋体" w:hAnsi="Times New Roman"/>
                <w:color w:val="000000"/>
                <w:sz w:val="19"/>
                <w:szCs w:val="19"/>
              </w:rPr>
              <w:t>taxes, net</w:t>
            </w:r>
          </w:p>
        </w:tc>
        <w:tc>
          <w:tcPr>
            <w:tcW w:w="0" w:type="auto"/>
            <w:gridSpan w:val="2"/>
            <w:shd w:val="clear" w:color="auto" w:fill="CCEEFF"/>
            <w:tcMar>
              <w:top w:w="40" w:type="dxa"/>
              <w:left w:w="20" w:type="dxa"/>
              <w:bottom w:w="40" w:type="dxa"/>
              <w:right w:w="0" w:type="dxa"/>
            </w:tcMar>
            <w:vAlign w:val="bottom"/>
          </w:tcPr>
          <w:p w14:paraId="518B5A9F" w14:textId="77777777" w:rsidR="005C332D" w:rsidRDefault="00B93EAE">
            <w:pPr>
              <w:jc w:val="right"/>
              <w:textAlignment w:val="bottom"/>
            </w:pPr>
            <w:r>
              <w:rPr>
                <w:rFonts w:ascii="Times New Roman" w:eastAsia="宋体" w:hAnsi="Times New Roman"/>
                <w:b/>
                <w:bCs/>
                <w:color w:val="000000"/>
                <w:sz w:val="19"/>
                <w:szCs w:val="19"/>
              </w:rPr>
              <w:t>(690)</w:t>
            </w:r>
          </w:p>
        </w:tc>
        <w:tc>
          <w:tcPr>
            <w:tcW w:w="0" w:type="auto"/>
            <w:shd w:val="clear" w:color="auto" w:fill="CCEEFF"/>
            <w:tcMar>
              <w:top w:w="40" w:type="dxa"/>
              <w:left w:w="0" w:type="dxa"/>
              <w:bottom w:w="40" w:type="dxa"/>
              <w:right w:w="20" w:type="dxa"/>
            </w:tcMar>
            <w:vAlign w:val="bottom"/>
          </w:tcPr>
          <w:p w14:paraId="518B5AA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A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A2" w14:textId="77777777" w:rsidR="005C332D" w:rsidRDefault="00B93EAE">
            <w:pPr>
              <w:jc w:val="right"/>
              <w:textAlignment w:val="bottom"/>
            </w:pPr>
            <w:r>
              <w:rPr>
                <w:rFonts w:ascii="Times New Roman" w:eastAsia="宋体" w:hAnsi="Times New Roman"/>
                <w:color w:val="000000"/>
                <w:sz w:val="19"/>
                <w:szCs w:val="19"/>
              </w:rPr>
              <w:t>(549)</w:t>
            </w:r>
          </w:p>
        </w:tc>
        <w:tc>
          <w:tcPr>
            <w:tcW w:w="0" w:type="auto"/>
            <w:shd w:val="clear" w:color="auto" w:fill="CCEEFF"/>
            <w:tcMar>
              <w:top w:w="40" w:type="dxa"/>
              <w:left w:w="0" w:type="dxa"/>
              <w:bottom w:w="40" w:type="dxa"/>
              <w:right w:w="20" w:type="dxa"/>
            </w:tcMar>
            <w:vAlign w:val="bottom"/>
          </w:tcPr>
          <w:p w14:paraId="518B5AA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A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A5" w14:textId="77777777" w:rsidR="005C332D" w:rsidRDefault="00B93EAE">
            <w:pPr>
              <w:jc w:val="right"/>
              <w:textAlignment w:val="bottom"/>
            </w:pPr>
            <w:r>
              <w:rPr>
                <w:rFonts w:ascii="Times New Roman" w:eastAsia="宋体" w:hAnsi="Times New Roman"/>
                <w:color w:val="000000"/>
                <w:sz w:val="19"/>
                <w:szCs w:val="19"/>
              </w:rPr>
              <w:t>(322)</w:t>
            </w:r>
          </w:p>
        </w:tc>
        <w:tc>
          <w:tcPr>
            <w:tcW w:w="0" w:type="auto"/>
            <w:shd w:val="clear" w:color="auto" w:fill="CCEEFF"/>
            <w:tcMar>
              <w:top w:w="40" w:type="dxa"/>
              <w:left w:w="0" w:type="dxa"/>
              <w:bottom w:w="40" w:type="dxa"/>
              <w:right w:w="20" w:type="dxa"/>
            </w:tcMar>
            <w:vAlign w:val="bottom"/>
          </w:tcPr>
          <w:p w14:paraId="518B5AA6" w14:textId="77777777" w:rsidR="005C332D" w:rsidRDefault="005C332D">
            <w:pPr>
              <w:jc w:val="right"/>
              <w:rPr>
                <w:rFonts w:ascii="宋体"/>
              </w:rPr>
            </w:pPr>
          </w:p>
        </w:tc>
      </w:tr>
      <w:tr w:rsidR="005C332D" w14:paraId="518B5AB1" w14:textId="77777777">
        <w:tc>
          <w:tcPr>
            <w:tcW w:w="0" w:type="auto"/>
            <w:gridSpan w:val="3"/>
            <w:shd w:val="clear" w:color="auto" w:fill="FFFFFF"/>
            <w:tcMar>
              <w:top w:w="40" w:type="dxa"/>
              <w:left w:w="740" w:type="dxa"/>
              <w:bottom w:w="40" w:type="dxa"/>
              <w:right w:w="20" w:type="dxa"/>
            </w:tcMar>
            <w:vAlign w:val="bottom"/>
          </w:tcPr>
          <w:p w14:paraId="518B5AA8" w14:textId="77777777" w:rsidR="005C332D" w:rsidRDefault="00B93EAE">
            <w:pPr>
              <w:textAlignment w:val="bottom"/>
            </w:pPr>
            <w:r>
              <w:rPr>
                <w:rFonts w:ascii="Times New Roman" w:eastAsia="宋体" w:hAnsi="Times New Roman"/>
                <w:color w:val="000000"/>
                <w:sz w:val="19"/>
                <w:szCs w:val="19"/>
              </w:rPr>
              <w:t>Accrued compensation</w:t>
            </w:r>
          </w:p>
        </w:tc>
        <w:tc>
          <w:tcPr>
            <w:tcW w:w="0" w:type="auto"/>
            <w:gridSpan w:val="2"/>
            <w:shd w:val="clear" w:color="auto" w:fill="FFFFFF"/>
            <w:tcMar>
              <w:top w:w="40" w:type="dxa"/>
              <w:left w:w="20" w:type="dxa"/>
              <w:bottom w:w="40" w:type="dxa"/>
              <w:right w:w="0" w:type="dxa"/>
            </w:tcMar>
            <w:vAlign w:val="bottom"/>
          </w:tcPr>
          <w:p w14:paraId="518B5AA9" w14:textId="77777777" w:rsidR="005C332D" w:rsidRDefault="00B93EAE">
            <w:pPr>
              <w:jc w:val="right"/>
              <w:textAlignment w:val="bottom"/>
            </w:pPr>
            <w:r>
              <w:rPr>
                <w:rFonts w:ascii="Times New Roman" w:eastAsia="宋体" w:hAnsi="Times New Roman"/>
                <w:b/>
                <w:bCs/>
                <w:color w:val="000000"/>
                <w:sz w:val="19"/>
                <w:szCs w:val="19"/>
              </w:rPr>
              <w:t>(427)</w:t>
            </w:r>
          </w:p>
        </w:tc>
        <w:tc>
          <w:tcPr>
            <w:tcW w:w="0" w:type="auto"/>
            <w:shd w:val="clear" w:color="auto" w:fill="FFFFFF"/>
            <w:tcMar>
              <w:top w:w="40" w:type="dxa"/>
              <w:left w:w="0" w:type="dxa"/>
              <w:bottom w:w="40" w:type="dxa"/>
              <w:right w:w="20" w:type="dxa"/>
            </w:tcMar>
            <w:vAlign w:val="bottom"/>
          </w:tcPr>
          <w:p w14:paraId="518B5AA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A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AC" w14:textId="77777777" w:rsidR="005C332D" w:rsidRDefault="00B93EAE">
            <w:pPr>
              <w:jc w:val="right"/>
              <w:textAlignment w:val="bottom"/>
            </w:pPr>
            <w:r>
              <w:rPr>
                <w:rFonts w:ascii="Times New Roman" w:eastAsia="宋体" w:hAnsi="Times New Roman"/>
                <w:color w:val="000000"/>
                <w:sz w:val="19"/>
                <w:szCs w:val="19"/>
              </w:rPr>
              <w:t>643 </w:t>
            </w:r>
          </w:p>
        </w:tc>
        <w:tc>
          <w:tcPr>
            <w:tcW w:w="0" w:type="auto"/>
            <w:shd w:val="clear" w:color="auto" w:fill="FFFFFF"/>
            <w:tcMar>
              <w:top w:w="40" w:type="dxa"/>
              <w:left w:w="0" w:type="dxa"/>
              <w:bottom w:w="40" w:type="dxa"/>
              <w:right w:w="20" w:type="dxa"/>
            </w:tcMar>
            <w:vAlign w:val="bottom"/>
          </w:tcPr>
          <w:p w14:paraId="518B5AA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A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AF" w14:textId="77777777" w:rsidR="005C332D" w:rsidRDefault="00B93EAE">
            <w:pPr>
              <w:jc w:val="right"/>
              <w:textAlignment w:val="bottom"/>
            </w:pPr>
            <w:r>
              <w:rPr>
                <w:rFonts w:ascii="Times New Roman" w:eastAsia="宋体" w:hAnsi="Times New Roman"/>
                <w:color w:val="000000"/>
                <w:sz w:val="19"/>
                <w:szCs w:val="19"/>
              </w:rPr>
              <w:t>(78)</w:t>
            </w:r>
          </w:p>
        </w:tc>
        <w:tc>
          <w:tcPr>
            <w:tcW w:w="0" w:type="auto"/>
            <w:shd w:val="clear" w:color="auto" w:fill="FFFFFF"/>
            <w:tcMar>
              <w:top w:w="40" w:type="dxa"/>
              <w:left w:w="0" w:type="dxa"/>
              <w:bottom w:w="40" w:type="dxa"/>
              <w:right w:w="20" w:type="dxa"/>
            </w:tcMar>
            <w:vAlign w:val="bottom"/>
          </w:tcPr>
          <w:p w14:paraId="518B5AB0" w14:textId="77777777" w:rsidR="005C332D" w:rsidRDefault="005C332D">
            <w:pPr>
              <w:jc w:val="right"/>
              <w:rPr>
                <w:rFonts w:ascii="宋体"/>
              </w:rPr>
            </w:pPr>
          </w:p>
        </w:tc>
      </w:tr>
      <w:tr w:rsidR="005C332D" w14:paraId="518B5ABB" w14:textId="77777777">
        <w:tc>
          <w:tcPr>
            <w:tcW w:w="0" w:type="auto"/>
            <w:gridSpan w:val="3"/>
            <w:shd w:val="clear" w:color="auto" w:fill="CCEEFF"/>
            <w:tcMar>
              <w:top w:w="40" w:type="dxa"/>
              <w:left w:w="740" w:type="dxa"/>
              <w:bottom w:w="40" w:type="dxa"/>
              <w:right w:w="20" w:type="dxa"/>
            </w:tcMar>
            <w:vAlign w:val="bottom"/>
          </w:tcPr>
          <w:p w14:paraId="518B5AB2" w14:textId="77777777" w:rsidR="005C332D" w:rsidRDefault="00B93EAE">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518B5AB3" w14:textId="77777777" w:rsidR="005C332D" w:rsidRDefault="00B93EAE">
            <w:pPr>
              <w:jc w:val="right"/>
              <w:textAlignment w:val="bottom"/>
            </w:pPr>
            <w:r>
              <w:rPr>
                <w:rFonts w:ascii="Times New Roman" w:eastAsia="宋体" w:hAnsi="Times New Roman"/>
                <w:b/>
                <w:bCs/>
                <w:color w:val="000000"/>
                <w:sz w:val="19"/>
                <w:szCs w:val="19"/>
              </w:rPr>
              <w:t>1,328</w:t>
            </w: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518B5AB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B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B6" w14:textId="77777777" w:rsidR="005C332D" w:rsidRDefault="00B93EAE">
            <w:pPr>
              <w:jc w:val="right"/>
              <w:textAlignment w:val="bottom"/>
            </w:pPr>
            <w:r>
              <w:rPr>
                <w:rFonts w:ascii="Times New Roman" w:eastAsia="宋体" w:hAnsi="Times New Roman"/>
                <w:color w:val="000000"/>
                <w:sz w:val="19"/>
                <w:szCs w:val="19"/>
              </w:rPr>
              <w:t>1,560 </w:t>
            </w:r>
          </w:p>
        </w:tc>
        <w:tc>
          <w:tcPr>
            <w:tcW w:w="0" w:type="auto"/>
            <w:shd w:val="clear" w:color="auto" w:fill="CCEEFF"/>
            <w:tcMar>
              <w:top w:w="40" w:type="dxa"/>
              <w:left w:w="0" w:type="dxa"/>
              <w:bottom w:w="40" w:type="dxa"/>
              <w:right w:w="20" w:type="dxa"/>
            </w:tcMar>
            <w:vAlign w:val="bottom"/>
          </w:tcPr>
          <w:p w14:paraId="518B5AB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B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B9" w14:textId="77777777" w:rsidR="005C332D" w:rsidRDefault="00B93EAE">
            <w:pPr>
              <w:jc w:val="right"/>
              <w:textAlignment w:val="bottom"/>
            </w:pPr>
            <w:r>
              <w:rPr>
                <w:rFonts w:ascii="Times New Roman" w:eastAsia="宋体" w:hAnsi="Times New Roman"/>
                <w:color w:val="000000"/>
                <w:sz w:val="19"/>
                <w:szCs w:val="19"/>
              </w:rPr>
              <w:t>2,011 </w:t>
            </w:r>
          </w:p>
        </w:tc>
        <w:tc>
          <w:tcPr>
            <w:tcW w:w="0" w:type="auto"/>
            <w:shd w:val="clear" w:color="auto" w:fill="CCEEFF"/>
            <w:tcMar>
              <w:top w:w="40" w:type="dxa"/>
              <w:left w:w="0" w:type="dxa"/>
              <w:bottom w:w="40" w:type="dxa"/>
              <w:right w:w="20" w:type="dxa"/>
            </w:tcMar>
            <w:vAlign w:val="bottom"/>
          </w:tcPr>
          <w:p w14:paraId="518B5ABA" w14:textId="77777777" w:rsidR="005C332D" w:rsidRDefault="005C332D">
            <w:pPr>
              <w:jc w:val="right"/>
              <w:rPr>
                <w:rFonts w:ascii="宋体"/>
              </w:rPr>
            </w:pPr>
          </w:p>
        </w:tc>
      </w:tr>
      <w:tr w:rsidR="005C332D" w14:paraId="518B5AC5" w14:textId="77777777">
        <w:tc>
          <w:tcPr>
            <w:tcW w:w="0" w:type="auto"/>
            <w:gridSpan w:val="3"/>
            <w:shd w:val="clear" w:color="auto" w:fill="FFFFFF"/>
            <w:tcMar>
              <w:top w:w="40" w:type="dxa"/>
              <w:left w:w="740" w:type="dxa"/>
              <w:bottom w:w="40" w:type="dxa"/>
              <w:right w:w="20" w:type="dxa"/>
            </w:tcMar>
            <w:vAlign w:val="bottom"/>
          </w:tcPr>
          <w:p w14:paraId="518B5ABC" w14:textId="77777777" w:rsidR="005C332D" w:rsidRDefault="00B93EAE">
            <w:pPr>
              <w:textAlignment w:val="bottom"/>
            </w:pPr>
            <w:r>
              <w:rPr>
                <w:rFonts w:ascii="Times New Roman" w:eastAsia="宋体" w:hAnsi="Times New Roman"/>
                <w:color w:val="000000"/>
                <w:sz w:val="19"/>
                <w:szCs w:val="19"/>
              </w:rPr>
              <w:t>Other liabilities</w:t>
            </w:r>
          </w:p>
        </w:tc>
        <w:tc>
          <w:tcPr>
            <w:tcW w:w="0" w:type="auto"/>
            <w:gridSpan w:val="2"/>
            <w:shd w:val="clear" w:color="auto" w:fill="FFFFFF"/>
            <w:tcMar>
              <w:top w:w="40" w:type="dxa"/>
              <w:left w:w="20" w:type="dxa"/>
              <w:bottom w:w="40" w:type="dxa"/>
              <w:right w:w="0" w:type="dxa"/>
            </w:tcMar>
            <w:vAlign w:val="bottom"/>
          </w:tcPr>
          <w:p w14:paraId="518B5ABD" w14:textId="77777777" w:rsidR="005C332D" w:rsidRDefault="00B93EAE">
            <w:pPr>
              <w:jc w:val="right"/>
              <w:textAlignment w:val="bottom"/>
            </w:pPr>
            <w:r>
              <w:rPr>
                <w:rFonts w:ascii="Times New Roman" w:eastAsia="宋体" w:hAnsi="Times New Roman"/>
                <w:b/>
                <w:bCs/>
                <w:color w:val="000000"/>
                <w:sz w:val="19"/>
                <w:szCs w:val="19"/>
              </w:rPr>
              <w:t>535</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AB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B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C0" w14:textId="77777777" w:rsidR="005C332D" w:rsidRDefault="00B93EAE">
            <w:pPr>
              <w:jc w:val="right"/>
              <w:textAlignment w:val="bottom"/>
            </w:pPr>
            <w:r>
              <w:rPr>
                <w:rFonts w:ascii="Times New Roman" w:eastAsia="宋体" w:hAnsi="Times New Roman"/>
                <w:color w:val="000000"/>
                <w:sz w:val="19"/>
                <w:szCs w:val="19"/>
              </w:rPr>
              <w:t>(46)</w:t>
            </w:r>
          </w:p>
        </w:tc>
        <w:tc>
          <w:tcPr>
            <w:tcW w:w="0" w:type="auto"/>
            <w:shd w:val="clear" w:color="auto" w:fill="FFFFFF"/>
            <w:tcMar>
              <w:top w:w="40" w:type="dxa"/>
              <w:left w:w="0" w:type="dxa"/>
              <w:bottom w:w="40" w:type="dxa"/>
              <w:right w:w="20" w:type="dxa"/>
            </w:tcMar>
            <w:vAlign w:val="bottom"/>
          </w:tcPr>
          <w:p w14:paraId="518B5AC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C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C3" w14:textId="77777777" w:rsidR="005C332D" w:rsidRDefault="00B93EAE">
            <w:pPr>
              <w:jc w:val="right"/>
              <w:textAlignment w:val="bottom"/>
            </w:pPr>
            <w:r>
              <w:rPr>
                <w:rFonts w:ascii="Times New Roman" w:eastAsia="宋体" w:hAnsi="Times New Roman"/>
                <w:color w:val="000000"/>
                <w:sz w:val="19"/>
                <w:szCs w:val="19"/>
              </w:rPr>
              <w:t>(110)</w:t>
            </w:r>
          </w:p>
        </w:tc>
        <w:tc>
          <w:tcPr>
            <w:tcW w:w="0" w:type="auto"/>
            <w:shd w:val="clear" w:color="auto" w:fill="FFFFFF"/>
            <w:tcMar>
              <w:top w:w="40" w:type="dxa"/>
              <w:left w:w="0" w:type="dxa"/>
              <w:bottom w:w="40" w:type="dxa"/>
              <w:right w:w="20" w:type="dxa"/>
            </w:tcMar>
            <w:vAlign w:val="bottom"/>
          </w:tcPr>
          <w:p w14:paraId="518B5AC4" w14:textId="77777777" w:rsidR="005C332D" w:rsidRDefault="005C332D">
            <w:pPr>
              <w:jc w:val="right"/>
              <w:rPr>
                <w:rFonts w:ascii="宋体"/>
              </w:rPr>
            </w:pPr>
          </w:p>
        </w:tc>
      </w:tr>
      <w:tr w:rsidR="005C332D" w14:paraId="518B5ACF" w14:textId="77777777">
        <w:tc>
          <w:tcPr>
            <w:tcW w:w="0" w:type="auto"/>
            <w:gridSpan w:val="3"/>
            <w:shd w:val="clear" w:color="auto" w:fill="CCEEFF"/>
            <w:tcMar>
              <w:top w:w="40" w:type="dxa"/>
              <w:left w:w="1595" w:type="dxa"/>
              <w:bottom w:w="40" w:type="dxa"/>
              <w:right w:w="20" w:type="dxa"/>
            </w:tcMar>
            <w:vAlign w:val="bottom"/>
          </w:tcPr>
          <w:p w14:paraId="518B5AC6" w14:textId="77777777" w:rsidR="005C332D" w:rsidRDefault="00B93EAE">
            <w:pPr>
              <w:textAlignment w:val="bottom"/>
            </w:pPr>
            <w:r>
              <w:rPr>
                <w:rFonts w:ascii="Times New Roman" w:eastAsia="宋体" w:hAnsi="Times New Roman"/>
                <w:color w:val="000000"/>
                <w:sz w:val="19"/>
                <w:szCs w:val="19"/>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AC7" w14:textId="77777777" w:rsidR="005C332D" w:rsidRDefault="00B93EAE">
            <w:pPr>
              <w:jc w:val="right"/>
              <w:textAlignment w:val="bottom"/>
            </w:pPr>
            <w:r>
              <w:rPr>
                <w:rFonts w:ascii="Times New Roman" w:eastAsia="宋体" w:hAnsi="Times New Roman"/>
                <w:b/>
                <w:bCs/>
                <w:color w:val="000000"/>
                <w:sz w:val="19"/>
                <w:szCs w:val="19"/>
              </w:rPr>
              <w:t>13,226</w:t>
            </w:r>
            <w:r>
              <w:rPr>
                <w:rFonts w:ascii="Times New Roman" w:eastAsia="宋体" w:hAnsi="Times New Roman"/>
                <w:color w:val="000000"/>
                <w:sz w:val="19"/>
                <w:szCs w:val="19"/>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AC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C9"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ACA" w14:textId="77777777" w:rsidR="005C332D" w:rsidRDefault="00B93EAE">
            <w:pPr>
              <w:jc w:val="right"/>
              <w:textAlignment w:val="bottom"/>
            </w:pPr>
            <w:r>
              <w:rPr>
                <w:rFonts w:ascii="Times New Roman" w:eastAsia="宋体" w:hAnsi="Times New Roman"/>
                <w:color w:val="000000"/>
                <w:sz w:val="19"/>
                <w:szCs w:val="19"/>
              </w:rPr>
              <w:t>15,454 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AC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CC"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ACD" w14:textId="77777777" w:rsidR="005C332D" w:rsidRDefault="00B93EAE">
            <w:pPr>
              <w:jc w:val="right"/>
              <w:textAlignment w:val="bottom"/>
            </w:pPr>
            <w:r>
              <w:rPr>
                <w:rFonts w:ascii="Times New Roman" w:eastAsia="宋体" w:hAnsi="Times New Roman"/>
                <w:color w:val="000000"/>
                <w:sz w:val="19"/>
                <w:szCs w:val="19"/>
              </w:rPr>
              <w:t>15,426 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ACE" w14:textId="77777777" w:rsidR="005C332D" w:rsidRDefault="005C332D">
            <w:pPr>
              <w:jc w:val="right"/>
              <w:rPr>
                <w:rFonts w:ascii="宋体"/>
              </w:rPr>
            </w:pPr>
          </w:p>
        </w:tc>
      </w:tr>
      <w:tr w:rsidR="005C332D" w14:paraId="518B5AD6" w14:textId="77777777">
        <w:tc>
          <w:tcPr>
            <w:tcW w:w="0" w:type="auto"/>
            <w:gridSpan w:val="3"/>
            <w:shd w:val="clear" w:color="auto" w:fill="FFFFFF"/>
            <w:tcMar>
              <w:top w:w="40" w:type="dxa"/>
              <w:left w:w="20" w:type="dxa"/>
              <w:bottom w:w="40" w:type="dxa"/>
              <w:right w:w="20" w:type="dxa"/>
            </w:tcMar>
            <w:vAlign w:val="bottom"/>
          </w:tcPr>
          <w:p w14:paraId="518B5AD0" w14:textId="77777777" w:rsidR="005C332D" w:rsidRDefault="00B93EAE">
            <w:pPr>
              <w:textAlignment w:val="bottom"/>
            </w:pPr>
            <w:r>
              <w:rPr>
                <w:rFonts w:ascii="Times New Roman" w:eastAsia="宋体" w:hAnsi="Times New Roman"/>
                <w:color w:val="000000"/>
                <w:sz w:val="19"/>
                <w:szCs w:val="19"/>
              </w:rPr>
              <w:t xml:space="preserve">Cash flows from </w:t>
            </w:r>
            <w:r>
              <w:rPr>
                <w:rFonts w:ascii="Times New Roman" w:eastAsia="宋体" w:hAnsi="Times New Roman"/>
                <w:color w:val="000000"/>
                <w:sz w:val="19"/>
                <w:szCs w:val="19"/>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5AD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AD2"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5AD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AD4"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5AD5" w14:textId="77777777" w:rsidR="005C332D" w:rsidRDefault="005C332D">
            <w:pPr>
              <w:rPr>
                <w:rFonts w:ascii="宋体"/>
              </w:rPr>
            </w:pPr>
          </w:p>
        </w:tc>
      </w:tr>
      <w:tr w:rsidR="005C332D" w14:paraId="518B5AE0" w14:textId="77777777">
        <w:tc>
          <w:tcPr>
            <w:tcW w:w="0" w:type="auto"/>
            <w:gridSpan w:val="3"/>
            <w:shd w:val="clear" w:color="auto" w:fill="CCEEFF"/>
            <w:tcMar>
              <w:top w:w="40" w:type="dxa"/>
              <w:left w:w="380" w:type="dxa"/>
              <w:bottom w:w="40" w:type="dxa"/>
              <w:right w:w="20" w:type="dxa"/>
            </w:tcMar>
            <w:vAlign w:val="bottom"/>
          </w:tcPr>
          <w:p w14:paraId="518B5AD7" w14:textId="77777777" w:rsidR="005C332D" w:rsidRDefault="00B93EAE">
            <w:pPr>
              <w:textAlignment w:val="bottom"/>
            </w:pPr>
            <w:r>
              <w:rPr>
                <w:rFonts w:ascii="Times New Roman" w:eastAsia="宋体" w:hAnsi="Times New Roman"/>
                <w:color w:val="000000"/>
                <w:sz w:val="19"/>
                <w:szCs w:val="19"/>
              </w:rPr>
              <w:t>Purchases of investments</w:t>
            </w:r>
          </w:p>
        </w:tc>
        <w:tc>
          <w:tcPr>
            <w:tcW w:w="0" w:type="auto"/>
            <w:gridSpan w:val="2"/>
            <w:shd w:val="clear" w:color="auto" w:fill="CCEEFF"/>
            <w:tcMar>
              <w:top w:w="40" w:type="dxa"/>
              <w:left w:w="20" w:type="dxa"/>
              <w:bottom w:w="40" w:type="dxa"/>
              <w:right w:w="0" w:type="dxa"/>
            </w:tcMar>
            <w:vAlign w:val="bottom"/>
          </w:tcPr>
          <w:p w14:paraId="518B5AD8" w14:textId="77777777" w:rsidR="005C332D" w:rsidRDefault="00B93EAE">
            <w:pPr>
              <w:jc w:val="right"/>
              <w:textAlignment w:val="bottom"/>
            </w:pPr>
            <w:r>
              <w:rPr>
                <w:rFonts w:ascii="Times New Roman" w:eastAsia="宋体" w:hAnsi="Times New Roman"/>
                <w:b/>
                <w:bCs/>
                <w:color w:val="000000"/>
                <w:sz w:val="19"/>
                <w:szCs w:val="19"/>
              </w:rPr>
              <w:t>(6,070)</w:t>
            </w:r>
          </w:p>
        </w:tc>
        <w:tc>
          <w:tcPr>
            <w:tcW w:w="0" w:type="auto"/>
            <w:shd w:val="clear" w:color="auto" w:fill="CCEEFF"/>
            <w:tcMar>
              <w:top w:w="40" w:type="dxa"/>
              <w:left w:w="0" w:type="dxa"/>
              <w:bottom w:w="40" w:type="dxa"/>
              <w:right w:w="20" w:type="dxa"/>
            </w:tcMar>
            <w:vAlign w:val="bottom"/>
          </w:tcPr>
          <w:p w14:paraId="518B5AD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D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DB" w14:textId="77777777" w:rsidR="005C332D" w:rsidRDefault="00B93EAE">
            <w:pPr>
              <w:jc w:val="right"/>
              <w:textAlignment w:val="bottom"/>
            </w:pPr>
            <w:r>
              <w:rPr>
                <w:rFonts w:ascii="Times New Roman" w:eastAsia="宋体" w:hAnsi="Times New Roman"/>
                <w:color w:val="000000"/>
                <w:sz w:val="19"/>
                <w:szCs w:val="19"/>
              </w:rPr>
              <w:t>(9,328)</w:t>
            </w:r>
          </w:p>
        </w:tc>
        <w:tc>
          <w:tcPr>
            <w:tcW w:w="0" w:type="auto"/>
            <w:shd w:val="clear" w:color="auto" w:fill="CCEEFF"/>
            <w:tcMar>
              <w:top w:w="40" w:type="dxa"/>
              <w:left w:w="0" w:type="dxa"/>
              <w:bottom w:w="40" w:type="dxa"/>
              <w:right w:w="20" w:type="dxa"/>
            </w:tcMar>
            <w:vAlign w:val="bottom"/>
          </w:tcPr>
          <w:p w14:paraId="518B5AD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D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DE" w14:textId="77777777" w:rsidR="005C332D" w:rsidRDefault="00B93EAE">
            <w:pPr>
              <w:jc w:val="right"/>
              <w:textAlignment w:val="bottom"/>
            </w:pPr>
            <w:r>
              <w:rPr>
                <w:rFonts w:ascii="Times New Roman" w:eastAsia="宋体" w:hAnsi="Times New Roman"/>
                <w:color w:val="000000"/>
                <w:sz w:val="19"/>
                <w:szCs w:val="19"/>
              </w:rPr>
              <w:t>(9,212)</w:t>
            </w:r>
          </w:p>
        </w:tc>
        <w:tc>
          <w:tcPr>
            <w:tcW w:w="0" w:type="auto"/>
            <w:shd w:val="clear" w:color="auto" w:fill="CCEEFF"/>
            <w:tcMar>
              <w:top w:w="40" w:type="dxa"/>
              <w:left w:w="0" w:type="dxa"/>
              <w:bottom w:w="40" w:type="dxa"/>
              <w:right w:w="20" w:type="dxa"/>
            </w:tcMar>
            <w:vAlign w:val="bottom"/>
          </w:tcPr>
          <w:p w14:paraId="518B5ADF" w14:textId="77777777" w:rsidR="005C332D" w:rsidRDefault="005C332D">
            <w:pPr>
              <w:jc w:val="right"/>
              <w:rPr>
                <w:rFonts w:ascii="宋体"/>
              </w:rPr>
            </w:pPr>
          </w:p>
        </w:tc>
      </w:tr>
      <w:tr w:rsidR="005C332D" w14:paraId="518B5AEA" w14:textId="77777777">
        <w:tc>
          <w:tcPr>
            <w:tcW w:w="0" w:type="auto"/>
            <w:gridSpan w:val="3"/>
            <w:shd w:val="clear" w:color="auto" w:fill="FFFFFF"/>
            <w:tcMar>
              <w:top w:w="40" w:type="dxa"/>
              <w:left w:w="380" w:type="dxa"/>
              <w:bottom w:w="40" w:type="dxa"/>
              <w:right w:w="20" w:type="dxa"/>
            </w:tcMar>
            <w:vAlign w:val="bottom"/>
          </w:tcPr>
          <w:p w14:paraId="518B5AE1" w14:textId="77777777" w:rsidR="005C332D" w:rsidRDefault="00B93EAE">
            <w:pPr>
              <w:textAlignment w:val="bottom"/>
            </w:pPr>
            <w:r>
              <w:rPr>
                <w:rFonts w:ascii="Times New Roman" w:eastAsia="宋体" w:hAnsi="Times New Roman"/>
                <w:color w:val="000000"/>
                <w:sz w:val="19"/>
                <w:szCs w:val="19"/>
              </w:rPr>
              <w:t>Proceeds from sales of investments</w:t>
            </w:r>
          </w:p>
        </w:tc>
        <w:tc>
          <w:tcPr>
            <w:tcW w:w="0" w:type="auto"/>
            <w:gridSpan w:val="2"/>
            <w:shd w:val="clear" w:color="auto" w:fill="FFFFFF"/>
            <w:tcMar>
              <w:top w:w="40" w:type="dxa"/>
              <w:left w:w="20" w:type="dxa"/>
              <w:bottom w:w="40" w:type="dxa"/>
              <w:right w:w="0" w:type="dxa"/>
            </w:tcMar>
            <w:vAlign w:val="bottom"/>
          </w:tcPr>
          <w:p w14:paraId="518B5AE2" w14:textId="77777777" w:rsidR="005C332D" w:rsidRDefault="00B93EAE">
            <w:pPr>
              <w:jc w:val="right"/>
              <w:textAlignment w:val="bottom"/>
            </w:pPr>
            <w:r>
              <w:rPr>
                <w:rFonts w:ascii="Times New Roman" w:eastAsia="宋体" w:hAnsi="Times New Roman"/>
                <w:b/>
                <w:bCs/>
                <w:color w:val="000000"/>
                <w:sz w:val="19"/>
                <w:szCs w:val="19"/>
              </w:rPr>
              <w:t>2,660</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AE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E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E5" w14:textId="77777777" w:rsidR="005C332D" w:rsidRDefault="00B93EAE">
            <w:pPr>
              <w:jc w:val="right"/>
              <w:textAlignment w:val="bottom"/>
            </w:pPr>
            <w:r>
              <w:rPr>
                <w:rFonts w:ascii="Times New Roman" w:eastAsia="宋体" w:hAnsi="Times New Roman"/>
                <w:color w:val="000000"/>
                <w:sz w:val="19"/>
                <w:szCs w:val="19"/>
              </w:rPr>
              <w:t>3,373 </w:t>
            </w:r>
          </w:p>
        </w:tc>
        <w:tc>
          <w:tcPr>
            <w:tcW w:w="0" w:type="auto"/>
            <w:shd w:val="clear" w:color="auto" w:fill="FFFFFF"/>
            <w:tcMar>
              <w:top w:w="40" w:type="dxa"/>
              <w:left w:w="0" w:type="dxa"/>
              <w:bottom w:w="40" w:type="dxa"/>
              <w:right w:w="20" w:type="dxa"/>
            </w:tcMar>
            <w:vAlign w:val="bottom"/>
          </w:tcPr>
          <w:p w14:paraId="518B5AE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E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E8" w14:textId="77777777" w:rsidR="005C332D" w:rsidRDefault="00B93EAE">
            <w:pPr>
              <w:jc w:val="right"/>
              <w:textAlignment w:val="bottom"/>
            </w:pPr>
            <w:r>
              <w:rPr>
                <w:rFonts w:ascii="Times New Roman" w:eastAsia="宋体" w:hAnsi="Times New Roman"/>
                <w:color w:val="000000"/>
                <w:sz w:val="19"/>
                <w:szCs w:val="19"/>
              </w:rPr>
              <w:t>5,631 </w:t>
            </w:r>
          </w:p>
        </w:tc>
        <w:tc>
          <w:tcPr>
            <w:tcW w:w="0" w:type="auto"/>
            <w:shd w:val="clear" w:color="auto" w:fill="FFFFFF"/>
            <w:tcMar>
              <w:top w:w="40" w:type="dxa"/>
              <w:left w:w="0" w:type="dxa"/>
              <w:bottom w:w="40" w:type="dxa"/>
              <w:right w:w="20" w:type="dxa"/>
            </w:tcMar>
            <w:vAlign w:val="bottom"/>
          </w:tcPr>
          <w:p w14:paraId="518B5AE9" w14:textId="77777777" w:rsidR="005C332D" w:rsidRDefault="005C332D">
            <w:pPr>
              <w:jc w:val="right"/>
              <w:rPr>
                <w:rFonts w:ascii="宋体"/>
              </w:rPr>
            </w:pPr>
          </w:p>
        </w:tc>
      </w:tr>
      <w:tr w:rsidR="005C332D" w14:paraId="518B5AF4" w14:textId="77777777">
        <w:tc>
          <w:tcPr>
            <w:tcW w:w="0" w:type="auto"/>
            <w:gridSpan w:val="3"/>
            <w:shd w:val="clear" w:color="auto" w:fill="CCEEFF"/>
            <w:tcMar>
              <w:top w:w="40" w:type="dxa"/>
              <w:left w:w="380" w:type="dxa"/>
              <w:bottom w:w="40" w:type="dxa"/>
              <w:right w:w="20" w:type="dxa"/>
            </w:tcMar>
            <w:vAlign w:val="bottom"/>
          </w:tcPr>
          <w:p w14:paraId="518B5AEB" w14:textId="77777777" w:rsidR="005C332D" w:rsidRDefault="00B93EAE">
            <w:pPr>
              <w:textAlignment w:val="bottom"/>
            </w:pPr>
            <w:r>
              <w:rPr>
                <w:rFonts w:ascii="Times New Roman" w:eastAsia="宋体" w:hAnsi="Times New Roman"/>
                <w:color w:val="000000"/>
                <w:sz w:val="19"/>
                <w:szCs w:val="19"/>
              </w:rPr>
              <w:t>Proceeds from maturities of investments</w:t>
            </w:r>
          </w:p>
        </w:tc>
        <w:tc>
          <w:tcPr>
            <w:tcW w:w="0" w:type="auto"/>
            <w:gridSpan w:val="2"/>
            <w:shd w:val="clear" w:color="auto" w:fill="CCEEFF"/>
            <w:tcMar>
              <w:top w:w="40" w:type="dxa"/>
              <w:left w:w="20" w:type="dxa"/>
              <w:bottom w:w="40" w:type="dxa"/>
              <w:right w:w="0" w:type="dxa"/>
            </w:tcMar>
            <w:vAlign w:val="bottom"/>
          </w:tcPr>
          <w:p w14:paraId="518B5AEC" w14:textId="77777777" w:rsidR="005C332D" w:rsidRDefault="00B93EAE">
            <w:pPr>
              <w:jc w:val="right"/>
              <w:textAlignment w:val="bottom"/>
            </w:pPr>
            <w:r>
              <w:rPr>
                <w:rFonts w:ascii="Times New Roman" w:eastAsia="宋体" w:hAnsi="Times New Roman"/>
                <w:b/>
                <w:bCs/>
                <w:color w:val="000000"/>
                <w:sz w:val="19"/>
                <w:szCs w:val="19"/>
              </w:rPr>
              <w:t>5,686</w:t>
            </w: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518B5AE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E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EF" w14:textId="77777777" w:rsidR="005C332D" w:rsidRDefault="00B93EAE">
            <w:pPr>
              <w:jc w:val="right"/>
              <w:textAlignment w:val="bottom"/>
            </w:pPr>
            <w:r>
              <w:rPr>
                <w:rFonts w:ascii="Times New Roman" w:eastAsia="宋体" w:hAnsi="Times New Roman"/>
                <w:color w:val="000000"/>
                <w:sz w:val="19"/>
                <w:szCs w:val="19"/>
              </w:rPr>
              <w:t>8,409 </w:t>
            </w:r>
          </w:p>
        </w:tc>
        <w:tc>
          <w:tcPr>
            <w:tcW w:w="0" w:type="auto"/>
            <w:shd w:val="clear" w:color="auto" w:fill="CCEEFF"/>
            <w:tcMar>
              <w:top w:w="40" w:type="dxa"/>
              <w:left w:w="0" w:type="dxa"/>
              <w:bottom w:w="40" w:type="dxa"/>
              <w:right w:w="20" w:type="dxa"/>
            </w:tcMar>
            <w:vAlign w:val="bottom"/>
          </w:tcPr>
          <w:p w14:paraId="518B5AF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AF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AF2" w14:textId="77777777" w:rsidR="005C332D" w:rsidRDefault="00B93EAE">
            <w:pPr>
              <w:jc w:val="right"/>
              <w:textAlignment w:val="bottom"/>
            </w:pPr>
            <w:r>
              <w:rPr>
                <w:rFonts w:ascii="Times New Roman" w:eastAsia="宋体" w:hAnsi="Times New Roman"/>
                <w:color w:val="000000"/>
                <w:sz w:val="19"/>
                <w:szCs w:val="19"/>
              </w:rPr>
              <w:t>7,975 </w:t>
            </w:r>
          </w:p>
        </w:tc>
        <w:tc>
          <w:tcPr>
            <w:tcW w:w="0" w:type="auto"/>
            <w:shd w:val="clear" w:color="auto" w:fill="CCEEFF"/>
            <w:tcMar>
              <w:top w:w="40" w:type="dxa"/>
              <w:left w:w="0" w:type="dxa"/>
              <w:bottom w:w="40" w:type="dxa"/>
              <w:right w:w="20" w:type="dxa"/>
            </w:tcMar>
            <w:vAlign w:val="bottom"/>
          </w:tcPr>
          <w:p w14:paraId="518B5AF3" w14:textId="77777777" w:rsidR="005C332D" w:rsidRDefault="005C332D">
            <w:pPr>
              <w:jc w:val="right"/>
              <w:rPr>
                <w:rFonts w:ascii="宋体"/>
              </w:rPr>
            </w:pPr>
          </w:p>
        </w:tc>
      </w:tr>
      <w:tr w:rsidR="005C332D" w14:paraId="518B5AFE" w14:textId="77777777">
        <w:tc>
          <w:tcPr>
            <w:tcW w:w="0" w:type="auto"/>
            <w:gridSpan w:val="3"/>
            <w:shd w:val="clear" w:color="auto" w:fill="FFFFFF"/>
            <w:tcMar>
              <w:top w:w="40" w:type="dxa"/>
              <w:left w:w="380" w:type="dxa"/>
              <w:bottom w:w="40" w:type="dxa"/>
              <w:right w:w="20" w:type="dxa"/>
            </w:tcMar>
            <w:vAlign w:val="bottom"/>
          </w:tcPr>
          <w:p w14:paraId="518B5AF5" w14:textId="77777777" w:rsidR="005C332D" w:rsidRDefault="00B93EAE">
            <w:pPr>
              <w:textAlignment w:val="bottom"/>
            </w:pPr>
            <w:r>
              <w:rPr>
                <w:rFonts w:ascii="Times New Roman" w:eastAsia="宋体" w:hAnsi="Times New Roman"/>
                <w:color w:val="000000"/>
                <w:sz w:val="19"/>
                <w:szCs w:val="19"/>
              </w:rPr>
              <w:t xml:space="preserve">Acquisitions, net of cash and cash </w:t>
            </w:r>
            <w:r>
              <w:rPr>
                <w:rFonts w:ascii="Times New Roman" w:eastAsia="宋体" w:hAnsi="Times New Roman"/>
                <w:color w:val="000000"/>
                <w:sz w:val="19"/>
                <w:szCs w:val="19"/>
              </w:rPr>
              <w:t>equivalents acquired and divestitures</w:t>
            </w:r>
          </w:p>
        </w:tc>
        <w:tc>
          <w:tcPr>
            <w:tcW w:w="0" w:type="auto"/>
            <w:gridSpan w:val="2"/>
            <w:shd w:val="clear" w:color="auto" w:fill="FFFFFF"/>
            <w:tcMar>
              <w:top w:w="40" w:type="dxa"/>
              <w:left w:w="20" w:type="dxa"/>
              <w:bottom w:w="40" w:type="dxa"/>
              <w:right w:w="0" w:type="dxa"/>
            </w:tcMar>
            <w:vAlign w:val="bottom"/>
          </w:tcPr>
          <w:p w14:paraId="518B5AF6" w14:textId="77777777" w:rsidR="005C332D" w:rsidRDefault="00B93EAE">
            <w:pPr>
              <w:jc w:val="right"/>
              <w:textAlignment w:val="bottom"/>
            </w:pPr>
            <w:r>
              <w:rPr>
                <w:rFonts w:ascii="Times New Roman" w:eastAsia="宋体" w:hAnsi="Times New Roman"/>
                <w:b/>
                <w:bCs/>
                <w:color w:val="000000"/>
                <w:sz w:val="19"/>
                <w:szCs w:val="19"/>
              </w:rPr>
              <w:t>(373)</w:t>
            </w:r>
          </w:p>
        </w:tc>
        <w:tc>
          <w:tcPr>
            <w:tcW w:w="0" w:type="auto"/>
            <w:shd w:val="clear" w:color="auto" w:fill="FFFFFF"/>
            <w:tcMar>
              <w:top w:w="40" w:type="dxa"/>
              <w:left w:w="0" w:type="dxa"/>
              <w:bottom w:w="40" w:type="dxa"/>
              <w:right w:w="20" w:type="dxa"/>
            </w:tcMar>
            <w:vAlign w:val="bottom"/>
          </w:tcPr>
          <w:p w14:paraId="518B5AF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F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F9" w14:textId="77777777" w:rsidR="005C332D" w:rsidRDefault="00B93EAE">
            <w:pPr>
              <w:jc w:val="right"/>
              <w:textAlignment w:val="bottom"/>
            </w:pPr>
            <w:r>
              <w:rPr>
                <w:rFonts w:ascii="Times New Roman" w:eastAsia="宋体" w:hAnsi="Times New Roman"/>
                <w:color w:val="000000"/>
                <w:sz w:val="19"/>
                <w:szCs w:val="19"/>
              </w:rPr>
              <w:t>(7,038)</w:t>
            </w:r>
          </w:p>
        </w:tc>
        <w:tc>
          <w:tcPr>
            <w:tcW w:w="0" w:type="auto"/>
            <w:shd w:val="clear" w:color="auto" w:fill="FFFFFF"/>
            <w:tcMar>
              <w:top w:w="40" w:type="dxa"/>
              <w:left w:w="0" w:type="dxa"/>
              <w:bottom w:w="40" w:type="dxa"/>
              <w:right w:w="20" w:type="dxa"/>
            </w:tcMar>
            <w:vAlign w:val="bottom"/>
          </w:tcPr>
          <w:p w14:paraId="518B5AF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AF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AFC" w14:textId="77777777" w:rsidR="005C332D" w:rsidRDefault="00B93EAE">
            <w:pPr>
              <w:jc w:val="right"/>
              <w:textAlignment w:val="bottom"/>
            </w:pPr>
            <w:r>
              <w:rPr>
                <w:rFonts w:ascii="Times New Roman" w:eastAsia="宋体" w:hAnsi="Times New Roman"/>
                <w:color w:val="000000"/>
                <w:sz w:val="19"/>
                <w:szCs w:val="19"/>
              </w:rPr>
              <w:t>(327)</w:t>
            </w:r>
          </w:p>
        </w:tc>
        <w:tc>
          <w:tcPr>
            <w:tcW w:w="0" w:type="auto"/>
            <w:shd w:val="clear" w:color="auto" w:fill="FFFFFF"/>
            <w:tcMar>
              <w:top w:w="40" w:type="dxa"/>
              <w:left w:w="0" w:type="dxa"/>
              <w:bottom w:w="40" w:type="dxa"/>
              <w:right w:w="20" w:type="dxa"/>
            </w:tcMar>
            <w:vAlign w:val="bottom"/>
          </w:tcPr>
          <w:p w14:paraId="518B5AFD" w14:textId="77777777" w:rsidR="005C332D" w:rsidRDefault="005C332D">
            <w:pPr>
              <w:jc w:val="right"/>
              <w:rPr>
                <w:rFonts w:ascii="宋体"/>
              </w:rPr>
            </w:pPr>
          </w:p>
        </w:tc>
      </w:tr>
      <w:tr w:rsidR="005C332D" w14:paraId="518B5B08" w14:textId="77777777">
        <w:tc>
          <w:tcPr>
            <w:tcW w:w="0" w:type="auto"/>
            <w:gridSpan w:val="3"/>
            <w:shd w:val="clear" w:color="auto" w:fill="CCEEFF"/>
            <w:tcMar>
              <w:top w:w="40" w:type="dxa"/>
              <w:left w:w="380" w:type="dxa"/>
              <w:bottom w:w="40" w:type="dxa"/>
              <w:right w:w="20" w:type="dxa"/>
            </w:tcMar>
            <w:vAlign w:val="bottom"/>
          </w:tcPr>
          <w:p w14:paraId="518B5AFF" w14:textId="77777777" w:rsidR="005C332D" w:rsidRDefault="00B93EAE">
            <w:pPr>
              <w:textAlignment w:val="bottom"/>
            </w:pPr>
            <w:r>
              <w:rPr>
                <w:rFonts w:ascii="Times New Roman" w:eastAsia="宋体" w:hAnsi="Times New Roman"/>
                <w:color w:val="000000"/>
                <w:sz w:val="19"/>
                <w:szCs w:val="19"/>
              </w:rPr>
              <w:t>Purchases of investments in privately held companies</w:t>
            </w:r>
          </w:p>
        </w:tc>
        <w:tc>
          <w:tcPr>
            <w:tcW w:w="0" w:type="auto"/>
            <w:gridSpan w:val="2"/>
            <w:shd w:val="clear" w:color="auto" w:fill="CCEEFF"/>
            <w:tcMar>
              <w:top w:w="40" w:type="dxa"/>
              <w:left w:w="20" w:type="dxa"/>
              <w:bottom w:w="40" w:type="dxa"/>
              <w:right w:w="0" w:type="dxa"/>
            </w:tcMar>
            <w:vAlign w:val="bottom"/>
          </w:tcPr>
          <w:p w14:paraId="518B5B00" w14:textId="77777777" w:rsidR="005C332D" w:rsidRDefault="00B93EAE">
            <w:pPr>
              <w:jc w:val="right"/>
              <w:textAlignment w:val="bottom"/>
            </w:pPr>
            <w:r>
              <w:rPr>
                <w:rFonts w:ascii="Times New Roman" w:eastAsia="宋体" w:hAnsi="Times New Roman"/>
                <w:b/>
                <w:bCs/>
                <w:color w:val="000000"/>
                <w:sz w:val="19"/>
                <w:szCs w:val="19"/>
              </w:rPr>
              <w:t>(186)</w:t>
            </w:r>
          </w:p>
        </w:tc>
        <w:tc>
          <w:tcPr>
            <w:tcW w:w="0" w:type="auto"/>
            <w:shd w:val="clear" w:color="auto" w:fill="CCEEFF"/>
            <w:tcMar>
              <w:top w:w="40" w:type="dxa"/>
              <w:left w:w="0" w:type="dxa"/>
              <w:bottom w:w="40" w:type="dxa"/>
              <w:right w:w="20" w:type="dxa"/>
            </w:tcMar>
            <w:vAlign w:val="bottom"/>
          </w:tcPr>
          <w:p w14:paraId="518B5B0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0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03" w14:textId="77777777" w:rsidR="005C332D" w:rsidRDefault="00B93EAE">
            <w:pPr>
              <w:jc w:val="right"/>
              <w:textAlignment w:val="bottom"/>
            </w:pPr>
            <w:r>
              <w:rPr>
                <w:rFonts w:ascii="Times New Roman" w:eastAsia="宋体" w:hAnsi="Times New Roman"/>
                <w:color w:val="000000"/>
                <w:sz w:val="19"/>
                <w:szCs w:val="19"/>
              </w:rPr>
              <w:t>(175)</w:t>
            </w:r>
          </w:p>
        </w:tc>
        <w:tc>
          <w:tcPr>
            <w:tcW w:w="0" w:type="auto"/>
            <w:shd w:val="clear" w:color="auto" w:fill="CCEEFF"/>
            <w:tcMar>
              <w:top w:w="40" w:type="dxa"/>
              <w:left w:w="0" w:type="dxa"/>
              <w:bottom w:w="40" w:type="dxa"/>
              <w:right w:w="20" w:type="dxa"/>
            </w:tcMar>
            <w:vAlign w:val="bottom"/>
          </w:tcPr>
          <w:p w14:paraId="518B5B0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0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06" w14:textId="77777777" w:rsidR="005C332D" w:rsidRDefault="00B93EAE">
            <w:pPr>
              <w:jc w:val="right"/>
              <w:textAlignment w:val="bottom"/>
            </w:pPr>
            <w:r>
              <w:rPr>
                <w:rFonts w:ascii="Times New Roman" w:eastAsia="宋体" w:hAnsi="Times New Roman"/>
                <w:color w:val="000000"/>
                <w:sz w:val="19"/>
                <w:szCs w:val="19"/>
              </w:rPr>
              <w:t>(190)</w:t>
            </w:r>
          </w:p>
        </w:tc>
        <w:tc>
          <w:tcPr>
            <w:tcW w:w="0" w:type="auto"/>
            <w:shd w:val="clear" w:color="auto" w:fill="CCEEFF"/>
            <w:tcMar>
              <w:top w:w="40" w:type="dxa"/>
              <w:left w:w="0" w:type="dxa"/>
              <w:bottom w:w="40" w:type="dxa"/>
              <w:right w:w="20" w:type="dxa"/>
            </w:tcMar>
            <w:vAlign w:val="bottom"/>
          </w:tcPr>
          <w:p w14:paraId="518B5B07" w14:textId="77777777" w:rsidR="005C332D" w:rsidRDefault="005C332D">
            <w:pPr>
              <w:jc w:val="right"/>
              <w:rPr>
                <w:rFonts w:ascii="宋体"/>
              </w:rPr>
            </w:pPr>
          </w:p>
        </w:tc>
      </w:tr>
      <w:tr w:rsidR="005C332D" w14:paraId="518B5B12" w14:textId="77777777">
        <w:tc>
          <w:tcPr>
            <w:tcW w:w="0" w:type="auto"/>
            <w:gridSpan w:val="3"/>
            <w:shd w:val="clear" w:color="auto" w:fill="FFFFFF"/>
            <w:tcMar>
              <w:top w:w="40" w:type="dxa"/>
              <w:left w:w="380" w:type="dxa"/>
              <w:bottom w:w="40" w:type="dxa"/>
              <w:right w:w="20" w:type="dxa"/>
            </w:tcMar>
            <w:vAlign w:val="bottom"/>
          </w:tcPr>
          <w:p w14:paraId="518B5B09" w14:textId="77777777" w:rsidR="005C332D" w:rsidRDefault="00B93EAE">
            <w:pPr>
              <w:textAlignment w:val="bottom"/>
            </w:pPr>
            <w:r>
              <w:rPr>
                <w:rFonts w:ascii="Times New Roman" w:eastAsia="宋体" w:hAnsi="Times New Roman"/>
                <w:color w:val="000000"/>
                <w:sz w:val="19"/>
                <w:szCs w:val="19"/>
              </w:rPr>
              <w:t>Return of investments in privately held companies</w:t>
            </w:r>
          </w:p>
        </w:tc>
        <w:tc>
          <w:tcPr>
            <w:tcW w:w="0" w:type="auto"/>
            <w:gridSpan w:val="2"/>
            <w:shd w:val="clear" w:color="auto" w:fill="FFFFFF"/>
            <w:tcMar>
              <w:top w:w="40" w:type="dxa"/>
              <w:left w:w="20" w:type="dxa"/>
              <w:bottom w:w="40" w:type="dxa"/>
              <w:right w:w="0" w:type="dxa"/>
            </w:tcMar>
            <w:vAlign w:val="bottom"/>
          </w:tcPr>
          <w:p w14:paraId="518B5B0A" w14:textId="77777777" w:rsidR="005C332D" w:rsidRDefault="00B93EAE">
            <w:pPr>
              <w:jc w:val="right"/>
              <w:textAlignment w:val="bottom"/>
            </w:pPr>
            <w:r>
              <w:rPr>
                <w:rFonts w:ascii="Times New Roman" w:eastAsia="宋体" w:hAnsi="Times New Roman"/>
                <w:b/>
                <w:bCs/>
                <w:color w:val="000000"/>
                <w:sz w:val="19"/>
                <w:szCs w:val="19"/>
              </w:rPr>
              <w:t>237</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B0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0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0D" w14:textId="77777777" w:rsidR="005C332D" w:rsidRDefault="00B93EAE">
            <w:pPr>
              <w:jc w:val="right"/>
              <w:textAlignment w:val="bottom"/>
            </w:pPr>
            <w:r>
              <w:rPr>
                <w:rFonts w:ascii="Times New Roman" w:eastAsia="宋体" w:hAnsi="Times New Roman"/>
                <w:color w:val="000000"/>
                <w:sz w:val="19"/>
                <w:szCs w:val="19"/>
              </w:rPr>
              <w:t>194 </w:t>
            </w:r>
          </w:p>
        </w:tc>
        <w:tc>
          <w:tcPr>
            <w:tcW w:w="0" w:type="auto"/>
            <w:shd w:val="clear" w:color="auto" w:fill="FFFFFF"/>
            <w:tcMar>
              <w:top w:w="40" w:type="dxa"/>
              <w:left w:w="0" w:type="dxa"/>
              <w:bottom w:w="40" w:type="dxa"/>
              <w:right w:w="20" w:type="dxa"/>
            </w:tcMar>
            <w:vAlign w:val="bottom"/>
          </w:tcPr>
          <w:p w14:paraId="518B5B0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0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10" w14:textId="77777777" w:rsidR="005C332D" w:rsidRDefault="00B93EAE">
            <w:pPr>
              <w:jc w:val="right"/>
              <w:textAlignment w:val="bottom"/>
            </w:pPr>
            <w:r>
              <w:rPr>
                <w:rFonts w:ascii="Times New Roman" w:eastAsia="宋体" w:hAnsi="Times New Roman"/>
                <w:color w:val="000000"/>
                <w:sz w:val="19"/>
                <w:szCs w:val="19"/>
              </w:rPr>
              <w:t>224 </w:t>
            </w:r>
          </w:p>
        </w:tc>
        <w:tc>
          <w:tcPr>
            <w:tcW w:w="0" w:type="auto"/>
            <w:shd w:val="clear" w:color="auto" w:fill="FFFFFF"/>
            <w:tcMar>
              <w:top w:w="40" w:type="dxa"/>
              <w:left w:w="0" w:type="dxa"/>
              <w:bottom w:w="40" w:type="dxa"/>
              <w:right w:w="20" w:type="dxa"/>
            </w:tcMar>
            <w:vAlign w:val="bottom"/>
          </w:tcPr>
          <w:p w14:paraId="518B5B11" w14:textId="77777777" w:rsidR="005C332D" w:rsidRDefault="005C332D">
            <w:pPr>
              <w:jc w:val="right"/>
              <w:rPr>
                <w:rFonts w:ascii="宋体"/>
              </w:rPr>
            </w:pPr>
          </w:p>
        </w:tc>
      </w:tr>
      <w:tr w:rsidR="005C332D" w14:paraId="518B5B1C" w14:textId="77777777">
        <w:tc>
          <w:tcPr>
            <w:tcW w:w="0" w:type="auto"/>
            <w:gridSpan w:val="3"/>
            <w:shd w:val="clear" w:color="auto" w:fill="CCEEFF"/>
            <w:tcMar>
              <w:top w:w="40" w:type="dxa"/>
              <w:left w:w="380" w:type="dxa"/>
              <w:bottom w:w="40" w:type="dxa"/>
              <w:right w:w="20" w:type="dxa"/>
            </w:tcMar>
            <w:vAlign w:val="bottom"/>
          </w:tcPr>
          <w:p w14:paraId="518B5B13" w14:textId="77777777" w:rsidR="005C332D" w:rsidRDefault="00B93EAE">
            <w:pPr>
              <w:textAlignment w:val="bottom"/>
            </w:pPr>
            <w:r>
              <w:rPr>
                <w:rFonts w:ascii="Times New Roman" w:eastAsia="宋体" w:hAnsi="Times New Roman"/>
                <w:color w:val="000000"/>
                <w:sz w:val="19"/>
                <w:szCs w:val="19"/>
              </w:rPr>
              <w:t xml:space="preserve">Acquisition of property and </w:t>
            </w:r>
            <w:r>
              <w:rPr>
                <w:rFonts w:ascii="Times New Roman" w:eastAsia="宋体" w:hAnsi="Times New Roman"/>
                <w:color w:val="000000"/>
                <w:sz w:val="19"/>
                <w:szCs w:val="19"/>
              </w:rPr>
              <w:t>equipment</w:t>
            </w:r>
          </w:p>
        </w:tc>
        <w:tc>
          <w:tcPr>
            <w:tcW w:w="0" w:type="auto"/>
            <w:gridSpan w:val="2"/>
            <w:shd w:val="clear" w:color="auto" w:fill="CCEEFF"/>
            <w:tcMar>
              <w:top w:w="40" w:type="dxa"/>
              <w:left w:w="20" w:type="dxa"/>
              <w:bottom w:w="40" w:type="dxa"/>
              <w:right w:w="0" w:type="dxa"/>
            </w:tcMar>
            <w:vAlign w:val="bottom"/>
          </w:tcPr>
          <w:p w14:paraId="518B5B14" w14:textId="77777777" w:rsidR="005C332D" w:rsidRDefault="00B93EAE">
            <w:pPr>
              <w:jc w:val="right"/>
              <w:textAlignment w:val="bottom"/>
            </w:pPr>
            <w:r>
              <w:rPr>
                <w:rFonts w:ascii="Times New Roman" w:eastAsia="宋体" w:hAnsi="Times New Roman"/>
                <w:b/>
                <w:bCs/>
                <w:color w:val="000000"/>
                <w:sz w:val="19"/>
                <w:szCs w:val="19"/>
              </w:rPr>
              <w:t>(477)</w:t>
            </w:r>
          </w:p>
        </w:tc>
        <w:tc>
          <w:tcPr>
            <w:tcW w:w="0" w:type="auto"/>
            <w:shd w:val="clear" w:color="auto" w:fill="CCEEFF"/>
            <w:tcMar>
              <w:top w:w="40" w:type="dxa"/>
              <w:left w:w="0" w:type="dxa"/>
              <w:bottom w:w="40" w:type="dxa"/>
              <w:right w:w="20" w:type="dxa"/>
            </w:tcMar>
            <w:vAlign w:val="bottom"/>
          </w:tcPr>
          <w:p w14:paraId="518B5B1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1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17" w14:textId="77777777" w:rsidR="005C332D" w:rsidRDefault="00B93EAE">
            <w:pPr>
              <w:jc w:val="right"/>
              <w:textAlignment w:val="bottom"/>
            </w:pPr>
            <w:r>
              <w:rPr>
                <w:rFonts w:ascii="Times New Roman" w:eastAsia="宋体" w:hAnsi="Times New Roman"/>
                <w:color w:val="000000"/>
                <w:sz w:val="19"/>
                <w:szCs w:val="19"/>
              </w:rPr>
              <w:t>(692)</w:t>
            </w:r>
          </w:p>
        </w:tc>
        <w:tc>
          <w:tcPr>
            <w:tcW w:w="0" w:type="auto"/>
            <w:shd w:val="clear" w:color="auto" w:fill="CCEEFF"/>
            <w:tcMar>
              <w:top w:w="40" w:type="dxa"/>
              <w:left w:w="0" w:type="dxa"/>
              <w:bottom w:w="40" w:type="dxa"/>
              <w:right w:w="20" w:type="dxa"/>
            </w:tcMar>
            <w:vAlign w:val="bottom"/>
          </w:tcPr>
          <w:p w14:paraId="518B5B1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1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1A" w14:textId="77777777" w:rsidR="005C332D" w:rsidRDefault="00B93EAE">
            <w:pPr>
              <w:jc w:val="right"/>
              <w:textAlignment w:val="bottom"/>
            </w:pPr>
            <w:r>
              <w:rPr>
                <w:rFonts w:ascii="Times New Roman" w:eastAsia="宋体" w:hAnsi="Times New Roman"/>
                <w:color w:val="000000"/>
                <w:sz w:val="19"/>
                <w:szCs w:val="19"/>
              </w:rPr>
              <w:t>(770)</w:t>
            </w:r>
          </w:p>
        </w:tc>
        <w:tc>
          <w:tcPr>
            <w:tcW w:w="0" w:type="auto"/>
            <w:shd w:val="clear" w:color="auto" w:fill="CCEEFF"/>
            <w:tcMar>
              <w:top w:w="40" w:type="dxa"/>
              <w:left w:w="0" w:type="dxa"/>
              <w:bottom w:w="40" w:type="dxa"/>
              <w:right w:w="20" w:type="dxa"/>
            </w:tcMar>
            <w:vAlign w:val="bottom"/>
          </w:tcPr>
          <w:p w14:paraId="518B5B1B" w14:textId="77777777" w:rsidR="005C332D" w:rsidRDefault="005C332D">
            <w:pPr>
              <w:jc w:val="right"/>
              <w:rPr>
                <w:rFonts w:ascii="宋体"/>
              </w:rPr>
            </w:pPr>
          </w:p>
        </w:tc>
      </w:tr>
      <w:tr w:rsidR="005C332D" w14:paraId="518B5B26" w14:textId="77777777">
        <w:tc>
          <w:tcPr>
            <w:tcW w:w="0" w:type="auto"/>
            <w:gridSpan w:val="3"/>
            <w:shd w:val="clear" w:color="auto" w:fill="FFFFFF"/>
            <w:tcMar>
              <w:top w:w="40" w:type="dxa"/>
              <w:left w:w="380" w:type="dxa"/>
              <w:bottom w:w="40" w:type="dxa"/>
              <w:right w:w="20" w:type="dxa"/>
            </w:tcMar>
            <w:vAlign w:val="bottom"/>
          </w:tcPr>
          <w:p w14:paraId="518B5B1D" w14:textId="77777777" w:rsidR="005C332D" w:rsidRDefault="00B93EAE">
            <w:pPr>
              <w:textAlignment w:val="bottom"/>
            </w:pPr>
            <w:r>
              <w:rPr>
                <w:rFonts w:ascii="Times New Roman" w:eastAsia="宋体" w:hAnsi="Times New Roman"/>
                <w:color w:val="000000"/>
                <w:sz w:val="19"/>
                <w:szCs w:val="19"/>
              </w:rPr>
              <w:t>Proceeds from sales of property and equipment</w:t>
            </w:r>
          </w:p>
        </w:tc>
        <w:tc>
          <w:tcPr>
            <w:tcW w:w="0" w:type="auto"/>
            <w:gridSpan w:val="2"/>
            <w:shd w:val="clear" w:color="auto" w:fill="FFFFFF"/>
            <w:tcMar>
              <w:top w:w="40" w:type="dxa"/>
              <w:left w:w="20" w:type="dxa"/>
              <w:bottom w:w="40" w:type="dxa"/>
              <w:right w:w="0" w:type="dxa"/>
            </w:tcMar>
            <w:vAlign w:val="bottom"/>
          </w:tcPr>
          <w:p w14:paraId="518B5B1E" w14:textId="77777777" w:rsidR="005C332D" w:rsidRDefault="00B93EAE">
            <w:pPr>
              <w:jc w:val="right"/>
              <w:textAlignment w:val="bottom"/>
            </w:pPr>
            <w:r>
              <w:rPr>
                <w:rFonts w:ascii="Times New Roman" w:eastAsia="宋体" w:hAnsi="Times New Roman"/>
                <w:b/>
                <w:bCs/>
                <w:color w:val="000000"/>
                <w:sz w:val="19"/>
                <w:szCs w:val="19"/>
              </w:rPr>
              <w:t>91</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B1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2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21" w14:textId="77777777" w:rsidR="005C332D" w:rsidRDefault="00B93EAE">
            <w:pPr>
              <w:jc w:val="right"/>
              <w:textAlignment w:val="bottom"/>
            </w:pPr>
            <w:r>
              <w:rPr>
                <w:rFonts w:ascii="Times New Roman" w:eastAsia="宋体" w:hAnsi="Times New Roman"/>
                <w:color w:val="000000"/>
                <w:sz w:val="19"/>
                <w:szCs w:val="19"/>
              </w:rPr>
              <w:t>28 </w:t>
            </w:r>
          </w:p>
        </w:tc>
        <w:tc>
          <w:tcPr>
            <w:tcW w:w="0" w:type="auto"/>
            <w:shd w:val="clear" w:color="auto" w:fill="FFFFFF"/>
            <w:tcMar>
              <w:top w:w="40" w:type="dxa"/>
              <w:left w:w="0" w:type="dxa"/>
              <w:bottom w:w="40" w:type="dxa"/>
              <w:right w:w="20" w:type="dxa"/>
            </w:tcMar>
            <w:vAlign w:val="bottom"/>
          </w:tcPr>
          <w:p w14:paraId="518B5B2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2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24" w14:textId="77777777" w:rsidR="005C332D" w:rsidRDefault="00B93EAE">
            <w:pPr>
              <w:jc w:val="right"/>
              <w:textAlignment w:val="bottom"/>
            </w:pPr>
            <w:r>
              <w:rPr>
                <w:rFonts w:ascii="Times New Roman" w:eastAsia="宋体" w:hAnsi="Times New Roman"/>
                <w:color w:val="000000"/>
                <w:sz w:val="19"/>
                <w:szCs w:val="19"/>
              </w:rPr>
              <w:t>179 </w:t>
            </w:r>
          </w:p>
        </w:tc>
        <w:tc>
          <w:tcPr>
            <w:tcW w:w="0" w:type="auto"/>
            <w:shd w:val="clear" w:color="auto" w:fill="FFFFFF"/>
            <w:tcMar>
              <w:top w:w="40" w:type="dxa"/>
              <w:left w:w="0" w:type="dxa"/>
              <w:bottom w:w="40" w:type="dxa"/>
              <w:right w:w="20" w:type="dxa"/>
            </w:tcMar>
            <w:vAlign w:val="bottom"/>
          </w:tcPr>
          <w:p w14:paraId="518B5B25" w14:textId="77777777" w:rsidR="005C332D" w:rsidRDefault="005C332D">
            <w:pPr>
              <w:jc w:val="right"/>
              <w:rPr>
                <w:rFonts w:ascii="宋体"/>
              </w:rPr>
            </w:pPr>
          </w:p>
        </w:tc>
      </w:tr>
      <w:tr w:rsidR="005C332D" w14:paraId="518B5B30" w14:textId="77777777">
        <w:tc>
          <w:tcPr>
            <w:tcW w:w="0" w:type="auto"/>
            <w:gridSpan w:val="3"/>
            <w:shd w:val="clear" w:color="auto" w:fill="CCEEFF"/>
            <w:tcMar>
              <w:top w:w="40" w:type="dxa"/>
              <w:left w:w="380" w:type="dxa"/>
              <w:bottom w:w="40" w:type="dxa"/>
              <w:right w:w="20" w:type="dxa"/>
            </w:tcMar>
            <w:vAlign w:val="bottom"/>
          </w:tcPr>
          <w:p w14:paraId="518B5B27" w14:textId="77777777" w:rsidR="005C332D" w:rsidRDefault="00B93EAE">
            <w:pPr>
              <w:textAlignment w:val="bottom"/>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518B5B28" w14:textId="77777777" w:rsidR="005C332D" w:rsidRDefault="00B93EAE">
            <w:pPr>
              <w:jc w:val="right"/>
              <w:textAlignment w:val="bottom"/>
            </w:pPr>
            <w:r>
              <w:rPr>
                <w:rFonts w:ascii="Times New Roman" w:eastAsia="宋体" w:hAnsi="Times New Roman"/>
                <w:b/>
                <w:bCs/>
                <w:color w:val="000000"/>
                <w:sz w:val="19"/>
                <w:szCs w:val="19"/>
              </w:rPr>
              <w:t>(15)</w:t>
            </w:r>
          </w:p>
        </w:tc>
        <w:tc>
          <w:tcPr>
            <w:tcW w:w="0" w:type="auto"/>
            <w:shd w:val="clear" w:color="auto" w:fill="CCEEFF"/>
            <w:tcMar>
              <w:top w:w="40" w:type="dxa"/>
              <w:left w:w="0" w:type="dxa"/>
              <w:bottom w:w="40" w:type="dxa"/>
              <w:right w:w="20" w:type="dxa"/>
            </w:tcMar>
            <w:vAlign w:val="bottom"/>
          </w:tcPr>
          <w:p w14:paraId="518B5B2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2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2B" w14:textId="77777777" w:rsidR="005C332D" w:rsidRDefault="00B93EAE">
            <w:pPr>
              <w:jc w:val="right"/>
              <w:textAlignment w:val="bottom"/>
            </w:pPr>
            <w:r>
              <w:rPr>
                <w:rFonts w:ascii="Times New Roman" w:eastAsia="宋体" w:hAnsi="Times New Roman"/>
                <w:color w:val="000000"/>
                <w:sz w:val="19"/>
                <w:szCs w:val="19"/>
              </w:rPr>
              <w:t>(56)</w:t>
            </w:r>
          </w:p>
        </w:tc>
        <w:tc>
          <w:tcPr>
            <w:tcW w:w="0" w:type="auto"/>
            <w:shd w:val="clear" w:color="auto" w:fill="CCEEFF"/>
            <w:tcMar>
              <w:top w:w="40" w:type="dxa"/>
              <w:left w:w="0" w:type="dxa"/>
              <w:bottom w:w="40" w:type="dxa"/>
              <w:right w:w="20" w:type="dxa"/>
            </w:tcMar>
            <w:vAlign w:val="bottom"/>
          </w:tcPr>
          <w:p w14:paraId="518B5B2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2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2E" w14:textId="77777777" w:rsidR="005C332D" w:rsidRDefault="00B93EAE">
            <w:pPr>
              <w:jc w:val="right"/>
              <w:textAlignment w:val="bottom"/>
            </w:pPr>
            <w:r>
              <w:rPr>
                <w:rFonts w:ascii="Times New Roman" w:eastAsia="宋体" w:hAnsi="Times New Roman"/>
                <w:color w:val="000000"/>
                <w:sz w:val="19"/>
                <w:szCs w:val="19"/>
              </w:rPr>
              <w:t>(10)</w:t>
            </w:r>
          </w:p>
        </w:tc>
        <w:tc>
          <w:tcPr>
            <w:tcW w:w="0" w:type="auto"/>
            <w:shd w:val="clear" w:color="auto" w:fill="CCEEFF"/>
            <w:tcMar>
              <w:top w:w="40" w:type="dxa"/>
              <w:left w:w="0" w:type="dxa"/>
              <w:bottom w:w="40" w:type="dxa"/>
              <w:right w:w="20" w:type="dxa"/>
            </w:tcMar>
            <w:vAlign w:val="bottom"/>
          </w:tcPr>
          <w:p w14:paraId="518B5B2F" w14:textId="77777777" w:rsidR="005C332D" w:rsidRDefault="005C332D">
            <w:pPr>
              <w:jc w:val="right"/>
              <w:rPr>
                <w:rFonts w:ascii="宋体"/>
              </w:rPr>
            </w:pPr>
          </w:p>
        </w:tc>
      </w:tr>
      <w:tr w:rsidR="005C332D" w14:paraId="518B5B3A" w14:textId="77777777">
        <w:tc>
          <w:tcPr>
            <w:tcW w:w="0" w:type="auto"/>
            <w:gridSpan w:val="3"/>
            <w:shd w:val="clear" w:color="auto" w:fill="FFFFFF"/>
            <w:tcMar>
              <w:top w:w="40" w:type="dxa"/>
              <w:left w:w="1595" w:type="dxa"/>
              <w:bottom w:w="40" w:type="dxa"/>
              <w:right w:w="20" w:type="dxa"/>
            </w:tcMar>
            <w:vAlign w:val="bottom"/>
          </w:tcPr>
          <w:p w14:paraId="518B5B31" w14:textId="77777777" w:rsidR="005C332D" w:rsidRDefault="00B93EAE">
            <w:pPr>
              <w:textAlignment w:val="bottom"/>
            </w:pPr>
            <w:r>
              <w:rPr>
                <w:rFonts w:ascii="Times New Roman" w:eastAsia="宋体" w:hAnsi="Times New Roman"/>
                <w:color w:val="000000"/>
                <w:sz w:val="19"/>
                <w:szCs w:val="19"/>
              </w:rPr>
              <w:t>Net cash provided by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B32" w14:textId="77777777" w:rsidR="005C332D" w:rsidRDefault="00B93EAE">
            <w:pPr>
              <w:jc w:val="right"/>
              <w:textAlignment w:val="bottom"/>
            </w:pPr>
            <w:r>
              <w:rPr>
                <w:rFonts w:ascii="Times New Roman" w:eastAsia="宋体" w:hAnsi="Times New Roman"/>
                <w:b/>
                <w:bCs/>
                <w:color w:val="000000"/>
                <w:sz w:val="19"/>
                <w:szCs w:val="19"/>
              </w:rPr>
              <w:t>1,553</w:t>
            </w:r>
            <w:r>
              <w:rPr>
                <w:rFonts w:ascii="Times New Roman" w:eastAsia="宋体" w:hAnsi="Times New Roman"/>
                <w:color w:val="000000"/>
                <w:sz w:val="19"/>
                <w:szCs w:val="19"/>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3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34"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B35" w14:textId="77777777" w:rsidR="005C332D" w:rsidRDefault="00B93EAE">
            <w:pPr>
              <w:jc w:val="right"/>
              <w:textAlignment w:val="bottom"/>
            </w:pPr>
            <w:r>
              <w:rPr>
                <w:rFonts w:ascii="Times New Roman" w:eastAsia="宋体" w:hAnsi="Times New Roman"/>
                <w:color w:val="000000"/>
                <w:sz w:val="19"/>
                <w:szCs w:val="19"/>
              </w:rPr>
              <w:t>(5,285)</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3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37"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B38" w14:textId="77777777" w:rsidR="005C332D" w:rsidRDefault="00B93EAE">
            <w:pPr>
              <w:jc w:val="right"/>
              <w:textAlignment w:val="bottom"/>
            </w:pPr>
            <w:r>
              <w:rPr>
                <w:rFonts w:ascii="Times New Roman" w:eastAsia="宋体" w:hAnsi="Times New Roman"/>
                <w:color w:val="000000"/>
                <w:sz w:val="19"/>
                <w:szCs w:val="19"/>
              </w:rPr>
              <w:t>3,500 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39" w14:textId="77777777" w:rsidR="005C332D" w:rsidRDefault="005C332D">
            <w:pPr>
              <w:jc w:val="right"/>
              <w:rPr>
                <w:rFonts w:ascii="宋体"/>
              </w:rPr>
            </w:pPr>
          </w:p>
        </w:tc>
      </w:tr>
      <w:tr w:rsidR="005C332D" w14:paraId="518B5B41" w14:textId="77777777">
        <w:tc>
          <w:tcPr>
            <w:tcW w:w="0" w:type="auto"/>
            <w:gridSpan w:val="3"/>
            <w:shd w:val="clear" w:color="auto" w:fill="CCEEFF"/>
            <w:tcMar>
              <w:top w:w="40" w:type="dxa"/>
              <w:left w:w="20" w:type="dxa"/>
              <w:bottom w:w="40" w:type="dxa"/>
              <w:right w:w="20" w:type="dxa"/>
            </w:tcMar>
            <w:vAlign w:val="bottom"/>
          </w:tcPr>
          <w:p w14:paraId="518B5B3B" w14:textId="77777777" w:rsidR="005C332D" w:rsidRDefault="00B93EAE">
            <w:pPr>
              <w:textAlignment w:val="bottom"/>
            </w:pPr>
            <w:r>
              <w:rPr>
                <w:rFonts w:ascii="Times New Roman" w:eastAsia="宋体" w:hAnsi="Times New Roman"/>
                <w:color w:val="000000"/>
                <w:sz w:val="19"/>
                <w:szCs w:val="19"/>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B3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B3D"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B3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B3F"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B40" w14:textId="77777777" w:rsidR="005C332D" w:rsidRDefault="005C332D">
            <w:pPr>
              <w:rPr>
                <w:rFonts w:ascii="宋体"/>
              </w:rPr>
            </w:pPr>
          </w:p>
        </w:tc>
      </w:tr>
      <w:tr w:rsidR="005C332D" w14:paraId="518B5B4B" w14:textId="77777777">
        <w:tc>
          <w:tcPr>
            <w:tcW w:w="0" w:type="auto"/>
            <w:gridSpan w:val="3"/>
            <w:shd w:val="clear" w:color="auto" w:fill="FFFFFF"/>
            <w:tcMar>
              <w:top w:w="40" w:type="dxa"/>
              <w:left w:w="380" w:type="dxa"/>
              <w:bottom w:w="40" w:type="dxa"/>
              <w:right w:w="20" w:type="dxa"/>
            </w:tcMar>
            <w:vAlign w:val="bottom"/>
          </w:tcPr>
          <w:p w14:paraId="518B5B42" w14:textId="77777777" w:rsidR="005C332D" w:rsidRDefault="00B93EAE">
            <w:pPr>
              <w:textAlignment w:val="bottom"/>
            </w:pPr>
            <w:r>
              <w:rPr>
                <w:rFonts w:ascii="Times New Roman" w:eastAsia="宋体" w:hAnsi="Times New Roman"/>
                <w:color w:val="000000"/>
                <w:sz w:val="19"/>
                <w:szCs w:val="19"/>
              </w:rPr>
              <w:t>Issuances of common stock</w:t>
            </w:r>
          </w:p>
        </w:tc>
        <w:tc>
          <w:tcPr>
            <w:tcW w:w="0" w:type="auto"/>
            <w:gridSpan w:val="2"/>
            <w:shd w:val="clear" w:color="auto" w:fill="FFFFFF"/>
            <w:tcMar>
              <w:top w:w="40" w:type="dxa"/>
              <w:left w:w="20" w:type="dxa"/>
              <w:bottom w:w="40" w:type="dxa"/>
              <w:right w:w="0" w:type="dxa"/>
            </w:tcMar>
            <w:vAlign w:val="bottom"/>
          </w:tcPr>
          <w:p w14:paraId="518B5B43" w14:textId="77777777" w:rsidR="005C332D" w:rsidRDefault="00B93EAE">
            <w:pPr>
              <w:jc w:val="right"/>
              <w:textAlignment w:val="bottom"/>
            </w:pPr>
            <w:r>
              <w:rPr>
                <w:rFonts w:ascii="Times New Roman" w:eastAsia="宋体" w:hAnsi="Times New Roman"/>
                <w:b/>
                <w:bCs/>
                <w:color w:val="000000"/>
                <w:sz w:val="19"/>
                <w:szCs w:val="19"/>
              </w:rPr>
              <w:t>660</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B4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4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46" w14:textId="77777777" w:rsidR="005C332D" w:rsidRDefault="00B93EAE">
            <w:pPr>
              <w:jc w:val="right"/>
              <w:textAlignment w:val="bottom"/>
            </w:pPr>
            <w:r>
              <w:rPr>
                <w:rFonts w:ascii="Times New Roman" w:eastAsia="宋体" w:hAnsi="Times New Roman"/>
                <w:color w:val="000000"/>
                <w:sz w:val="19"/>
                <w:szCs w:val="19"/>
              </w:rPr>
              <w:t>643 </w:t>
            </w:r>
          </w:p>
        </w:tc>
        <w:tc>
          <w:tcPr>
            <w:tcW w:w="0" w:type="auto"/>
            <w:shd w:val="clear" w:color="auto" w:fill="FFFFFF"/>
            <w:tcMar>
              <w:top w:w="40" w:type="dxa"/>
              <w:left w:w="0" w:type="dxa"/>
              <w:bottom w:w="40" w:type="dxa"/>
              <w:right w:w="20" w:type="dxa"/>
            </w:tcMar>
            <w:vAlign w:val="bottom"/>
          </w:tcPr>
          <w:p w14:paraId="518B5B4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4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49" w14:textId="77777777" w:rsidR="005C332D" w:rsidRDefault="00B93EAE">
            <w:pPr>
              <w:jc w:val="right"/>
              <w:textAlignment w:val="bottom"/>
            </w:pPr>
            <w:r>
              <w:rPr>
                <w:rFonts w:ascii="Times New Roman" w:eastAsia="宋体" w:hAnsi="Times New Roman"/>
                <w:color w:val="000000"/>
                <w:sz w:val="19"/>
                <w:szCs w:val="19"/>
              </w:rPr>
              <w:t>655 </w:t>
            </w:r>
          </w:p>
        </w:tc>
        <w:tc>
          <w:tcPr>
            <w:tcW w:w="0" w:type="auto"/>
            <w:shd w:val="clear" w:color="auto" w:fill="FFFFFF"/>
            <w:tcMar>
              <w:top w:w="40" w:type="dxa"/>
              <w:left w:w="0" w:type="dxa"/>
              <w:bottom w:w="40" w:type="dxa"/>
              <w:right w:w="20" w:type="dxa"/>
            </w:tcMar>
            <w:vAlign w:val="bottom"/>
          </w:tcPr>
          <w:p w14:paraId="518B5B4A" w14:textId="77777777" w:rsidR="005C332D" w:rsidRDefault="005C332D">
            <w:pPr>
              <w:jc w:val="right"/>
              <w:rPr>
                <w:rFonts w:ascii="宋体"/>
              </w:rPr>
            </w:pPr>
          </w:p>
        </w:tc>
      </w:tr>
      <w:tr w:rsidR="005C332D" w14:paraId="518B5B55" w14:textId="77777777">
        <w:tc>
          <w:tcPr>
            <w:tcW w:w="0" w:type="auto"/>
            <w:gridSpan w:val="3"/>
            <w:shd w:val="clear" w:color="auto" w:fill="CCEEFF"/>
            <w:tcMar>
              <w:top w:w="40" w:type="dxa"/>
              <w:left w:w="380" w:type="dxa"/>
              <w:bottom w:w="40" w:type="dxa"/>
              <w:right w:w="20" w:type="dxa"/>
            </w:tcMar>
            <w:vAlign w:val="bottom"/>
          </w:tcPr>
          <w:p w14:paraId="518B5B4C" w14:textId="77777777" w:rsidR="005C332D" w:rsidRDefault="00B93EAE">
            <w:pPr>
              <w:textAlignment w:val="bottom"/>
            </w:pPr>
            <w:r>
              <w:rPr>
                <w:rFonts w:ascii="Times New Roman" w:eastAsia="宋体" w:hAnsi="Times New Roman"/>
                <w:color w:val="000000"/>
                <w:sz w:val="19"/>
                <w:szCs w:val="19"/>
              </w:rPr>
              <w:t>Repurchases of common stock - repurchase program</w:t>
            </w:r>
          </w:p>
        </w:tc>
        <w:tc>
          <w:tcPr>
            <w:tcW w:w="0" w:type="auto"/>
            <w:gridSpan w:val="2"/>
            <w:shd w:val="clear" w:color="auto" w:fill="CCEEFF"/>
            <w:tcMar>
              <w:top w:w="40" w:type="dxa"/>
              <w:left w:w="20" w:type="dxa"/>
              <w:bottom w:w="40" w:type="dxa"/>
              <w:right w:w="0" w:type="dxa"/>
            </w:tcMar>
            <w:vAlign w:val="bottom"/>
          </w:tcPr>
          <w:p w14:paraId="518B5B4D" w14:textId="77777777" w:rsidR="005C332D" w:rsidRDefault="00B93EAE">
            <w:pPr>
              <w:jc w:val="right"/>
              <w:textAlignment w:val="bottom"/>
            </w:pPr>
            <w:r>
              <w:rPr>
                <w:rFonts w:ascii="Times New Roman" w:eastAsia="宋体" w:hAnsi="Times New Roman"/>
                <w:b/>
                <w:bCs/>
                <w:color w:val="000000"/>
                <w:sz w:val="19"/>
                <w:szCs w:val="19"/>
              </w:rPr>
              <w:t>(7,689)</w:t>
            </w:r>
          </w:p>
        </w:tc>
        <w:tc>
          <w:tcPr>
            <w:tcW w:w="0" w:type="auto"/>
            <w:shd w:val="clear" w:color="auto" w:fill="CCEEFF"/>
            <w:tcMar>
              <w:top w:w="40" w:type="dxa"/>
              <w:left w:w="0" w:type="dxa"/>
              <w:bottom w:w="40" w:type="dxa"/>
              <w:right w:w="20" w:type="dxa"/>
            </w:tcMar>
            <w:vAlign w:val="bottom"/>
          </w:tcPr>
          <w:p w14:paraId="518B5B4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4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50" w14:textId="77777777" w:rsidR="005C332D" w:rsidRDefault="00B93EAE">
            <w:pPr>
              <w:jc w:val="right"/>
              <w:textAlignment w:val="bottom"/>
            </w:pPr>
            <w:r>
              <w:rPr>
                <w:rFonts w:ascii="Times New Roman" w:eastAsia="宋体" w:hAnsi="Times New Roman"/>
                <w:color w:val="000000"/>
                <w:sz w:val="19"/>
                <w:szCs w:val="19"/>
              </w:rPr>
              <w:t>(2,877)</w:t>
            </w:r>
          </w:p>
        </w:tc>
        <w:tc>
          <w:tcPr>
            <w:tcW w:w="0" w:type="auto"/>
            <w:shd w:val="clear" w:color="auto" w:fill="CCEEFF"/>
            <w:tcMar>
              <w:top w:w="40" w:type="dxa"/>
              <w:left w:w="0" w:type="dxa"/>
              <w:bottom w:w="40" w:type="dxa"/>
              <w:right w:w="20" w:type="dxa"/>
            </w:tcMar>
            <w:vAlign w:val="bottom"/>
          </w:tcPr>
          <w:p w14:paraId="518B5B5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5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53" w14:textId="77777777" w:rsidR="005C332D" w:rsidRDefault="00B93EAE">
            <w:pPr>
              <w:jc w:val="right"/>
              <w:textAlignment w:val="bottom"/>
            </w:pPr>
            <w:r>
              <w:rPr>
                <w:rFonts w:ascii="Times New Roman" w:eastAsia="宋体" w:hAnsi="Times New Roman"/>
                <w:color w:val="000000"/>
                <w:sz w:val="19"/>
                <w:szCs w:val="19"/>
              </w:rPr>
              <w:t>(2,659)</w:t>
            </w:r>
          </w:p>
        </w:tc>
        <w:tc>
          <w:tcPr>
            <w:tcW w:w="0" w:type="auto"/>
            <w:shd w:val="clear" w:color="auto" w:fill="CCEEFF"/>
            <w:tcMar>
              <w:top w:w="40" w:type="dxa"/>
              <w:left w:w="0" w:type="dxa"/>
              <w:bottom w:w="40" w:type="dxa"/>
              <w:right w:w="20" w:type="dxa"/>
            </w:tcMar>
            <w:vAlign w:val="bottom"/>
          </w:tcPr>
          <w:p w14:paraId="518B5B54" w14:textId="77777777" w:rsidR="005C332D" w:rsidRDefault="005C332D">
            <w:pPr>
              <w:jc w:val="right"/>
              <w:rPr>
                <w:rFonts w:ascii="宋体"/>
              </w:rPr>
            </w:pPr>
          </w:p>
        </w:tc>
      </w:tr>
      <w:tr w:rsidR="005C332D" w14:paraId="518B5B5F" w14:textId="77777777">
        <w:tc>
          <w:tcPr>
            <w:tcW w:w="0" w:type="auto"/>
            <w:gridSpan w:val="3"/>
            <w:shd w:val="clear" w:color="auto" w:fill="FFFFFF"/>
            <w:tcMar>
              <w:top w:w="40" w:type="dxa"/>
              <w:left w:w="380" w:type="dxa"/>
              <w:bottom w:w="40" w:type="dxa"/>
              <w:right w:w="20" w:type="dxa"/>
            </w:tcMar>
            <w:vAlign w:val="bottom"/>
          </w:tcPr>
          <w:p w14:paraId="518B5B56" w14:textId="77777777" w:rsidR="005C332D" w:rsidRDefault="00B93EAE">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518B5B57" w14:textId="77777777" w:rsidR="005C332D" w:rsidRDefault="00B93EAE">
            <w:pPr>
              <w:jc w:val="right"/>
              <w:textAlignment w:val="bottom"/>
            </w:pPr>
            <w:r>
              <w:rPr>
                <w:rFonts w:ascii="Times New Roman" w:eastAsia="宋体" w:hAnsi="Times New Roman"/>
                <w:b/>
                <w:bCs/>
                <w:color w:val="000000"/>
                <w:sz w:val="19"/>
                <w:szCs w:val="19"/>
              </w:rPr>
              <w:t>(692)</w:t>
            </w:r>
          </w:p>
        </w:tc>
        <w:tc>
          <w:tcPr>
            <w:tcW w:w="0" w:type="auto"/>
            <w:shd w:val="clear" w:color="auto" w:fill="FFFFFF"/>
            <w:tcMar>
              <w:top w:w="40" w:type="dxa"/>
              <w:left w:w="0" w:type="dxa"/>
              <w:bottom w:w="40" w:type="dxa"/>
              <w:right w:w="20" w:type="dxa"/>
            </w:tcMar>
            <w:vAlign w:val="bottom"/>
          </w:tcPr>
          <w:p w14:paraId="518B5B5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5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5A" w14:textId="77777777" w:rsidR="005C332D" w:rsidRDefault="00B93EAE">
            <w:pPr>
              <w:jc w:val="right"/>
              <w:textAlignment w:val="bottom"/>
            </w:pPr>
            <w:r>
              <w:rPr>
                <w:rFonts w:ascii="Times New Roman" w:eastAsia="宋体" w:hAnsi="Times New Roman"/>
                <w:color w:val="000000"/>
                <w:sz w:val="19"/>
                <w:szCs w:val="19"/>
              </w:rPr>
              <w:t>(636)</w:t>
            </w:r>
          </w:p>
        </w:tc>
        <w:tc>
          <w:tcPr>
            <w:tcW w:w="0" w:type="auto"/>
            <w:shd w:val="clear" w:color="auto" w:fill="FFFFFF"/>
            <w:tcMar>
              <w:top w:w="40" w:type="dxa"/>
              <w:left w:w="0" w:type="dxa"/>
              <w:bottom w:w="40" w:type="dxa"/>
              <w:right w:w="20" w:type="dxa"/>
            </w:tcMar>
            <w:vAlign w:val="bottom"/>
          </w:tcPr>
          <w:p w14:paraId="518B5B5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5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5D" w14:textId="77777777" w:rsidR="005C332D" w:rsidRDefault="00B93EAE">
            <w:pPr>
              <w:jc w:val="right"/>
              <w:textAlignment w:val="bottom"/>
            </w:pPr>
            <w:r>
              <w:rPr>
                <w:rFonts w:ascii="Times New Roman" w:eastAsia="宋体" w:hAnsi="Times New Roman"/>
                <w:color w:val="000000"/>
                <w:sz w:val="19"/>
                <w:szCs w:val="19"/>
              </w:rPr>
              <w:t>(727)</w:t>
            </w:r>
          </w:p>
        </w:tc>
        <w:tc>
          <w:tcPr>
            <w:tcW w:w="0" w:type="auto"/>
            <w:shd w:val="clear" w:color="auto" w:fill="FFFFFF"/>
            <w:tcMar>
              <w:top w:w="40" w:type="dxa"/>
              <w:left w:w="0" w:type="dxa"/>
              <w:bottom w:w="40" w:type="dxa"/>
              <w:right w:w="20" w:type="dxa"/>
            </w:tcMar>
            <w:vAlign w:val="bottom"/>
          </w:tcPr>
          <w:p w14:paraId="518B5B5E" w14:textId="77777777" w:rsidR="005C332D" w:rsidRDefault="005C332D">
            <w:pPr>
              <w:jc w:val="right"/>
              <w:rPr>
                <w:rFonts w:ascii="宋体"/>
              </w:rPr>
            </w:pPr>
          </w:p>
        </w:tc>
      </w:tr>
      <w:tr w:rsidR="005C332D" w14:paraId="518B5B69" w14:textId="77777777">
        <w:tc>
          <w:tcPr>
            <w:tcW w:w="0" w:type="auto"/>
            <w:gridSpan w:val="3"/>
            <w:shd w:val="clear" w:color="auto" w:fill="CCEEFF"/>
            <w:tcMar>
              <w:top w:w="40" w:type="dxa"/>
              <w:left w:w="380" w:type="dxa"/>
              <w:bottom w:w="40" w:type="dxa"/>
              <w:right w:w="20" w:type="dxa"/>
            </w:tcMar>
            <w:vAlign w:val="bottom"/>
          </w:tcPr>
          <w:p w14:paraId="518B5B60" w14:textId="77777777" w:rsidR="005C332D" w:rsidRDefault="00B93EAE">
            <w:pPr>
              <w:textAlignment w:val="bottom"/>
            </w:pPr>
            <w:r>
              <w:rPr>
                <w:rFonts w:ascii="Times New Roman" w:eastAsia="宋体" w:hAnsi="Times New Roman"/>
                <w:color w:val="000000"/>
                <w:sz w:val="19"/>
                <w:szCs w:val="19"/>
              </w:rPr>
              <w:t xml:space="preserve">Short-term </w:t>
            </w:r>
            <w:r>
              <w:rPr>
                <w:rFonts w:ascii="Times New Roman" w:eastAsia="宋体" w:hAnsi="Times New Roman"/>
                <w:color w:val="000000"/>
                <w:sz w:val="19"/>
                <w:szCs w:val="19"/>
              </w:rPr>
              <w:t>borrowings, original maturities of 90 days or less, net</w:t>
            </w:r>
          </w:p>
        </w:tc>
        <w:tc>
          <w:tcPr>
            <w:tcW w:w="0" w:type="auto"/>
            <w:gridSpan w:val="2"/>
            <w:shd w:val="clear" w:color="auto" w:fill="CCEEFF"/>
            <w:tcMar>
              <w:top w:w="40" w:type="dxa"/>
              <w:left w:w="20" w:type="dxa"/>
              <w:bottom w:w="40" w:type="dxa"/>
              <w:right w:w="0" w:type="dxa"/>
            </w:tcMar>
            <w:vAlign w:val="bottom"/>
          </w:tcPr>
          <w:p w14:paraId="518B5B61" w14:textId="77777777" w:rsidR="005C332D" w:rsidRDefault="00B93EAE">
            <w:pPr>
              <w:jc w:val="right"/>
              <w:textAlignment w:val="bottom"/>
            </w:pPr>
            <w:r>
              <w:rPr>
                <w:rFonts w:ascii="Times New Roman" w:eastAsia="宋体" w:hAnsi="Times New Roman"/>
                <w:b/>
                <w:bCs/>
                <w:color w:val="000000"/>
                <w:sz w:val="19"/>
                <w:szCs w:val="19"/>
              </w:rPr>
              <w:t>606</w:t>
            </w: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518B5B6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6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64" w14:textId="77777777" w:rsidR="005C332D" w:rsidRDefault="00B93EAE">
            <w:pPr>
              <w:jc w:val="right"/>
              <w:textAlignment w:val="bottom"/>
            </w:pPr>
            <w:r>
              <w:rPr>
                <w:rFonts w:ascii="Times New Roman" w:eastAsia="宋体" w:hAnsi="Times New Roman"/>
                <w:color w:val="000000"/>
                <w:sz w:val="19"/>
                <w:szCs w:val="19"/>
              </w:rPr>
              <w:t>(5)</w:t>
            </w:r>
          </w:p>
        </w:tc>
        <w:tc>
          <w:tcPr>
            <w:tcW w:w="0" w:type="auto"/>
            <w:shd w:val="clear" w:color="auto" w:fill="CCEEFF"/>
            <w:tcMar>
              <w:top w:w="40" w:type="dxa"/>
              <w:left w:w="0" w:type="dxa"/>
              <w:bottom w:w="40" w:type="dxa"/>
              <w:right w:w="20" w:type="dxa"/>
            </w:tcMar>
            <w:vAlign w:val="bottom"/>
          </w:tcPr>
          <w:p w14:paraId="518B5B6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6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67" w14:textId="77777777" w:rsidR="005C332D" w:rsidRDefault="00B93EAE">
            <w:pPr>
              <w:jc w:val="right"/>
              <w:textAlignment w:val="bottom"/>
            </w:pPr>
            <w:r>
              <w:rPr>
                <w:rFonts w:ascii="Times New Roman" w:eastAsia="宋体" w:hAnsi="Times New Roman"/>
                <w:color w:val="000000"/>
                <w:sz w:val="19"/>
                <w:szCs w:val="19"/>
              </w:rPr>
              <w:t>(3,470)</w:t>
            </w:r>
          </w:p>
        </w:tc>
        <w:tc>
          <w:tcPr>
            <w:tcW w:w="0" w:type="auto"/>
            <w:shd w:val="clear" w:color="auto" w:fill="CCEEFF"/>
            <w:tcMar>
              <w:top w:w="40" w:type="dxa"/>
              <w:left w:w="0" w:type="dxa"/>
              <w:bottom w:w="40" w:type="dxa"/>
              <w:right w:w="20" w:type="dxa"/>
            </w:tcMar>
            <w:vAlign w:val="bottom"/>
          </w:tcPr>
          <w:p w14:paraId="518B5B68" w14:textId="77777777" w:rsidR="005C332D" w:rsidRDefault="005C332D">
            <w:pPr>
              <w:jc w:val="right"/>
              <w:rPr>
                <w:rFonts w:ascii="宋体"/>
              </w:rPr>
            </w:pPr>
          </w:p>
        </w:tc>
      </w:tr>
      <w:tr w:rsidR="005C332D" w14:paraId="518B5B73" w14:textId="77777777">
        <w:tc>
          <w:tcPr>
            <w:tcW w:w="0" w:type="auto"/>
            <w:gridSpan w:val="3"/>
            <w:shd w:val="clear" w:color="auto" w:fill="FFFFFF"/>
            <w:tcMar>
              <w:top w:w="40" w:type="dxa"/>
              <w:left w:w="380" w:type="dxa"/>
              <w:bottom w:w="40" w:type="dxa"/>
              <w:right w:w="20" w:type="dxa"/>
            </w:tcMar>
            <w:vAlign w:val="bottom"/>
          </w:tcPr>
          <w:p w14:paraId="518B5B6A" w14:textId="77777777" w:rsidR="005C332D" w:rsidRDefault="00B93EAE">
            <w:pPr>
              <w:textAlignment w:val="bottom"/>
            </w:pPr>
            <w:r>
              <w:rPr>
                <w:rFonts w:ascii="Times New Roman" w:eastAsia="宋体" w:hAnsi="Times New Roman"/>
                <w:color w:val="000000"/>
                <w:sz w:val="19"/>
                <w:szCs w:val="19"/>
              </w:rPr>
              <w:t>Issuances of debt</w:t>
            </w:r>
          </w:p>
        </w:tc>
        <w:tc>
          <w:tcPr>
            <w:tcW w:w="0" w:type="auto"/>
            <w:gridSpan w:val="2"/>
            <w:shd w:val="clear" w:color="auto" w:fill="FFFFFF"/>
            <w:tcMar>
              <w:top w:w="40" w:type="dxa"/>
              <w:left w:w="20" w:type="dxa"/>
              <w:bottom w:w="40" w:type="dxa"/>
              <w:right w:w="0" w:type="dxa"/>
            </w:tcMar>
            <w:vAlign w:val="bottom"/>
          </w:tcPr>
          <w:p w14:paraId="518B5B6B" w14:textId="77777777" w:rsidR="005C332D" w:rsidRDefault="00B93EAE">
            <w:pPr>
              <w:jc w:val="right"/>
              <w:textAlignment w:val="bottom"/>
            </w:pPr>
            <w:r>
              <w:rPr>
                <w:rFonts w:ascii="Times New Roman" w:eastAsia="宋体" w:hAnsi="Times New Roman"/>
                <w:b/>
                <w:bCs/>
                <w:color w:val="000000"/>
                <w:sz w:val="19"/>
                <w:szCs w:val="19"/>
              </w:rPr>
              <w:t>1,049</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B6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6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6E" w14:textId="77777777" w:rsidR="005C332D" w:rsidRDefault="00B93EAE">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B6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7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71" w14:textId="77777777" w:rsidR="005C332D" w:rsidRDefault="00B93EAE">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B72" w14:textId="77777777" w:rsidR="005C332D" w:rsidRDefault="005C332D">
            <w:pPr>
              <w:jc w:val="right"/>
              <w:rPr>
                <w:rFonts w:ascii="宋体"/>
              </w:rPr>
            </w:pPr>
          </w:p>
        </w:tc>
      </w:tr>
      <w:tr w:rsidR="005C332D" w14:paraId="518B5B7D" w14:textId="77777777">
        <w:tc>
          <w:tcPr>
            <w:tcW w:w="0" w:type="auto"/>
            <w:gridSpan w:val="3"/>
            <w:shd w:val="clear" w:color="auto" w:fill="CCEEFF"/>
            <w:tcMar>
              <w:top w:w="40" w:type="dxa"/>
              <w:left w:w="380" w:type="dxa"/>
              <w:bottom w:w="40" w:type="dxa"/>
              <w:right w:w="20" w:type="dxa"/>
            </w:tcMar>
            <w:vAlign w:val="bottom"/>
          </w:tcPr>
          <w:p w14:paraId="518B5B74" w14:textId="77777777" w:rsidR="005C332D" w:rsidRDefault="00B93EAE">
            <w:pPr>
              <w:textAlignment w:val="bottom"/>
            </w:pPr>
            <w:r>
              <w:rPr>
                <w:rFonts w:ascii="Times New Roman" w:eastAsia="宋体" w:hAnsi="Times New Roman"/>
                <w:color w:val="000000"/>
                <w:sz w:val="19"/>
                <w:szCs w:val="19"/>
              </w:rPr>
              <w:t>Repayments of debt</w:t>
            </w:r>
          </w:p>
        </w:tc>
        <w:tc>
          <w:tcPr>
            <w:tcW w:w="0" w:type="auto"/>
            <w:gridSpan w:val="2"/>
            <w:shd w:val="clear" w:color="auto" w:fill="CCEEFF"/>
            <w:tcMar>
              <w:top w:w="40" w:type="dxa"/>
              <w:left w:w="20" w:type="dxa"/>
              <w:bottom w:w="40" w:type="dxa"/>
              <w:right w:w="0" w:type="dxa"/>
            </w:tcMar>
            <w:vAlign w:val="bottom"/>
          </w:tcPr>
          <w:p w14:paraId="518B5B75" w14:textId="77777777" w:rsidR="005C332D" w:rsidRDefault="00B93EAE">
            <w:pPr>
              <w:jc w:val="right"/>
              <w:textAlignment w:val="bottom"/>
            </w:pPr>
            <w:r>
              <w:rPr>
                <w:rFonts w:ascii="Times New Roman" w:eastAsia="宋体" w:hAnsi="Times New Roman"/>
                <w:b/>
                <w:bCs/>
                <w:color w:val="000000"/>
                <w:sz w:val="19"/>
                <w:szCs w:val="19"/>
              </w:rPr>
              <w:t>(3,550)</w:t>
            </w:r>
          </w:p>
        </w:tc>
        <w:tc>
          <w:tcPr>
            <w:tcW w:w="0" w:type="auto"/>
            <w:shd w:val="clear" w:color="auto" w:fill="CCEEFF"/>
            <w:tcMar>
              <w:top w:w="40" w:type="dxa"/>
              <w:left w:w="0" w:type="dxa"/>
              <w:bottom w:w="40" w:type="dxa"/>
              <w:right w:w="20" w:type="dxa"/>
            </w:tcMar>
            <w:vAlign w:val="bottom"/>
          </w:tcPr>
          <w:p w14:paraId="518B5B7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7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78" w14:textId="77777777" w:rsidR="005C332D" w:rsidRDefault="00B93EAE">
            <w:pPr>
              <w:jc w:val="right"/>
              <w:textAlignment w:val="bottom"/>
            </w:pPr>
            <w:r>
              <w:rPr>
                <w:rFonts w:ascii="Times New Roman" w:eastAsia="宋体" w:hAnsi="Times New Roman"/>
                <w:color w:val="000000"/>
                <w:sz w:val="19"/>
                <w:szCs w:val="19"/>
              </w:rPr>
              <w:t>(3,000)</w:t>
            </w:r>
          </w:p>
        </w:tc>
        <w:tc>
          <w:tcPr>
            <w:tcW w:w="0" w:type="auto"/>
            <w:shd w:val="clear" w:color="auto" w:fill="CCEEFF"/>
            <w:tcMar>
              <w:top w:w="40" w:type="dxa"/>
              <w:left w:w="0" w:type="dxa"/>
              <w:bottom w:w="40" w:type="dxa"/>
              <w:right w:w="20" w:type="dxa"/>
            </w:tcMar>
            <w:vAlign w:val="bottom"/>
          </w:tcPr>
          <w:p w14:paraId="518B5B7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7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7B" w14:textId="77777777" w:rsidR="005C332D" w:rsidRDefault="00B93EAE">
            <w:pPr>
              <w:jc w:val="right"/>
              <w:textAlignment w:val="bottom"/>
            </w:pPr>
            <w:r>
              <w:rPr>
                <w:rFonts w:ascii="Times New Roman" w:eastAsia="宋体" w:hAnsi="Times New Roman"/>
                <w:color w:val="000000"/>
                <w:sz w:val="19"/>
                <w:szCs w:val="19"/>
              </w:rPr>
              <w:t>(6,720)</w:t>
            </w:r>
          </w:p>
        </w:tc>
        <w:tc>
          <w:tcPr>
            <w:tcW w:w="0" w:type="auto"/>
            <w:shd w:val="clear" w:color="auto" w:fill="CCEEFF"/>
            <w:tcMar>
              <w:top w:w="40" w:type="dxa"/>
              <w:left w:w="0" w:type="dxa"/>
              <w:bottom w:w="40" w:type="dxa"/>
              <w:right w:w="20" w:type="dxa"/>
            </w:tcMar>
            <w:vAlign w:val="bottom"/>
          </w:tcPr>
          <w:p w14:paraId="518B5B7C" w14:textId="77777777" w:rsidR="005C332D" w:rsidRDefault="005C332D">
            <w:pPr>
              <w:jc w:val="right"/>
              <w:rPr>
                <w:rFonts w:ascii="宋体"/>
              </w:rPr>
            </w:pPr>
          </w:p>
        </w:tc>
      </w:tr>
      <w:tr w:rsidR="005C332D" w14:paraId="518B5B87" w14:textId="77777777">
        <w:tc>
          <w:tcPr>
            <w:tcW w:w="0" w:type="auto"/>
            <w:gridSpan w:val="3"/>
            <w:shd w:val="clear" w:color="auto" w:fill="FFFFFF"/>
            <w:tcMar>
              <w:top w:w="40" w:type="dxa"/>
              <w:left w:w="380" w:type="dxa"/>
              <w:bottom w:w="40" w:type="dxa"/>
              <w:right w:w="20" w:type="dxa"/>
            </w:tcMar>
            <w:vAlign w:val="bottom"/>
          </w:tcPr>
          <w:p w14:paraId="518B5B7E" w14:textId="77777777" w:rsidR="005C332D" w:rsidRDefault="00B93EAE">
            <w:pPr>
              <w:textAlignment w:val="bottom"/>
            </w:pPr>
            <w:r>
              <w:rPr>
                <w:rFonts w:ascii="Times New Roman" w:eastAsia="宋体" w:hAnsi="Times New Roman"/>
                <w:color w:val="000000"/>
                <w:sz w:val="19"/>
                <w:szCs w:val="19"/>
              </w:rPr>
              <w:t>Dividends paid</w:t>
            </w:r>
          </w:p>
        </w:tc>
        <w:tc>
          <w:tcPr>
            <w:tcW w:w="0" w:type="auto"/>
            <w:gridSpan w:val="2"/>
            <w:shd w:val="clear" w:color="auto" w:fill="FFFFFF"/>
            <w:tcMar>
              <w:top w:w="40" w:type="dxa"/>
              <w:left w:w="20" w:type="dxa"/>
              <w:bottom w:w="40" w:type="dxa"/>
              <w:right w:w="0" w:type="dxa"/>
            </w:tcMar>
            <w:vAlign w:val="bottom"/>
          </w:tcPr>
          <w:p w14:paraId="518B5B7F" w14:textId="77777777" w:rsidR="005C332D" w:rsidRDefault="00B93EAE">
            <w:pPr>
              <w:jc w:val="right"/>
              <w:textAlignment w:val="bottom"/>
            </w:pPr>
            <w:r>
              <w:rPr>
                <w:rFonts w:ascii="Times New Roman" w:eastAsia="宋体" w:hAnsi="Times New Roman"/>
                <w:b/>
                <w:bCs/>
                <w:color w:val="000000"/>
                <w:sz w:val="19"/>
                <w:szCs w:val="19"/>
              </w:rPr>
              <w:t>(6,224)</w:t>
            </w:r>
          </w:p>
        </w:tc>
        <w:tc>
          <w:tcPr>
            <w:tcW w:w="0" w:type="auto"/>
            <w:shd w:val="clear" w:color="auto" w:fill="FFFFFF"/>
            <w:tcMar>
              <w:top w:w="40" w:type="dxa"/>
              <w:left w:w="0" w:type="dxa"/>
              <w:bottom w:w="40" w:type="dxa"/>
              <w:right w:w="20" w:type="dxa"/>
            </w:tcMar>
            <w:vAlign w:val="bottom"/>
          </w:tcPr>
          <w:p w14:paraId="518B5B8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8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82" w14:textId="77777777" w:rsidR="005C332D" w:rsidRDefault="00B93EAE">
            <w:pPr>
              <w:jc w:val="right"/>
              <w:textAlignment w:val="bottom"/>
            </w:pPr>
            <w:r>
              <w:rPr>
                <w:rFonts w:ascii="Times New Roman" w:eastAsia="宋体" w:hAnsi="Times New Roman"/>
                <w:color w:val="000000"/>
                <w:sz w:val="19"/>
                <w:szCs w:val="19"/>
              </w:rPr>
              <w:t>(6,163)</w:t>
            </w:r>
          </w:p>
        </w:tc>
        <w:tc>
          <w:tcPr>
            <w:tcW w:w="0" w:type="auto"/>
            <w:shd w:val="clear" w:color="auto" w:fill="FFFFFF"/>
            <w:tcMar>
              <w:top w:w="40" w:type="dxa"/>
              <w:left w:w="0" w:type="dxa"/>
              <w:bottom w:w="40" w:type="dxa"/>
              <w:right w:w="20" w:type="dxa"/>
            </w:tcMar>
            <w:vAlign w:val="bottom"/>
          </w:tcPr>
          <w:p w14:paraId="518B5B8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8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B85" w14:textId="77777777" w:rsidR="005C332D" w:rsidRDefault="00B93EAE">
            <w:pPr>
              <w:jc w:val="right"/>
              <w:textAlignment w:val="bottom"/>
            </w:pPr>
            <w:r>
              <w:rPr>
                <w:rFonts w:ascii="Times New Roman" w:eastAsia="宋体" w:hAnsi="Times New Roman"/>
                <w:color w:val="000000"/>
                <w:sz w:val="19"/>
                <w:szCs w:val="19"/>
              </w:rPr>
              <w:t>(6,016)</w:t>
            </w:r>
          </w:p>
        </w:tc>
        <w:tc>
          <w:tcPr>
            <w:tcW w:w="0" w:type="auto"/>
            <w:shd w:val="clear" w:color="auto" w:fill="FFFFFF"/>
            <w:tcMar>
              <w:top w:w="40" w:type="dxa"/>
              <w:left w:w="0" w:type="dxa"/>
              <w:bottom w:w="40" w:type="dxa"/>
              <w:right w:w="20" w:type="dxa"/>
            </w:tcMar>
            <w:vAlign w:val="bottom"/>
          </w:tcPr>
          <w:p w14:paraId="518B5B86" w14:textId="77777777" w:rsidR="005C332D" w:rsidRDefault="005C332D">
            <w:pPr>
              <w:jc w:val="right"/>
              <w:rPr>
                <w:rFonts w:ascii="宋体"/>
              </w:rPr>
            </w:pPr>
          </w:p>
        </w:tc>
      </w:tr>
      <w:tr w:rsidR="005C332D" w14:paraId="518B5B91" w14:textId="77777777">
        <w:tc>
          <w:tcPr>
            <w:tcW w:w="0" w:type="auto"/>
            <w:gridSpan w:val="3"/>
            <w:shd w:val="clear" w:color="auto" w:fill="CCEEFF"/>
            <w:tcMar>
              <w:top w:w="40" w:type="dxa"/>
              <w:left w:w="380" w:type="dxa"/>
              <w:bottom w:w="40" w:type="dxa"/>
              <w:right w:w="20" w:type="dxa"/>
            </w:tcMar>
            <w:vAlign w:val="bottom"/>
          </w:tcPr>
          <w:p w14:paraId="518B5B88" w14:textId="77777777" w:rsidR="005C332D" w:rsidRDefault="00B93EAE">
            <w:pPr>
              <w:textAlignment w:val="bottom"/>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518B5B89" w14:textId="77777777" w:rsidR="005C332D" w:rsidRDefault="00B93EAE">
            <w:pPr>
              <w:jc w:val="right"/>
              <w:textAlignment w:val="bottom"/>
            </w:pPr>
            <w:r>
              <w:rPr>
                <w:rFonts w:ascii="Times New Roman" w:eastAsia="宋体" w:hAnsi="Times New Roman"/>
                <w:b/>
                <w:bCs/>
                <w:color w:val="000000"/>
                <w:sz w:val="19"/>
                <w:szCs w:val="19"/>
              </w:rPr>
              <w:t>(122)</w:t>
            </w:r>
          </w:p>
        </w:tc>
        <w:tc>
          <w:tcPr>
            <w:tcW w:w="0" w:type="auto"/>
            <w:shd w:val="clear" w:color="auto" w:fill="CCEEFF"/>
            <w:tcMar>
              <w:top w:w="40" w:type="dxa"/>
              <w:left w:w="0" w:type="dxa"/>
              <w:bottom w:w="40" w:type="dxa"/>
              <w:right w:w="20" w:type="dxa"/>
            </w:tcMar>
            <w:vAlign w:val="bottom"/>
          </w:tcPr>
          <w:p w14:paraId="518B5B8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8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8C" w14:textId="77777777" w:rsidR="005C332D" w:rsidRDefault="00B93EAE">
            <w:pPr>
              <w:jc w:val="right"/>
              <w:textAlignment w:val="bottom"/>
            </w:pPr>
            <w:r>
              <w:rPr>
                <w:rFonts w:ascii="Times New Roman" w:eastAsia="宋体" w:hAnsi="Times New Roman"/>
                <w:color w:val="000000"/>
                <w:sz w:val="19"/>
                <w:szCs w:val="19"/>
              </w:rPr>
              <w:t>(59)</w:t>
            </w:r>
          </w:p>
        </w:tc>
        <w:tc>
          <w:tcPr>
            <w:tcW w:w="0" w:type="auto"/>
            <w:shd w:val="clear" w:color="auto" w:fill="CCEEFF"/>
            <w:tcMar>
              <w:top w:w="40" w:type="dxa"/>
              <w:left w:w="0" w:type="dxa"/>
              <w:bottom w:w="40" w:type="dxa"/>
              <w:right w:w="20" w:type="dxa"/>
            </w:tcMar>
            <w:vAlign w:val="bottom"/>
          </w:tcPr>
          <w:p w14:paraId="518B5B8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8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8F" w14:textId="77777777" w:rsidR="005C332D" w:rsidRDefault="00B93EAE">
            <w:pPr>
              <w:jc w:val="right"/>
              <w:textAlignment w:val="bottom"/>
            </w:pPr>
            <w:r>
              <w:rPr>
                <w:rFonts w:ascii="Times New Roman" w:eastAsia="宋体" w:hAnsi="Times New Roman"/>
                <w:color w:val="000000"/>
                <w:sz w:val="19"/>
                <w:szCs w:val="19"/>
              </w:rPr>
              <w:t>81 </w:t>
            </w:r>
          </w:p>
        </w:tc>
        <w:tc>
          <w:tcPr>
            <w:tcW w:w="0" w:type="auto"/>
            <w:shd w:val="clear" w:color="auto" w:fill="CCEEFF"/>
            <w:tcMar>
              <w:top w:w="40" w:type="dxa"/>
              <w:left w:w="0" w:type="dxa"/>
              <w:bottom w:w="40" w:type="dxa"/>
              <w:right w:w="20" w:type="dxa"/>
            </w:tcMar>
            <w:vAlign w:val="bottom"/>
          </w:tcPr>
          <w:p w14:paraId="518B5B90" w14:textId="77777777" w:rsidR="005C332D" w:rsidRDefault="005C332D">
            <w:pPr>
              <w:jc w:val="right"/>
              <w:rPr>
                <w:rFonts w:ascii="宋体"/>
              </w:rPr>
            </w:pPr>
          </w:p>
        </w:tc>
      </w:tr>
      <w:tr w:rsidR="005C332D" w14:paraId="518B5B9B" w14:textId="77777777">
        <w:tc>
          <w:tcPr>
            <w:tcW w:w="0" w:type="auto"/>
            <w:gridSpan w:val="3"/>
            <w:shd w:val="clear" w:color="auto" w:fill="FFFFFF"/>
            <w:tcMar>
              <w:top w:w="40" w:type="dxa"/>
              <w:left w:w="1595" w:type="dxa"/>
              <w:bottom w:w="40" w:type="dxa"/>
              <w:right w:w="20" w:type="dxa"/>
            </w:tcMar>
            <w:vAlign w:val="bottom"/>
          </w:tcPr>
          <w:p w14:paraId="518B5B92" w14:textId="77777777" w:rsidR="005C332D" w:rsidRDefault="00B93EAE">
            <w:pPr>
              <w:textAlignment w:val="bottom"/>
            </w:pPr>
            <w:r>
              <w:rPr>
                <w:rFonts w:ascii="Times New Roman" w:eastAsia="宋体" w:hAnsi="Times New Roman"/>
                <w:color w:val="000000"/>
                <w:sz w:val="19"/>
                <w:szCs w:val="19"/>
              </w:rPr>
              <w:t xml:space="preserve">Net cash used in </w:t>
            </w:r>
            <w:r>
              <w:rPr>
                <w:rFonts w:ascii="Times New Roman" w:eastAsia="宋体" w:hAnsi="Times New Roman"/>
                <w:color w:val="000000"/>
                <w:sz w:val="19"/>
                <w:szCs w:val="19"/>
              </w:rPr>
              <w:t>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B93" w14:textId="77777777" w:rsidR="005C332D" w:rsidRDefault="00B93EAE">
            <w:pPr>
              <w:jc w:val="right"/>
              <w:textAlignment w:val="bottom"/>
            </w:pPr>
            <w:r>
              <w:rPr>
                <w:rFonts w:ascii="Times New Roman" w:eastAsia="宋体" w:hAnsi="Times New Roman"/>
                <w:b/>
                <w:bCs/>
                <w:color w:val="000000"/>
                <w:sz w:val="19"/>
                <w:szCs w:val="19"/>
              </w:rPr>
              <w:t>(15,962)</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9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95"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B96" w14:textId="77777777" w:rsidR="005C332D" w:rsidRDefault="00B93EAE">
            <w:pPr>
              <w:jc w:val="right"/>
              <w:textAlignment w:val="bottom"/>
            </w:pPr>
            <w:r>
              <w:rPr>
                <w:rFonts w:ascii="Times New Roman" w:eastAsia="宋体" w:hAnsi="Times New Roman"/>
                <w:color w:val="000000"/>
                <w:sz w:val="19"/>
                <w:szCs w:val="19"/>
              </w:rPr>
              <w:t>(12,097)</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9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98"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B99" w14:textId="77777777" w:rsidR="005C332D" w:rsidRDefault="00B93EAE">
            <w:pPr>
              <w:jc w:val="right"/>
              <w:textAlignment w:val="bottom"/>
            </w:pPr>
            <w:r>
              <w:rPr>
                <w:rFonts w:ascii="Times New Roman" w:eastAsia="宋体" w:hAnsi="Times New Roman"/>
                <w:color w:val="000000"/>
                <w:sz w:val="19"/>
                <w:szCs w:val="19"/>
              </w:rPr>
              <w:t>(18,856)</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9A" w14:textId="77777777" w:rsidR="005C332D" w:rsidRDefault="005C332D">
            <w:pPr>
              <w:jc w:val="right"/>
              <w:rPr>
                <w:rFonts w:ascii="宋体"/>
              </w:rPr>
            </w:pPr>
          </w:p>
        </w:tc>
      </w:tr>
      <w:tr w:rsidR="005C332D" w14:paraId="518B5BA5" w14:textId="77777777">
        <w:tc>
          <w:tcPr>
            <w:tcW w:w="0" w:type="auto"/>
            <w:gridSpan w:val="3"/>
            <w:shd w:val="clear" w:color="auto" w:fill="CCEEFF"/>
            <w:tcMar>
              <w:top w:w="40" w:type="dxa"/>
              <w:left w:w="20" w:type="dxa"/>
              <w:bottom w:w="40" w:type="dxa"/>
              <w:right w:w="20" w:type="dxa"/>
            </w:tcMar>
            <w:vAlign w:val="bottom"/>
          </w:tcPr>
          <w:p w14:paraId="518B5B9C" w14:textId="77777777" w:rsidR="005C332D" w:rsidRDefault="00B93EAE">
            <w:pPr>
              <w:textAlignment w:val="bottom"/>
            </w:pPr>
            <w:r>
              <w:rPr>
                <w:rFonts w:ascii="Times New Roman" w:eastAsia="宋体" w:hAnsi="Times New Roman"/>
                <w:color w:val="000000"/>
                <w:sz w:val="19"/>
                <w:szCs w:val="19"/>
              </w:rPr>
              <w:t>Effect of foreign currency exchange rate changes on cash, cash equivalents, restricted cash and restricted cash equivalents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B9D" w14:textId="77777777" w:rsidR="005C332D" w:rsidRDefault="00B93EAE">
            <w:pPr>
              <w:jc w:val="right"/>
              <w:textAlignment w:val="bottom"/>
            </w:pPr>
            <w:r>
              <w:rPr>
                <w:rFonts w:ascii="Times New Roman" w:eastAsia="宋体" w:hAnsi="Times New Roman"/>
                <w:b/>
                <w:bCs/>
                <w:color w:val="000000"/>
                <w:sz w:val="19"/>
                <w:szCs w:val="19"/>
              </w:rPr>
              <w:t>(180)</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B9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9F"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BA0" w14:textId="77777777" w:rsidR="005C332D" w:rsidRDefault="00B93EAE">
            <w:pPr>
              <w:jc w:val="right"/>
              <w:textAlignment w:val="bottom"/>
            </w:pPr>
            <w:r>
              <w:rPr>
                <w:rFonts w:ascii="Times New Roman" w:eastAsia="宋体" w:hAnsi="Times New Roman"/>
                <w:color w:val="000000"/>
                <w:sz w:val="19"/>
                <w:szCs w:val="19"/>
              </w:rPr>
              <w:t>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BA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A2"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BA3" w14:textId="77777777" w:rsidR="005C332D" w:rsidRDefault="00B93EAE">
            <w:pPr>
              <w:jc w:val="right"/>
              <w:textAlignment w:val="bottom"/>
            </w:pPr>
            <w:r>
              <w:rPr>
                <w:rFonts w:ascii="Times New Roman" w:eastAsia="宋体" w:hAnsi="Times New Roman"/>
                <w:color w:val="000000"/>
                <w:sz w:val="19"/>
                <w:szCs w:val="19"/>
              </w:rPr>
              <w:t>(30)</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BA4" w14:textId="77777777" w:rsidR="005C332D" w:rsidRDefault="005C332D">
            <w:pPr>
              <w:jc w:val="right"/>
              <w:rPr>
                <w:rFonts w:ascii="宋体"/>
              </w:rPr>
            </w:pPr>
          </w:p>
        </w:tc>
      </w:tr>
      <w:tr w:rsidR="005C332D" w14:paraId="518B5BAF" w14:textId="77777777">
        <w:tc>
          <w:tcPr>
            <w:tcW w:w="0" w:type="auto"/>
            <w:gridSpan w:val="3"/>
            <w:shd w:val="clear" w:color="auto" w:fill="FFFFFF"/>
            <w:tcMar>
              <w:top w:w="40" w:type="dxa"/>
              <w:left w:w="20" w:type="dxa"/>
              <w:bottom w:w="40" w:type="dxa"/>
              <w:right w:w="20" w:type="dxa"/>
            </w:tcMar>
            <w:vAlign w:val="bottom"/>
          </w:tcPr>
          <w:p w14:paraId="518B5BA6" w14:textId="77777777" w:rsidR="005C332D" w:rsidRDefault="00B93EAE">
            <w:pPr>
              <w:textAlignment w:val="bottom"/>
            </w:pPr>
            <w:r>
              <w:rPr>
                <w:rFonts w:ascii="Times New Roman" w:eastAsia="宋体" w:hAnsi="Times New Roman"/>
                <w:color w:val="000000"/>
                <w:sz w:val="19"/>
                <w:szCs w:val="19"/>
              </w:rPr>
              <w:t xml:space="preserve">Net (decrease) increase in cash, cash </w:t>
            </w:r>
            <w:r>
              <w:rPr>
                <w:rFonts w:ascii="Times New Roman" w:eastAsia="宋体" w:hAnsi="Times New Roman"/>
                <w:color w:val="000000"/>
                <w:sz w:val="19"/>
                <w:szCs w:val="19"/>
              </w:rPr>
              <w:t>equivalents, restricted cash and restricted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BA7" w14:textId="77777777" w:rsidR="005C332D" w:rsidRDefault="00B93EAE">
            <w:pPr>
              <w:jc w:val="right"/>
              <w:textAlignment w:val="bottom"/>
            </w:pPr>
            <w:r>
              <w:rPr>
                <w:rFonts w:ascii="Times New Roman" w:eastAsia="宋体" w:hAnsi="Times New Roman"/>
                <w:b/>
                <w:bCs/>
                <w:color w:val="000000"/>
                <w:sz w:val="19"/>
                <w:szCs w:val="19"/>
              </w:rPr>
              <w:t>(1,363)</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A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A9"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BAA" w14:textId="77777777" w:rsidR="005C332D" w:rsidRDefault="00B93EAE">
            <w:pPr>
              <w:jc w:val="right"/>
              <w:textAlignment w:val="bottom"/>
            </w:pPr>
            <w:r>
              <w:rPr>
                <w:rFonts w:ascii="Times New Roman" w:eastAsia="宋体" w:hAnsi="Times New Roman"/>
                <w:color w:val="000000"/>
                <w:sz w:val="19"/>
                <w:szCs w:val="19"/>
              </w:rPr>
              <w:t>(1,870)</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A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AC"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BAD" w14:textId="77777777" w:rsidR="005C332D" w:rsidRDefault="00B93EAE">
            <w:pPr>
              <w:jc w:val="right"/>
              <w:textAlignment w:val="bottom"/>
            </w:pPr>
            <w:r>
              <w:rPr>
                <w:rFonts w:ascii="Times New Roman" w:eastAsia="宋体" w:hAnsi="Times New Roman"/>
                <w:color w:val="000000"/>
                <w:sz w:val="19"/>
                <w:szCs w:val="19"/>
              </w:rPr>
              <w:t>40 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AE" w14:textId="77777777" w:rsidR="005C332D" w:rsidRDefault="005C332D">
            <w:pPr>
              <w:jc w:val="right"/>
              <w:rPr>
                <w:rFonts w:ascii="宋体"/>
              </w:rPr>
            </w:pPr>
          </w:p>
        </w:tc>
      </w:tr>
      <w:tr w:rsidR="005C332D" w14:paraId="518B5BB9" w14:textId="77777777">
        <w:tc>
          <w:tcPr>
            <w:tcW w:w="0" w:type="auto"/>
            <w:gridSpan w:val="3"/>
            <w:shd w:val="clear" w:color="auto" w:fill="CCEEFF"/>
            <w:tcMar>
              <w:top w:w="40" w:type="dxa"/>
              <w:left w:w="20" w:type="dxa"/>
              <w:bottom w:w="40" w:type="dxa"/>
              <w:right w:w="20" w:type="dxa"/>
            </w:tcMar>
            <w:vAlign w:val="bottom"/>
          </w:tcPr>
          <w:p w14:paraId="518B5BB0" w14:textId="77777777" w:rsidR="005C332D" w:rsidRDefault="00B93EAE">
            <w:pPr>
              <w:textAlignment w:val="bottom"/>
            </w:pPr>
            <w:r>
              <w:rPr>
                <w:rFonts w:ascii="Times New Roman" w:eastAsia="宋体" w:hAnsi="Times New Roman"/>
                <w:color w:val="000000"/>
                <w:sz w:val="19"/>
                <w:szCs w:val="19"/>
              </w:rPr>
              <w:t>Cash, cash equivalents, restricted cash and restricted cash equivalents, beginning of fiscal year</w:t>
            </w:r>
          </w:p>
        </w:tc>
        <w:tc>
          <w:tcPr>
            <w:tcW w:w="0" w:type="auto"/>
            <w:gridSpan w:val="2"/>
            <w:shd w:val="clear" w:color="auto" w:fill="CCEEFF"/>
            <w:tcMar>
              <w:top w:w="40" w:type="dxa"/>
              <w:left w:w="20" w:type="dxa"/>
              <w:bottom w:w="40" w:type="dxa"/>
              <w:right w:w="0" w:type="dxa"/>
            </w:tcMar>
            <w:vAlign w:val="bottom"/>
          </w:tcPr>
          <w:p w14:paraId="518B5BB1" w14:textId="77777777" w:rsidR="005C332D" w:rsidRDefault="00B93EAE">
            <w:pPr>
              <w:jc w:val="right"/>
              <w:textAlignment w:val="bottom"/>
            </w:pPr>
            <w:r>
              <w:rPr>
                <w:rFonts w:ascii="Times New Roman" w:eastAsia="宋体" w:hAnsi="Times New Roman"/>
                <w:b/>
                <w:bCs/>
                <w:color w:val="000000"/>
                <w:sz w:val="19"/>
                <w:szCs w:val="19"/>
              </w:rPr>
              <w:t>9,942</w:t>
            </w: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518B5BB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B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B4" w14:textId="77777777" w:rsidR="005C332D" w:rsidRDefault="00B93EAE">
            <w:pPr>
              <w:jc w:val="right"/>
              <w:textAlignment w:val="bottom"/>
            </w:pPr>
            <w:r>
              <w:rPr>
                <w:rFonts w:ascii="Times New Roman" w:eastAsia="宋体" w:hAnsi="Times New Roman"/>
                <w:color w:val="000000"/>
                <w:sz w:val="19"/>
                <w:szCs w:val="19"/>
              </w:rPr>
              <w:t>11,812 </w:t>
            </w:r>
          </w:p>
        </w:tc>
        <w:tc>
          <w:tcPr>
            <w:tcW w:w="0" w:type="auto"/>
            <w:shd w:val="clear" w:color="auto" w:fill="CCEEFF"/>
            <w:tcMar>
              <w:top w:w="40" w:type="dxa"/>
              <w:left w:w="0" w:type="dxa"/>
              <w:bottom w:w="40" w:type="dxa"/>
              <w:right w:w="20" w:type="dxa"/>
            </w:tcMar>
            <w:vAlign w:val="bottom"/>
          </w:tcPr>
          <w:p w14:paraId="518B5BB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B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BB7" w14:textId="77777777" w:rsidR="005C332D" w:rsidRDefault="00B93EAE">
            <w:pPr>
              <w:jc w:val="right"/>
              <w:textAlignment w:val="bottom"/>
            </w:pPr>
            <w:r>
              <w:rPr>
                <w:rFonts w:ascii="Times New Roman" w:eastAsia="宋体" w:hAnsi="Times New Roman"/>
                <w:color w:val="000000"/>
                <w:sz w:val="19"/>
                <w:szCs w:val="19"/>
              </w:rPr>
              <w:t>11,772 </w:t>
            </w:r>
          </w:p>
        </w:tc>
        <w:tc>
          <w:tcPr>
            <w:tcW w:w="0" w:type="auto"/>
            <w:shd w:val="clear" w:color="auto" w:fill="CCEEFF"/>
            <w:tcMar>
              <w:top w:w="40" w:type="dxa"/>
              <w:left w:w="0" w:type="dxa"/>
              <w:bottom w:w="40" w:type="dxa"/>
              <w:right w:w="20" w:type="dxa"/>
            </w:tcMar>
            <w:vAlign w:val="bottom"/>
          </w:tcPr>
          <w:p w14:paraId="518B5BB8" w14:textId="77777777" w:rsidR="005C332D" w:rsidRDefault="005C332D">
            <w:pPr>
              <w:jc w:val="right"/>
              <w:rPr>
                <w:rFonts w:ascii="宋体"/>
              </w:rPr>
            </w:pPr>
          </w:p>
        </w:tc>
      </w:tr>
      <w:tr w:rsidR="005C332D" w14:paraId="518B5BC6" w14:textId="77777777">
        <w:tc>
          <w:tcPr>
            <w:tcW w:w="0" w:type="auto"/>
            <w:gridSpan w:val="3"/>
            <w:shd w:val="clear" w:color="auto" w:fill="FFFFFF"/>
            <w:tcMar>
              <w:top w:w="40" w:type="dxa"/>
              <w:left w:w="20" w:type="dxa"/>
              <w:bottom w:w="40" w:type="dxa"/>
              <w:right w:w="20" w:type="dxa"/>
            </w:tcMar>
            <w:vAlign w:val="bottom"/>
          </w:tcPr>
          <w:p w14:paraId="518B5BBA" w14:textId="77777777" w:rsidR="005C332D" w:rsidRDefault="00B93EAE">
            <w:pPr>
              <w:textAlignment w:val="bottom"/>
            </w:pPr>
            <w:r>
              <w:rPr>
                <w:rFonts w:ascii="Times New Roman" w:eastAsia="宋体" w:hAnsi="Times New Roman"/>
                <w:color w:val="000000"/>
                <w:sz w:val="19"/>
                <w:szCs w:val="19"/>
              </w:rPr>
              <w:t xml:space="preserve">Cash, cash equivalents, </w:t>
            </w:r>
            <w:r>
              <w:rPr>
                <w:rFonts w:ascii="Times New Roman" w:eastAsia="宋体" w:hAnsi="Times New Roman"/>
                <w:color w:val="000000"/>
                <w:sz w:val="19"/>
                <w:szCs w:val="19"/>
              </w:rPr>
              <w:t>restricted cash and restricted cash equivalents, end of fiscal year</w:t>
            </w:r>
          </w:p>
        </w:tc>
        <w:tc>
          <w:tcPr>
            <w:tcW w:w="0" w:type="auto"/>
            <w:tcBorders>
              <w:top w:val="single" w:sz="8" w:space="0" w:color="000000"/>
            </w:tcBorders>
            <w:shd w:val="clear" w:color="auto" w:fill="FFFFFF"/>
            <w:tcMar>
              <w:top w:w="40" w:type="dxa"/>
              <w:left w:w="20" w:type="dxa"/>
              <w:bottom w:w="40" w:type="dxa"/>
              <w:right w:w="0" w:type="dxa"/>
            </w:tcMar>
            <w:vAlign w:val="bottom"/>
          </w:tcPr>
          <w:p w14:paraId="518B5BBB" w14:textId="77777777" w:rsidR="005C332D" w:rsidRDefault="00B93EAE">
            <w:pPr>
              <w:textAlignment w:val="bottom"/>
            </w:pPr>
            <w:r>
              <w:rPr>
                <w:rFonts w:ascii="Times New Roman" w:eastAsia="宋体" w:hAnsi="Times New Roman"/>
                <w:b/>
                <w:bCs/>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5BBC" w14:textId="77777777" w:rsidR="005C332D" w:rsidRDefault="00B93EAE">
            <w:pPr>
              <w:jc w:val="right"/>
              <w:textAlignment w:val="bottom"/>
            </w:pPr>
            <w:r>
              <w:rPr>
                <w:rFonts w:ascii="Times New Roman" w:eastAsia="宋体" w:hAnsi="Times New Roman"/>
                <w:b/>
                <w:bCs/>
                <w:color w:val="000000"/>
                <w:sz w:val="19"/>
                <w:szCs w:val="19"/>
              </w:rPr>
              <w:t>8,579</w:t>
            </w:r>
            <w:r>
              <w:rPr>
                <w:rFonts w:ascii="Times New Roman" w:eastAsia="宋体" w:hAnsi="Times New Roman"/>
                <w:color w:val="000000"/>
                <w:sz w:val="19"/>
                <w:szCs w:val="19"/>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B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BE"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5BBF" w14:textId="77777777" w:rsidR="005C332D" w:rsidRDefault="00B93EAE">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5BC0" w14:textId="77777777" w:rsidR="005C332D" w:rsidRDefault="00B93EAE">
            <w:pPr>
              <w:jc w:val="right"/>
              <w:textAlignment w:val="bottom"/>
            </w:pPr>
            <w:r>
              <w:rPr>
                <w:rFonts w:ascii="Times New Roman" w:eastAsia="宋体" w:hAnsi="Times New Roman"/>
                <w:color w:val="000000"/>
                <w:sz w:val="19"/>
                <w:szCs w:val="19"/>
              </w:rPr>
              <w:t>9,942 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C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C2"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5BC3" w14:textId="77777777" w:rsidR="005C332D" w:rsidRDefault="00B93EAE">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5BC4" w14:textId="77777777" w:rsidR="005C332D" w:rsidRDefault="00B93EAE">
            <w:pPr>
              <w:jc w:val="right"/>
              <w:textAlignment w:val="bottom"/>
            </w:pPr>
            <w:r>
              <w:rPr>
                <w:rFonts w:ascii="Times New Roman" w:eastAsia="宋体" w:hAnsi="Times New Roman"/>
                <w:color w:val="000000"/>
                <w:sz w:val="19"/>
                <w:szCs w:val="19"/>
              </w:rPr>
              <w:t>11,812 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BC5" w14:textId="77777777" w:rsidR="005C332D" w:rsidRDefault="005C332D">
            <w:pPr>
              <w:jc w:val="right"/>
              <w:rPr>
                <w:rFonts w:ascii="宋体"/>
              </w:rPr>
            </w:pPr>
          </w:p>
        </w:tc>
      </w:tr>
      <w:tr w:rsidR="005C332D" w14:paraId="518B5BCD" w14:textId="77777777">
        <w:trPr>
          <w:trHeight w:val="160"/>
        </w:trPr>
        <w:tc>
          <w:tcPr>
            <w:tcW w:w="0" w:type="auto"/>
            <w:gridSpan w:val="3"/>
            <w:shd w:val="clear" w:color="auto" w:fill="CCEEFF"/>
            <w:tcMar>
              <w:top w:w="0" w:type="dxa"/>
              <w:left w:w="20" w:type="dxa"/>
              <w:bottom w:w="0" w:type="dxa"/>
              <w:right w:w="20" w:type="dxa"/>
            </w:tcMar>
            <w:vAlign w:val="bottom"/>
          </w:tcPr>
          <w:p w14:paraId="518B5BC7"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BC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BC9"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BC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BCB"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5BCC" w14:textId="77777777" w:rsidR="005C332D" w:rsidRDefault="005C332D">
            <w:pPr>
              <w:rPr>
                <w:rFonts w:ascii="宋体"/>
              </w:rPr>
            </w:pPr>
          </w:p>
        </w:tc>
      </w:tr>
      <w:tr w:rsidR="005C332D" w14:paraId="518B5BD4" w14:textId="77777777">
        <w:tc>
          <w:tcPr>
            <w:tcW w:w="0" w:type="auto"/>
            <w:gridSpan w:val="3"/>
            <w:shd w:val="clear" w:color="auto" w:fill="FFFFFF"/>
            <w:tcMar>
              <w:top w:w="40" w:type="dxa"/>
              <w:left w:w="20" w:type="dxa"/>
              <w:bottom w:w="40" w:type="dxa"/>
              <w:right w:w="20" w:type="dxa"/>
            </w:tcMar>
            <w:vAlign w:val="bottom"/>
          </w:tcPr>
          <w:p w14:paraId="518B5BCE" w14:textId="77777777" w:rsidR="005C332D" w:rsidRDefault="00B93EAE">
            <w:pPr>
              <w:textAlignment w:val="bottom"/>
            </w:pPr>
            <w:r>
              <w:rPr>
                <w:rFonts w:ascii="Times New Roman" w:eastAsia="宋体" w:hAnsi="Times New Roman"/>
                <w:color w:val="000000"/>
                <w:sz w:val="19"/>
                <w:szCs w:val="19"/>
              </w:rPr>
              <w:t>Supplemental cash flow information:</w:t>
            </w:r>
          </w:p>
        </w:tc>
        <w:tc>
          <w:tcPr>
            <w:tcW w:w="0" w:type="auto"/>
            <w:gridSpan w:val="3"/>
            <w:shd w:val="clear" w:color="auto" w:fill="FFFFFF"/>
            <w:tcMar>
              <w:top w:w="0" w:type="dxa"/>
              <w:left w:w="20" w:type="dxa"/>
              <w:bottom w:w="0" w:type="dxa"/>
              <w:right w:w="20" w:type="dxa"/>
            </w:tcMar>
            <w:vAlign w:val="bottom"/>
          </w:tcPr>
          <w:p w14:paraId="518B5BC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BD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BD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BD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BD3" w14:textId="77777777" w:rsidR="005C332D" w:rsidRDefault="005C332D">
            <w:pPr>
              <w:rPr>
                <w:rFonts w:ascii="宋体"/>
              </w:rPr>
            </w:pPr>
          </w:p>
        </w:tc>
      </w:tr>
      <w:tr w:rsidR="005C332D" w14:paraId="518B5BE1" w14:textId="77777777">
        <w:tc>
          <w:tcPr>
            <w:tcW w:w="0" w:type="auto"/>
            <w:gridSpan w:val="3"/>
            <w:shd w:val="clear" w:color="auto" w:fill="CCEEFF"/>
            <w:tcMar>
              <w:top w:w="40" w:type="dxa"/>
              <w:left w:w="20" w:type="dxa"/>
              <w:bottom w:w="40" w:type="dxa"/>
              <w:right w:w="20" w:type="dxa"/>
            </w:tcMar>
            <w:vAlign w:val="bottom"/>
          </w:tcPr>
          <w:p w14:paraId="518B5BD5" w14:textId="77777777" w:rsidR="005C332D" w:rsidRDefault="00B93EAE">
            <w:pPr>
              <w:textAlignment w:val="bottom"/>
            </w:pPr>
            <w:r>
              <w:rPr>
                <w:rFonts w:ascii="Times New Roman" w:eastAsia="宋体" w:hAnsi="Times New Roman"/>
                <w:color w:val="000000"/>
                <w:sz w:val="19"/>
                <w:szCs w:val="19"/>
              </w:rPr>
              <w:t>Cash paid for interest</w:t>
            </w:r>
          </w:p>
        </w:tc>
        <w:tc>
          <w:tcPr>
            <w:tcW w:w="0" w:type="auto"/>
            <w:shd w:val="clear" w:color="auto" w:fill="CCEEFF"/>
            <w:tcMar>
              <w:top w:w="40" w:type="dxa"/>
              <w:left w:w="20" w:type="dxa"/>
              <w:bottom w:w="40" w:type="dxa"/>
              <w:right w:w="0" w:type="dxa"/>
            </w:tcMar>
            <w:vAlign w:val="bottom"/>
          </w:tcPr>
          <w:p w14:paraId="518B5BD6" w14:textId="77777777" w:rsidR="005C332D" w:rsidRDefault="00B93EAE">
            <w:pPr>
              <w:textAlignment w:val="bottom"/>
            </w:pPr>
            <w:r>
              <w:rPr>
                <w:rFonts w:ascii="Times New Roman" w:eastAsia="宋体" w:hAnsi="Times New Roman"/>
                <w:b/>
                <w:bCs/>
                <w:color w:val="000000"/>
                <w:sz w:val="19"/>
                <w:szCs w:val="19"/>
              </w:rPr>
              <w:t>$</w:t>
            </w:r>
          </w:p>
        </w:tc>
        <w:tc>
          <w:tcPr>
            <w:tcW w:w="0" w:type="auto"/>
            <w:shd w:val="clear" w:color="auto" w:fill="CCEEFF"/>
            <w:tcMar>
              <w:top w:w="40" w:type="dxa"/>
              <w:left w:w="0" w:type="dxa"/>
              <w:bottom w:w="40" w:type="dxa"/>
              <w:right w:w="0" w:type="dxa"/>
            </w:tcMar>
            <w:vAlign w:val="bottom"/>
          </w:tcPr>
          <w:p w14:paraId="518B5BD7" w14:textId="77777777" w:rsidR="005C332D" w:rsidRDefault="00B93EAE">
            <w:pPr>
              <w:jc w:val="right"/>
              <w:textAlignment w:val="bottom"/>
            </w:pPr>
            <w:r>
              <w:rPr>
                <w:rFonts w:ascii="Times New Roman" w:eastAsia="宋体" w:hAnsi="Times New Roman"/>
                <w:b/>
                <w:bCs/>
                <w:color w:val="000000"/>
                <w:sz w:val="19"/>
                <w:szCs w:val="19"/>
              </w:rPr>
              <w:t>355</w:t>
            </w: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518B5BD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D9"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BDA" w14:textId="77777777" w:rsidR="005C332D" w:rsidRDefault="00B93EAE">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518B5BDB" w14:textId="77777777" w:rsidR="005C332D" w:rsidRDefault="00B93EAE">
            <w:pPr>
              <w:jc w:val="right"/>
              <w:textAlignment w:val="bottom"/>
            </w:pPr>
            <w:r>
              <w:rPr>
                <w:rFonts w:ascii="Times New Roman" w:eastAsia="宋体" w:hAnsi="Times New Roman"/>
                <w:color w:val="000000"/>
                <w:sz w:val="19"/>
                <w:szCs w:val="19"/>
              </w:rPr>
              <w:t>438 </w:t>
            </w:r>
          </w:p>
        </w:tc>
        <w:tc>
          <w:tcPr>
            <w:tcW w:w="0" w:type="auto"/>
            <w:shd w:val="clear" w:color="auto" w:fill="CCEEFF"/>
            <w:tcMar>
              <w:top w:w="40" w:type="dxa"/>
              <w:left w:w="0" w:type="dxa"/>
              <w:bottom w:w="40" w:type="dxa"/>
              <w:right w:w="20" w:type="dxa"/>
            </w:tcMar>
            <w:vAlign w:val="bottom"/>
          </w:tcPr>
          <w:p w14:paraId="518B5BD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BD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5BDE" w14:textId="77777777" w:rsidR="005C332D" w:rsidRDefault="00B93EAE">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518B5BDF" w14:textId="77777777" w:rsidR="005C332D" w:rsidRDefault="00B93EAE">
            <w:pPr>
              <w:jc w:val="right"/>
              <w:textAlignment w:val="bottom"/>
            </w:pPr>
            <w:r>
              <w:rPr>
                <w:rFonts w:ascii="Times New Roman" w:eastAsia="宋体" w:hAnsi="Times New Roman"/>
                <w:color w:val="000000"/>
                <w:sz w:val="19"/>
                <w:szCs w:val="19"/>
              </w:rPr>
              <w:t>603 </w:t>
            </w:r>
          </w:p>
        </w:tc>
        <w:tc>
          <w:tcPr>
            <w:tcW w:w="0" w:type="auto"/>
            <w:shd w:val="clear" w:color="auto" w:fill="CCEEFF"/>
            <w:tcMar>
              <w:top w:w="40" w:type="dxa"/>
              <w:left w:w="0" w:type="dxa"/>
              <w:bottom w:w="40" w:type="dxa"/>
              <w:right w:w="20" w:type="dxa"/>
            </w:tcMar>
            <w:vAlign w:val="bottom"/>
          </w:tcPr>
          <w:p w14:paraId="518B5BE0" w14:textId="77777777" w:rsidR="005C332D" w:rsidRDefault="005C332D">
            <w:pPr>
              <w:jc w:val="right"/>
              <w:rPr>
                <w:rFonts w:ascii="宋体"/>
              </w:rPr>
            </w:pPr>
          </w:p>
        </w:tc>
      </w:tr>
      <w:tr w:rsidR="005C332D" w14:paraId="518B5BEE" w14:textId="77777777">
        <w:tc>
          <w:tcPr>
            <w:tcW w:w="0" w:type="auto"/>
            <w:gridSpan w:val="3"/>
            <w:shd w:val="clear" w:color="auto" w:fill="FFFFFF"/>
            <w:tcMar>
              <w:top w:w="40" w:type="dxa"/>
              <w:left w:w="20" w:type="dxa"/>
              <w:bottom w:w="40" w:type="dxa"/>
              <w:right w:w="20" w:type="dxa"/>
            </w:tcMar>
            <w:vAlign w:val="bottom"/>
          </w:tcPr>
          <w:p w14:paraId="518B5BE2" w14:textId="77777777" w:rsidR="005C332D" w:rsidRDefault="00B93EAE">
            <w:pPr>
              <w:textAlignment w:val="bottom"/>
            </w:pPr>
            <w:r>
              <w:rPr>
                <w:rFonts w:ascii="Times New Roman" w:eastAsia="宋体" w:hAnsi="Times New Roman"/>
                <w:color w:val="000000"/>
                <w:sz w:val="19"/>
                <w:szCs w:val="19"/>
              </w:rPr>
              <w:t>Cash paid for income taxes, net</w:t>
            </w:r>
          </w:p>
        </w:tc>
        <w:tc>
          <w:tcPr>
            <w:tcW w:w="0" w:type="auto"/>
            <w:shd w:val="clear" w:color="auto" w:fill="FFFFFF"/>
            <w:tcMar>
              <w:top w:w="40" w:type="dxa"/>
              <w:left w:w="20" w:type="dxa"/>
              <w:bottom w:w="40" w:type="dxa"/>
              <w:right w:w="0" w:type="dxa"/>
            </w:tcMar>
            <w:vAlign w:val="bottom"/>
          </w:tcPr>
          <w:p w14:paraId="518B5BE3" w14:textId="77777777" w:rsidR="005C332D" w:rsidRDefault="00B93EAE">
            <w:pPr>
              <w:textAlignment w:val="bottom"/>
            </w:pPr>
            <w:r>
              <w:rPr>
                <w:rFonts w:ascii="Times New Roman" w:eastAsia="宋体" w:hAnsi="Times New Roman"/>
                <w:b/>
                <w:bCs/>
                <w:color w:val="000000"/>
                <w:sz w:val="19"/>
                <w:szCs w:val="19"/>
              </w:rPr>
              <w:t>$</w:t>
            </w:r>
          </w:p>
        </w:tc>
        <w:tc>
          <w:tcPr>
            <w:tcW w:w="0" w:type="auto"/>
            <w:shd w:val="clear" w:color="auto" w:fill="FFFFFF"/>
            <w:tcMar>
              <w:top w:w="40" w:type="dxa"/>
              <w:left w:w="0" w:type="dxa"/>
              <w:bottom w:w="40" w:type="dxa"/>
              <w:right w:w="0" w:type="dxa"/>
            </w:tcMar>
            <w:vAlign w:val="bottom"/>
          </w:tcPr>
          <w:p w14:paraId="518B5BE4" w14:textId="77777777" w:rsidR="005C332D" w:rsidRDefault="00B93EAE">
            <w:pPr>
              <w:jc w:val="right"/>
              <w:textAlignment w:val="bottom"/>
            </w:pPr>
            <w:r>
              <w:rPr>
                <w:rFonts w:ascii="Times New Roman" w:eastAsia="宋体" w:hAnsi="Times New Roman"/>
                <w:b/>
                <w:bCs/>
                <w:color w:val="000000"/>
                <w:sz w:val="19"/>
                <w:szCs w:val="19"/>
              </w:rPr>
              <w:t>3,663</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BE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E6"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BE7" w14:textId="77777777" w:rsidR="005C332D" w:rsidRDefault="00B93EAE">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518B5BE8" w14:textId="77777777" w:rsidR="005C332D" w:rsidRDefault="00B93EAE">
            <w:pPr>
              <w:jc w:val="right"/>
              <w:textAlignment w:val="bottom"/>
            </w:pPr>
            <w:r>
              <w:rPr>
                <w:rFonts w:ascii="Times New Roman" w:eastAsia="宋体" w:hAnsi="Times New Roman"/>
                <w:color w:val="000000"/>
                <w:sz w:val="19"/>
                <w:szCs w:val="19"/>
              </w:rPr>
              <w:t>3,604 </w:t>
            </w:r>
          </w:p>
        </w:tc>
        <w:tc>
          <w:tcPr>
            <w:tcW w:w="0" w:type="auto"/>
            <w:shd w:val="clear" w:color="auto" w:fill="FFFFFF"/>
            <w:tcMar>
              <w:top w:w="40" w:type="dxa"/>
              <w:left w:w="0" w:type="dxa"/>
              <w:bottom w:w="40" w:type="dxa"/>
              <w:right w:w="20" w:type="dxa"/>
            </w:tcMar>
            <w:vAlign w:val="bottom"/>
          </w:tcPr>
          <w:p w14:paraId="518B5BE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BEA"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BEB" w14:textId="77777777" w:rsidR="005C332D" w:rsidRDefault="00B93EAE">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518B5BEC" w14:textId="77777777" w:rsidR="005C332D" w:rsidRDefault="00B93EAE">
            <w:pPr>
              <w:jc w:val="right"/>
              <w:textAlignment w:val="bottom"/>
            </w:pPr>
            <w:r>
              <w:rPr>
                <w:rFonts w:ascii="Times New Roman" w:eastAsia="宋体" w:hAnsi="Times New Roman"/>
                <w:color w:val="000000"/>
                <w:sz w:val="19"/>
                <w:szCs w:val="19"/>
              </w:rPr>
              <w:t>3,116 </w:t>
            </w:r>
          </w:p>
        </w:tc>
        <w:tc>
          <w:tcPr>
            <w:tcW w:w="0" w:type="auto"/>
            <w:shd w:val="clear" w:color="auto" w:fill="FFFFFF"/>
            <w:tcMar>
              <w:top w:w="40" w:type="dxa"/>
              <w:left w:w="0" w:type="dxa"/>
              <w:bottom w:w="40" w:type="dxa"/>
              <w:right w:w="20" w:type="dxa"/>
            </w:tcMar>
            <w:vAlign w:val="bottom"/>
          </w:tcPr>
          <w:p w14:paraId="518B5BED" w14:textId="77777777" w:rsidR="005C332D" w:rsidRDefault="005C332D">
            <w:pPr>
              <w:jc w:val="right"/>
              <w:rPr>
                <w:rFonts w:ascii="宋体"/>
              </w:rPr>
            </w:pPr>
          </w:p>
        </w:tc>
      </w:tr>
    </w:tbl>
    <w:p w14:paraId="518B5BEF" w14:textId="77777777" w:rsidR="005C332D" w:rsidRDefault="00B93EAE">
      <w:r>
        <w:rPr>
          <w:rFonts w:ascii="Times New Roman" w:eastAsia="宋体" w:hAnsi="Times New Roman"/>
          <w:color w:val="000000"/>
          <w:sz w:val="20"/>
          <w:szCs w:val="20"/>
        </w:rPr>
        <w:t>See Notes to Consolidated Financial Statements.</w:t>
      </w:r>
    </w:p>
    <w:p w14:paraId="518B5BF0" w14:textId="77777777" w:rsidR="005C332D" w:rsidRDefault="00B93EAE">
      <w:pPr>
        <w:jc w:val="center"/>
      </w:pPr>
      <w:r>
        <w:rPr>
          <w:rFonts w:ascii="Times New Roman" w:eastAsia="宋体" w:hAnsi="Times New Roman"/>
          <w:color w:val="000000"/>
          <w:sz w:val="20"/>
          <w:szCs w:val="20"/>
        </w:rPr>
        <w:t>62</w:t>
      </w:r>
    </w:p>
    <w:p w14:paraId="518B5BF1" w14:textId="77777777" w:rsidR="005C332D" w:rsidRDefault="00B93EAE">
      <w:r>
        <w:pict w14:anchorId="518B8753">
          <v:rect id="_x0000_i1088" style="width:415.3pt;height:1.5pt" o:hralign="center" o:hrstd="t" o:hr="t" fillcolor="#a0a0a0" stroked="f"/>
        </w:pict>
      </w:r>
    </w:p>
    <w:p w14:paraId="518B5BF2" w14:textId="77777777" w:rsidR="005C332D" w:rsidRDefault="00B93EAE">
      <w:hyperlink r:id="rId173" w:anchor="i049852cab38845aabd2a79d07dacda86_7" w:history="1">
        <w:r>
          <w:rPr>
            <w:rStyle w:val="a5"/>
            <w:rFonts w:ascii="Times New Roman" w:eastAsia="宋体" w:hAnsi="Times New Roman"/>
            <w:sz w:val="20"/>
            <w:szCs w:val="20"/>
          </w:rPr>
          <w:t>Table of Contents</w:t>
        </w:r>
      </w:hyperlink>
    </w:p>
    <w:p w14:paraId="518B5BF3" w14:textId="77777777" w:rsidR="005C332D" w:rsidRDefault="00B93EAE">
      <w:pPr>
        <w:jc w:val="center"/>
      </w:pPr>
      <w:r>
        <w:rPr>
          <w:rFonts w:ascii="Times New Roman" w:eastAsia="宋体" w:hAnsi="Times New Roman"/>
          <w:b/>
          <w:bCs/>
          <w:color w:val="000000"/>
          <w:sz w:val="20"/>
          <w:szCs w:val="20"/>
        </w:rPr>
        <w:t>CISCO SYSTEMS, INC.</w:t>
      </w:r>
    </w:p>
    <w:p w14:paraId="518B5BF4" w14:textId="77777777" w:rsidR="005C332D" w:rsidRDefault="00B93EAE">
      <w:pPr>
        <w:jc w:val="center"/>
      </w:pPr>
      <w:r>
        <w:rPr>
          <w:rFonts w:ascii="Times New Roman" w:eastAsia="宋体" w:hAnsi="Times New Roman"/>
          <w:b/>
          <w:bCs/>
          <w:color w:val="000000"/>
          <w:sz w:val="20"/>
          <w:szCs w:val="20"/>
        </w:rPr>
        <w:t>Consolidated Statements of Equity</w:t>
      </w:r>
    </w:p>
    <w:p w14:paraId="518B5BF5" w14:textId="77777777" w:rsidR="005C332D" w:rsidRDefault="00B93EAE">
      <w:pPr>
        <w:jc w:val="center"/>
      </w:pPr>
      <w:r>
        <w:rPr>
          <w:rFonts w:ascii="Times New Roman" w:eastAsia="宋体" w:hAnsi="Times New Roman"/>
          <w:color w:val="000000"/>
          <w:sz w:val="20"/>
          <w:szCs w:val="20"/>
        </w:rPr>
        <w:t>(in millions, except per-share amounts)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872"/>
        <w:gridCol w:w="38"/>
        <w:gridCol w:w="82"/>
        <w:gridCol w:w="625"/>
        <w:gridCol w:w="36"/>
        <w:gridCol w:w="36"/>
        <w:gridCol w:w="36"/>
        <w:gridCol w:w="36"/>
        <w:gridCol w:w="116"/>
        <w:gridCol w:w="1065"/>
        <w:gridCol w:w="36"/>
        <w:gridCol w:w="36"/>
        <w:gridCol w:w="36"/>
        <w:gridCol w:w="36"/>
        <w:gridCol w:w="116"/>
        <w:gridCol w:w="905"/>
        <w:gridCol w:w="36"/>
        <w:gridCol w:w="36"/>
        <w:gridCol w:w="36"/>
        <w:gridCol w:w="36"/>
        <w:gridCol w:w="116"/>
        <w:gridCol w:w="1065"/>
        <w:gridCol w:w="36"/>
        <w:gridCol w:w="36"/>
        <w:gridCol w:w="36"/>
        <w:gridCol w:w="36"/>
        <w:gridCol w:w="115"/>
        <w:gridCol w:w="570"/>
        <w:gridCol w:w="36"/>
      </w:tblGrid>
      <w:tr w:rsidR="005C332D" w14:paraId="518B5C14" w14:textId="77777777">
        <w:trPr>
          <w:jc w:val="center"/>
        </w:trPr>
        <w:tc>
          <w:tcPr>
            <w:tcW w:w="50" w:type="pct"/>
            <w:shd w:val="clear" w:color="auto" w:fill="auto"/>
            <w:vAlign w:val="bottom"/>
          </w:tcPr>
          <w:p w14:paraId="518B5BF6" w14:textId="77777777" w:rsidR="005C332D" w:rsidRDefault="005C332D">
            <w:pPr>
              <w:rPr>
                <w:rFonts w:ascii="宋体"/>
              </w:rPr>
            </w:pPr>
          </w:p>
        </w:tc>
        <w:tc>
          <w:tcPr>
            <w:tcW w:w="2042" w:type="pct"/>
            <w:shd w:val="clear" w:color="auto" w:fill="auto"/>
            <w:vAlign w:val="bottom"/>
          </w:tcPr>
          <w:p w14:paraId="518B5BF7" w14:textId="77777777" w:rsidR="005C332D" w:rsidRDefault="005C332D">
            <w:pPr>
              <w:rPr>
                <w:rFonts w:ascii="宋体"/>
              </w:rPr>
            </w:pPr>
          </w:p>
        </w:tc>
        <w:tc>
          <w:tcPr>
            <w:tcW w:w="5" w:type="pct"/>
            <w:shd w:val="clear" w:color="auto" w:fill="auto"/>
            <w:vAlign w:val="bottom"/>
          </w:tcPr>
          <w:p w14:paraId="518B5BF8" w14:textId="77777777" w:rsidR="005C332D" w:rsidRDefault="005C332D">
            <w:pPr>
              <w:rPr>
                <w:rFonts w:ascii="宋体"/>
              </w:rPr>
            </w:pPr>
          </w:p>
        </w:tc>
        <w:tc>
          <w:tcPr>
            <w:tcW w:w="50" w:type="pct"/>
            <w:shd w:val="clear" w:color="auto" w:fill="auto"/>
            <w:vAlign w:val="bottom"/>
          </w:tcPr>
          <w:p w14:paraId="518B5BF9" w14:textId="77777777" w:rsidR="005C332D" w:rsidRDefault="005C332D">
            <w:pPr>
              <w:rPr>
                <w:rFonts w:ascii="宋体"/>
              </w:rPr>
            </w:pPr>
          </w:p>
        </w:tc>
        <w:tc>
          <w:tcPr>
            <w:tcW w:w="383" w:type="pct"/>
            <w:shd w:val="clear" w:color="auto" w:fill="auto"/>
            <w:vAlign w:val="bottom"/>
          </w:tcPr>
          <w:p w14:paraId="518B5BFA" w14:textId="77777777" w:rsidR="005C332D" w:rsidRDefault="005C332D">
            <w:pPr>
              <w:rPr>
                <w:rFonts w:ascii="宋体"/>
              </w:rPr>
            </w:pPr>
          </w:p>
        </w:tc>
        <w:tc>
          <w:tcPr>
            <w:tcW w:w="5" w:type="pct"/>
            <w:shd w:val="clear" w:color="auto" w:fill="auto"/>
            <w:vAlign w:val="bottom"/>
          </w:tcPr>
          <w:p w14:paraId="518B5BFB" w14:textId="77777777" w:rsidR="005C332D" w:rsidRDefault="005C332D">
            <w:pPr>
              <w:rPr>
                <w:rFonts w:ascii="宋体"/>
              </w:rPr>
            </w:pPr>
          </w:p>
        </w:tc>
        <w:tc>
          <w:tcPr>
            <w:tcW w:w="5" w:type="pct"/>
            <w:shd w:val="clear" w:color="auto" w:fill="auto"/>
            <w:vAlign w:val="bottom"/>
          </w:tcPr>
          <w:p w14:paraId="518B5BFC" w14:textId="77777777" w:rsidR="005C332D" w:rsidRDefault="005C332D">
            <w:pPr>
              <w:rPr>
                <w:rFonts w:ascii="宋体"/>
              </w:rPr>
            </w:pPr>
          </w:p>
        </w:tc>
        <w:tc>
          <w:tcPr>
            <w:tcW w:w="26" w:type="pct"/>
            <w:shd w:val="clear" w:color="auto" w:fill="auto"/>
            <w:vAlign w:val="bottom"/>
          </w:tcPr>
          <w:p w14:paraId="518B5BFD" w14:textId="77777777" w:rsidR="005C332D" w:rsidRDefault="005C332D">
            <w:pPr>
              <w:rPr>
                <w:rFonts w:ascii="宋体"/>
              </w:rPr>
            </w:pPr>
          </w:p>
        </w:tc>
        <w:tc>
          <w:tcPr>
            <w:tcW w:w="5" w:type="pct"/>
            <w:shd w:val="clear" w:color="auto" w:fill="auto"/>
            <w:vAlign w:val="bottom"/>
          </w:tcPr>
          <w:p w14:paraId="518B5BFE" w14:textId="77777777" w:rsidR="005C332D" w:rsidRDefault="005C332D">
            <w:pPr>
              <w:rPr>
                <w:rFonts w:ascii="宋体"/>
              </w:rPr>
            </w:pPr>
          </w:p>
        </w:tc>
        <w:tc>
          <w:tcPr>
            <w:tcW w:w="50" w:type="pct"/>
            <w:shd w:val="clear" w:color="auto" w:fill="auto"/>
            <w:vAlign w:val="bottom"/>
          </w:tcPr>
          <w:p w14:paraId="518B5BFF" w14:textId="77777777" w:rsidR="005C332D" w:rsidRDefault="005C332D">
            <w:pPr>
              <w:rPr>
                <w:rFonts w:ascii="宋体"/>
              </w:rPr>
            </w:pPr>
          </w:p>
        </w:tc>
        <w:tc>
          <w:tcPr>
            <w:tcW w:w="580" w:type="pct"/>
            <w:shd w:val="clear" w:color="auto" w:fill="auto"/>
            <w:vAlign w:val="bottom"/>
          </w:tcPr>
          <w:p w14:paraId="518B5C00" w14:textId="77777777" w:rsidR="005C332D" w:rsidRDefault="005C332D">
            <w:pPr>
              <w:rPr>
                <w:rFonts w:ascii="宋体"/>
              </w:rPr>
            </w:pPr>
          </w:p>
        </w:tc>
        <w:tc>
          <w:tcPr>
            <w:tcW w:w="5" w:type="pct"/>
            <w:shd w:val="clear" w:color="auto" w:fill="auto"/>
            <w:vAlign w:val="bottom"/>
          </w:tcPr>
          <w:p w14:paraId="518B5C01" w14:textId="77777777" w:rsidR="005C332D" w:rsidRDefault="005C332D">
            <w:pPr>
              <w:rPr>
                <w:rFonts w:ascii="宋体"/>
              </w:rPr>
            </w:pPr>
          </w:p>
        </w:tc>
        <w:tc>
          <w:tcPr>
            <w:tcW w:w="5" w:type="pct"/>
            <w:shd w:val="clear" w:color="auto" w:fill="auto"/>
            <w:vAlign w:val="bottom"/>
          </w:tcPr>
          <w:p w14:paraId="518B5C02" w14:textId="77777777" w:rsidR="005C332D" w:rsidRDefault="005C332D">
            <w:pPr>
              <w:rPr>
                <w:rFonts w:ascii="宋体"/>
              </w:rPr>
            </w:pPr>
          </w:p>
        </w:tc>
        <w:tc>
          <w:tcPr>
            <w:tcW w:w="26" w:type="pct"/>
            <w:shd w:val="clear" w:color="auto" w:fill="auto"/>
            <w:vAlign w:val="bottom"/>
          </w:tcPr>
          <w:p w14:paraId="518B5C03" w14:textId="77777777" w:rsidR="005C332D" w:rsidRDefault="005C332D">
            <w:pPr>
              <w:rPr>
                <w:rFonts w:ascii="宋体"/>
              </w:rPr>
            </w:pPr>
          </w:p>
        </w:tc>
        <w:tc>
          <w:tcPr>
            <w:tcW w:w="5" w:type="pct"/>
            <w:shd w:val="clear" w:color="auto" w:fill="auto"/>
            <w:vAlign w:val="bottom"/>
          </w:tcPr>
          <w:p w14:paraId="518B5C04" w14:textId="77777777" w:rsidR="005C332D" w:rsidRDefault="005C332D">
            <w:pPr>
              <w:rPr>
                <w:rFonts w:ascii="宋体"/>
              </w:rPr>
            </w:pPr>
          </w:p>
        </w:tc>
        <w:tc>
          <w:tcPr>
            <w:tcW w:w="50" w:type="pct"/>
            <w:shd w:val="clear" w:color="auto" w:fill="auto"/>
            <w:vAlign w:val="bottom"/>
          </w:tcPr>
          <w:p w14:paraId="518B5C05" w14:textId="77777777" w:rsidR="005C332D" w:rsidRDefault="005C332D">
            <w:pPr>
              <w:rPr>
                <w:rFonts w:ascii="宋体"/>
              </w:rPr>
            </w:pPr>
          </w:p>
        </w:tc>
        <w:tc>
          <w:tcPr>
            <w:tcW w:w="522" w:type="pct"/>
            <w:shd w:val="clear" w:color="auto" w:fill="auto"/>
            <w:vAlign w:val="bottom"/>
          </w:tcPr>
          <w:p w14:paraId="518B5C06" w14:textId="77777777" w:rsidR="005C332D" w:rsidRDefault="005C332D">
            <w:pPr>
              <w:rPr>
                <w:rFonts w:ascii="宋体"/>
              </w:rPr>
            </w:pPr>
          </w:p>
        </w:tc>
        <w:tc>
          <w:tcPr>
            <w:tcW w:w="5" w:type="pct"/>
            <w:shd w:val="clear" w:color="auto" w:fill="auto"/>
            <w:vAlign w:val="bottom"/>
          </w:tcPr>
          <w:p w14:paraId="518B5C07" w14:textId="77777777" w:rsidR="005C332D" w:rsidRDefault="005C332D">
            <w:pPr>
              <w:rPr>
                <w:rFonts w:ascii="宋体"/>
              </w:rPr>
            </w:pPr>
          </w:p>
        </w:tc>
        <w:tc>
          <w:tcPr>
            <w:tcW w:w="5" w:type="pct"/>
            <w:shd w:val="clear" w:color="auto" w:fill="auto"/>
            <w:vAlign w:val="bottom"/>
          </w:tcPr>
          <w:p w14:paraId="518B5C08" w14:textId="77777777" w:rsidR="005C332D" w:rsidRDefault="005C332D">
            <w:pPr>
              <w:rPr>
                <w:rFonts w:ascii="宋体"/>
              </w:rPr>
            </w:pPr>
          </w:p>
        </w:tc>
        <w:tc>
          <w:tcPr>
            <w:tcW w:w="26" w:type="pct"/>
            <w:shd w:val="clear" w:color="auto" w:fill="auto"/>
            <w:vAlign w:val="bottom"/>
          </w:tcPr>
          <w:p w14:paraId="518B5C09" w14:textId="77777777" w:rsidR="005C332D" w:rsidRDefault="005C332D">
            <w:pPr>
              <w:rPr>
                <w:rFonts w:ascii="宋体"/>
              </w:rPr>
            </w:pPr>
          </w:p>
        </w:tc>
        <w:tc>
          <w:tcPr>
            <w:tcW w:w="5" w:type="pct"/>
            <w:shd w:val="clear" w:color="auto" w:fill="auto"/>
            <w:vAlign w:val="bottom"/>
          </w:tcPr>
          <w:p w14:paraId="518B5C0A" w14:textId="77777777" w:rsidR="005C332D" w:rsidRDefault="005C332D">
            <w:pPr>
              <w:rPr>
                <w:rFonts w:ascii="宋体"/>
              </w:rPr>
            </w:pPr>
          </w:p>
        </w:tc>
        <w:tc>
          <w:tcPr>
            <w:tcW w:w="50" w:type="pct"/>
            <w:shd w:val="clear" w:color="auto" w:fill="auto"/>
            <w:vAlign w:val="bottom"/>
          </w:tcPr>
          <w:p w14:paraId="518B5C0B" w14:textId="77777777" w:rsidR="005C332D" w:rsidRDefault="005C332D">
            <w:pPr>
              <w:rPr>
                <w:rFonts w:ascii="宋体"/>
              </w:rPr>
            </w:pPr>
          </w:p>
        </w:tc>
        <w:tc>
          <w:tcPr>
            <w:tcW w:w="559" w:type="pct"/>
            <w:shd w:val="clear" w:color="auto" w:fill="auto"/>
            <w:vAlign w:val="bottom"/>
          </w:tcPr>
          <w:p w14:paraId="518B5C0C" w14:textId="77777777" w:rsidR="005C332D" w:rsidRDefault="005C332D">
            <w:pPr>
              <w:rPr>
                <w:rFonts w:ascii="宋体"/>
              </w:rPr>
            </w:pPr>
          </w:p>
        </w:tc>
        <w:tc>
          <w:tcPr>
            <w:tcW w:w="5" w:type="pct"/>
            <w:shd w:val="clear" w:color="auto" w:fill="auto"/>
            <w:vAlign w:val="bottom"/>
          </w:tcPr>
          <w:p w14:paraId="518B5C0D" w14:textId="77777777" w:rsidR="005C332D" w:rsidRDefault="005C332D">
            <w:pPr>
              <w:rPr>
                <w:rFonts w:ascii="宋体"/>
              </w:rPr>
            </w:pPr>
          </w:p>
        </w:tc>
        <w:tc>
          <w:tcPr>
            <w:tcW w:w="5" w:type="pct"/>
            <w:shd w:val="clear" w:color="auto" w:fill="auto"/>
            <w:vAlign w:val="bottom"/>
          </w:tcPr>
          <w:p w14:paraId="518B5C0E" w14:textId="77777777" w:rsidR="005C332D" w:rsidRDefault="005C332D">
            <w:pPr>
              <w:rPr>
                <w:rFonts w:ascii="宋体"/>
              </w:rPr>
            </w:pPr>
          </w:p>
        </w:tc>
        <w:tc>
          <w:tcPr>
            <w:tcW w:w="26" w:type="pct"/>
            <w:shd w:val="clear" w:color="auto" w:fill="auto"/>
            <w:vAlign w:val="bottom"/>
          </w:tcPr>
          <w:p w14:paraId="518B5C0F" w14:textId="77777777" w:rsidR="005C332D" w:rsidRDefault="005C332D">
            <w:pPr>
              <w:rPr>
                <w:rFonts w:ascii="宋体"/>
              </w:rPr>
            </w:pPr>
          </w:p>
        </w:tc>
        <w:tc>
          <w:tcPr>
            <w:tcW w:w="5" w:type="pct"/>
            <w:shd w:val="clear" w:color="auto" w:fill="auto"/>
            <w:vAlign w:val="bottom"/>
          </w:tcPr>
          <w:p w14:paraId="518B5C10" w14:textId="77777777" w:rsidR="005C332D" w:rsidRDefault="005C332D">
            <w:pPr>
              <w:rPr>
                <w:rFonts w:ascii="宋体"/>
              </w:rPr>
            </w:pPr>
          </w:p>
        </w:tc>
        <w:tc>
          <w:tcPr>
            <w:tcW w:w="50" w:type="pct"/>
            <w:shd w:val="clear" w:color="auto" w:fill="auto"/>
            <w:vAlign w:val="bottom"/>
          </w:tcPr>
          <w:p w14:paraId="518B5C11" w14:textId="77777777" w:rsidR="005C332D" w:rsidRDefault="005C332D">
            <w:pPr>
              <w:rPr>
                <w:rFonts w:ascii="宋体"/>
              </w:rPr>
            </w:pPr>
          </w:p>
        </w:tc>
        <w:tc>
          <w:tcPr>
            <w:tcW w:w="435" w:type="pct"/>
            <w:shd w:val="clear" w:color="auto" w:fill="auto"/>
            <w:vAlign w:val="bottom"/>
          </w:tcPr>
          <w:p w14:paraId="518B5C12" w14:textId="77777777" w:rsidR="005C332D" w:rsidRDefault="005C332D">
            <w:pPr>
              <w:rPr>
                <w:rFonts w:ascii="宋体"/>
              </w:rPr>
            </w:pPr>
          </w:p>
        </w:tc>
        <w:tc>
          <w:tcPr>
            <w:tcW w:w="5" w:type="pct"/>
            <w:shd w:val="clear" w:color="auto" w:fill="auto"/>
            <w:vAlign w:val="bottom"/>
          </w:tcPr>
          <w:p w14:paraId="518B5C13" w14:textId="77777777" w:rsidR="005C332D" w:rsidRDefault="005C332D">
            <w:pPr>
              <w:rPr>
                <w:rFonts w:ascii="宋体"/>
              </w:rPr>
            </w:pPr>
          </w:p>
        </w:tc>
      </w:tr>
      <w:tr w:rsidR="005C332D" w14:paraId="518B5C1F" w14:textId="77777777">
        <w:trPr>
          <w:jc w:val="center"/>
        </w:trPr>
        <w:tc>
          <w:tcPr>
            <w:tcW w:w="0" w:type="auto"/>
            <w:gridSpan w:val="3"/>
            <w:shd w:val="clear" w:color="auto" w:fill="auto"/>
            <w:tcMar>
              <w:top w:w="0" w:type="dxa"/>
              <w:left w:w="20" w:type="dxa"/>
              <w:bottom w:w="0" w:type="dxa"/>
              <w:right w:w="20" w:type="dxa"/>
            </w:tcMar>
            <w:vAlign w:val="bottom"/>
          </w:tcPr>
          <w:p w14:paraId="518B5C1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C16" w14:textId="77777777" w:rsidR="005C332D" w:rsidRDefault="00B93EAE">
            <w:pPr>
              <w:jc w:val="center"/>
              <w:textAlignment w:val="bottom"/>
            </w:pPr>
            <w:r>
              <w:rPr>
                <w:rFonts w:ascii="Times New Roman" w:eastAsia="宋体" w:hAnsi="Times New Roman"/>
                <w:color w:val="000000"/>
                <w:sz w:val="18"/>
                <w:szCs w:val="18"/>
              </w:rPr>
              <w:t>Shares of</w:t>
            </w:r>
            <w:r>
              <w:rPr>
                <w:rFonts w:ascii="Times New Roman" w:eastAsia="宋体" w:hAnsi="Times New Roman"/>
                <w:color w:val="000000"/>
                <w:sz w:val="18"/>
                <w:szCs w:val="18"/>
              </w:rPr>
              <w:br/>
              <w:t>Common</w:t>
            </w:r>
            <w:r>
              <w:rPr>
                <w:rFonts w:ascii="Times New Roman" w:eastAsia="宋体" w:hAnsi="Times New Roman"/>
                <w:color w:val="000000"/>
                <w:sz w:val="18"/>
                <w:szCs w:val="18"/>
              </w:rPr>
              <w:br/>
              <w:t>Stock</w:t>
            </w:r>
          </w:p>
        </w:tc>
        <w:tc>
          <w:tcPr>
            <w:tcW w:w="0" w:type="auto"/>
            <w:gridSpan w:val="3"/>
            <w:shd w:val="clear" w:color="auto" w:fill="auto"/>
            <w:tcMar>
              <w:top w:w="0" w:type="dxa"/>
              <w:left w:w="20" w:type="dxa"/>
              <w:bottom w:w="0" w:type="dxa"/>
              <w:right w:w="20" w:type="dxa"/>
            </w:tcMar>
            <w:vAlign w:val="bottom"/>
          </w:tcPr>
          <w:p w14:paraId="518B5C1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C18" w14:textId="77777777" w:rsidR="005C332D" w:rsidRDefault="00B93EAE">
            <w:pPr>
              <w:jc w:val="center"/>
              <w:textAlignment w:val="bottom"/>
            </w:pPr>
            <w:r>
              <w:rPr>
                <w:rFonts w:ascii="Times New Roman" w:eastAsia="宋体" w:hAnsi="Times New Roman"/>
                <w:color w:val="000000"/>
                <w:sz w:val="18"/>
                <w:szCs w:val="18"/>
              </w:rPr>
              <w:t>Common Stock</w:t>
            </w:r>
            <w:r>
              <w:rPr>
                <w:rFonts w:ascii="Times New Roman" w:eastAsia="宋体" w:hAnsi="Times New Roman"/>
                <w:color w:val="000000"/>
                <w:sz w:val="18"/>
                <w:szCs w:val="18"/>
              </w:rPr>
              <w:br/>
              <w:t>and</w:t>
            </w:r>
            <w:r>
              <w:rPr>
                <w:rFonts w:ascii="Times New Roman" w:eastAsia="宋体" w:hAnsi="Times New Roman"/>
                <w:color w:val="000000"/>
                <w:sz w:val="18"/>
                <w:szCs w:val="18"/>
              </w:rPr>
              <w:br/>
              <w:t>Additional</w:t>
            </w:r>
            <w:r>
              <w:rPr>
                <w:rFonts w:ascii="Times New Roman" w:eastAsia="宋体" w:hAnsi="Times New Roman"/>
                <w:color w:val="000000"/>
                <w:sz w:val="18"/>
                <w:szCs w:val="18"/>
              </w:rPr>
              <w:br/>
              <w:t>Paid-In Capital</w:t>
            </w:r>
          </w:p>
        </w:tc>
        <w:tc>
          <w:tcPr>
            <w:tcW w:w="0" w:type="auto"/>
            <w:gridSpan w:val="3"/>
            <w:shd w:val="clear" w:color="auto" w:fill="auto"/>
            <w:tcMar>
              <w:top w:w="0" w:type="dxa"/>
              <w:left w:w="20" w:type="dxa"/>
              <w:bottom w:w="0" w:type="dxa"/>
              <w:right w:w="20" w:type="dxa"/>
            </w:tcMar>
            <w:vAlign w:val="bottom"/>
          </w:tcPr>
          <w:p w14:paraId="518B5C1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C1A" w14:textId="77777777" w:rsidR="005C332D" w:rsidRDefault="00B93EAE">
            <w:pPr>
              <w:jc w:val="center"/>
              <w:textAlignment w:val="bottom"/>
            </w:pPr>
            <w:r>
              <w:rPr>
                <w:rFonts w:ascii="Times New Roman" w:eastAsia="宋体" w:hAnsi="Times New Roman"/>
                <w:color w:val="000000"/>
                <w:sz w:val="18"/>
                <w:szCs w:val="18"/>
              </w:rPr>
              <w:t>Accumulated Deficit</w:t>
            </w:r>
          </w:p>
        </w:tc>
        <w:tc>
          <w:tcPr>
            <w:tcW w:w="0" w:type="auto"/>
            <w:gridSpan w:val="3"/>
            <w:shd w:val="clear" w:color="auto" w:fill="auto"/>
            <w:tcMar>
              <w:top w:w="0" w:type="dxa"/>
              <w:left w:w="20" w:type="dxa"/>
              <w:bottom w:w="0" w:type="dxa"/>
              <w:right w:w="20" w:type="dxa"/>
            </w:tcMar>
            <w:vAlign w:val="bottom"/>
          </w:tcPr>
          <w:p w14:paraId="518B5C1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C1C" w14:textId="77777777" w:rsidR="005C332D" w:rsidRDefault="00B93EAE">
            <w:pPr>
              <w:jc w:val="center"/>
              <w:textAlignment w:val="bottom"/>
            </w:pPr>
            <w:r>
              <w:rPr>
                <w:rFonts w:ascii="Times New Roman" w:eastAsia="宋体" w:hAnsi="Times New Roman"/>
                <w:color w:val="000000"/>
                <w:sz w:val="18"/>
                <w:szCs w:val="18"/>
              </w:rPr>
              <w:t>Accumulated</w:t>
            </w:r>
            <w:r>
              <w:rPr>
                <w:rFonts w:ascii="Times New Roman" w:eastAsia="宋体" w:hAnsi="Times New Roman"/>
                <w:color w:val="000000"/>
                <w:sz w:val="18"/>
                <w:szCs w:val="18"/>
              </w:rPr>
              <w:br/>
              <w:t>Other</w:t>
            </w:r>
            <w:r>
              <w:rPr>
                <w:rFonts w:ascii="Times New Roman" w:eastAsia="宋体" w:hAnsi="Times New Roman"/>
                <w:color w:val="000000"/>
                <w:sz w:val="18"/>
                <w:szCs w:val="18"/>
              </w:rPr>
              <w:br/>
              <w:t>Comprehensive</w:t>
            </w:r>
            <w:r>
              <w:rPr>
                <w:rFonts w:ascii="Times New Roman" w:eastAsia="宋体" w:hAnsi="Times New Roman"/>
                <w:color w:val="000000"/>
                <w:sz w:val="18"/>
                <w:szCs w:val="18"/>
              </w:rPr>
              <w:br/>
              <w:t>Loss</w:t>
            </w:r>
          </w:p>
        </w:tc>
        <w:tc>
          <w:tcPr>
            <w:tcW w:w="0" w:type="auto"/>
            <w:gridSpan w:val="3"/>
            <w:shd w:val="clear" w:color="auto" w:fill="auto"/>
            <w:tcMar>
              <w:top w:w="0" w:type="dxa"/>
              <w:left w:w="20" w:type="dxa"/>
              <w:bottom w:w="0" w:type="dxa"/>
              <w:right w:w="20" w:type="dxa"/>
            </w:tcMar>
            <w:vAlign w:val="bottom"/>
          </w:tcPr>
          <w:p w14:paraId="518B5C1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C1E" w14:textId="77777777" w:rsidR="005C332D" w:rsidRDefault="00B93EAE">
            <w:pPr>
              <w:jc w:val="center"/>
              <w:textAlignment w:val="bottom"/>
            </w:pPr>
            <w:r>
              <w:rPr>
                <w:rFonts w:ascii="Times New Roman" w:eastAsia="宋体" w:hAnsi="Times New Roman"/>
                <w:color w:val="000000"/>
                <w:sz w:val="18"/>
                <w:szCs w:val="18"/>
              </w:rPr>
              <w:t>Total Equity</w:t>
            </w:r>
          </w:p>
        </w:tc>
      </w:tr>
      <w:tr w:rsidR="005C332D" w14:paraId="518B5C33" w14:textId="77777777">
        <w:trPr>
          <w:jc w:val="center"/>
        </w:trPr>
        <w:tc>
          <w:tcPr>
            <w:tcW w:w="0" w:type="auto"/>
            <w:gridSpan w:val="3"/>
            <w:shd w:val="clear" w:color="auto" w:fill="CCEEFF"/>
            <w:tcMar>
              <w:top w:w="40" w:type="dxa"/>
              <w:left w:w="20" w:type="dxa"/>
              <w:bottom w:w="40" w:type="dxa"/>
              <w:right w:w="20" w:type="dxa"/>
            </w:tcMar>
            <w:vAlign w:val="bottom"/>
          </w:tcPr>
          <w:p w14:paraId="518B5C20" w14:textId="77777777" w:rsidR="005C332D" w:rsidRDefault="00B93EAE">
            <w:pPr>
              <w:textAlignment w:val="bottom"/>
            </w:pPr>
            <w:r>
              <w:rPr>
                <w:rFonts w:ascii="Times New Roman" w:eastAsia="宋体" w:hAnsi="Times New Roman"/>
                <w:color w:val="000000"/>
                <w:sz w:val="19"/>
                <w:szCs w:val="19"/>
              </w:rPr>
              <w:t xml:space="preserve">BALANCE AT JULY 27, </w:t>
            </w:r>
            <w:r>
              <w:rPr>
                <w:rFonts w:ascii="Times New Roman" w:eastAsia="宋体" w:hAnsi="Times New Roman"/>
                <w:color w:val="000000"/>
                <w:sz w:val="19"/>
                <w:szCs w:val="19"/>
              </w:rPr>
              <w:t>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C21" w14:textId="77777777" w:rsidR="005C332D" w:rsidRDefault="00B93EAE">
            <w:pPr>
              <w:jc w:val="right"/>
              <w:textAlignment w:val="bottom"/>
            </w:pPr>
            <w:r>
              <w:rPr>
                <w:rFonts w:ascii="Times New Roman" w:eastAsia="宋体" w:hAnsi="Times New Roman"/>
                <w:color w:val="000000"/>
                <w:sz w:val="19"/>
                <w:szCs w:val="19"/>
              </w:rPr>
              <w:t>4,250 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C2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2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C24" w14:textId="77777777" w:rsidR="005C332D" w:rsidRDefault="00B93EAE">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C25" w14:textId="77777777" w:rsidR="005C332D" w:rsidRDefault="00B93EAE">
            <w:pPr>
              <w:jc w:val="right"/>
              <w:textAlignment w:val="bottom"/>
            </w:pPr>
            <w:r>
              <w:rPr>
                <w:rFonts w:ascii="Times New Roman" w:eastAsia="宋体" w:hAnsi="Times New Roman"/>
                <w:color w:val="000000"/>
                <w:sz w:val="19"/>
                <w:szCs w:val="19"/>
              </w:rPr>
              <w:t>40,266 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C2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2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C28" w14:textId="77777777" w:rsidR="005C332D" w:rsidRDefault="00B93EAE">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C29" w14:textId="77777777" w:rsidR="005C332D" w:rsidRDefault="00B93EAE">
            <w:pPr>
              <w:jc w:val="right"/>
              <w:textAlignment w:val="bottom"/>
            </w:pPr>
            <w:r>
              <w:rPr>
                <w:rFonts w:ascii="Times New Roman" w:eastAsia="宋体" w:hAnsi="Times New Roman"/>
                <w:color w:val="000000"/>
                <w:sz w:val="19"/>
                <w:szCs w:val="19"/>
              </w:rPr>
              <w:t>(5,903)</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C2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2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C2C" w14:textId="77777777" w:rsidR="005C332D" w:rsidRDefault="00B93EAE">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C2D" w14:textId="77777777" w:rsidR="005C332D" w:rsidRDefault="00B93EAE">
            <w:pPr>
              <w:jc w:val="right"/>
              <w:textAlignment w:val="bottom"/>
            </w:pPr>
            <w:r>
              <w:rPr>
                <w:rFonts w:ascii="Times New Roman" w:eastAsia="宋体" w:hAnsi="Times New Roman"/>
                <w:color w:val="000000"/>
                <w:sz w:val="19"/>
                <w:szCs w:val="19"/>
              </w:rPr>
              <w:t>(792)</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C2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2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C30" w14:textId="77777777" w:rsidR="005C332D" w:rsidRDefault="00B93EAE">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C31" w14:textId="77777777" w:rsidR="005C332D" w:rsidRDefault="00B93EAE">
            <w:pPr>
              <w:jc w:val="right"/>
              <w:textAlignment w:val="bottom"/>
            </w:pPr>
            <w:r>
              <w:rPr>
                <w:rFonts w:ascii="Times New Roman" w:eastAsia="宋体" w:hAnsi="Times New Roman"/>
                <w:color w:val="000000"/>
                <w:sz w:val="19"/>
                <w:szCs w:val="19"/>
              </w:rPr>
              <w:t>33,571 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C32" w14:textId="77777777" w:rsidR="005C332D" w:rsidRDefault="005C332D">
            <w:pPr>
              <w:jc w:val="right"/>
              <w:rPr>
                <w:rFonts w:ascii="宋体"/>
              </w:rPr>
            </w:pPr>
          </w:p>
        </w:tc>
      </w:tr>
      <w:tr w:rsidR="005C332D" w14:paraId="518B5C40" w14:textId="77777777">
        <w:trPr>
          <w:jc w:val="center"/>
        </w:trPr>
        <w:tc>
          <w:tcPr>
            <w:tcW w:w="0" w:type="auto"/>
            <w:gridSpan w:val="3"/>
            <w:shd w:val="clear" w:color="auto" w:fill="FFFFFF"/>
            <w:tcMar>
              <w:top w:w="40" w:type="dxa"/>
              <w:left w:w="20" w:type="dxa"/>
              <w:bottom w:w="40" w:type="dxa"/>
              <w:right w:w="20" w:type="dxa"/>
            </w:tcMar>
            <w:vAlign w:val="bottom"/>
          </w:tcPr>
          <w:p w14:paraId="518B5C34" w14:textId="77777777" w:rsidR="005C332D" w:rsidRDefault="00B93EAE">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518B5C3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3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3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3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39" w14:textId="77777777" w:rsidR="005C332D" w:rsidRDefault="00B93EAE">
            <w:pPr>
              <w:jc w:val="right"/>
              <w:textAlignment w:val="bottom"/>
            </w:pPr>
            <w:r>
              <w:rPr>
                <w:rFonts w:ascii="Times New Roman" w:eastAsia="宋体" w:hAnsi="Times New Roman"/>
                <w:color w:val="000000"/>
                <w:sz w:val="19"/>
                <w:szCs w:val="19"/>
              </w:rPr>
              <w:t>11,214 </w:t>
            </w:r>
          </w:p>
        </w:tc>
        <w:tc>
          <w:tcPr>
            <w:tcW w:w="0" w:type="auto"/>
            <w:shd w:val="clear" w:color="auto" w:fill="FFFFFF"/>
            <w:tcMar>
              <w:top w:w="40" w:type="dxa"/>
              <w:left w:w="0" w:type="dxa"/>
              <w:bottom w:w="40" w:type="dxa"/>
              <w:right w:w="20" w:type="dxa"/>
            </w:tcMar>
            <w:vAlign w:val="bottom"/>
          </w:tcPr>
          <w:p w14:paraId="518B5C3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3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3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3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3E" w14:textId="77777777" w:rsidR="005C332D" w:rsidRDefault="00B93EAE">
            <w:pPr>
              <w:jc w:val="right"/>
              <w:textAlignment w:val="bottom"/>
            </w:pPr>
            <w:r>
              <w:rPr>
                <w:rFonts w:ascii="Times New Roman" w:eastAsia="宋体" w:hAnsi="Times New Roman"/>
                <w:color w:val="000000"/>
                <w:sz w:val="19"/>
                <w:szCs w:val="19"/>
              </w:rPr>
              <w:t>11,214 </w:t>
            </w:r>
          </w:p>
        </w:tc>
        <w:tc>
          <w:tcPr>
            <w:tcW w:w="0" w:type="auto"/>
            <w:shd w:val="clear" w:color="auto" w:fill="FFFFFF"/>
            <w:tcMar>
              <w:top w:w="40" w:type="dxa"/>
              <w:left w:w="0" w:type="dxa"/>
              <w:bottom w:w="40" w:type="dxa"/>
              <w:right w:w="20" w:type="dxa"/>
            </w:tcMar>
            <w:vAlign w:val="bottom"/>
          </w:tcPr>
          <w:p w14:paraId="518B5C3F" w14:textId="77777777" w:rsidR="005C332D" w:rsidRDefault="005C332D">
            <w:pPr>
              <w:jc w:val="right"/>
              <w:rPr>
                <w:rFonts w:ascii="宋体"/>
              </w:rPr>
            </w:pPr>
          </w:p>
        </w:tc>
      </w:tr>
      <w:tr w:rsidR="005C332D" w14:paraId="518B5C4D" w14:textId="77777777">
        <w:trPr>
          <w:jc w:val="center"/>
        </w:trPr>
        <w:tc>
          <w:tcPr>
            <w:tcW w:w="0" w:type="auto"/>
            <w:gridSpan w:val="3"/>
            <w:shd w:val="clear" w:color="auto" w:fill="CCEEFF"/>
            <w:tcMar>
              <w:top w:w="40" w:type="dxa"/>
              <w:left w:w="20" w:type="dxa"/>
              <w:bottom w:w="40" w:type="dxa"/>
              <w:right w:w="20" w:type="dxa"/>
            </w:tcMar>
            <w:vAlign w:val="bottom"/>
          </w:tcPr>
          <w:p w14:paraId="518B5C41" w14:textId="77777777" w:rsidR="005C332D" w:rsidRDefault="00B93EAE">
            <w:pPr>
              <w:textAlignment w:val="bottom"/>
            </w:pPr>
            <w:r>
              <w:rPr>
                <w:rFonts w:ascii="Times New Roman" w:eastAsia="宋体" w:hAnsi="Times New Roman"/>
                <w:color w:val="000000"/>
                <w:sz w:val="19"/>
                <w:szCs w:val="19"/>
              </w:rPr>
              <w:t xml:space="preserve">Other comprehensive income </w:t>
            </w:r>
            <w:r>
              <w:rPr>
                <w:rFonts w:ascii="Times New Roman" w:eastAsia="宋体" w:hAnsi="Times New Roman"/>
                <w:color w:val="000000"/>
                <w:sz w:val="19"/>
                <w:szCs w:val="19"/>
              </w:rPr>
              <w:t>(loss)</w:t>
            </w:r>
          </w:p>
        </w:tc>
        <w:tc>
          <w:tcPr>
            <w:tcW w:w="0" w:type="auto"/>
            <w:gridSpan w:val="3"/>
            <w:shd w:val="clear" w:color="auto" w:fill="CCEEFF"/>
            <w:tcMar>
              <w:top w:w="0" w:type="dxa"/>
              <w:left w:w="20" w:type="dxa"/>
              <w:bottom w:w="0" w:type="dxa"/>
              <w:right w:w="20" w:type="dxa"/>
            </w:tcMar>
            <w:vAlign w:val="bottom"/>
          </w:tcPr>
          <w:p w14:paraId="518B5C4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4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4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4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4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4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48" w14:textId="77777777" w:rsidR="005C332D" w:rsidRDefault="00B93EAE">
            <w:pPr>
              <w:jc w:val="right"/>
              <w:textAlignment w:val="bottom"/>
            </w:pPr>
            <w:r>
              <w:rPr>
                <w:rFonts w:ascii="Times New Roman" w:eastAsia="宋体" w:hAnsi="Times New Roman"/>
                <w:color w:val="000000"/>
                <w:sz w:val="19"/>
                <w:szCs w:val="19"/>
              </w:rPr>
              <w:t>273 </w:t>
            </w:r>
          </w:p>
        </w:tc>
        <w:tc>
          <w:tcPr>
            <w:tcW w:w="0" w:type="auto"/>
            <w:shd w:val="clear" w:color="auto" w:fill="CCEEFF"/>
            <w:tcMar>
              <w:top w:w="40" w:type="dxa"/>
              <w:left w:w="0" w:type="dxa"/>
              <w:bottom w:w="40" w:type="dxa"/>
              <w:right w:w="20" w:type="dxa"/>
            </w:tcMar>
            <w:vAlign w:val="bottom"/>
          </w:tcPr>
          <w:p w14:paraId="518B5C4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4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4B" w14:textId="77777777" w:rsidR="005C332D" w:rsidRDefault="00B93EAE">
            <w:pPr>
              <w:jc w:val="right"/>
              <w:textAlignment w:val="bottom"/>
            </w:pPr>
            <w:r>
              <w:rPr>
                <w:rFonts w:ascii="Times New Roman" w:eastAsia="宋体" w:hAnsi="Times New Roman"/>
                <w:color w:val="000000"/>
                <w:sz w:val="19"/>
                <w:szCs w:val="19"/>
              </w:rPr>
              <w:t>273 </w:t>
            </w:r>
          </w:p>
        </w:tc>
        <w:tc>
          <w:tcPr>
            <w:tcW w:w="0" w:type="auto"/>
            <w:shd w:val="clear" w:color="auto" w:fill="CCEEFF"/>
            <w:tcMar>
              <w:top w:w="40" w:type="dxa"/>
              <w:left w:w="0" w:type="dxa"/>
              <w:bottom w:w="40" w:type="dxa"/>
              <w:right w:w="20" w:type="dxa"/>
            </w:tcMar>
            <w:vAlign w:val="bottom"/>
          </w:tcPr>
          <w:p w14:paraId="518B5C4C" w14:textId="77777777" w:rsidR="005C332D" w:rsidRDefault="005C332D">
            <w:pPr>
              <w:jc w:val="right"/>
              <w:rPr>
                <w:rFonts w:ascii="宋体"/>
              </w:rPr>
            </w:pPr>
          </w:p>
        </w:tc>
      </w:tr>
      <w:tr w:rsidR="005C332D" w14:paraId="518B5C5B" w14:textId="77777777">
        <w:trPr>
          <w:jc w:val="center"/>
        </w:trPr>
        <w:tc>
          <w:tcPr>
            <w:tcW w:w="0" w:type="auto"/>
            <w:gridSpan w:val="3"/>
            <w:shd w:val="clear" w:color="auto" w:fill="FFFFFF"/>
            <w:tcMar>
              <w:top w:w="40" w:type="dxa"/>
              <w:left w:w="20" w:type="dxa"/>
              <w:bottom w:w="40" w:type="dxa"/>
              <w:right w:w="20" w:type="dxa"/>
            </w:tcMar>
            <w:vAlign w:val="bottom"/>
          </w:tcPr>
          <w:p w14:paraId="518B5C4E" w14:textId="77777777" w:rsidR="005C332D" w:rsidRDefault="00B93EAE">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518B5C4F" w14:textId="77777777" w:rsidR="005C332D" w:rsidRDefault="00B93EAE">
            <w:pPr>
              <w:jc w:val="right"/>
              <w:textAlignment w:val="bottom"/>
            </w:pPr>
            <w:r>
              <w:rPr>
                <w:rFonts w:ascii="Times New Roman" w:eastAsia="宋体" w:hAnsi="Times New Roman"/>
                <w:color w:val="000000"/>
                <w:sz w:val="19"/>
                <w:szCs w:val="19"/>
              </w:rPr>
              <w:t>61 </w:t>
            </w:r>
          </w:p>
        </w:tc>
        <w:tc>
          <w:tcPr>
            <w:tcW w:w="0" w:type="auto"/>
            <w:shd w:val="clear" w:color="auto" w:fill="FFFFFF"/>
            <w:tcMar>
              <w:top w:w="40" w:type="dxa"/>
              <w:left w:w="0" w:type="dxa"/>
              <w:bottom w:w="40" w:type="dxa"/>
              <w:right w:w="20" w:type="dxa"/>
            </w:tcMar>
            <w:vAlign w:val="bottom"/>
          </w:tcPr>
          <w:p w14:paraId="518B5C5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5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52" w14:textId="77777777" w:rsidR="005C332D" w:rsidRDefault="00B93EAE">
            <w:pPr>
              <w:jc w:val="right"/>
              <w:textAlignment w:val="bottom"/>
            </w:pPr>
            <w:r>
              <w:rPr>
                <w:rFonts w:ascii="Times New Roman" w:eastAsia="宋体" w:hAnsi="Times New Roman"/>
                <w:color w:val="000000"/>
                <w:sz w:val="19"/>
                <w:szCs w:val="19"/>
              </w:rPr>
              <w:t>655 </w:t>
            </w:r>
          </w:p>
        </w:tc>
        <w:tc>
          <w:tcPr>
            <w:tcW w:w="0" w:type="auto"/>
            <w:shd w:val="clear" w:color="auto" w:fill="FFFFFF"/>
            <w:tcMar>
              <w:top w:w="40" w:type="dxa"/>
              <w:left w:w="0" w:type="dxa"/>
              <w:bottom w:w="40" w:type="dxa"/>
              <w:right w:w="20" w:type="dxa"/>
            </w:tcMar>
            <w:vAlign w:val="bottom"/>
          </w:tcPr>
          <w:p w14:paraId="518B5C5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5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5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5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5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5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59" w14:textId="77777777" w:rsidR="005C332D" w:rsidRDefault="00B93EAE">
            <w:pPr>
              <w:jc w:val="right"/>
              <w:textAlignment w:val="bottom"/>
            </w:pPr>
            <w:r>
              <w:rPr>
                <w:rFonts w:ascii="Times New Roman" w:eastAsia="宋体" w:hAnsi="Times New Roman"/>
                <w:color w:val="000000"/>
                <w:sz w:val="19"/>
                <w:szCs w:val="19"/>
              </w:rPr>
              <w:t>655 </w:t>
            </w:r>
          </w:p>
        </w:tc>
        <w:tc>
          <w:tcPr>
            <w:tcW w:w="0" w:type="auto"/>
            <w:shd w:val="clear" w:color="auto" w:fill="FFFFFF"/>
            <w:tcMar>
              <w:top w:w="40" w:type="dxa"/>
              <w:left w:w="0" w:type="dxa"/>
              <w:bottom w:w="40" w:type="dxa"/>
              <w:right w:w="20" w:type="dxa"/>
            </w:tcMar>
            <w:vAlign w:val="bottom"/>
          </w:tcPr>
          <w:p w14:paraId="518B5C5A" w14:textId="77777777" w:rsidR="005C332D" w:rsidRDefault="005C332D">
            <w:pPr>
              <w:jc w:val="right"/>
              <w:rPr>
                <w:rFonts w:ascii="宋体"/>
              </w:rPr>
            </w:pPr>
          </w:p>
        </w:tc>
      </w:tr>
      <w:tr w:rsidR="005C332D" w14:paraId="518B5C6A" w14:textId="77777777">
        <w:trPr>
          <w:jc w:val="center"/>
        </w:trPr>
        <w:tc>
          <w:tcPr>
            <w:tcW w:w="0" w:type="auto"/>
            <w:gridSpan w:val="3"/>
            <w:shd w:val="clear" w:color="auto" w:fill="CCEEFF"/>
            <w:tcMar>
              <w:top w:w="40" w:type="dxa"/>
              <w:left w:w="20" w:type="dxa"/>
              <w:bottom w:w="40" w:type="dxa"/>
              <w:right w:w="20" w:type="dxa"/>
            </w:tcMar>
            <w:vAlign w:val="bottom"/>
          </w:tcPr>
          <w:p w14:paraId="518B5C5C" w14:textId="77777777" w:rsidR="005C332D" w:rsidRDefault="00B93EAE">
            <w:pPr>
              <w:textAlignment w:val="bottom"/>
            </w:pPr>
            <w:r>
              <w:rPr>
                <w:rFonts w:ascii="Times New Roman" w:eastAsia="宋体" w:hAnsi="Times New Roman"/>
                <w:color w:val="000000"/>
                <w:sz w:val="19"/>
                <w:szCs w:val="19"/>
              </w:rPr>
              <w:t>Repur</w:t>
            </w:r>
            <w:r>
              <w:rPr>
                <w:rFonts w:ascii="Times New Roman" w:eastAsia="宋体" w:hAnsi="Times New Roman"/>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518B5C5D" w14:textId="77777777" w:rsidR="005C332D" w:rsidRDefault="00B93EAE">
            <w:pPr>
              <w:jc w:val="right"/>
              <w:textAlignment w:val="bottom"/>
            </w:pPr>
            <w:r>
              <w:rPr>
                <w:rFonts w:ascii="Times New Roman" w:eastAsia="宋体" w:hAnsi="Times New Roman"/>
                <w:color w:val="000000"/>
                <w:sz w:val="19"/>
                <w:szCs w:val="19"/>
              </w:rPr>
              <w:t>(59)</w:t>
            </w:r>
          </w:p>
        </w:tc>
        <w:tc>
          <w:tcPr>
            <w:tcW w:w="0" w:type="auto"/>
            <w:shd w:val="clear" w:color="auto" w:fill="CCEEFF"/>
            <w:tcMar>
              <w:top w:w="40" w:type="dxa"/>
              <w:left w:w="0" w:type="dxa"/>
              <w:bottom w:w="40" w:type="dxa"/>
              <w:right w:w="20" w:type="dxa"/>
            </w:tcMar>
            <w:vAlign w:val="bottom"/>
          </w:tcPr>
          <w:p w14:paraId="518B5C5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5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60" w14:textId="77777777" w:rsidR="005C332D" w:rsidRDefault="00B93EAE">
            <w:pPr>
              <w:jc w:val="right"/>
              <w:textAlignment w:val="bottom"/>
            </w:pPr>
            <w:r>
              <w:rPr>
                <w:rFonts w:ascii="Times New Roman" w:eastAsia="宋体" w:hAnsi="Times New Roman"/>
                <w:color w:val="000000"/>
                <w:sz w:val="19"/>
                <w:szCs w:val="19"/>
              </w:rPr>
              <w:t>(561)</w:t>
            </w:r>
          </w:p>
        </w:tc>
        <w:tc>
          <w:tcPr>
            <w:tcW w:w="0" w:type="auto"/>
            <w:shd w:val="clear" w:color="auto" w:fill="CCEEFF"/>
            <w:tcMar>
              <w:top w:w="40" w:type="dxa"/>
              <w:left w:w="0" w:type="dxa"/>
              <w:bottom w:w="40" w:type="dxa"/>
              <w:right w:w="20" w:type="dxa"/>
            </w:tcMar>
            <w:vAlign w:val="bottom"/>
          </w:tcPr>
          <w:p w14:paraId="518B5C6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6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63" w14:textId="77777777" w:rsidR="005C332D" w:rsidRDefault="00B93EAE">
            <w:pPr>
              <w:jc w:val="right"/>
              <w:textAlignment w:val="bottom"/>
            </w:pPr>
            <w:r>
              <w:rPr>
                <w:rFonts w:ascii="Times New Roman" w:eastAsia="宋体" w:hAnsi="Times New Roman"/>
                <w:color w:val="000000"/>
                <w:sz w:val="19"/>
                <w:szCs w:val="19"/>
              </w:rPr>
              <w:t>(2,058)</w:t>
            </w:r>
          </w:p>
        </w:tc>
        <w:tc>
          <w:tcPr>
            <w:tcW w:w="0" w:type="auto"/>
            <w:shd w:val="clear" w:color="auto" w:fill="CCEEFF"/>
            <w:tcMar>
              <w:top w:w="40" w:type="dxa"/>
              <w:left w:w="0" w:type="dxa"/>
              <w:bottom w:w="40" w:type="dxa"/>
              <w:right w:w="20" w:type="dxa"/>
            </w:tcMar>
            <w:vAlign w:val="bottom"/>
          </w:tcPr>
          <w:p w14:paraId="518B5C6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6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6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6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68" w14:textId="77777777" w:rsidR="005C332D" w:rsidRDefault="00B93EAE">
            <w:pPr>
              <w:jc w:val="right"/>
              <w:textAlignment w:val="bottom"/>
            </w:pPr>
            <w:r>
              <w:rPr>
                <w:rFonts w:ascii="Times New Roman" w:eastAsia="宋体" w:hAnsi="Times New Roman"/>
                <w:color w:val="000000"/>
                <w:sz w:val="19"/>
                <w:szCs w:val="19"/>
              </w:rPr>
              <w:t>(2,619)</w:t>
            </w:r>
          </w:p>
        </w:tc>
        <w:tc>
          <w:tcPr>
            <w:tcW w:w="0" w:type="auto"/>
            <w:shd w:val="clear" w:color="auto" w:fill="CCEEFF"/>
            <w:tcMar>
              <w:top w:w="40" w:type="dxa"/>
              <w:left w:w="0" w:type="dxa"/>
              <w:bottom w:w="40" w:type="dxa"/>
              <w:right w:w="20" w:type="dxa"/>
            </w:tcMar>
            <w:vAlign w:val="bottom"/>
          </w:tcPr>
          <w:p w14:paraId="518B5C69" w14:textId="77777777" w:rsidR="005C332D" w:rsidRDefault="005C332D">
            <w:pPr>
              <w:jc w:val="right"/>
              <w:rPr>
                <w:rFonts w:ascii="宋体"/>
              </w:rPr>
            </w:pPr>
          </w:p>
        </w:tc>
      </w:tr>
      <w:tr w:rsidR="005C332D" w14:paraId="518B5C78" w14:textId="77777777">
        <w:trPr>
          <w:jc w:val="center"/>
        </w:trPr>
        <w:tc>
          <w:tcPr>
            <w:tcW w:w="0" w:type="auto"/>
            <w:gridSpan w:val="3"/>
            <w:shd w:val="clear" w:color="auto" w:fill="FFFFFF"/>
            <w:tcMar>
              <w:top w:w="40" w:type="dxa"/>
              <w:left w:w="20" w:type="dxa"/>
              <w:bottom w:w="40" w:type="dxa"/>
              <w:right w:w="20" w:type="dxa"/>
            </w:tcMar>
            <w:vAlign w:val="bottom"/>
          </w:tcPr>
          <w:p w14:paraId="518B5C6B" w14:textId="77777777" w:rsidR="005C332D" w:rsidRDefault="00B93EAE">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518B5C6C" w14:textId="77777777" w:rsidR="005C332D" w:rsidRDefault="00B93EAE">
            <w:pPr>
              <w:jc w:val="right"/>
              <w:textAlignment w:val="bottom"/>
            </w:pPr>
            <w:r>
              <w:rPr>
                <w:rFonts w:ascii="Times New Roman" w:eastAsia="宋体" w:hAnsi="Times New Roman"/>
                <w:color w:val="000000"/>
                <w:sz w:val="19"/>
                <w:szCs w:val="19"/>
              </w:rPr>
              <w:t>(15)</w:t>
            </w:r>
          </w:p>
        </w:tc>
        <w:tc>
          <w:tcPr>
            <w:tcW w:w="0" w:type="auto"/>
            <w:shd w:val="clear" w:color="auto" w:fill="FFFFFF"/>
            <w:tcMar>
              <w:top w:w="40" w:type="dxa"/>
              <w:left w:w="0" w:type="dxa"/>
              <w:bottom w:w="40" w:type="dxa"/>
              <w:right w:w="20" w:type="dxa"/>
            </w:tcMar>
            <w:vAlign w:val="bottom"/>
          </w:tcPr>
          <w:p w14:paraId="518B5C6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6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6F" w14:textId="77777777" w:rsidR="005C332D" w:rsidRDefault="00B93EAE">
            <w:pPr>
              <w:jc w:val="right"/>
              <w:textAlignment w:val="bottom"/>
            </w:pPr>
            <w:r>
              <w:rPr>
                <w:rFonts w:ascii="Times New Roman" w:eastAsia="宋体" w:hAnsi="Times New Roman"/>
                <w:color w:val="000000"/>
                <w:sz w:val="19"/>
                <w:szCs w:val="19"/>
              </w:rPr>
              <w:t>(727)</w:t>
            </w:r>
          </w:p>
        </w:tc>
        <w:tc>
          <w:tcPr>
            <w:tcW w:w="0" w:type="auto"/>
            <w:shd w:val="clear" w:color="auto" w:fill="FFFFFF"/>
            <w:tcMar>
              <w:top w:w="40" w:type="dxa"/>
              <w:left w:w="0" w:type="dxa"/>
              <w:bottom w:w="40" w:type="dxa"/>
              <w:right w:w="20" w:type="dxa"/>
            </w:tcMar>
            <w:vAlign w:val="bottom"/>
          </w:tcPr>
          <w:p w14:paraId="518B5C7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7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7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7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7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7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76" w14:textId="77777777" w:rsidR="005C332D" w:rsidRDefault="00B93EAE">
            <w:pPr>
              <w:jc w:val="right"/>
              <w:textAlignment w:val="bottom"/>
            </w:pPr>
            <w:r>
              <w:rPr>
                <w:rFonts w:ascii="Times New Roman" w:eastAsia="宋体" w:hAnsi="Times New Roman"/>
                <w:color w:val="000000"/>
                <w:sz w:val="19"/>
                <w:szCs w:val="19"/>
              </w:rPr>
              <w:t>(727)</w:t>
            </w:r>
          </w:p>
        </w:tc>
        <w:tc>
          <w:tcPr>
            <w:tcW w:w="0" w:type="auto"/>
            <w:shd w:val="clear" w:color="auto" w:fill="FFFFFF"/>
            <w:tcMar>
              <w:top w:w="40" w:type="dxa"/>
              <w:left w:w="0" w:type="dxa"/>
              <w:bottom w:w="40" w:type="dxa"/>
              <w:right w:w="20" w:type="dxa"/>
            </w:tcMar>
            <w:vAlign w:val="bottom"/>
          </w:tcPr>
          <w:p w14:paraId="518B5C77" w14:textId="77777777" w:rsidR="005C332D" w:rsidRDefault="005C332D">
            <w:pPr>
              <w:jc w:val="right"/>
              <w:rPr>
                <w:rFonts w:ascii="宋体"/>
              </w:rPr>
            </w:pPr>
          </w:p>
        </w:tc>
      </w:tr>
      <w:tr w:rsidR="005C332D" w14:paraId="518B5C85" w14:textId="77777777">
        <w:trPr>
          <w:jc w:val="center"/>
        </w:trPr>
        <w:tc>
          <w:tcPr>
            <w:tcW w:w="0" w:type="auto"/>
            <w:gridSpan w:val="3"/>
            <w:shd w:val="clear" w:color="auto" w:fill="CCEEFF"/>
            <w:tcMar>
              <w:top w:w="40" w:type="dxa"/>
              <w:left w:w="20" w:type="dxa"/>
              <w:bottom w:w="40" w:type="dxa"/>
              <w:right w:w="20" w:type="dxa"/>
            </w:tcMar>
            <w:vAlign w:val="bottom"/>
          </w:tcPr>
          <w:p w14:paraId="518B5C79" w14:textId="77777777" w:rsidR="005C332D" w:rsidRDefault="00B93EAE">
            <w:pPr>
              <w:textAlignment w:val="bottom"/>
            </w:pPr>
            <w:r>
              <w:rPr>
                <w:rFonts w:ascii="Times New Roman" w:eastAsia="宋体" w:hAnsi="Times New Roman"/>
                <w:color w:val="000000"/>
                <w:sz w:val="19"/>
                <w:szCs w:val="19"/>
              </w:rPr>
              <w:t>Cash dividends declared ($1.42 per common share)</w:t>
            </w:r>
          </w:p>
        </w:tc>
        <w:tc>
          <w:tcPr>
            <w:tcW w:w="0" w:type="auto"/>
            <w:gridSpan w:val="3"/>
            <w:shd w:val="clear" w:color="auto" w:fill="CCEEFF"/>
            <w:tcMar>
              <w:top w:w="0" w:type="dxa"/>
              <w:left w:w="20" w:type="dxa"/>
              <w:bottom w:w="0" w:type="dxa"/>
              <w:right w:w="20" w:type="dxa"/>
            </w:tcMar>
            <w:vAlign w:val="bottom"/>
          </w:tcPr>
          <w:p w14:paraId="518B5C7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7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7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7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7E" w14:textId="77777777" w:rsidR="005C332D" w:rsidRDefault="00B93EAE">
            <w:pPr>
              <w:jc w:val="right"/>
              <w:textAlignment w:val="bottom"/>
            </w:pPr>
            <w:r>
              <w:rPr>
                <w:rFonts w:ascii="Times New Roman" w:eastAsia="宋体" w:hAnsi="Times New Roman"/>
                <w:color w:val="000000"/>
                <w:sz w:val="19"/>
                <w:szCs w:val="19"/>
              </w:rPr>
              <w:t>(6,016)</w:t>
            </w:r>
          </w:p>
        </w:tc>
        <w:tc>
          <w:tcPr>
            <w:tcW w:w="0" w:type="auto"/>
            <w:shd w:val="clear" w:color="auto" w:fill="CCEEFF"/>
            <w:tcMar>
              <w:top w:w="40" w:type="dxa"/>
              <w:left w:w="0" w:type="dxa"/>
              <w:bottom w:w="40" w:type="dxa"/>
              <w:right w:w="20" w:type="dxa"/>
            </w:tcMar>
            <w:vAlign w:val="bottom"/>
          </w:tcPr>
          <w:p w14:paraId="518B5C7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8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8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8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83" w14:textId="77777777" w:rsidR="005C332D" w:rsidRDefault="00B93EAE">
            <w:pPr>
              <w:jc w:val="right"/>
              <w:textAlignment w:val="bottom"/>
            </w:pPr>
            <w:r>
              <w:rPr>
                <w:rFonts w:ascii="Times New Roman" w:eastAsia="宋体" w:hAnsi="Times New Roman"/>
                <w:color w:val="000000"/>
                <w:sz w:val="19"/>
                <w:szCs w:val="19"/>
              </w:rPr>
              <w:t>(6,016)</w:t>
            </w:r>
          </w:p>
        </w:tc>
        <w:tc>
          <w:tcPr>
            <w:tcW w:w="0" w:type="auto"/>
            <w:shd w:val="clear" w:color="auto" w:fill="CCEEFF"/>
            <w:tcMar>
              <w:top w:w="40" w:type="dxa"/>
              <w:left w:w="0" w:type="dxa"/>
              <w:bottom w:w="40" w:type="dxa"/>
              <w:right w:w="20" w:type="dxa"/>
            </w:tcMar>
            <w:vAlign w:val="bottom"/>
          </w:tcPr>
          <w:p w14:paraId="518B5C84" w14:textId="77777777" w:rsidR="005C332D" w:rsidRDefault="005C332D">
            <w:pPr>
              <w:jc w:val="right"/>
              <w:rPr>
                <w:rFonts w:ascii="宋体"/>
              </w:rPr>
            </w:pPr>
          </w:p>
        </w:tc>
      </w:tr>
      <w:tr w:rsidR="005C332D" w14:paraId="518B5C92" w14:textId="77777777">
        <w:trPr>
          <w:jc w:val="center"/>
        </w:trPr>
        <w:tc>
          <w:tcPr>
            <w:tcW w:w="0" w:type="auto"/>
            <w:gridSpan w:val="3"/>
            <w:shd w:val="clear" w:color="auto" w:fill="FFFFFF"/>
            <w:tcMar>
              <w:top w:w="40" w:type="dxa"/>
              <w:left w:w="20" w:type="dxa"/>
              <w:bottom w:w="40" w:type="dxa"/>
              <w:right w:w="20" w:type="dxa"/>
            </w:tcMar>
            <w:vAlign w:val="bottom"/>
          </w:tcPr>
          <w:p w14:paraId="518B5C86" w14:textId="77777777" w:rsidR="005C332D" w:rsidRDefault="00B93EAE">
            <w:pPr>
              <w:textAlignment w:val="bottom"/>
            </w:pPr>
            <w:r>
              <w:rPr>
                <w:rFonts w:ascii="Times New Roman" w:eastAsia="宋体" w:hAnsi="Times New Roman"/>
                <w:color w:val="000000"/>
                <w:sz w:val="19"/>
                <w:szCs w:val="19"/>
              </w:rPr>
              <w:t>Share-based compensation</w:t>
            </w:r>
          </w:p>
        </w:tc>
        <w:tc>
          <w:tcPr>
            <w:tcW w:w="0" w:type="auto"/>
            <w:gridSpan w:val="3"/>
            <w:shd w:val="clear" w:color="auto" w:fill="FFFFFF"/>
            <w:tcMar>
              <w:top w:w="0" w:type="dxa"/>
              <w:left w:w="20" w:type="dxa"/>
              <w:bottom w:w="0" w:type="dxa"/>
              <w:right w:w="20" w:type="dxa"/>
            </w:tcMar>
            <w:vAlign w:val="bottom"/>
          </w:tcPr>
          <w:p w14:paraId="518B5C8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8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89" w14:textId="77777777" w:rsidR="005C332D" w:rsidRDefault="00B93EAE">
            <w:pPr>
              <w:jc w:val="right"/>
              <w:textAlignment w:val="bottom"/>
            </w:pPr>
            <w:r>
              <w:rPr>
                <w:rFonts w:ascii="Times New Roman" w:eastAsia="宋体" w:hAnsi="Times New Roman"/>
                <w:color w:val="000000"/>
                <w:sz w:val="19"/>
                <w:szCs w:val="19"/>
              </w:rPr>
              <w:t>1,569 </w:t>
            </w:r>
          </w:p>
        </w:tc>
        <w:tc>
          <w:tcPr>
            <w:tcW w:w="0" w:type="auto"/>
            <w:shd w:val="clear" w:color="auto" w:fill="FFFFFF"/>
            <w:tcMar>
              <w:top w:w="40" w:type="dxa"/>
              <w:left w:w="0" w:type="dxa"/>
              <w:bottom w:w="40" w:type="dxa"/>
              <w:right w:w="20" w:type="dxa"/>
            </w:tcMar>
            <w:vAlign w:val="bottom"/>
          </w:tcPr>
          <w:p w14:paraId="518B5C8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8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8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8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8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8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90" w14:textId="77777777" w:rsidR="005C332D" w:rsidRDefault="00B93EAE">
            <w:pPr>
              <w:jc w:val="right"/>
              <w:textAlignment w:val="bottom"/>
            </w:pPr>
            <w:r>
              <w:rPr>
                <w:rFonts w:ascii="Times New Roman" w:eastAsia="宋体" w:hAnsi="Times New Roman"/>
                <w:color w:val="000000"/>
                <w:sz w:val="19"/>
                <w:szCs w:val="19"/>
              </w:rPr>
              <w:t>1,569 </w:t>
            </w:r>
          </w:p>
        </w:tc>
        <w:tc>
          <w:tcPr>
            <w:tcW w:w="0" w:type="auto"/>
            <w:shd w:val="clear" w:color="auto" w:fill="FFFFFF"/>
            <w:tcMar>
              <w:top w:w="40" w:type="dxa"/>
              <w:left w:w="0" w:type="dxa"/>
              <w:bottom w:w="40" w:type="dxa"/>
              <w:right w:w="20" w:type="dxa"/>
            </w:tcMar>
            <w:vAlign w:val="bottom"/>
          </w:tcPr>
          <w:p w14:paraId="518B5C91" w14:textId="77777777" w:rsidR="005C332D" w:rsidRDefault="005C332D">
            <w:pPr>
              <w:jc w:val="right"/>
              <w:rPr>
                <w:rFonts w:ascii="宋体"/>
              </w:rPr>
            </w:pPr>
          </w:p>
        </w:tc>
      </w:tr>
      <w:tr w:rsidR="005C332D" w14:paraId="518B5CA6" w14:textId="77777777">
        <w:trPr>
          <w:jc w:val="center"/>
        </w:trPr>
        <w:tc>
          <w:tcPr>
            <w:tcW w:w="0" w:type="auto"/>
            <w:gridSpan w:val="3"/>
            <w:shd w:val="clear" w:color="auto" w:fill="CCEEFF"/>
            <w:tcMar>
              <w:top w:w="40" w:type="dxa"/>
              <w:left w:w="20" w:type="dxa"/>
              <w:bottom w:w="40" w:type="dxa"/>
              <w:right w:w="20" w:type="dxa"/>
            </w:tcMar>
            <w:vAlign w:val="bottom"/>
          </w:tcPr>
          <w:p w14:paraId="518B5C93" w14:textId="77777777" w:rsidR="005C332D" w:rsidRDefault="00B93EAE">
            <w:pPr>
              <w:textAlignment w:val="bottom"/>
            </w:pPr>
            <w:r>
              <w:rPr>
                <w:rFonts w:ascii="Times New Roman" w:eastAsia="宋体" w:hAnsi="Times New Roman"/>
                <w:color w:val="000000"/>
                <w:sz w:val="19"/>
                <w:szCs w:val="19"/>
              </w:rPr>
              <w:t>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C94" w14:textId="77777777" w:rsidR="005C332D" w:rsidRDefault="00B93EAE">
            <w:pPr>
              <w:jc w:val="right"/>
              <w:textAlignment w:val="bottom"/>
            </w:pPr>
            <w:r>
              <w:rPr>
                <w:rFonts w:ascii="Times New Roman" w:eastAsia="宋体" w:hAnsi="Times New Roman"/>
                <w:color w:val="000000"/>
                <w:sz w:val="19"/>
                <w:szCs w:val="19"/>
              </w:rPr>
              <w:t>4,237 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C9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9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C97" w14:textId="77777777" w:rsidR="005C332D" w:rsidRDefault="00B93EAE">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C98" w14:textId="77777777" w:rsidR="005C332D" w:rsidRDefault="00B93EAE">
            <w:pPr>
              <w:jc w:val="right"/>
              <w:textAlignment w:val="bottom"/>
            </w:pPr>
            <w:r>
              <w:rPr>
                <w:rFonts w:ascii="Times New Roman" w:eastAsia="宋体" w:hAnsi="Times New Roman"/>
                <w:color w:val="000000"/>
                <w:sz w:val="19"/>
                <w:szCs w:val="19"/>
              </w:rPr>
              <w:t>41,202 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C9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9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C9B" w14:textId="77777777" w:rsidR="005C332D" w:rsidRDefault="00B93EAE">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C9C" w14:textId="77777777" w:rsidR="005C332D" w:rsidRDefault="00B93EAE">
            <w:pPr>
              <w:jc w:val="right"/>
              <w:textAlignment w:val="bottom"/>
            </w:pPr>
            <w:r>
              <w:rPr>
                <w:rFonts w:ascii="Times New Roman" w:eastAsia="宋体" w:hAnsi="Times New Roman"/>
                <w:color w:val="000000"/>
                <w:sz w:val="19"/>
                <w:szCs w:val="19"/>
              </w:rPr>
              <w:t>(2,763)</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C9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9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C9F" w14:textId="77777777" w:rsidR="005C332D" w:rsidRDefault="00B93EAE">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CA0" w14:textId="77777777" w:rsidR="005C332D" w:rsidRDefault="00B93EAE">
            <w:pPr>
              <w:jc w:val="right"/>
              <w:textAlignment w:val="bottom"/>
            </w:pPr>
            <w:r>
              <w:rPr>
                <w:rFonts w:ascii="Times New Roman" w:eastAsia="宋体" w:hAnsi="Times New Roman"/>
                <w:color w:val="000000"/>
                <w:sz w:val="19"/>
                <w:szCs w:val="19"/>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CA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A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CA3" w14:textId="77777777" w:rsidR="005C332D" w:rsidRDefault="00B93EAE">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CA4" w14:textId="77777777" w:rsidR="005C332D" w:rsidRDefault="00B93EAE">
            <w:pPr>
              <w:jc w:val="right"/>
              <w:textAlignment w:val="bottom"/>
            </w:pPr>
            <w:r>
              <w:rPr>
                <w:rFonts w:ascii="Times New Roman" w:eastAsia="宋体" w:hAnsi="Times New Roman"/>
                <w:color w:val="000000"/>
                <w:sz w:val="19"/>
                <w:szCs w:val="19"/>
              </w:rPr>
              <w:t>37,920 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CA5" w14:textId="77777777" w:rsidR="005C332D" w:rsidRDefault="005C332D">
            <w:pPr>
              <w:jc w:val="right"/>
              <w:rPr>
                <w:rFonts w:ascii="宋体"/>
              </w:rPr>
            </w:pPr>
          </w:p>
        </w:tc>
      </w:tr>
      <w:tr w:rsidR="005C332D" w14:paraId="518B5CB3" w14:textId="77777777">
        <w:trPr>
          <w:jc w:val="center"/>
        </w:trPr>
        <w:tc>
          <w:tcPr>
            <w:tcW w:w="0" w:type="auto"/>
            <w:gridSpan w:val="3"/>
            <w:shd w:val="clear" w:color="auto" w:fill="FFFFFF"/>
            <w:tcMar>
              <w:top w:w="40" w:type="dxa"/>
              <w:left w:w="20" w:type="dxa"/>
              <w:bottom w:w="40" w:type="dxa"/>
              <w:right w:w="20" w:type="dxa"/>
            </w:tcMar>
            <w:vAlign w:val="bottom"/>
          </w:tcPr>
          <w:p w14:paraId="518B5CA7" w14:textId="77777777" w:rsidR="005C332D" w:rsidRDefault="00B93EAE">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518B5CA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A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A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A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AC" w14:textId="77777777" w:rsidR="005C332D" w:rsidRDefault="00B93EAE">
            <w:pPr>
              <w:jc w:val="right"/>
              <w:textAlignment w:val="bottom"/>
            </w:pPr>
            <w:r>
              <w:rPr>
                <w:rFonts w:ascii="Times New Roman" w:eastAsia="宋体" w:hAnsi="Times New Roman"/>
                <w:color w:val="000000"/>
                <w:sz w:val="19"/>
                <w:szCs w:val="19"/>
              </w:rPr>
              <w:t>10,591 </w:t>
            </w:r>
          </w:p>
        </w:tc>
        <w:tc>
          <w:tcPr>
            <w:tcW w:w="0" w:type="auto"/>
            <w:shd w:val="clear" w:color="auto" w:fill="FFFFFF"/>
            <w:tcMar>
              <w:top w:w="40" w:type="dxa"/>
              <w:left w:w="0" w:type="dxa"/>
              <w:bottom w:w="40" w:type="dxa"/>
              <w:right w:w="20" w:type="dxa"/>
            </w:tcMar>
            <w:vAlign w:val="bottom"/>
          </w:tcPr>
          <w:p w14:paraId="518B5CA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A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A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B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B1" w14:textId="77777777" w:rsidR="005C332D" w:rsidRDefault="00B93EAE">
            <w:pPr>
              <w:jc w:val="right"/>
              <w:textAlignment w:val="bottom"/>
            </w:pPr>
            <w:r>
              <w:rPr>
                <w:rFonts w:ascii="Times New Roman" w:eastAsia="宋体" w:hAnsi="Times New Roman"/>
                <w:color w:val="000000"/>
                <w:sz w:val="19"/>
                <w:szCs w:val="19"/>
              </w:rPr>
              <w:t>10,591 </w:t>
            </w:r>
          </w:p>
        </w:tc>
        <w:tc>
          <w:tcPr>
            <w:tcW w:w="0" w:type="auto"/>
            <w:shd w:val="clear" w:color="auto" w:fill="FFFFFF"/>
            <w:tcMar>
              <w:top w:w="40" w:type="dxa"/>
              <w:left w:w="0" w:type="dxa"/>
              <w:bottom w:w="40" w:type="dxa"/>
              <w:right w:w="20" w:type="dxa"/>
            </w:tcMar>
            <w:vAlign w:val="bottom"/>
          </w:tcPr>
          <w:p w14:paraId="518B5CB2" w14:textId="77777777" w:rsidR="005C332D" w:rsidRDefault="005C332D">
            <w:pPr>
              <w:jc w:val="right"/>
              <w:rPr>
                <w:rFonts w:ascii="宋体"/>
              </w:rPr>
            </w:pPr>
          </w:p>
        </w:tc>
      </w:tr>
      <w:tr w:rsidR="005C332D" w14:paraId="518B5CC0" w14:textId="77777777">
        <w:trPr>
          <w:jc w:val="center"/>
        </w:trPr>
        <w:tc>
          <w:tcPr>
            <w:tcW w:w="0" w:type="auto"/>
            <w:gridSpan w:val="3"/>
            <w:shd w:val="clear" w:color="auto" w:fill="CCEEFF"/>
            <w:tcMar>
              <w:top w:w="40" w:type="dxa"/>
              <w:left w:w="20" w:type="dxa"/>
              <w:bottom w:w="40" w:type="dxa"/>
              <w:right w:w="20" w:type="dxa"/>
            </w:tcMar>
            <w:vAlign w:val="bottom"/>
          </w:tcPr>
          <w:p w14:paraId="518B5CB4" w14:textId="77777777" w:rsidR="005C332D" w:rsidRDefault="00B93EAE">
            <w:pPr>
              <w:textAlignment w:val="bottom"/>
            </w:pPr>
            <w:r>
              <w:rPr>
                <w:rFonts w:ascii="Times New Roman" w:eastAsia="宋体" w:hAnsi="Times New Roman"/>
                <w:color w:val="000000"/>
                <w:sz w:val="19"/>
                <w:szCs w:val="19"/>
              </w:rPr>
              <w:t xml:space="preserve">Other comprehensive income </w:t>
            </w:r>
            <w:r>
              <w:rPr>
                <w:rFonts w:ascii="Times New Roman" w:eastAsia="宋体" w:hAnsi="Times New Roman"/>
                <w:color w:val="000000"/>
                <w:sz w:val="19"/>
                <w:szCs w:val="19"/>
              </w:rPr>
              <w:t>(loss)</w:t>
            </w:r>
          </w:p>
        </w:tc>
        <w:tc>
          <w:tcPr>
            <w:tcW w:w="0" w:type="auto"/>
            <w:gridSpan w:val="3"/>
            <w:shd w:val="clear" w:color="auto" w:fill="CCEEFF"/>
            <w:tcMar>
              <w:top w:w="0" w:type="dxa"/>
              <w:left w:w="20" w:type="dxa"/>
              <w:bottom w:w="0" w:type="dxa"/>
              <w:right w:w="20" w:type="dxa"/>
            </w:tcMar>
            <w:vAlign w:val="bottom"/>
          </w:tcPr>
          <w:p w14:paraId="518B5CB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B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B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B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B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B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BB" w14:textId="77777777" w:rsidR="005C332D" w:rsidRDefault="00B93EAE">
            <w:pPr>
              <w:jc w:val="right"/>
              <w:textAlignment w:val="bottom"/>
            </w:pPr>
            <w:r>
              <w:rPr>
                <w:rFonts w:ascii="Times New Roman" w:eastAsia="宋体" w:hAnsi="Times New Roman"/>
                <w:color w:val="000000"/>
                <w:sz w:val="19"/>
                <w:szCs w:val="19"/>
              </w:rPr>
              <w:t>102 </w:t>
            </w:r>
          </w:p>
        </w:tc>
        <w:tc>
          <w:tcPr>
            <w:tcW w:w="0" w:type="auto"/>
            <w:shd w:val="clear" w:color="auto" w:fill="CCEEFF"/>
            <w:tcMar>
              <w:top w:w="40" w:type="dxa"/>
              <w:left w:w="0" w:type="dxa"/>
              <w:bottom w:w="40" w:type="dxa"/>
              <w:right w:w="20" w:type="dxa"/>
            </w:tcMar>
            <w:vAlign w:val="bottom"/>
          </w:tcPr>
          <w:p w14:paraId="518B5CB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B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BE" w14:textId="77777777" w:rsidR="005C332D" w:rsidRDefault="00B93EAE">
            <w:pPr>
              <w:jc w:val="right"/>
              <w:textAlignment w:val="bottom"/>
            </w:pPr>
            <w:r>
              <w:rPr>
                <w:rFonts w:ascii="Times New Roman" w:eastAsia="宋体" w:hAnsi="Times New Roman"/>
                <w:color w:val="000000"/>
                <w:sz w:val="19"/>
                <w:szCs w:val="19"/>
              </w:rPr>
              <w:t>102 </w:t>
            </w:r>
          </w:p>
        </w:tc>
        <w:tc>
          <w:tcPr>
            <w:tcW w:w="0" w:type="auto"/>
            <w:shd w:val="clear" w:color="auto" w:fill="CCEEFF"/>
            <w:tcMar>
              <w:top w:w="40" w:type="dxa"/>
              <w:left w:w="0" w:type="dxa"/>
              <w:bottom w:w="40" w:type="dxa"/>
              <w:right w:w="20" w:type="dxa"/>
            </w:tcMar>
            <w:vAlign w:val="bottom"/>
          </w:tcPr>
          <w:p w14:paraId="518B5CBF" w14:textId="77777777" w:rsidR="005C332D" w:rsidRDefault="005C332D">
            <w:pPr>
              <w:jc w:val="right"/>
              <w:rPr>
                <w:rFonts w:ascii="宋体"/>
              </w:rPr>
            </w:pPr>
          </w:p>
        </w:tc>
      </w:tr>
      <w:tr w:rsidR="005C332D" w14:paraId="518B5CCE" w14:textId="77777777">
        <w:trPr>
          <w:jc w:val="center"/>
        </w:trPr>
        <w:tc>
          <w:tcPr>
            <w:tcW w:w="0" w:type="auto"/>
            <w:gridSpan w:val="3"/>
            <w:shd w:val="clear" w:color="auto" w:fill="FFFFFF"/>
            <w:tcMar>
              <w:top w:w="40" w:type="dxa"/>
              <w:left w:w="20" w:type="dxa"/>
              <w:bottom w:w="40" w:type="dxa"/>
              <w:right w:w="20" w:type="dxa"/>
            </w:tcMar>
            <w:vAlign w:val="bottom"/>
          </w:tcPr>
          <w:p w14:paraId="518B5CC1" w14:textId="77777777" w:rsidR="005C332D" w:rsidRDefault="00B93EAE">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518B5CC2" w14:textId="77777777" w:rsidR="005C332D" w:rsidRDefault="00B93EAE">
            <w:pPr>
              <w:jc w:val="right"/>
              <w:textAlignment w:val="bottom"/>
            </w:pPr>
            <w:r>
              <w:rPr>
                <w:rFonts w:ascii="Times New Roman" w:eastAsia="宋体" w:hAnsi="Times New Roman"/>
                <w:color w:val="000000"/>
                <w:sz w:val="19"/>
                <w:szCs w:val="19"/>
              </w:rPr>
              <w:t>58 </w:t>
            </w:r>
          </w:p>
        </w:tc>
        <w:tc>
          <w:tcPr>
            <w:tcW w:w="0" w:type="auto"/>
            <w:shd w:val="clear" w:color="auto" w:fill="FFFFFF"/>
            <w:tcMar>
              <w:top w:w="40" w:type="dxa"/>
              <w:left w:w="0" w:type="dxa"/>
              <w:bottom w:w="40" w:type="dxa"/>
              <w:right w:w="20" w:type="dxa"/>
            </w:tcMar>
            <w:vAlign w:val="bottom"/>
          </w:tcPr>
          <w:p w14:paraId="518B5CC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C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C5" w14:textId="77777777" w:rsidR="005C332D" w:rsidRDefault="00B93EAE">
            <w:pPr>
              <w:jc w:val="right"/>
              <w:textAlignment w:val="bottom"/>
            </w:pPr>
            <w:r>
              <w:rPr>
                <w:rFonts w:ascii="Times New Roman" w:eastAsia="宋体" w:hAnsi="Times New Roman"/>
                <w:color w:val="000000"/>
                <w:sz w:val="19"/>
                <w:szCs w:val="19"/>
              </w:rPr>
              <w:t>643 </w:t>
            </w:r>
          </w:p>
        </w:tc>
        <w:tc>
          <w:tcPr>
            <w:tcW w:w="0" w:type="auto"/>
            <w:shd w:val="clear" w:color="auto" w:fill="FFFFFF"/>
            <w:tcMar>
              <w:top w:w="40" w:type="dxa"/>
              <w:left w:w="0" w:type="dxa"/>
              <w:bottom w:w="40" w:type="dxa"/>
              <w:right w:w="20" w:type="dxa"/>
            </w:tcMar>
            <w:vAlign w:val="bottom"/>
          </w:tcPr>
          <w:p w14:paraId="518B5CC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C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C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C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C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C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CC" w14:textId="77777777" w:rsidR="005C332D" w:rsidRDefault="00B93EAE">
            <w:pPr>
              <w:jc w:val="right"/>
              <w:textAlignment w:val="bottom"/>
            </w:pPr>
            <w:r>
              <w:rPr>
                <w:rFonts w:ascii="Times New Roman" w:eastAsia="宋体" w:hAnsi="Times New Roman"/>
                <w:color w:val="000000"/>
                <w:sz w:val="19"/>
                <w:szCs w:val="19"/>
              </w:rPr>
              <w:t>643 </w:t>
            </w:r>
          </w:p>
        </w:tc>
        <w:tc>
          <w:tcPr>
            <w:tcW w:w="0" w:type="auto"/>
            <w:shd w:val="clear" w:color="auto" w:fill="FFFFFF"/>
            <w:tcMar>
              <w:top w:w="40" w:type="dxa"/>
              <w:left w:w="0" w:type="dxa"/>
              <w:bottom w:w="40" w:type="dxa"/>
              <w:right w:w="20" w:type="dxa"/>
            </w:tcMar>
            <w:vAlign w:val="bottom"/>
          </w:tcPr>
          <w:p w14:paraId="518B5CCD" w14:textId="77777777" w:rsidR="005C332D" w:rsidRDefault="005C332D">
            <w:pPr>
              <w:jc w:val="right"/>
              <w:rPr>
                <w:rFonts w:ascii="宋体"/>
              </w:rPr>
            </w:pPr>
          </w:p>
        </w:tc>
      </w:tr>
      <w:tr w:rsidR="005C332D" w14:paraId="518B5CDD" w14:textId="77777777">
        <w:trPr>
          <w:jc w:val="center"/>
        </w:trPr>
        <w:tc>
          <w:tcPr>
            <w:tcW w:w="0" w:type="auto"/>
            <w:gridSpan w:val="3"/>
            <w:shd w:val="clear" w:color="auto" w:fill="CCEEFF"/>
            <w:tcMar>
              <w:top w:w="40" w:type="dxa"/>
              <w:left w:w="20" w:type="dxa"/>
              <w:bottom w:w="40" w:type="dxa"/>
              <w:right w:w="20" w:type="dxa"/>
            </w:tcMar>
            <w:vAlign w:val="bottom"/>
          </w:tcPr>
          <w:p w14:paraId="518B5CCF" w14:textId="77777777" w:rsidR="005C332D" w:rsidRDefault="00B93EAE">
            <w:pPr>
              <w:textAlignment w:val="bottom"/>
            </w:pPr>
            <w:r>
              <w:rPr>
                <w:rFonts w:ascii="Times New Roman" w:eastAsia="宋体" w:hAnsi="Times New Roman"/>
                <w:color w:val="000000"/>
                <w:sz w:val="19"/>
                <w:szCs w:val="19"/>
              </w:rPr>
              <w:t>Repur</w:t>
            </w:r>
            <w:r>
              <w:rPr>
                <w:rFonts w:ascii="Times New Roman" w:eastAsia="宋体" w:hAnsi="Times New Roman"/>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518B5CD0" w14:textId="77777777" w:rsidR="005C332D" w:rsidRDefault="00B93EAE">
            <w:pPr>
              <w:jc w:val="right"/>
              <w:textAlignment w:val="bottom"/>
            </w:pPr>
            <w:r>
              <w:rPr>
                <w:rFonts w:ascii="Times New Roman" w:eastAsia="宋体" w:hAnsi="Times New Roman"/>
                <w:color w:val="000000"/>
                <w:sz w:val="19"/>
                <w:szCs w:val="19"/>
              </w:rPr>
              <w:t>(64)</w:t>
            </w:r>
          </w:p>
        </w:tc>
        <w:tc>
          <w:tcPr>
            <w:tcW w:w="0" w:type="auto"/>
            <w:shd w:val="clear" w:color="auto" w:fill="CCEEFF"/>
            <w:tcMar>
              <w:top w:w="40" w:type="dxa"/>
              <w:left w:w="0" w:type="dxa"/>
              <w:bottom w:w="40" w:type="dxa"/>
              <w:right w:w="20" w:type="dxa"/>
            </w:tcMar>
            <w:vAlign w:val="bottom"/>
          </w:tcPr>
          <w:p w14:paraId="518B5CD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D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D3" w14:textId="77777777" w:rsidR="005C332D" w:rsidRDefault="00B93EAE">
            <w:pPr>
              <w:jc w:val="right"/>
              <w:textAlignment w:val="bottom"/>
            </w:pPr>
            <w:r>
              <w:rPr>
                <w:rFonts w:ascii="Times New Roman" w:eastAsia="宋体" w:hAnsi="Times New Roman"/>
                <w:color w:val="000000"/>
                <w:sz w:val="19"/>
                <w:szCs w:val="19"/>
              </w:rPr>
              <w:t>(625)</w:t>
            </w:r>
          </w:p>
        </w:tc>
        <w:tc>
          <w:tcPr>
            <w:tcW w:w="0" w:type="auto"/>
            <w:shd w:val="clear" w:color="auto" w:fill="CCEEFF"/>
            <w:tcMar>
              <w:top w:w="40" w:type="dxa"/>
              <w:left w:w="0" w:type="dxa"/>
              <w:bottom w:w="40" w:type="dxa"/>
              <w:right w:w="20" w:type="dxa"/>
            </w:tcMar>
            <w:vAlign w:val="bottom"/>
          </w:tcPr>
          <w:p w14:paraId="518B5CD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D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D6" w14:textId="77777777" w:rsidR="005C332D" w:rsidRDefault="00B93EAE">
            <w:pPr>
              <w:jc w:val="right"/>
              <w:textAlignment w:val="bottom"/>
            </w:pPr>
            <w:r>
              <w:rPr>
                <w:rFonts w:ascii="Times New Roman" w:eastAsia="宋体" w:hAnsi="Times New Roman"/>
                <w:color w:val="000000"/>
                <w:sz w:val="19"/>
                <w:szCs w:val="19"/>
              </w:rPr>
              <w:t>(2,277)</w:t>
            </w:r>
          </w:p>
        </w:tc>
        <w:tc>
          <w:tcPr>
            <w:tcW w:w="0" w:type="auto"/>
            <w:shd w:val="clear" w:color="auto" w:fill="CCEEFF"/>
            <w:tcMar>
              <w:top w:w="40" w:type="dxa"/>
              <w:left w:w="0" w:type="dxa"/>
              <w:bottom w:w="40" w:type="dxa"/>
              <w:right w:w="20" w:type="dxa"/>
            </w:tcMar>
            <w:vAlign w:val="bottom"/>
          </w:tcPr>
          <w:p w14:paraId="518B5CD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D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D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D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DB" w14:textId="77777777" w:rsidR="005C332D" w:rsidRDefault="00B93EAE">
            <w:pPr>
              <w:jc w:val="right"/>
              <w:textAlignment w:val="bottom"/>
            </w:pPr>
            <w:r>
              <w:rPr>
                <w:rFonts w:ascii="Times New Roman" w:eastAsia="宋体" w:hAnsi="Times New Roman"/>
                <w:color w:val="000000"/>
                <w:sz w:val="19"/>
                <w:szCs w:val="19"/>
              </w:rPr>
              <w:t>(2,902)</w:t>
            </w:r>
          </w:p>
        </w:tc>
        <w:tc>
          <w:tcPr>
            <w:tcW w:w="0" w:type="auto"/>
            <w:shd w:val="clear" w:color="auto" w:fill="CCEEFF"/>
            <w:tcMar>
              <w:top w:w="40" w:type="dxa"/>
              <w:left w:w="0" w:type="dxa"/>
              <w:bottom w:w="40" w:type="dxa"/>
              <w:right w:w="20" w:type="dxa"/>
            </w:tcMar>
            <w:vAlign w:val="bottom"/>
          </w:tcPr>
          <w:p w14:paraId="518B5CDC" w14:textId="77777777" w:rsidR="005C332D" w:rsidRDefault="005C332D">
            <w:pPr>
              <w:jc w:val="right"/>
              <w:rPr>
                <w:rFonts w:ascii="宋体"/>
              </w:rPr>
            </w:pPr>
          </w:p>
        </w:tc>
      </w:tr>
      <w:tr w:rsidR="005C332D" w14:paraId="518B5CEB" w14:textId="77777777">
        <w:trPr>
          <w:jc w:val="center"/>
        </w:trPr>
        <w:tc>
          <w:tcPr>
            <w:tcW w:w="0" w:type="auto"/>
            <w:gridSpan w:val="3"/>
            <w:shd w:val="clear" w:color="auto" w:fill="FFFFFF"/>
            <w:tcMar>
              <w:top w:w="40" w:type="dxa"/>
              <w:left w:w="20" w:type="dxa"/>
              <w:bottom w:w="40" w:type="dxa"/>
              <w:right w:w="20" w:type="dxa"/>
            </w:tcMar>
            <w:vAlign w:val="bottom"/>
          </w:tcPr>
          <w:p w14:paraId="518B5CDE" w14:textId="77777777" w:rsidR="005C332D" w:rsidRDefault="00B93EAE">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518B5CDF" w14:textId="77777777" w:rsidR="005C332D" w:rsidRDefault="00B93EAE">
            <w:pPr>
              <w:jc w:val="right"/>
              <w:textAlignment w:val="bottom"/>
            </w:pPr>
            <w:r>
              <w:rPr>
                <w:rFonts w:ascii="Times New Roman" w:eastAsia="宋体" w:hAnsi="Times New Roman"/>
                <w:color w:val="000000"/>
                <w:sz w:val="19"/>
                <w:szCs w:val="19"/>
              </w:rPr>
              <w:t>(14)</w:t>
            </w:r>
          </w:p>
        </w:tc>
        <w:tc>
          <w:tcPr>
            <w:tcW w:w="0" w:type="auto"/>
            <w:shd w:val="clear" w:color="auto" w:fill="FFFFFF"/>
            <w:tcMar>
              <w:top w:w="40" w:type="dxa"/>
              <w:left w:w="0" w:type="dxa"/>
              <w:bottom w:w="40" w:type="dxa"/>
              <w:right w:w="20" w:type="dxa"/>
            </w:tcMar>
            <w:vAlign w:val="bottom"/>
          </w:tcPr>
          <w:p w14:paraId="518B5CE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E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E2" w14:textId="77777777" w:rsidR="005C332D" w:rsidRDefault="00B93EAE">
            <w:pPr>
              <w:jc w:val="right"/>
              <w:textAlignment w:val="bottom"/>
            </w:pPr>
            <w:r>
              <w:rPr>
                <w:rFonts w:ascii="Times New Roman" w:eastAsia="宋体" w:hAnsi="Times New Roman"/>
                <w:color w:val="000000"/>
                <w:sz w:val="19"/>
                <w:szCs w:val="19"/>
              </w:rPr>
              <w:t>(636)</w:t>
            </w:r>
          </w:p>
        </w:tc>
        <w:tc>
          <w:tcPr>
            <w:tcW w:w="0" w:type="auto"/>
            <w:shd w:val="clear" w:color="auto" w:fill="FFFFFF"/>
            <w:tcMar>
              <w:top w:w="40" w:type="dxa"/>
              <w:left w:w="0" w:type="dxa"/>
              <w:bottom w:w="40" w:type="dxa"/>
              <w:right w:w="20" w:type="dxa"/>
            </w:tcMar>
            <w:vAlign w:val="bottom"/>
          </w:tcPr>
          <w:p w14:paraId="518B5CE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CE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E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E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E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E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E9" w14:textId="77777777" w:rsidR="005C332D" w:rsidRDefault="00B93EAE">
            <w:pPr>
              <w:jc w:val="right"/>
              <w:textAlignment w:val="bottom"/>
            </w:pPr>
            <w:r>
              <w:rPr>
                <w:rFonts w:ascii="Times New Roman" w:eastAsia="宋体" w:hAnsi="Times New Roman"/>
                <w:color w:val="000000"/>
                <w:sz w:val="19"/>
                <w:szCs w:val="19"/>
              </w:rPr>
              <w:t>(636)</w:t>
            </w:r>
          </w:p>
        </w:tc>
        <w:tc>
          <w:tcPr>
            <w:tcW w:w="0" w:type="auto"/>
            <w:shd w:val="clear" w:color="auto" w:fill="FFFFFF"/>
            <w:tcMar>
              <w:top w:w="40" w:type="dxa"/>
              <w:left w:w="0" w:type="dxa"/>
              <w:bottom w:w="40" w:type="dxa"/>
              <w:right w:w="20" w:type="dxa"/>
            </w:tcMar>
            <w:vAlign w:val="bottom"/>
          </w:tcPr>
          <w:p w14:paraId="518B5CEA" w14:textId="77777777" w:rsidR="005C332D" w:rsidRDefault="005C332D">
            <w:pPr>
              <w:jc w:val="right"/>
              <w:rPr>
                <w:rFonts w:ascii="宋体"/>
              </w:rPr>
            </w:pPr>
          </w:p>
        </w:tc>
      </w:tr>
      <w:tr w:rsidR="005C332D" w14:paraId="518B5CF8" w14:textId="77777777">
        <w:trPr>
          <w:jc w:val="center"/>
        </w:trPr>
        <w:tc>
          <w:tcPr>
            <w:tcW w:w="0" w:type="auto"/>
            <w:gridSpan w:val="3"/>
            <w:shd w:val="clear" w:color="auto" w:fill="CCEEFF"/>
            <w:tcMar>
              <w:top w:w="40" w:type="dxa"/>
              <w:left w:w="20" w:type="dxa"/>
              <w:bottom w:w="40" w:type="dxa"/>
              <w:right w:w="20" w:type="dxa"/>
            </w:tcMar>
            <w:vAlign w:val="bottom"/>
          </w:tcPr>
          <w:p w14:paraId="518B5CEC" w14:textId="77777777" w:rsidR="005C332D" w:rsidRDefault="00B93EAE">
            <w:pPr>
              <w:textAlignment w:val="bottom"/>
            </w:pPr>
            <w:r>
              <w:rPr>
                <w:rFonts w:ascii="Times New Roman" w:eastAsia="宋体" w:hAnsi="Times New Roman"/>
                <w:color w:val="000000"/>
                <w:sz w:val="19"/>
                <w:szCs w:val="19"/>
              </w:rPr>
              <w:t>Cash dividends declared ($1.46 per common share)</w:t>
            </w:r>
          </w:p>
        </w:tc>
        <w:tc>
          <w:tcPr>
            <w:tcW w:w="0" w:type="auto"/>
            <w:gridSpan w:val="3"/>
            <w:shd w:val="clear" w:color="auto" w:fill="CCEEFF"/>
            <w:tcMar>
              <w:top w:w="0" w:type="dxa"/>
              <w:left w:w="20" w:type="dxa"/>
              <w:bottom w:w="0" w:type="dxa"/>
              <w:right w:w="20" w:type="dxa"/>
            </w:tcMar>
            <w:vAlign w:val="bottom"/>
          </w:tcPr>
          <w:p w14:paraId="518B5CE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E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E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F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F1" w14:textId="77777777" w:rsidR="005C332D" w:rsidRDefault="00B93EAE">
            <w:pPr>
              <w:jc w:val="right"/>
              <w:textAlignment w:val="bottom"/>
            </w:pPr>
            <w:r>
              <w:rPr>
                <w:rFonts w:ascii="Times New Roman" w:eastAsia="宋体" w:hAnsi="Times New Roman"/>
                <w:color w:val="000000"/>
                <w:sz w:val="19"/>
                <w:szCs w:val="19"/>
              </w:rPr>
              <w:t>(6,166)</w:t>
            </w:r>
          </w:p>
        </w:tc>
        <w:tc>
          <w:tcPr>
            <w:tcW w:w="0" w:type="auto"/>
            <w:shd w:val="clear" w:color="auto" w:fill="CCEEFF"/>
            <w:tcMar>
              <w:top w:w="40" w:type="dxa"/>
              <w:left w:w="0" w:type="dxa"/>
              <w:bottom w:w="40" w:type="dxa"/>
              <w:right w:w="20" w:type="dxa"/>
            </w:tcMar>
            <w:vAlign w:val="bottom"/>
          </w:tcPr>
          <w:p w14:paraId="518B5CF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CF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F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CF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CF6" w14:textId="77777777" w:rsidR="005C332D" w:rsidRDefault="00B93EAE">
            <w:pPr>
              <w:jc w:val="right"/>
              <w:textAlignment w:val="bottom"/>
            </w:pPr>
            <w:r>
              <w:rPr>
                <w:rFonts w:ascii="Times New Roman" w:eastAsia="宋体" w:hAnsi="Times New Roman"/>
                <w:color w:val="000000"/>
                <w:sz w:val="19"/>
                <w:szCs w:val="19"/>
              </w:rPr>
              <w:t>(6,166)</w:t>
            </w:r>
          </w:p>
        </w:tc>
        <w:tc>
          <w:tcPr>
            <w:tcW w:w="0" w:type="auto"/>
            <w:shd w:val="clear" w:color="auto" w:fill="CCEEFF"/>
            <w:tcMar>
              <w:top w:w="40" w:type="dxa"/>
              <w:left w:w="0" w:type="dxa"/>
              <w:bottom w:w="40" w:type="dxa"/>
              <w:right w:w="20" w:type="dxa"/>
            </w:tcMar>
            <w:vAlign w:val="bottom"/>
          </w:tcPr>
          <w:p w14:paraId="518B5CF7" w14:textId="77777777" w:rsidR="005C332D" w:rsidRDefault="005C332D">
            <w:pPr>
              <w:jc w:val="right"/>
              <w:rPr>
                <w:rFonts w:ascii="宋体"/>
              </w:rPr>
            </w:pPr>
          </w:p>
        </w:tc>
      </w:tr>
      <w:tr w:rsidR="005C332D" w14:paraId="518B5D05" w14:textId="77777777">
        <w:trPr>
          <w:jc w:val="center"/>
        </w:trPr>
        <w:tc>
          <w:tcPr>
            <w:tcW w:w="0" w:type="auto"/>
            <w:gridSpan w:val="3"/>
            <w:shd w:val="clear" w:color="auto" w:fill="FFFFFF"/>
            <w:tcMar>
              <w:top w:w="40" w:type="dxa"/>
              <w:left w:w="20" w:type="dxa"/>
              <w:bottom w:w="40" w:type="dxa"/>
              <w:right w:w="20" w:type="dxa"/>
            </w:tcMar>
            <w:vAlign w:val="bottom"/>
          </w:tcPr>
          <w:p w14:paraId="518B5CF9" w14:textId="77777777" w:rsidR="005C332D" w:rsidRDefault="00B93EAE">
            <w:pPr>
              <w:textAlignment w:val="bottom"/>
            </w:pPr>
            <w:r>
              <w:rPr>
                <w:rFonts w:ascii="Times New Roman" w:eastAsia="宋体" w:hAnsi="Times New Roman"/>
                <w:color w:val="000000"/>
                <w:sz w:val="19"/>
                <w:szCs w:val="19"/>
              </w:rPr>
              <w:t xml:space="preserve">Effect of adoption of accounting </w:t>
            </w:r>
            <w:r>
              <w:rPr>
                <w:rFonts w:ascii="Times New Roman" w:eastAsia="宋体" w:hAnsi="Times New Roman"/>
                <w:color w:val="000000"/>
                <w:sz w:val="19"/>
                <w:szCs w:val="19"/>
              </w:rPr>
              <w:t>standard</w:t>
            </w:r>
          </w:p>
        </w:tc>
        <w:tc>
          <w:tcPr>
            <w:tcW w:w="0" w:type="auto"/>
            <w:gridSpan w:val="3"/>
            <w:shd w:val="clear" w:color="auto" w:fill="FFFFFF"/>
            <w:tcMar>
              <w:top w:w="0" w:type="dxa"/>
              <w:left w:w="20" w:type="dxa"/>
              <w:bottom w:w="0" w:type="dxa"/>
              <w:right w:w="20" w:type="dxa"/>
            </w:tcMar>
            <w:vAlign w:val="bottom"/>
          </w:tcPr>
          <w:p w14:paraId="518B5CF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F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F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CF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CFE" w14:textId="77777777" w:rsidR="005C332D" w:rsidRDefault="00B93EAE">
            <w:pPr>
              <w:jc w:val="right"/>
              <w:textAlignment w:val="bottom"/>
            </w:pPr>
            <w:r>
              <w:rPr>
                <w:rFonts w:ascii="Times New Roman" w:eastAsia="宋体" w:hAnsi="Times New Roman"/>
                <w:color w:val="000000"/>
                <w:sz w:val="18"/>
                <w:szCs w:val="18"/>
              </w:rPr>
              <w:t>(38)</w:t>
            </w:r>
          </w:p>
        </w:tc>
        <w:tc>
          <w:tcPr>
            <w:tcW w:w="0" w:type="auto"/>
            <w:shd w:val="clear" w:color="auto" w:fill="FFFFFF"/>
            <w:tcMar>
              <w:top w:w="40" w:type="dxa"/>
              <w:left w:w="0" w:type="dxa"/>
              <w:bottom w:w="40" w:type="dxa"/>
              <w:right w:w="20" w:type="dxa"/>
            </w:tcMar>
            <w:vAlign w:val="bottom"/>
          </w:tcPr>
          <w:p w14:paraId="518B5CF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0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0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0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03" w14:textId="77777777" w:rsidR="005C332D" w:rsidRDefault="00B93EAE">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518B5D04" w14:textId="77777777" w:rsidR="005C332D" w:rsidRDefault="005C332D">
            <w:pPr>
              <w:jc w:val="right"/>
              <w:rPr>
                <w:rFonts w:ascii="宋体"/>
              </w:rPr>
            </w:pPr>
          </w:p>
        </w:tc>
      </w:tr>
      <w:tr w:rsidR="005C332D" w14:paraId="518B5D12" w14:textId="77777777">
        <w:trPr>
          <w:jc w:val="center"/>
        </w:trPr>
        <w:tc>
          <w:tcPr>
            <w:tcW w:w="0" w:type="auto"/>
            <w:gridSpan w:val="3"/>
            <w:shd w:val="clear" w:color="auto" w:fill="CCEEFF"/>
            <w:tcMar>
              <w:top w:w="40" w:type="dxa"/>
              <w:left w:w="20" w:type="dxa"/>
              <w:bottom w:w="40" w:type="dxa"/>
              <w:right w:w="20" w:type="dxa"/>
            </w:tcMar>
            <w:vAlign w:val="bottom"/>
          </w:tcPr>
          <w:p w14:paraId="518B5D06" w14:textId="77777777" w:rsidR="005C332D" w:rsidRDefault="00B93EAE">
            <w:pPr>
              <w:textAlignment w:val="bottom"/>
            </w:pPr>
            <w:r>
              <w:rPr>
                <w:rFonts w:ascii="Times New Roman" w:eastAsia="宋体" w:hAnsi="Times New Roman"/>
                <w:color w:val="000000"/>
                <w:sz w:val="19"/>
                <w:szCs w:val="19"/>
              </w:rPr>
              <w:t>Share-based compensation</w:t>
            </w:r>
          </w:p>
        </w:tc>
        <w:tc>
          <w:tcPr>
            <w:tcW w:w="0" w:type="auto"/>
            <w:gridSpan w:val="3"/>
            <w:shd w:val="clear" w:color="auto" w:fill="CCEEFF"/>
            <w:tcMar>
              <w:top w:w="0" w:type="dxa"/>
              <w:left w:w="20" w:type="dxa"/>
              <w:bottom w:w="0" w:type="dxa"/>
              <w:right w:w="20" w:type="dxa"/>
            </w:tcMar>
            <w:vAlign w:val="bottom"/>
          </w:tcPr>
          <w:p w14:paraId="518B5D0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0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09" w14:textId="77777777" w:rsidR="005C332D" w:rsidRDefault="00B93EAE">
            <w:pPr>
              <w:jc w:val="right"/>
              <w:textAlignment w:val="bottom"/>
            </w:pPr>
            <w:r>
              <w:rPr>
                <w:rFonts w:ascii="Times New Roman" w:eastAsia="宋体" w:hAnsi="Times New Roman"/>
                <w:color w:val="000000"/>
                <w:sz w:val="19"/>
                <w:szCs w:val="19"/>
              </w:rPr>
              <w:t>1,761 </w:t>
            </w:r>
          </w:p>
        </w:tc>
        <w:tc>
          <w:tcPr>
            <w:tcW w:w="0" w:type="auto"/>
            <w:shd w:val="clear" w:color="auto" w:fill="CCEEFF"/>
            <w:tcMar>
              <w:top w:w="40" w:type="dxa"/>
              <w:left w:w="0" w:type="dxa"/>
              <w:bottom w:w="40" w:type="dxa"/>
              <w:right w:w="20" w:type="dxa"/>
            </w:tcMar>
            <w:vAlign w:val="bottom"/>
          </w:tcPr>
          <w:p w14:paraId="518B5D0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0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0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0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0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0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10" w14:textId="77777777" w:rsidR="005C332D" w:rsidRDefault="00B93EAE">
            <w:pPr>
              <w:jc w:val="right"/>
              <w:textAlignment w:val="bottom"/>
            </w:pPr>
            <w:r>
              <w:rPr>
                <w:rFonts w:ascii="Times New Roman" w:eastAsia="宋体" w:hAnsi="Times New Roman"/>
                <w:color w:val="000000"/>
                <w:sz w:val="19"/>
                <w:szCs w:val="19"/>
              </w:rPr>
              <w:t>1,761 </w:t>
            </w:r>
          </w:p>
        </w:tc>
        <w:tc>
          <w:tcPr>
            <w:tcW w:w="0" w:type="auto"/>
            <w:shd w:val="clear" w:color="auto" w:fill="CCEEFF"/>
            <w:tcMar>
              <w:top w:w="40" w:type="dxa"/>
              <w:left w:w="0" w:type="dxa"/>
              <w:bottom w:w="40" w:type="dxa"/>
              <w:right w:w="20" w:type="dxa"/>
            </w:tcMar>
            <w:vAlign w:val="bottom"/>
          </w:tcPr>
          <w:p w14:paraId="518B5D11" w14:textId="77777777" w:rsidR="005C332D" w:rsidRDefault="005C332D">
            <w:pPr>
              <w:jc w:val="right"/>
              <w:rPr>
                <w:rFonts w:ascii="宋体"/>
              </w:rPr>
            </w:pPr>
          </w:p>
        </w:tc>
      </w:tr>
      <w:tr w:rsidR="005C332D" w14:paraId="518B5D20" w14:textId="77777777">
        <w:trPr>
          <w:jc w:val="center"/>
        </w:trPr>
        <w:tc>
          <w:tcPr>
            <w:tcW w:w="0" w:type="auto"/>
            <w:gridSpan w:val="3"/>
            <w:shd w:val="clear" w:color="auto" w:fill="FFFFFF"/>
            <w:tcMar>
              <w:top w:w="40" w:type="dxa"/>
              <w:left w:w="20" w:type="dxa"/>
              <w:bottom w:w="40" w:type="dxa"/>
              <w:right w:w="20" w:type="dxa"/>
            </w:tcMar>
            <w:vAlign w:val="bottom"/>
          </w:tcPr>
          <w:p w14:paraId="518B5D13" w14:textId="77777777" w:rsidR="005C332D" w:rsidRDefault="00B93EAE">
            <w:pPr>
              <w:textAlignment w:val="bottom"/>
            </w:pPr>
            <w:r>
              <w:rPr>
                <w:rFonts w:ascii="Times New Roman" w:eastAsia="宋体" w:hAnsi="Times New Roman"/>
                <w:color w:val="000000"/>
                <w:sz w:val="19"/>
                <w:szCs w:val="19"/>
              </w:rPr>
              <w:t>Other</w:t>
            </w:r>
          </w:p>
        </w:tc>
        <w:tc>
          <w:tcPr>
            <w:tcW w:w="0" w:type="auto"/>
            <w:gridSpan w:val="3"/>
            <w:shd w:val="clear" w:color="auto" w:fill="FFFFFF"/>
            <w:tcMar>
              <w:top w:w="0" w:type="dxa"/>
              <w:left w:w="20" w:type="dxa"/>
              <w:bottom w:w="0" w:type="dxa"/>
              <w:right w:w="20" w:type="dxa"/>
            </w:tcMar>
            <w:vAlign w:val="bottom"/>
          </w:tcPr>
          <w:p w14:paraId="518B5D1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1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16" w14:textId="77777777" w:rsidR="005C332D" w:rsidRDefault="00B93EAE">
            <w:pPr>
              <w:jc w:val="right"/>
              <w:textAlignment w:val="bottom"/>
            </w:pPr>
            <w:r>
              <w:rPr>
                <w:rFonts w:ascii="Times New Roman" w:eastAsia="宋体" w:hAnsi="Times New Roman"/>
                <w:color w:val="000000"/>
                <w:sz w:val="18"/>
                <w:szCs w:val="18"/>
              </w:rPr>
              <w:t>1 </w:t>
            </w:r>
          </w:p>
        </w:tc>
        <w:tc>
          <w:tcPr>
            <w:tcW w:w="0" w:type="auto"/>
            <w:shd w:val="clear" w:color="auto" w:fill="FFFFFF"/>
            <w:tcMar>
              <w:top w:w="40" w:type="dxa"/>
              <w:left w:w="0" w:type="dxa"/>
              <w:bottom w:w="40" w:type="dxa"/>
              <w:right w:w="20" w:type="dxa"/>
            </w:tcMar>
            <w:vAlign w:val="bottom"/>
          </w:tcPr>
          <w:p w14:paraId="518B5D1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1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19" w14:textId="77777777" w:rsidR="005C332D" w:rsidRDefault="00B93EAE">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518B5D1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1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1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1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1E" w14:textId="77777777" w:rsidR="005C332D" w:rsidRDefault="00B93EAE">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D1F" w14:textId="77777777" w:rsidR="005C332D" w:rsidRDefault="005C332D">
            <w:pPr>
              <w:jc w:val="right"/>
              <w:rPr>
                <w:rFonts w:ascii="宋体"/>
              </w:rPr>
            </w:pPr>
          </w:p>
        </w:tc>
      </w:tr>
      <w:tr w:rsidR="005C332D" w14:paraId="518B5D34" w14:textId="77777777">
        <w:trPr>
          <w:jc w:val="center"/>
        </w:trPr>
        <w:tc>
          <w:tcPr>
            <w:tcW w:w="0" w:type="auto"/>
            <w:gridSpan w:val="3"/>
            <w:shd w:val="clear" w:color="auto" w:fill="CCEEFF"/>
            <w:tcMar>
              <w:top w:w="40" w:type="dxa"/>
              <w:left w:w="20" w:type="dxa"/>
              <w:bottom w:w="40" w:type="dxa"/>
              <w:right w:w="20" w:type="dxa"/>
            </w:tcMar>
            <w:vAlign w:val="bottom"/>
          </w:tcPr>
          <w:p w14:paraId="518B5D21" w14:textId="77777777" w:rsidR="005C332D" w:rsidRDefault="00B93EAE">
            <w:pPr>
              <w:textAlignment w:val="bottom"/>
            </w:pPr>
            <w:r>
              <w:rPr>
                <w:rFonts w:ascii="Times New Roman" w:eastAsia="宋体" w:hAnsi="Times New Roman"/>
                <w:b/>
                <w:bCs/>
                <w:color w:val="000000"/>
                <w:sz w:val="19"/>
                <w:szCs w:val="19"/>
              </w:rPr>
              <w:t>BALANCE AT JULY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5D22" w14:textId="77777777" w:rsidR="005C332D" w:rsidRDefault="00B93EAE">
            <w:pPr>
              <w:jc w:val="right"/>
              <w:textAlignment w:val="bottom"/>
            </w:pPr>
            <w:r>
              <w:rPr>
                <w:rFonts w:ascii="Times New Roman" w:eastAsia="宋体" w:hAnsi="Times New Roman"/>
                <w:b/>
                <w:bCs/>
                <w:color w:val="000000"/>
                <w:sz w:val="19"/>
                <w:szCs w:val="19"/>
              </w:rPr>
              <w:t>4,217</w:t>
            </w:r>
            <w:r>
              <w:rPr>
                <w:rFonts w:ascii="Times New Roman" w:eastAsia="宋体" w:hAnsi="Times New Roman"/>
                <w:color w:val="000000"/>
                <w:sz w:val="19"/>
                <w:szCs w:val="19"/>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D2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2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D25" w14:textId="77777777" w:rsidR="005C332D" w:rsidRDefault="00B93EAE">
            <w:pPr>
              <w:textAlignment w:val="bottom"/>
            </w:pPr>
            <w:r>
              <w:rPr>
                <w:rFonts w:ascii="Times New Roman" w:eastAsia="宋体" w:hAnsi="Times New Roman"/>
                <w:b/>
                <w:bCs/>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D26" w14:textId="77777777" w:rsidR="005C332D" w:rsidRDefault="00B93EAE">
            <w:pPr>
              <w:jc w:val="right"/>
              <w:textAlignment w:val="bottom"/>
            </w:pPr>
            <w:r>
              <w:rPr>
                <w:rFonts w:ascii="Times New Roman" w:eastAsia="宋体" w:hAnsi="Times New Roman"/>
                <w:b/>
                <w:bCs/>
                <w:color w:val="000000"/>
                <w:sz w:val="19"/>
                <w:szCs w:val="19"/>
              </w:rPr>
              <w:t>42,346</w:t>
            </w:r>
            <w:r>
              <w:rPr>
                <w:rFonts w:ascii="Times New Roman" w:eastAsia="宋体" w:hAnsi="Times New Roman"/>
                <w:color w:val="000000"/>
                <w:sz w:val="19"/>
                <w:szCs w:val="19"/>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D2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2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D29" w14:textId="77777777" w:rsidR="005C332D" w:rsidRDefault="00B93EAE">
            <w:pPr>
              <w:textAlignment w:val="bottom"/>
            </w:pPr>
            <w:r>
              <w:rPr>
                <w:rFonts w:ascii="Times New Roman" w:eastAsia="宋体" w:hAnsi="Times New Roman"/>
                <w:b/>
                <w:bCs/>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D2A" w14:textId="77777777" w:rsidR="005C332D" w:rsidRDefault="00B93EAE">
            <w:pPr>
              <w:jc w:val="right"/>
              <w:textAlignment w:val="bottom"/>
            </w:pPr>
            <w:r>
              <w:rPr>
                <w:rFonts w:ascii="Times New Roman" w:eastAsia="宋体" w:hAnsi="Times New Roman"/>
                <w:b/>
                <w:bCs/>
                <w:color w:val="000000"/>
                <w:sz w:val="19"/>
                <w:szCs w:val="19"/>
              </w:rPr>
              <w:t>(654)</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D2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2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D2D" w14:textId="77777777" w:rsidR="005C332D" w:rsidRDefault="00B93EAE">
            <w:pPr>
              <w:textAlignment w:val="bottom"/>
            </w:pPr>
            <w:r>
              <w:rPr>
                <w:rFonts w:ascii="Times New Roman" w:eastAsia="宋体" w:hAnsi="Times New Roman"/>
                <w:b/>
                <w:bCs/>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D2E" w14:textId="77777777" w:rsidR="005C332D" w:rsidRDefault="00B93EAE">
            <w:pPr>
              <w:jc w:val="right"/>
              <w:textAlignment w:val="bottom"/>
            </w:pPr>
            <w:r>
              <w:rPr>
                <w:rFonts w:ascii="Times New Roman" w:eastAsia="宋体" w:hAnsi="Times New Roman"/>
                <w:b/>
                <w:bCs/>
                <w:color w:val="000000"/>
                <w:sz w:val="19"/>
                <w:szCs w:val="19"/>
              </w:rPr>
              <w:t>(417)</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D2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30"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D31" w14:textId="77777777" w:rsidR="005C332D" w:rsidRDefault="00B93EAE">
            <w:pPr>
              <w:textAlignment w:val="bottom"/>
            </w:pPr>
            <w:r>
              <w:rPr>
                <w:rFonts w:ascii="Times New Roman" w:eastAsia="宋体" w:hAnsi="Times New Roman"/>
                <w:b/>
                <w:bCs/>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D32" w14:textId="77777777" w:rsidR="005C332D" w:rsidRDefault="00B93EAE">
            <w:pPr>
              <w:jc w:val="right"/>
              <w:textAlignment w:val="bottom"/>
            </w:pPr>
            <w:r>
              <w:rPr>
                <w:rFonts w:ascii="Times New Roman" w:eastAsia="宋体" w:hAnsi="Times New Roman"/>
                <w:b/>
                <w:bCs/>
                <w:color w:val="000000"/>
                <w:sz w:val="19"/>
                <w:szCs w:val="19"/>
              </w:rPr>
              <w:t>41,275</w:t>
            </w:r>
            <w:r>
              <w:rPr>
                <w:rFonts w:ascii="Times New Roman" w:eastAsia="宋体" w:hAnsi="Times New Roman"/>
                <w:color w:val="000000"/>
                <w:sz w:val="19"/>
                <w:szCs w:val="19"/>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D33" w14:textId="77777777" w:rsidR="005C332D" w:rsidRDefault="005C332D">
            <w:pPr>
              <w:jc w:val="right"/>
              <w:rPr>
                <w:rFonts w:ascii="宋体"/>
              </w:rPr>
            </w:pPr>
          </w:p>
        </w:tc>
      </w:tr>
      <w:tr w:rsidR="005C332D" w14:paraId="518B5D41" w14:textId="77777777">
        <w:trPr>
          <w:jc w:val="center"/>
        </w:trPr>
        <w:tc>
          <w:tcPr>
            <w:tcW w:w="0" w:type="auto"/>
            <w:gridSpan w:val="3"/>
            <w:shd w:val="clear" w:color="auto" w:fill="FFFFFF"/>
            <w:tcMar>
              <w:top w:w="40" w:type="dxa"/>
              <w:left w:w="20" w:type="dxa"/>
              <w:bottom w:w="40" w:type="dxa"/>
              <w:right w:w="20" w:type="dxa"/>
            </w:tcMar>
            <w:vAlign w:val="bottom"/>
          </w:tcPr>
          <w:p w14:paraId="518B5D35" w14:textId="77777777" w:rsidR="005C332D" w:rsidRDefault="00B93EAE">
            <w:pPr>
              <w:textAlignment w:val="bottom"/>
            </w:pPr>
            <w:r>
              <w:rPr>
                <w:rFonts w:ascii="Times New Roman" w:eastAsia="宋体" w:hAnsi="Times New Roman"/>
                <w:b/>
                <w:bCs/>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518B5D3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3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3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3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3A" w14:textId="77777777" w:rsidR="005C332D" w:rsidRDefault="00B93EAE">
            <w:pPr>
              <w:jc w:val="right"/>
              <w:textAlignment w:val="bottom"/>
            </w:pPr>
            <w:r>
              <w:rPr>
                <w:rFonts w:ascii="Times New Roman" w:eastAsia="宋体" w:hAnsi="Times New Roman"/>
                <w:b/>
                <w:bCs/>
                <w:color w:val="000000"/>
                <w:sz w:val="19"/>
                <w:szCs w:val="19"/>
              </w:rPr>
              <w:t>11,812</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D3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3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3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3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3F" w14:textId="77777777" w:rsidR="005C332D" w:rsidRDefault="00B93EAE">
            <w:pPr>
              <w:jc w:val="right"/>
              <w:textAlignment w:val="bottom"/>
            </w:pPr>
            <w:r>
              <w:rPr>
                <w:rFonts w:ascii="Times New Roman" w:eastAsia="宋体" w:hAnsi="Times New Roman"/>
                <w:b/>
                <w:bCs/>
                <w:color w:val="000000"/>
                <w:sz w:val="19"/>
                <w:szCs w:val="19"/>
              </w:rPr>
              <w:t>11,812</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D40" w14:textId="77777777" w:rsidR="005C332D" w:rsidRDefault="005C332D">
            <w:pPr>
              <w:jc w:val="right"/>
              <w:rPr>
                <w:rFonts w:ascii="宋体"/>
              </w:rPr>
            </w:pPr>
          </w:p>
        </w:tc>
      </w:tr>
      <w:tr w:rsidR="005C332D" w14:paraId="518B5D4E" w14:textId="77777777">
        <w:trPr>
          <w:jc w:val="center"/>
        </w:trPr>
        <w:tc>
          <w:tcPr>
            <w:tcW w:w="0" w:type="auto"/>
            <w:gridSpan w:val="3"/>
            <w:shd w:val="clear" w:color="auto" w:fill="CCEEFF"/>
            <w:tcMar>
              <w:top w:w="40" w:type="dxa"/>
              <w:left w:w="20" w:type="dxa"/>
              <w:bottom w:w="40" w:type="dxa"/>
              <w:right w:w="20" w:type="dxa"/>
            </w:tcMar>
            <w:vAlign w:val="bottom"/>
          </w:tcPr>
          <w:p w14:paraId="518B5D42" w14:textId="77777777" w:rsidR="005C332D" w:rsidRDefault="00B93EAE">
            <w:pPr>
              <w:textAlignment w:val="bottom"/>
            </w:pPr>
            <w:r>
              <w:rPr>
                <w:rFonts w:ascii="Times New Roman" w:eastAsia="宋体" w:hAnsi="Times New Roman"/>
                <w:b/>
                <w:bCs/>
                <w:color w:val="000000"/>
                <w:sz w:val="19"/>
                <w:szCs w:val="19"/>
              </w:rPr>
              <w:t xml:space="preserve">Other comprehensive income </w:t>
            </w:r>
            <w:r>
              <w:rPr>
                <w:rFonts w:ascii="Times New Roman" w:eastAsia="宋体" w:hAnsi="Times New Roman"/>
                <w:b/>
                <w:bCs/>
                <w:color w:val="000000"/>
                <w:sz w:val="19"/>
                <w:szCs w:val="19"/>
              </w:rPr>
              <w:t>(loss)</w:t>
            </w:r>
          </w:p>
        </w:tc>
        <w:tc>
          <w:tcPr>
            <w:tcW w:w="0" w:type="auto"/>
            <w:gridSpan w:val="3"/>
            <w:shd w:val="clear" w:color="auto" w:fill="CCEEFF"/>
            <w:tcMar>
              <w:top w:w="0" w:type="dxa"/>
              <w:left w:w="20" w:type="dxa"/>
              <w:bottom w:w="0" w:type="dxa"/>
              <w:right w:w="20" w:type="dxa"/>
            </w:tcMar>
            <w:vAlign w:val="bottom"/>
          </w:tcPr>
          <w:p w14:paraId="518B5D4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4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4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4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4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4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49" w14:textId="77777777" w:rsidR="005C332D" w:rsidRDefault="00B93EAE">
            <w:pPr>
              <w:jc w:val="right"/>
              <w:textAlignment w:val="bottom"/>
            </w:pPr>
            <w:r>
              <w:rPr>
                <w:rFonts w:ascii="Times New Roman" w:eastAsia="宋体" w:hAnsi="Times New Roman"/>
                <w:b/>
                <w:bCs/>
                <w:color w:val="000000"/>
                <w:sz w:val="19"/>
                <w:szCs w:val="19"/>
              </w:rPr>
              <w:t>(1,205)</w:t>
            </w:r>
          </w:p>
        </w:tc>
        <w:tc>
          <w:tcPr>
            <w:tcW w:w="0" w:type="auto"/>
            <w:shd w:val="clear" w:color="auto" w:fill="CCEEFF"/>
            <w:tcMar>
              <w:top w:w="40" w:type="dxa"/>
              <w:left w:w="0" w:type="dxa"/>
              <w:bottom w:w="40" w:type="dxa"/>
              <w:right w:w="20" w:type="dxa"/>
            </w:tcMar>
            <w:vAlign w:val="bottom"/>
          </w:tcPr>
          <w:p w14:paraId="518B5D4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4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4C" w14:textId="77777777" w:rsidR="005C332D" w:rsidRDefault="00B93EAE">
            <w:pPr>
              <w:jc w:val="right"/>
              <w:textAlignment w:val="bottom"/>
            </w:pPr>
            <w:r>
              <w:rPr>
                <w:rFonts w:ascii="Times New Roman" w:eastAsia="宋体" w:hAnsi="Times New Roman"/>
                <w:b/>
                <w:bCs/>
                <w:color w:val="000000"/>
                <w:sz w:val="19"/>
                <w:szCs w:val="19"/>
              </w:rPr>
              <w:t>(1,205)</w:t>
            </w:r>
          </w:p>
        </w:tc>
        <w:tc>
          <w:tcPr>
            <w:tcW w:w="0" w:type="auto"/>
            <w:shd w:val="clear" w:color="auto" w:fill="CCEEFF"/>
            <w:tcMar>
              <w:top w:w="40" w:type="dxa"/>
              <w:left w:w="0" w:type="dxa"/>
              <w:bottom w:w="40" w:type="dxa"/>
              <w:right w:w="20" w:type="dxa"/>
            </w:tcMar>
            <w:vAlign w:val="bottom"/>
          </w:tcPr>
          <w:p w14:paraId="518B5D4D" w14:textId="77777777" w:rsidR="005C332D" w:rsidRDefault="005C332D">
            <w:pPr>
              <w:jc w:val="right"/>
              <w:rPr>
                <w:rFonts w:ascii="宋体"/>
              </w:rPr>
            </w:pPr>
          </w:p>
        </w:tc>
      </w:tr>
      <w:tr w:rsidR="005C332D" w14:paraId="518B5D5C" w14:textId="77777777">
        <w:trPr>
          <w:jc w:val="center"/>
        </w:trPr>
        <w:tc>
          <w:tcPr>
            <w:tcW w:w="0" w:type="auto"/>
            <w:gridSpan w:val="3"/>
            <w:shd w:val="clear" w:color="auto" w:fill="FFFFFF"/>
            <w:tcMar>
              <w:top w:w="40" w:type="dxa"/>
              <w:left w:w="20" w:type="dxa"/>
              <w:bottom w:w="40" w:type="dxa"/>
              <w:right w:w="20" w:type="dxa"/>
            </w:tcMar>
            <w:vAlign w:val="bottom"/>
          </w:tcPr>
          <w:p w14:paraId="518B5D4F" w14:textId="77777777" w:rsidR="005C332D" w:rsidRDefault="00B93EAE">
            <w:pPr>
              <w:textAlignment w:val="bottom"/>
            </w:pPr>
            <w:r>
              <w:rPr>
                <w:rFonts w:ascii="Times New Roman" w:eastAsia="宋体" w:hAnsi="Times New Roman"/>
                <w:b/>
                <w:bCs/>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518B5D50" w14:textId="77777777" w:rsidR="005C332D" w:rsidRDefault="00B93EAE">
            <w:pPr>
              <w:jc w:val="right"/>
              <w:textAlignment w:val="bottom"/>
            </w:pPr>
            <w:r>
              <w:rPr>
                <w:rFonts w:ascii="Times New Roman" w:eastAsia="宋体" w:hAnsi="Times New Roman"/>
                <w:b/>
                <w:bCs/>
                <w:color w:val="000000"/>
                <w:sz w:val="19"/>
                <w:szCs w:val="19"/>
              </w:rPr>
              <w:t>54</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D5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5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53" w14:textId="77777777" w:rsidR="005C332D" w:rsidRDefault="00B93EAE">
            <w:pPr>
              <w:jc w:val="right"/>
              <w:textAlignment w:val="bottom"/>
            </w:pPr>
            <w:r>
              <w:rPr>
                <w:rFonts w:ascii="Times New Roman" w:eastAsia="宋体" w:hAnsi="Times New Roman"/>
                <w:b/>
                <w:bCs/>
                <w:color w:val="000000"/>
                <w:sz w:val="19"/>
                <w:szCs w:val="19"/>
              </w:rPr>
              <w:t>660</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D5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5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5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5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5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5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5A" w14:textId="77777777" w:rsidR="005C332D" w:rsidRDefault="00B93EAE">
            <w:pPr>
              <w:jc w:val="right"/>
              <w:textAlignment w:val="bottom"/>
            </w:pPr>
            <w:r>
              <w:rPr>
                <w:rFonts w:ascii="Times New Roman" w:eastAsia="宋体" w:hAnsi="Times New Roman"/>
                <w:b/>
                <w:bCs/>
                <w:color w:val="000000"/>
                <w:sz w:val="19"/>
                <w:szCs w:val="19"/>
              </w:rPr>
              <w:t>660</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D5B" w14:textId="77777777" w:rsidR="005C332D" w:rsidRDefault="005C332D">
            <w:pPr>
              <w:jc w:val="right"/>
              <w:rPr>
                <w:rFonts w:ascii="宋体"/>
              </w:rPr>
            </w:pPr>
          </w:p>
        </w:tc>
      </w:tr>
      <w:tr w:rsidR="005C332D" w14:paraId="518B5D6B" w14:textId="77777777">
        <w:trPr>
          <w:jc w:val="center"/>
        </w:trPr>
        <w:tc>
          <w:tcPr>
            <w:tcW w:w="0" w:type="auto"/>
            <w:gridSpan w:val="3"/>
            <w:shd w:val="clear" w:color="auto" w:fill="CCEEFF"/>
            <w:tcMar>
              <w:top w:w="40" w:type="dxa"/>
              <w:left w:w="20" w:type="dxa"/>
              <w:bottom w:w="40" w:type="dxa"/>
              <w:right w:w="20" w:type="dxa"/>
            </w:tcMar>
            <w:vAlign w:val="bottom"/>
          </w:tcPr>
          <w:p w14:paraId="518B5D5D" w14:textId="77777777" w:rsidR="005C332D" w:rsidRDefault="00B93EAE">
            <w:pPr>
              <w:textAlignment w:val="bottom"/>
            </w:pPr>
            <w:r>
              <w:rPr>
                <w:rFonts w:ascii="Times New Roman" w:eastAsia="宋体" w:hAnsi="Times New Roman"/>
                <w:b/>
                <w:bCs/>
                <w:color w:val="000000"/>
                <w:sz w:val="19"/>
                <w:szCs w:val="19"/>
              </w:rPr>
              <w:t>Repur</w:t>
            </w:r>
            <w:r>
              <w:rPr>
                <w:rFonts w:ascii="Times New Roman" w:eastAsia="宋体" w:hAnsi="Times New Roman"/>
                <w:b/>
                <w:bCs/>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518B5D5E" w14:textId="77777777" w:rsidR="005C332D" w:rsidRDefault="00B93EAE">
            <w:pPr>
              <w:jc w:val="right"/>
              <w:textAlignment w:val="bottom"/>
            </w:pPr>
            <w:r>
              <w:rPr>
                <w:rFonts w:ascii="Times New Roman" w:eastAsia="宋体" w:hAnsi="Times New Roman"/>
                <w:b/>
                <w:bCs/>
                <w:color w:val="000000"/>
                <w:sz w:val="19"/>
                <w:szCs w:val="19"/>
              </w:rPr>
              <w:t>(146)</w:t>
            </w:r>
          </w:p>
        </w:tc>
        <w:tc>
          <w:tcPr>
            <w:tcW w:w="0" w:type="auto"/>
            <w:shd w:val="clear" w:color="auto" w:fill="CCEEFF"/>
            <w:tcMar>
              <w:top w:w="40" w:type="dxa"/>
              <w:left w:w="0" w:type="dxa"/>
              <w:bottom w:w="40" w:type="dxa"/>
              <w:right w:w="20" w:type="dxa"/>
            </w:tcMar>
            <w:vAlign w:val="bottom"/>
          </w:tcPr>
          <w:p w14:paraId="518B5D5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6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61" w14:textId="77777777" w:rsidR="005C332D" w:rsidRDefault="00B93EAE">
            <w:pPr>
              <w:jc w:val="right"/>
              <w:textAlignment w:val="bottom"/>
            </w:pPr>
            <w:r>
              <w:rPr>
                <w:rFonts w:ascii="Times New Roman" w:eastAsia="宋体" w:hAnsi="Times New Roman"/>
                <w:b/>
                <w:bCs/>
                <w:color w:val="000000"/>
                <w:sz w:val="19"/>
                <w:szCs w:val="19"/>
              </w:rPr>
              <w:t>(1,490)</w:t>
            </w:r>
          </w:p>
        </w:tc>
        <w:tc>
          <w:tcPr>
            <w:tcW w:w="0" w:type="auto"/>
            <w:shd w:val="clear" w:color="auto" w:fill="CCEEFF"/>
            <w:tcMar>
              <w:top w:w="40" w:type="dxa"/>
              <w:left w:w="0" w:type="dxa"/>
              <w:bottom w:w="40" w:type="dxa"/>
              <w:right w:w="20" w:type="dxa"/>
            </w:tcMar>
            <w:vAlign w:val="bottom"/>
          </w:tcPr>
          <w:p w14:paraId="518B5D6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6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64" w14:textId="77777777" w:rsidR="005C332D" w:rsidRDefault="00B93EAE">
            <w:pPr>
              <w:jc w:val="right"/>
              <w:textAlignment w:val="bottom"/>
            </w:pPr>
            <w:r>
              <w:rPr>
                <w:rFonts w:ascii="Times New Roman" w:eastAsia="宋体" w:hAnsi="Times New Roman"/>
                <w:b/>
                <w:bCs/>
                <w:color w:val="000000"/>
                <w:sz w:val="19"/>
                <w:szCs w:val="19"/>
              </w:rPr>
              <w:t>(6,244)</w:t>
            </w:r>
          </w:p>
        </w:tc>
        <w:tc>
          <w:tcPr>
            <w:tcW w:w="0" w:type="auto"/>
            <w:shd w:val="clear" w:color="auto" w:fill="CCEEFF"/>
            <w:tcMar>
              <w:top w:w="40" w:type="dxa"/>
              <w:left w:w="0" w:type="dxa"/>
              <w:bottom w:w="40" w:type="dxa"/>
              <w:right w:w="20" w:type="dxa"/>
            </w:tcMar>
            <w:vAlign w:val="bottom"/>
          </w:tcPr>
          <w:p w14:paraId="518B5D6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6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6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6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69" w14:textId="77777777" w:rsidR="005C332D" w:rsidRDefault="00B93EAE">
            <w:pPr>
              <w:jc w:val="right"/>
              <w:textAlignment w:val="bottom"/>
            </w:pPr>
            <w:r>
              <w:rPr>
                <w:rFonts w:ascii="Times New Roman" w:eastAsia="宋体" w:hAnsi="Times New Roman"/>
                <w:b/>
                <w:bCs/>
                <w:color w:val="000000"/>
                <w:sz w:val="19"/>
                <w:szCs w:val="19"/>
              </w:rPr>
              <w:t>(7,734)</w:t>
            </w:r>
          </w:p>
        </w:tc>
        <w:tc>
          <w:tcPr>
            <w:tcW w:w="0" w:type="auto"/>
            <w:shd w:val="clear" w:color="auto" w:fill="CCEEFF"/>
            <w:tcMar>
              <w:top w:w="40" w:type="dxa"/>
              <w:left w:w="0" w:type="dxa"/>
              <w:bottom w:w="40" w:type="dxa"/>
              <w:right w:w="20" w:type="dxa"/>
            </w:tcMar>
            <w:vAlign w:val="bottom"/>
          </w:tcPr>
          <w:p w14:paraId="518B5D6A" w14:textId="77777777" w:rsidR="005C332D" w:rsidRDefault="005C332D">
            <w:pPr>
              <w:jc w:val="right"/>
              <w:rPr>
                <w:rFonts w:ascii="宋体"/>
              </w:rPr>
            </w:pPr>
          </w:p>
        </w:tc>
      </w:tr>
      <w:tr w:rsidR="005C332D" w14:paraId="518B5D79" w14:textId="77777777">
        <w:trPr>
          <w:jc w:val="center"/>
        </w:trPr>
        <w:tc>
          <w:tcPr>
            <w:tcW w:w="0" w:type="auto"/>
            <w:gridSpan w:val="3"/>
            <w:shd w:val="clear" w:color="auto" w:fill="FFFFFF"/>
            <w:tcMar>
              <w:top w:w="40" w:type="dxa"/>
              <w:left w:w="20" w:type="dxa"/>
              <w:bottom w:w="40" w:type="dxa"/>
              <w:right w:w="20" w:type="dxa"/>
            </w:tcMar>
            <w:vAlign w:val="bottom"/>
          </w:tcPr>
          <w:p w14:paraId="518B5D6C" w14:textId="77777777" w:rsidR="005C332D" w:rsidRDefault="00B93EAE">
            <w:pPr>
              <w:textAlignment w:val="bottom"/>
            </w:pPr>
            <w:r>
              <w:rPr>
                <w:rFonts w:ascii="Times New Roman" w:eastAsia="宋体" w:hAnsi="Times New Roman"/>
                <w:b/>
                <w:bCs/>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518B5D6D" w14:textId="77777777" w:rsidR="005C332D" w:rsidRDefault="00B93EAE">
            <w:pPr>
              <w:jc w:val="right"/>
              <w:textAlignment w:val="bottom"/>
            </w:pPr>
            <w:r>
              <w:rPr>
                <w:rFonts w:ascii="Times New Roman" w:eastAsia="宋体" w:hAnsi="Times New Roman"/>
                <w:b/>
                <w:bCs/>
                <w:color w:val="000000"/>
                <w:sz w:val="19"/>
                <w:szCs w:val="19"/>
              </w:rPr>
              <w:t>(13)</w:t>
            </w:r>
          </w:p>
        </w:tc>
        <w:tc>
          <w:tcPr>
            <w:tcW w:w="0" w:type="auto"/>
            <w:shd w:val="clear" w:color="auto" w:fill="FFFFFF"/>
            <w:tcMar>
              <w:top w:w="40" w:type="dxa"/>
              <w:left w:w="0" w:type="dxa"/>
              <w:bottom w:w="40" w:type="dxa"/>
              <w:right w:w="20" w:type="dxa"/>
            </w:tcMar>
            <w:vAlign w:val="bottom"/>
          </w:tcPr>
          <w:p w14:paraId="518B5D6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6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70" w14:textId="77777777" w:rsidR="005C332D" w:rsidRDefault="00B93EAE">
            <w:pPr>
              <w:jc w:val="right"/>
              <w:textAlignment w:val="bottom"/>
            </w:pPr>
            <w:r>
              <w:rPr>
                <w:rFonts w:ascii="Times New Roman" w:eastAsia="宋体" w:hAnsi="Times New Roman"/>
                <w:b/>
                <w:bCs/>
                <w:color w:val="000000"/>
                <w:sz w:val="19"/>
                <w:szCs w:val="19"/>
              </w:rPr>
              <w:t>(692)</w:t>
            </w:r>
          </w:p>
        </w:tc>
        <w:tc>
          <w:tcPr>
            <w:tcW w:w="0" w:type="auto"/>
            <w:shd w:val="clear" w:color="auto" w:fill="FFFFFF"/>
            <w:tcMar>
              <w:top w:w="40" w:type="dxa"/>
              <w:left w:w="0" w:type="dxa"/>
              <w:bottom w:w="40" w:type="dxa"/>
              <w:right w:w="20" w:type="dxa"/>
            </w:tcMar>
            <w:vAlign w:val="bottom"/>
          </w:tcPr>
          <w:p w14:paraId="518B5D7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7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7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7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7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7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77" w14:textId="77777777" w:rsidR="005C332D" w:rsidRDefault="00B93EAE">
            <w:pPr>
              <w:jc w:val="right"/>
              <w:textAlignment w:val="bottom"/>
            </w:pPr>
            <w:r>
              <w:rPr>
                <w:rFonts w:ascii="Times New Roman" w:eastAsia="宋体" w:hAnsi="Times New Roman"/>
                <w:b/>
                <w:bCs/>
                <w:color w:val="000000"/>
                <w:sz w:val="19"/>
                <w:szCs w:val="19"/>
              </w:rPr>
              <w:t>(692)</w:t>
            </w:r>
          </w:p>
        </w:tc>
        <w:tc>
          <w:tcPr>
            <w:tcW w:w="0" w:type="auto"/>
            <w:shd w:val="clear" w:color="auto" w:fill="FFFFFF"/>
            <w:tcMar>
              <w:top w:w="40" w:type="dxa"/>
              <w:left w:w="0" w:type="dxa"/>
              <w:bottom w:w="40" w:type="dxa"/>
              <w:right w:w="20" w:type="dxa"/>
            </w:tcMar>
            <w:vAlign w:val="bottom"/>
          </w:tcPr>
          <w:p w14:paraId="518B5D78" w14:textId="77777777" w:rsidR="005C332D" w:rsidRDefault="005C332D">
            <w:pPr>
              <w:jc w:val="right"/>
              <w:rPr>
                <w:rFonts w:ascii="宋体"/>
              </w:rPr>
            </w:pPr>
          </w:p>
        </w:tc>
      </w:tr>
      <w:tr w:rsidR="005C332D" w14:paraId="518B5D86" w14:textId="77777777">
        <w:trPr>
          <w:jc w:val="center"/>
        </w:trPr>
        <w:tc>
          <w:tcPr>
            <w:tcW w:w="0" w:type="auto"/>
            <w:gridSpan w:val="3"/>
            <w:shd w:val="clear" w:color="auto" w:fill="CCEEFF"/>
            <w:tcMar>
              <w:top w:w="40" w:type="dxa"/>
              <w:left w:w="20" w:type="dxa"/>
              <w:bottom w:w="40" w:type="dxa"/>
              <w:right w:w="20" w:type="dxa"/>
            </w:tcMar>
            <w:vAlign w:val="bottom"/>
          </w:tcPr>
          <w:p w14:paraId="518B5D7A" w14:textId="77777777" w:rsidR="005C332D" w:rsidRDefault="00B93EAE">
            <w:pPr>
              <w:textAlignment w:val="bottom"/>
            </w:pPr>
            <w:r>
              <w:rPr>
                <w:rFonts w:ascii="Times New Roman" w:eastAsia="宋体" w:hAnsi="Times New Roman"/>
                <w:b/>
                <w:bCs/>
                <w:color w:val="000000"/>
                <w:sz w:val="19"/>
                <w:szCs w:val="19"/>
              </w:rPr>
              <w:t>Cash dividends declared ($1.50 per common share)</w:t>
            </w:r>
          </w:p>
        </w:tc>
        <w:tc>
          <w:tcPr>
            <w:tcW w:w="0" w:type="auto"/>
            <w:gridSpan w:val="3"/>
            <w:shd w:val="clear" w:color="auto" w:fill="CCEEFF"/>
            <w:tcMar>
              <w:top w:w="0" w:type="dxa"/>
              <w:left w:w="20" w:type="dxa"/>
              <w:bottom w:w="0" w:type="dxa"/>
              <w:right w:w="20" w:type="dxa"/>
            </w:tcMar>
            <w:vAlign w:val="bottom"/>
          </w:tcPr>
          <w:p w14:paraId="518B5D7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7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7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7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7F" w14:textId="77777777" w:rsidR="005C332D" w:rsidRDefault="00B93EAE">
            <w:pPr>
              <w:jc w:val="right"/>
              <w:textAlignment w:val="bottom"/>
            </w:pPr>
            <w:r>
              <w:rPr>
                <w:rFonts w:ascii="Times New Roman" w:eastAsia="宋体" w:hAnsi="Times New Roman"/>
                <w:b/>
                <w:bCs/>
                <w:color w:val="000000"/>
                <w:sz w:val="19"/>
                <w:szCs w:val="19"/>
              </w:rPr>
              <w:t>(6,224)</w:t>
            </w:r>
          </w:p>
        </w:tc>
        <w:tc>
          <w:tcPr>
            <w:tcW w:w="0" w:type="auto"/>
            <w:shd w:val="clear" w:color="auto" w:fill="CCEEFF"/>
            <w:tcMar>
              <w:top w:w="40" w:type="dxa"/>
              <w:left w:w="0" w:type="dxa"/>
              <w:bottom w:w="40" w:type="dxa"/>
              <w:right w:w="20" w:type="dxa"/>
            </w:tcMar>
            <w:vAlign w:val="bottom"/>
          </w:tcPr>
          <w:p w14:paraId="518B5D8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8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8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8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84" w14:textId="77777777" w:rsidR="005C332D" w:rsidRDefault="00B93EAE">
            <w:pPr>
              <w:jc w:val="right"/>
              <w:textAlignment w:val="bottom"/>
            </w:pPr>
            <w:r>
              <w:rPr>
                <w:rFonts w:ascii="Times New Roman" w:eastAsia="宋体" w:hAnsi="Times New Roman"/>
                <w:b/>
                <w:bCs/>
                <w:color w:val="000000"/>
                <w:sz w:val="19"/>
                <w:szCs w:val="19"/>
              </w:rPr>
              <w:t>(6,224)</w:t>
            </w:r>
          </w:p>
        </w:tc>
        <w:tc>
          <w:tcPr>
            <w:tcW w:w="0" w:type="auto"/>
            <w:shd w:val="clear" w:color="auto" w:fill="CCEEFF"/>
            <w:tcMar>
              <w:top w:w="40" w:type="dxa"/>
              <w:left w:w="0" w:type="dxa"/>
              <w:bottom w:w="40" w:type="dxa"/>
              <w:right w:w="20" w:type="dxa"/>
            </w:tcMar>
            <w:vAlign w:val="bottom"/>
          </w:tcPr>
          <w:p w14:paraId="518B5D85" w14:textId="77777777" w:rsidR="005C332D" w:rsidRDefault="005C332D">
            <w:pPr>
              <w:jc w:val="right"/>
              <w:rPr>
                <w:rFonts w:ascii="宋体"/>
              </w:rPr>
            </w:pPr>
          </w:p>
        </w:tc>
      </w:tr>
      <w:tr w:rsidR="005C332D" w14:paraId="518B5D93" w14:textId="77777777">
        <w:trPr>
          <w:jc w:val="center"/>
        </w:trPr>
        <w:tc>
          <w:tcPr>
            <w:tcW w:w="0" w:type="auto"/>
            <w:gridSpan w:val="3"/>
            <w:shd w:val="clear" w:color="auto" w:fill="FFFFFF"/>
            <w:tcMar>
              <w:top w:w="40" w:type="dxa"/>
              <w:left w:w="20" w:type="dxa"/>
              <w:bottom w:w="40" w:type="dxa"/>
              <w:right w:w="20" w:type="dxa"/>
            </w:tcMar>
            <w:vAlign w:val="bottom"/>
          </w:tcPr>
          <w:p w14:paraId="518B5D87" w14:textId="77777777" w:rsidR="005C332D" w:rsidRDefault="00B93EAE">
            <w:pPr>
              <w:textAlignment w:val="bottom"/>
            </w:pPr>
            <w:r>
              <w:rPr>
                <w:rFonts w:ascii="Times New Roman" w:eastAsia="宋体" w:hAnsi="Times New Roman"/>
                <w:b/>
                <w:bCs/>
                <w:color w:val="000000"/>
                <w:sz w:val="19"/>
                <w:szCs w:val="19"/>
              </w:rPr>
              <w:t>Share-based compensation</w:t>
            </w:r>
          </w:p>
        </w:tc>
        <w:tc>
          <w:tcPr>
            <w:tcW w:w="0" w:type="auto"/>
            <w:gridSpan w:val="3"/>
            <w:shd w:val="clear" w:color="auto" w:fill="FFFFFF"/>
            <w:tcMar>
              <w:top w:w="0" w:type="dxa"/>
              <w:left w:w="20" w:type="dxa"/>
              <w:bottom w:w="0" w:type="dxa"/>
              <w:right w:w="20" w:type="dxa"/>
            </w:tcMar>
            <w:vAlign w:val="bottom"/>
          </w:tcPr>
          <w:p w14:paraId="518B5D8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8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8A" w14:textId="77777777" w:rsidR="005C332D" w:rsidRDefault="00B93EAE">
            <w:pPr>
              <w:jc w:val="right"/>
              <w:textAlignment w:val="bottom"/>
            </w:pPr>
            <w:r>
              <w:rPr>
                <w:rFonts w:ascii="Times New Roman" w:eastAsia="宋体" w:hAnsi="Times New Roman"/>
                <w:b/>
                <w:bCs/>
                <w:color w:val="000000"/>
                <w:sz w:val="19"/>
                <w:szCs w:val="19"/>
              </w:rPr>
              <w:t>1,886</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D8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8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8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8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8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5D9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D91" w14:textId="77777777" w:rsidR="005C332D" w:rsidRDefault="00B93EAE">
            <w:pPr>
              <w:jc w:val="right"/>
              <w:textAlignment w:val="bottom"/>
            </w:pPr>
            <w:r>
              <w:rPr>
                <w:rFonts w:ascii="Times New Roman" w:eastAsia="宋体" w:hAnsi="Times New Roman"/>
                <w:b/>
                <w:bCs/>
                <w:color w:val="000000"/>
                <w:sz w:val="19"/>
                <w:szCs w:val="19"/>
              </w:rPr>
              <w:t>1,886</w:t>
            </w: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518B5D92" w14:textId="77777777" w:rsidR="005C332D" w:rsidRDefault="005C332D">
            <w:pPr>
              <w:jc w:val="right"/>
              <w:rPr>
                <w:rFonts w:ascii="宋体"/>
              </w:rPr>
            </w:pPr>
          </w:p>
        </w:tc>
      </w:tr>
      <w:tr w:rsidR="005C332D" w14:paraId="518B5DA2" w14:textId="77777777">
        <w:trPr>
          <w:jc w:val="center"/>
        </w:trPr>
        <w:tc>
          <w:tcPr>
            <w:tcW w:w="0" w:type="auto"/>
            <w:gridSpan w:val="3"/>
            <w:shd w:val="clear" w:color="auto" w:fill="CCEEFF"/>
            <w:tcMar>
              <w:top w:w="40" w:type="dxa"/>
              <w:left w:w="20" w:type="dxa"/>
              <w:bottom w:w="40" w:type="dxa"/>
              <w:right w:w="20" w:type="dxa"/>
            </w:tcMar>
            <w:vAlign w:val="bottom"/>
          </w:tcPr>
          <w:p w14:paraId="518B5D94" w14:textId="77777777" w:rsidR="005C332D" w:rsidRDefault="00B93EAE">
            <w:pPr>
              <w:textAlignment w:val="bottom"/>
            </w:pPr>
            <w:r>
              <w:rPr>
                <w:rFonts w:ascii="Times New Roman" w:eastAsia="宋体" w:hAnsi="Times New Roman"/>
                <w:b/>
                <w:bCs/>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518B5D95" w14:textId="77777777" w:rsidR="005C332D" w:rsidRDefault="00B93EAE">
            <w:pPr>
              <w:jc w:val="right"/>
              <w:textAlignment w:val="bottom"/>
            </w:pPr>
            <w:r>
              <w:rPr>
                <w:rFonts w:ascii="Times New Roman" w:eastAsia="宋体" w:hAnsi="Times New Roman"/>
                <w:b/>
                <w:bCs/>
                <w:color w:val="000000"/>
                <w:sz w:val="19"/>
                <w:szCs w:val="19"/>
              </w:rPr>
              <w:t>(2)</w:t>
            </w:r>
          </w:p>
        </w:tc>
        <w:tc>
          <w:tcPr>
            <w:tcW w:w="0" w:type="auto"/>
            <w:shd w:val="clear" w:color="auto" w:fill="CCEEFF"/>
            <w:tcMar>
              <w:top w:w="40" w:type="dxa"/>
              <w:left w:w="0" w:type="dxa"/>
              <w:bottom w:w="40" w:type="dxa"/>
              <w:right w:w="20" w:type="dxa"/>
            </w:tcMar>
            <w:vAlign w:val="bottom"/>
          </w:tcPr>
          <w:p w14:paraId="518B5D9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9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98" w14:textId="77777777" w:rsidR="005C332D" w:rsidRDefault="00B93EAE">
            <w:pPr>
              <w:jc w:val="right"/>
              <w:textAlignment w:val="bottom"/>
            </w:pPr>
            <w:r>
              <w:rPr>
                <w:rFonts w:ascii="Times New Roman" w:eastAsia="宋体" w:hAnsi="Times New Roman"/>
                <w:b/>
                <w:bCs/>
                <w:color w:val="000000"/>
                <w:sz w:val="19"/>
                <w:szCs w:val="19"/>
              </w:rPr>
              <w:t>4</w:t>
            </w: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518B5D9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9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9B" w14:textId="77777777" w:rsidR="005C332D" w:rsidRDefault="00B93EAE">
            <w:pPr>
              <w:jc w:val="right"/>
              <w:textAlignment w:val="bottom"/>
            </w:pPr>
            <w:r>
              <w:rPr>
                <w:rFonts w:ascii="Times New Roman" w:eastAsia="宋体" w:hAnsi="Times New Roman"/>
                <w:b/>
                <w:bCs/>
                <w:color w:val="000000"/>
                <w:sz w:val="19"/>
                <w:szCs w:val="19"/>
              </w:rPr>
              <w:t>(9)</w:t>
            </w:r>
          </w:p>
        </w:tc>
        <w:tc>
          <w:tcPr>
            <w:tcW w:w="0" w:type="auto"/>
            <w:shd w:val="clear" w:color="auto" w:fill="CCEEFF"/>
            <w:tcMar>
              <w:top w:w="40" w:type="dxa"/>
              <w:left w:w="0" w:type="dxa"/>
              <w:bottom w:w="40" w:type="dxa"/>
              <w:right w:w="20" w:type="dxa"/>
            </w:tcMar>
            <w:vAlign w:val="bottom"/>
          </w:tcPr>
          <w:p w14:paraId="518B5D9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D9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9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D9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DA0" w14:textId="77777777" w:rsidR="005C332D" w:rsidRDefault="00B93EAE">
            <w:pPr>
              <w:jc w:val="right"/>
              <w:textAlignment w:val="bottom"/>
            </w:pPr>
            <w:r>
              <w:rPr>
                <w:rFonts w:ascii="Times New Roman" w:eastAsia="宋体" w:hAnsi="Times New Roman"/>
                <w:b/>
                <w:bCs/>
                <w:color w:val="000000"/>
                <w:sz w:val="19"/>
                <w:szCs w:val="19"/>
              </w:rPr>
              <w:t>(5)</w:t>
            </w:r>
          </w:p>
        </w:tc>
        <w:tc>
          <w:tcPr>
            <w:tcW w:w="0" w:type="auto"/>
            <w:shd w:val="clear" w:color="auto" w:fill="CCEEFF"/>
            <w:tcMar>
              <w:top w:w="40" w:type="dxa"/>
              <w:left w:w="0" w:type="dxa"/>
              <w:bottom w:w="40" w:type="dxa"/>
              <w:right w:w="20" w:type="dxa"/>
            </w:tcMar>
            <w:vAlign w:val="bottom"/>
          </w:tcPr>
          <w:p w14:paraId="518B5DA1" w14:textId="77777777" w:rsidR="005C332D" w:rsidRDefault="005C332D">
            <w:pPr>
              <w:jc w:val="right"/>
              <w:rPr>
                <w:rFonts w:ascii="宋体"/>
              </w:rPr>
            </w:pPr>
          </w:p>
        </w:tc>
      </w:tr>
      <w:tr w:rsidR="005C332D" w14:paraId="518B5DB6" w14:textId="77777777">
        <w:trPr>
          <w:jc w:val="center"/>
        </w:trPr>
        <w:tc>
          <w:tcPr>
            <w:tcW w:w="0" w:type="auto"/>
            <w:gridSpan w:val="3"/>
            <w:shd w:val="clear" w:color="auto" w:fill="FFFFFF"/>
            <w:tcMar>
              <w:top w:w="40" w:type="dxa"/>
              <w:left w:w="20" w:type="dxa"/>
              <w:bottom w:w="40" w:type="dxa"/>
              <w:right w:w="20" w:type="dxa"/>
            </w:tcMar>
            <w:vAlign w:val="bottom"/>
          </w:tcPr>
          <w:p w14:paraId="518B5DA3" w14:textId="77777777" w:rsidR="005C332D" w:rsidRDefault="00B93EAE">
            <w:pPr>
              <w:textAlignment w:val="bottom"/>
            </w:pPr>
            <w:r>
              <w:rPr>
                <w:rFonts w:ascii="Times New Roman" w:eastAsia="宋体" w:hAnsi="Times New Roman"/>
                <w:b/>
                <w:bCs/>
                <w:color w:val="000000"/>
                <w:sz w:val="19"/>
                <w:szCs w:val="19"/>
              </w:rPr>
              <w:t>BALANCE AT JULY 30, 2022</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518B5DA4" w14:textId="77777777" w:rsidR="005C332D" w:rsidRDefault="00B93EAE">
            <w:pPr>
              <w:jc w:val="right"/>
              <w:textAlignment w:val="bottom"/>
            </w:pPr>
            <w:r>
              <w:rPr>
                <w:rFonts w:ascii="Times New Roman" w:eastAsia="宋体" w:hAnsi="Times New Roman"/>
                <w:b/>
                <w:bCs/>
                <w:color w:val="000000"/>
                <w:sz w:val="19"/>
                <w:szCs w:val="19"/>
              </w:rPr>
              <w:t>4,110</w:t>
            </w:r>
            <w:r>
              <w:rPr>
                <w:rFonts w:ascii="Times New Roman" w:eastAsia="宋体" w:hAnsi="Times New Roman"/>
                <w:color w:val="000000"/>
                <w:sz w:val="19"/>
                <w:szCs w:val="19"/>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518B5DA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A6" w14:textId="77777777" w:rsidR="005C332D" w:rsidRDefault="005C332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518B5DA7" w14:textId="77777777" w:rsidR="005C332D" w:rsidRDefault="00B93EAE">
            <w:pPr>
              <w:textAlignment w:val="bottom"/>
            </w:pPr>
            <w:r>
              <w:rPr>
                <w:rFonts w:ascii="Times New Roman" w:eastAsia="宋体" w:hAnsi="Times New Roman"/>
                <w:b/>
                <w:bCs/>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518B5DA8" w14:textId="77777777" w:rsidR="005C332D" w:rsidRDefault="00B93EAE">
            <w:pPr>
              <w:jc w:val="right"/>
              <w:textAlignment w:val="bottom"/>
            </w:pPr>
            <w:r>
              <w:rPr>
                <w:rFonts w:ascii="Times New Roman" w:eastAsia="宋体" w:hAnsi="Times New Roman"/>
                <w:b/>
                <w:bCs/>
                <w:color w:val="000000"/>
                <w:sz w:val="19"/>
                <w:szCs w:val="19"/>
              </w:rPr>
              <w:t>42,714</w:t>
            </w:r>
            <w:r>
              <w:rPr>
                <w:rFonts w:ascii="Times New Roman" w:eastAsia="宋体" w:hAnsi="Times New Roman"/>
                <w:color w:val="000000"/>
                <w:sz w:val="19"/>
                <w:szCs w:val="19"/>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518B5DA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AA" w14:textId="77777777" w:rsidR="005C332D" w:rsidRDefault="005C332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518B5DAB" w14:textId="77777777" w:rsidR="005C332D" w:rsidRDefault="00B93EAE">
            <w:pPr>
              <w:textAlignment w:val="bottom"/>
            </w:pPr>
            <w:r>
              <w:rPr>
                <w:rFonts w:ascii="Times New Roman" w:eastAsia="宋体" w:hAnsi="Times New Roman"/>
                <w:b/>
                <w:bCs/>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518B5DAC" w14:textId="77777777" w:rsidR="005C332D" w:rsidRDefault="00B93EAE">
            <w:pPr>
              <w:jc w:val="right"/>
              <w:textAlignment w:val="bottom"/>
            </w:pPr>
            <w:r>
              <w:rPr>
                <w:rFonts w:ascii="Times New Roman" w:eastAsia="宋体" w:hAnsi="Times New Roman"/>
                <w:b/>
                <w:bCs/>
                <w:color w:val="000000"/>
                <w:sz w:val="19"/>
                <w:szCs w:val="19"/>
              </w:rPr>
              <w:t>(1,319)</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518B5DA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AE" w14:textId="77777777" w:rsidR="005C332D" w:rsidRDefault="005C332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518B5DAF" w14:textId="77777777" w:rsidR="005C332D" w:rsidRDefault="00B93EAE">
            <w:pPr>
              <w:textAlignment w:val="bottom"/>
            </w:pPr>
            <w:r>
              <w:rPr>
                <w:rFonts w:ascii="Times New Roman" w:eastAsia="宋体" w:hAnsi="Times New Roman"/>
                <w:b/>
                <w:bCs/>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518B5DB0" w14:textId="77777777" w:rsidR="005C332D" w:rsidRDefault="00B93EAE">
            <w:pPr>
              <w:jc w:val="right"/>
              <w:textAlignment w:val="bottom"/>
            </w:pPr>
            <w:r>
              <w:rPr>
                <w:rFonts w:ascii="Times New Roman" w:eastAsia="宋体" w:hAnsi="Times New Roman"/>
                <w:b/>
                <w:bCs/>
                <w:color w:val="000000"/>
                <w:sz w:val="19"/>
                <w:szCs w:val="19"/>
              </w:rPr>
              <w:t>(1,622)</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518B5DB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DB2" w14:textId="77777777" w:rsidR="005C332D" w:rsidRDefault="005C332D">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518B5DB3" w14:textId="77777777" w:rsidR="005C332D" w:rsidRDefault="00B93EAE">
            <w:pPr>
              <w:textAlignment w:val="bottom"/>
            </w:pPr>
            <w:r>
              <w:rPr>
                <w:rFonts w:ascii="Times New Roman" w:eastAsia="宋体" w:hAnsi="Times New Roman"/>
                <w:b/>
                <w:bCs/>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518B5DB4" w14:textId="77777777" w:rsidR="005C332D" w:rsidRDefault="00B93EAE">
            <w:pPr>
              <w:jc w:val="right"/>
              <w:textAlignment w:val="bottom"/>
            </w:pPr>
            <w:r>
              <w:rPr>
                <w:rFonts w:ascii="Times New Roman" w:eastAsia="宋体" w:hAnsi="Times New Roman"/>
                <w:b/>
                <w:bCs/>
                <w:color w:val="000000"/>
                <w:sz w:val="19"/>
                <w:szCs w:val="19"/>
              </w:rPr>
              <w:t>39,773</w:t>
            </w:r>
            <w:r>
              <w:rPr>
                <w:rFonts w:ascii="Times New Roman" w:eastAsia="宋体" w:hAnsi="Times New Roman"/>
                <w:color w:val="000000"/>
                <w:sz w:val="19"/>
                <w:szCs w:val="19"/>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518B5DB5" w14:textId="77777777" w:rsidR="005C332D" w:rsidRDefault="005C332D">
            <w:pPr>
              <w:jc w:val="right"/>
              <w:rPr>
                <w:rFonts w:ascii="宋体"/>
              </w:rPr>
            </w:pPr>
          </w:p>
        </w:tc>
      </w:tr>
    </w:tbl>
    <w:p w14:paraId="518B5DB7" w14:textId="77777777" w:rsidR="005C332D" w:rsidRDefault="00B93EAE">
      <w:pPr>
        <w:spacing w:before="180"/>
      </w:pPr>
      <w:r>
        <w:rPr>
          <w:rFonts w:ascii="Times New Roman" w:eastAsia="宋体" w:hAnsi="Times New Roman"/>
          <w:color w:val="000000"/>
          <w:sz w:val="18"/>
          <w:szCs w:val="18"/>
        </w:rPr>
        <w:t>See Notes to Consolidated Financial Statements.</w:t>
      </w:r>
    </w:p>
    <w:p w14:paraId="518B5DB8" w14:textId="77777777" w:rsidR="005C332D" w:rsidRDefault="005C332D">
      <w:pPr>
        <w:spacing w:before="180"/>
      </w:pPr>
    </w:p>
    <w:p w14:paraId="518B5DB9" w14:textId="77777777" w:rsidR="005C332D" w:rsidRDefault="00B93EAE">
      <w:pPr>
        <w:jc w:val="center"/>
      </w:pPr>
      <w:r>
        <w:rPr>
          <w:rFonts w:ascii="Times New Roman" w:eastAsia="宋体" w:hAnsi="Times New Roman"/>
          <w:color w:val="000000"/>
          <w:sz w:val="20"/>
          <w:szCs w:val="20"/>
        </w:rPr>
        <w:t>63</w:t>
      </w:r>
    </w:p>
    <w:p w14:paraId="518B5DBA" w14:textId="77777777" w:rsidR="005C332D" w:rsidRDefault="00B93EAE">
      <w:r>
        <w:pict w14:anchorId="518B8754">
          <v:rect id="_x0000_i1089" style="width:415.3pt;height:1.5pt" o:hralign="center" o:hrstd="t" o:hr="t" fillcolor="#a0a0a0" stroked="f"/>
        </w:pict>
      </w:r>
    </w:p>
    <w:p w14:paraId="518B5DBB" w14:textId="77777777" w:rsidR="005C332D" w:rsidRDefault="00B93EAE">
      <w:hyperlink r:id="rId174" w:anchor="i049852cab38845aabd2a79d07dacda86_7" w:history="1">
        <w:r>
          <w:rPr>
            <w:rStyle w:val="a5"/>
            <w:rFonts w:ascii="Times New Roman" w:eastAsia="宋体" w:hAnsi="Times New Roman"/>
            <w:sz w:val="20"/>
            <w:szCs w:val="20"/>
          </w:rPr>
          <w:t>Table of Contents</w:t>
        </w:r>
      </w:hyperlink>
    </w:p>
    <w:p w14:paraId="518B5DBC" w14:textId="77777777" w:rsidR="005C332D" w:rsidRDefault="00B93EAE">
      <w:pPr>
        <w:jc w:val="center"/>
      </w:pPr>
      <w:r>
        <w:rPr>
          <w:rFonts w:ascii="Times New Roman" w:eastAsia="宋体" w:hAnsi="Times New Roman"/>
          <w:b/>
          <w:bCs/>
          <w:color w:val="000000"/>
          <w:sz w:val="20"/>
          <w:szCs w:val="20"/>
        </w:rPr>
        <w:t>CISCO SYSTEMS, INC.</w:t>
      </w:r>
    </w:p>
    <w:p w14:paraId="518B5DBD" w14:textId="77777777" w:rsidR="005C332D" w:rsidRDefault="00B93EAE">
      <w:pPr>
        <w:jc w:val="center"/>
      </w:pPr>
      <w:r>
        <w:rPr>
          <w:rFonts w:ascii="Times New Roman" w:eastAsia="宋体" w:hAnsi="Times New Roman"/>
          <w:b/>
          <w:bCs/>
          <w:color w:val="000000"/>
          <w:sz w:val="20"/>
          <w:szCs w:val="20"/>
        </w:rPr>
        <w:t>Notes to Consolidated Financial Statements</w:t>
      </w:r>
    </w:p>
    <w:p w14:paraId="518B5DBE" w14:textId="77777777" w:rsidR="005C332D" w:rsidRDefault="005C332D">
      <w:pPr>
        <w:jc w:val="center"/>
      </w:pPr>
    </w:p>
    <w:p w14:paraId="518B5DBF" w14:textId="77777777" w:rsidR="005C332D" w:rsidRDefault="00B93EAE">
      <w:pPr>
        <w:ind w:hanging="360"/>
        <w:jc w:val="both"/>
      </w:pPr>
      <w:r>
        <w:rPr>
          <w:rFonts w:ascii="Times New Roman" w:eastAsia="宋体" w:hAnsi="Times New Roman"/>
          <w:b/>
          <w:bCs/>
          <w:color w:val="000000"/>
          <w:sz w:val="20"/>
          <w:szCs w:val="20"/>
        </w:rPr>
        <w:t>1.Basis of Presentation</w:t>
      </w:r>
    </w:p>
    <w:p w14:paraId="518B5DC0" w14:textId="77777777" w:rsidR="005C332D" w:rsidRDefault="00B93EAE">
      <w:pPr>
        <w:spacing w:before="120"/>
        <w:jc w:val="both"/>
      </w:pPr>
      <w:r>
        <w:rPr>
          <w:rFonts w:ascii="Times New Roman" w:eastAsia="宋体" w:hAnsi="Times New Roman"/>
          <w:color w:val="000000"/>
          <w:sz w:val="20"/>
          <w:szCs w:val="20"/>
        </w:rPr>
        <w:t xml:space="preserve">The fiscal </w:t>
      </w:r>
      <w:r>
        <w:rPr>
          <w:rFonts w:ascii="Times New Roman" w:eastAsia="宋体" w:hAnsi="Times New Roman"/>
          <w:color w:val="000000"/>
          <w:sz w:val="20"/>
          <w:szCs w:val="20"/>
        </w:rPr>
        <w:t>year for Cisco Systems, Inc. (the “Company,” “Cisco,” “we,” “us,” or “our”) is the 52 or 53 weeks ending on the last Saturday in July. Fiscal 2022 and fiscal 2020 were each 52-week fiscal years, and fiscal 2021 was a 53-week fiscal year. The Consolidated F</w:t>
      </w:r>
      <w:r>
        <w:rPr>
          <w:rFonts w:ascii="Times New Roman" w:eastAsia="宋体" w:hAnsi="Times New Roman"/>
          <w:color w:val="000000"/>
          <w:sz w:val="20"/>
          <w:szCs w:val="20"/>
        </w:rPr>
        <w:t>inancial Statements include our accounts and those of our subsidiaries. All intercompany accounts and transactions have been eliminated. We conduct business globally and are primarily managed on a geographic basis in the following three geographic segments</w:t>
      </w:r>
      <w:r>
        <w:rPr>
          <w:rFonts w:ascii="Times New Roman" w:eastAsia="宋体" w:hAnsi="Times New Roman"/>
          <w:color w:val="000000"/>
          <w:sz w:val="20"/>
          <w:szCs w:val="20"/>
        </w:rPr>
        <w:t>: the Americas; Europe, Middle East, and Africa (EMEA); and Asia Pacific, Japan, and China (APJC).</w:t>
      </w:r>
    </w:p>
    <w:p w14:paraId="518B5DC1" w14:textId="77777777" w:rsidR="005C332D" w:rsidRDefault="00B93EAE">
      <w:pPr>
        <w:spacing w:before="120"/>
        <w:jc w:val="both"/>
      </w:pPr>
      <w:r>
        <w:rPr>
          <w:rFonts w:ascii="Times New Roman" w:eastAsia="宋体" w:hAnsi="Times New Roman"/>
          <w:color w:val="000000"/>
          <w:sz w:val="20"/>
          <w:szCs w:val="20"/>
        </w:rPr>
        <w:t>Our consolidated financial statements include our accounts and investments consolidated under the variable interest and voting models. The noncontrolling int</w:t>
      </w:r>
      <w:r>
        <w:rPr>
          <w:rFonts w:ascii="Times New Roman" w:eastAsia="宋体" w:hAnsi="Times New Roman"/>
          <w:color w:val="000000"/>
          <w:sz w:val="20"/>
          <w:szCs w:val="20"/>
        </w:rPr>
        <w:t>erests attributed to these investments are not presented as a separate component in the equity section of the Consolidated Balance Sheets as these amounts are not material for any of the fiscal periods presented. The share of earnings attributable to the n</w:t>
      </w:r>
      <w:r>
        <w:rPr>
          <w:rFonts w:ascii="Times New Roman" w:eastAsia="宋体" w:hAnsi="Times New Roman"/>
          <w:color w:val="000000"/>
          <w:sz w:val="20"/>
          <w:szCs w:val="20"/>
        </w:rPr>
        <w:t>oncontrolling interests are not presented separately in the Consolidated Statements of Operations as these amounts are not material for any of the fiscal periods presented.</w:t>
      </w:r>
    </w:p>
    <w:p w14:paraId="518B5DC2" w14:textId="77777777" w:rsidR="005C332D" w:rsidRDefault="00B93EAE">
      <w:pPr>
        <w:spacing w:before="120"/>
        <w:jc w:val="both"/>
      </w:pPr>
      <w:r>
        <w:rPr>
          <w:rFonts w:ascii="Times New Roman" w:eastAsia="宋体" w:hAnsi="Times New Roman"/>
          <w:color w:val="000000"/>
          <w:sz w:val="20"/>
          <w:szCs w:val="20"/>
        </w:rPr>
        <w:t>Certain reclassifications have been made to the amounts for prior years in order to</w:t>
      </w:r>
      <w:r>
        <w:rPr>
          <w:rFonts w:ascii="Times New Roman" w:eastAsia="宋体" w:hAnsi="Times New Roman"/>
          <w:color w:val="000000"/>
          <w:sz w:val="20"/>
          <w:szCs w:val="20"/>
        </w:rPr>
        <w:t xml:space="preserve"> conform to the current year’s presentation. We have evaluated subsequent events through the date that the financial statements were issued.</w:t>
      </w:r>
    </w:p>
    <w:p w14:paraId="518B5DC3" w14:textId="77777777" w:rsidR="005C332D" w:rsidRDefault="005C332D">
      <w:pPr>
        <w:spacing w:before="120"/>
        <w:jc w:val="both"/>
      </w:pPr>
    </w:p>
    <w:p w14:paraId="518B5DC4" w14:textId="77777777" w:rsidR="005C332D" w:rsidRDefault="00B93EAE">
      <w:pPr>
        <w:ind w:hanging="360"/>
        <w:jc w:val="both"/>
      </w:pPr>
      <w:r>
        <w:rPr>
          <w:rFonts w:ascii="Times New Roman" w:eastAsia="宋体" w:hAnsi="Times New Roman"/>
          <w:b/>
          <w:bCs/>
          <w:color w:val="000000"/>
          <w:sz w:val="20"/>
          <w:szCs w:val="20"/>
        </w:rPr>
        <w:t>2.Summary of Significant Accounting Policies</w:t>
      </w:r>
    </w:p>
    <w:p w14:paraId="518B5DC5" w14:textId="77777777" w:rsidR="005C332D" w:rsidRDefault="00B93EAE">
      <w:pPr>
        <w:spacing w:before="120"/>
        <w:jc w:val="both"/>
      </w:pPr>
      <w:r>
        <w:rPr>
          <w:rFonts w:ascii="Times New Roman" w:eastAsia="宋体" w:hAnsi="Times New Roman"/>
          <w:color w:val="000000"/>
          <w:sz w:val="20"/>
          <w:szCs w:val="20"/>
          <w:u w:val="single"/>
        </w:rPr>
        <w:t>(a) Cash and Cash Equivalents</w:t>
      </w:r>
      <w:r>
        <w:rPr>
          <w:rFonts w:ascii="Times New Roman" w:eastAsia="宋体" w:hAnsi="Times New Roman"/>
          <w:color w:val="000000"/>
          <w:sz w:val="20"/>
          <w:szCs w:val="20"/>
        </w:rPr>
        <w:t xml:space="preserve">   We consider all highly liquid investm</w:t>
      </w:r>
      <w:r>
        <w:rPr>
          <w:rFonts w:ascii="Times New Roman" w:eastAsia="宋体" w:hAnsi="Times New Roman"/>
          <w:color w:val="000000"/>
          <w:sz w:val="20"/>
          <w:szCs w:val="20"/>
        </w:rPr>
        <w:t>ents purchased with an original or remaining maturity of three months or less at the date of purchase to be cash equivalents. Cash and cash equivalents are maintained with various financial institutions.</w:t>
      </w:r>
    </w:p>
    <w:p w14:paraId="518B5DC6" w14:textId="77777777" w:rsidR="005C332D" w:rsidRDefault="00B93EAE">
      <w:pPr>
        <w:spacing w:before="120"/>
        <w:jc w:val="both"/>
      </w:pPr>
      <w:r>
        <w:rPr>
          <w:rFonts w:ascii="Times New Roman" w:eastAsia="宋体" w:hAnsi="Times New Roman"/>
          <w:color w:val="000000"/>
          <w:sz w:val="20"/>
          <w:szCs w:val="20"/>
          <w:u w:val="single"/>
        </w:rPr>
        <w:t>(b) Available-for-Sale Debt Investments</w:t>
      </w:r>
      <w:r>
        <w:rPr>
          <w:rFonts w:ascii="Times New Roman" w:eastAsia="宋体" w:hAnsi="Times New Roman"/>
          <w:color w:val="000000"/>
          <w:sz w:val="20"/>
          <w:szCs w:val="20"/>
        </w:rPr>
        <w:t xml:space="preserve">   We classif</w:t>
      </w:r>
      <w:r>
        <w:rPr>
          <w:rFonts w:ascii="Times New Roman" w:eastAsia="宋体" w:hAnsi="Times New Roman"/>
          <w:color w:val="000000"/>
          <w:sz w:val="20"/>
          <w:szCs w:val="20"/>
        </w:rPr>
        <w:t>y our investments in fixed income securities as available-for-sale debt investments. Our available-for-sale debt investments primarily consist of U.S. government, U.S. government agency, non-U.S. government and agency, corporate debt, and U.S. agency mortg</w:t>
      </w:r>
      <w:r>
        <w:rPr>
          <w:rFonts w:ascii="Times New Roman" w:eastAsia="宋体" w:hAnsi="Times New Roman"/>
          <w:color w:val="000000"/>
          <w:sz w:val="20"/>
          <w:szCs w:val="20"/>
        </w:rPr>
        <w:t>age-backed securities. These available-for-sale debt investments are primarily held in the custody of a major financial institution. A specific identification method is used to determine the cost basis of available-for-sale debt investments sold. These inv</w:t>
      </w:r>
      <w:r>
        <w:rPr>
          <w:rFonts w:ascii="Times New Roman" w:eastAsia="宋体" w:hAnsi="Times New Roman"/>
          <w:color w:val="000000"/>
          <w:sz w:val="20"/>
          <w:szCs w:val="20"/>
        </w:rPr>
        <w:t>estments are recorded in the Consolidated Balance Sheets at fair value. Unrealized gains and losses on these investments are included as a separate component of accumulated other comprehensive income (AOCI), net of tax. We classify our investments as curre</w:t>
      </w:r>
      <w:r>
        <w:rPr>
          <w:rFonts w:ascii="Times New Roman" w:eastAsia="宋体" w:hAnsi="Times New Roman"/>
          <w:color w:val="000000"/>
          <w:sz w:val="20"/>
          <w:szCs w:val="20"/>
        </w:rPr>
        <w:t>nt based on the nature of the investments and their availability for use in current operations.</w:t>
      </w:r>
    </w:p>
    <w:p w14:paraId="518B5DC7" w14:textId="77777777" w:rsidR="005C332D" w:rsidRDefault="00B93EAE">
      <w:pPr>
        <w:spacing w:before="120"/>
        <w:jc w:val="both"/>
      </w:pPr>
      <w:r>
        <w:rPr>
          <w:rFonts w:ascii="Times New Roman" w:eastAsia="宋体" w:hAnsi="Times New Roman"/>
          <w:color w:val="000000"/>
          <w:sz w:val="20"/>
          <w:szCs w:val="20"/>
          <w:u w:val="single"/>
        </w:rPr>
        <w:t>(c) Equity Instruments</w:t>
      </w:r>
      <w:r>
        <w:rPr>
          <w:rFonts w:ascii="Times New Roman" w:eastAsia="宋体" w:hAnsi="Times New Roman"/>
          <w:color w:val="000000"/>
          <w:sz w:val="20"/>
          <w:szCs w:val="20"/>
        </w:rPr>
        <w:t xml:space="preserve"> Our equity investments are accounted for as follows:</w:t>
      </w:r>
    </w:p>
    <w:p w14:paraId="518B5DC8"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i/>
          <w:iCs/>
          <w:color w:val="000000"/>
          <w:sz w:val="20"/>
          <w:szCs w:val="20"/>
        </w:rPr>
        <w:t>Marketable equity securities</w:t>
      </w:r>
      <w:r>
        <w:rPr>
          <w:rFonts w:ascii="Times New Roman" w:eastAsia="宋体" w:hAnsi="Times New Roman"/>
          <w:color w:val="000000"/>
          <w:sz w:val="20"/>
          <w:szCs w:val="20"/>
        </w:rPr>
        <w:t xml:space="preserve"> have readily determinable fair value (RDFV) that are measured and recorded at fair value through income.</w:t>
      </w:r>
    </w:p>
    <w:p w14:paraId="518B5DC9"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i/>
          <w:iCs/>
          <w:color w:val="000000"/>
          <w:sz w:val="20"/>
          <w:szCs w:val="20"/>
        </w:rPr>
        <w:t>Non-marketable equity securities</w:t>
      </w:r>
      <w:r>
        <w:rPr>
          <w:rFonts w:ascii="Times New Roman" w:eastAsia="宋体" w:hAnsi="Times New Roman"/>
          <w:color w:val="000000"/>
          <w:sz w:val="20"/>
          <w:szCs w:val="20"/>
        </w:rPr>
        <w:t xml:space="preserve"> do not have RDFV and are measured using a measurement alternative recorded at cost less any impairment, plus or minu</w:t>
      </w:r>
      <w:r>
        <w:rPr>
          <w:rFonts w:ascii="Times New Roman" w:eastAsia="宋体" w:hAnsi="Times New Roman"/>
          <w:color w:val="000000"/>
          <w:sz w:val="20"/>
          <w:szCs w:val="20"/>
        </w:rPr>
        <w:t>s changes resulting from qualifying observable price changes. For certain of these securities, we have elected to apply the net asset value (NAV) practical expedient. The NAV is the estimated fair value of these investments.</w:t>
      </w:r>
    </w:p>
    <w:p w14:paraId="518B5DCA"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i/>
          <w:iCs/>
          <w:color w:val="000000"/>
          <w:sz w:val="20"/>
          <w:szCs w:val="20"/>
        </w:rPr>
        <w:t>Equity method investments</w:t>
      </w:r>
      <w:r>
        <w:rPr>
          <w:rFonts w:ascii="Times New Roman" w:eastAsia="宋体" w:hAnsi="Times New Roman"/>
          <w:color w:val="000000"/>
          <w:sz w:val="20"/>
          <w:szCs w:val="20"/>
        </w:rPr>
        <w:t xml:space="preserve"> are </w:t>
      </w:r>
      <w:r>
        <w:rPr>
          <w:rFonts w:ascii="Times New Roman" w:eastAsia="宋体" w:hAnsi="Times New Roman"/>
          <w:color w:val="000000"/>
          <w:sz w:val="20"/>
          <w:szCs w:val="20"/>
        </w:rPr>
        <w:t>securities we do not control, but are able to exert significant influence over the investee. These investments are measured at cost less any impairment, plus or minus our share of equity method investee income or loss.</w:t>
      </w:r>
    </w:p>
    <w:p w14:paraId="518B5DCB" w14:textId="77777777" w:rsidR="005C332D" w:rsidRDefault="00B93EAE">
      <w:pPr>
        <w:spacing w:before="120"/>
        <w:jc w:val="both"/>
      </w:pPr>
      <w:r>
        <w:rPr>
          <w:rFonts w:ascii="Times New Roman" w:eastAsia="宋体" w:hAnsi="Times New Roman"/>
          <w:color w:val="000000"/>
          <w:sz w:val="20"/>
          <w:szCs w:val="20"/>
          <w:u w:val="single"/>
        </w:rPr>
        <w:t>(d) Impairments of Investments</w:t>
      </w:r>
      <w:r>
        <w:rPr>
          <w:rFonts w:ascii="Times New Roman" w:eastAsia="宋体" w:hAnsi="Times New Roman"/>
          <w:color w:val="000000"/>
          <w:sz w:val="20"/>
          <w:szCs w:val="20"/>
        </w:rPr>
        <w:t xml:space="preserve">   For </w:t>
      </w:r>
      <w:r>
        <w:rPr>
          <w:rFonts w:ascii="Times New Roman" w:eastAsia="宋体" w:hAnsi="Times New Roman"/>
          <w:color w:val="000000"/>
          <w:sz w:val="20"/>
          <w:szCs w:val="20"/>
        </w:rPr>
        <w:t>our available-for-sale debt securities in an unrealized loss position, we determine whether a credit loss exists. In this assessment, among other factors, we consider the extent to which the fair value is less than the amortized cost, any changes to the ra</w:t>
      </w:r>
      <w:r>
        <w:rPr>
          <w:rFonts w:ascii="Times New Roman" w:eastAsia="宋体" w:hAnsi="Times New Roman"/>
          <w:color w:val="000000"/>
          <w:sz w:val="20"/>
          <w:szCs w:val="20"/>
        </w:rPr>
        <w:t xml:space="preserve">ting of the security by a rating agency, and adverse conditions specifically related to the security. If factors indicate a credit loss exists, an allowance for credit loss is recorded to other income (loss), net, limited by the amount that the fair value </w:t>
      </w:r>
      <w:r>
        <w:rPr>
          <w:rFonts w:ascii="Times New Roman" w:eastAsia="宋体" w:hAnsi="Times New Roman"/>
          <w:color w:val="000000"/>
          <w:sz w:val="20"/>
          <w:szCs w:val="20"/>
        </w:rPr>
        <w:t>is less than the amortized cost basis. The amount of fair value change relating to all other factors will be recognized in other comprehensive income (OCI).</w:t>
      </w:r>
    </w:p>
    <w:p w14:paraId="518B5DCC" w14:textId="77777777" w:rsidR="005C332D" w:rsidRDefault="00B93EAE">
      <w:pPr>
        <w:spacing w:before="120"/>
        <w:jc w:val="both"/>
      </w:pPr>
      <w:r>
        <w:rPr>
          <w:rFonts w:ascii="Times New Roman" w:eastAsia="宋体" w:hAnsi="Times New Roman"/>
          <w:color w:val="000000"/>
          <w:sz w:val="20"/>
          <w:szCs w:val="20"/>
        </w:rPr>
        <w:t>We hold non-marketable equity and other investments (“privately held investments”) which are includ</w:t>
      </w:r>
      <w:r>
        <w:rPr>
          <w:rFonts w:ascii="Times New Roman" w:eastAsia="宋体" w:hAnsi="Times New Roman"/>
          <w:color w:val="000000"/>
          <w:sz w:val="20"/>
          <w:szCs w:val="20"/>
        </w:rPr>
        <w:t>ed in other assets in the Consolidated Balance Sheets. We monitor these investments for impairments and make reductions in carrying values if we determine that an impairment charge is required based primarily on the financial condition and near-term prospe</w:t>
      </w:r>
      <w:r>
        <w:rPr>
          <w:rFonts w:ascii="Times New Roman" w:eastAsia="宋体" w:hAnsi="Times New Roman"/>
          <w:color w:val="000000"/>
          <w:sz w:val="20"/>
          <w:szCs w:val="20"/>
        </w:rPr>
        <w:t>cts of these companies.</w:t>
      </w:r>
    </w:p>
    <w:p w14:paraId="518B5DCD" w14:textId="77777777" w:rsidR="005C332D" w:rsidRDefault="00B93EAE">
      <w:pPr>
        <w:jc w:val="center"/>
      </w:pPr>
      <w:r>
        <w:rPr>
          <w:rFonts w:ascii="Times New Roman" w:eastAsia="宋体" w:hAnsi="Times New Roman"/>
          <w:color w:val="000000"/>
          <w:sz w:val="20"/>
          <w:szCs w:val="20"/>
        </w:rPr>
        <w:t>64</w:t>
      </w:r>
    </w:p>
    <w:p w14:paraId="518B5DCE" w14:textId="77777777" w:rsidR="005C332D" w:rsidRDefault="00B93EAE">
      <w:r>
        <w:pict w14:anchorId="518B8755">
          <v:rect id="_x0000_i1090" style="width:415.3pt;height:1.5pt" o:hralign="center" o:hrstd="t" o:hr="t" fillcolor="#a0a0a0" stroked="f"/>
        </w:pict>
      </w:r>
    </w:p>
    <w:p w14:paraId="518B5DCF" w14:textId="77777777" w:rsidR="005C332D" w:rsidRDefault="00B93EAE">
      <w:hyperlink r:id="rId175" w:anchor="i049852cab38845aabd2a79d07dacda86_7" w:history="1">
        <w:r>
          <w:rPr>
            <w:rStyle w:val="a5"/>
            <w:rFonts w:ascii="Times New Roman" w:eastAsia="宋体" w:hAnsi="Times New Roman"/>
            <w:sz w:val="20"/>
            <w:szCs w:val="20"/>
          </w:rPr>
          <w:t>Table of Contents</w:t>
        </w:r>
      </w:hyperlink>
    </w:p>
    <w:p w14:paraId="518B5DD0" w14:textId="77777777" w:rsidR="005C332D" w:rsidRDefault="00B93EAE">
      <w:pPr>
        <w:spacing w:before="120"/>
        <w:jc w:val="both"/>
      </w:pPr>
      <w:r>
        <w:rPr>
          <w:rFonts w:ascii="Times New Roman" w:eastAsia="宋体" w:hAnsi="Times New Roman"/>
          <w:color w:val="000000"/>
          <w:sz w:val="20"/>
          <w:szCs w:val="20"/>
          <w:u w:val="single"/>
        </w:rPr>
        <w:t>(e) Inventories</w:t>
      </w:r>
      <w:r>
        <w:rPr>
          <w:rFonts w:ascii="Times New Roman" w:eastAsia="宋体" w:hAnsi="Times New Roman"/>
          <w:color w:val="000000"/>
          <w:sz w:val="20"/>
          <w:szCs w:val="20"/>
        </w:rPr>
        <w:t xml:space="preserve">   Inventories are stated at the lower of cos</w:t>
      </w:r>
      <w:r>
        <w:rPr>
          <w:rFonts w:ascii="Times New Roman" w:eastAsia="宋体" w:hAnsi="Times New Roman"/>
          <w:color w:val="000000"/>
          <w:sz w:val="20"/>
          <w:szCs w:val="20"/>
        </w:rPr>
        <w:t xml:space="preserve">t or net realizable value. Cost is computed using standard cost, which approximates actual cost, on a first-in, first-out basis. We provide inventory write-downs based on excess and obsolete inventories determined primarily by future demand forecasts. The </w:t>
      </w:r>
      <w:r>
        <w:rPr>
          <w:rFonts w:ascii="Times New Roman" w:eastAsia="宋体" w:hAnsi="Times New Roman"/>
          <w:color w:val="000000"/>
          <w:sz w:val="20"/>
          <w:szCs w:val="20"/>
        </w:rPr>
        <w:t>write-down is measured as the difference between the cost of the inventory and net realizable value based upon assumptions about future demand and charged to the provision for inventory, which is a component of cost of sales. At the point of the loss recog</w:t>
      </w:r>
      <w:r>
        <w:rPr>
          <w:rFonts w:ascii="Times New Roman" w:eastAsia="宋体" w:hAnsi="Times New Roman"/>
          <w:color w:val="000000"/>
          <w:sz w:val="20"/>
          <w:szCs w:val="20"/>
        </w:rPr>
        <w:t>nition, a new, lower cost basis for that inventory is established, and subsequent changes in facts and circumstances do not result in the restoration or increase in that newly established cost basis. In addition, we record a liability for firm, noncancelab</w:t>
      </w:r>
      <w:r>
        <w:rPr>
          <w:rFonts w:ascii="Times New Roman" w:eastAsia="宋体" w:hAnsi="Times New Roman"/>
          <w:color w:val="000000"/>
          <w:sz w:val="20"/>
          <w:szCs w:val="20"/>
        </w:rPr>
        <w:t xml:space="preserve">le, and unconditional purchase commitments with contract manufacturers and suppliers for quantities in excess of our future demand forecasts consistent with our valuation of excess and obsolete inventory. </w:t>
      </w:r>
    </w:p>
    <w:p w14:paraId="518B5DD1" w14:textId="77777777" w:rsidR="005C332D" w:rsidRDefault="00B93EAE">
      <w:pPr>
        <w:spacing w:before="120"/>
        <w:jc w:val="both"/>
      </w:pPr>
      <w:r>
        <w:rPr>
          <w:rFonts w:ascii="Times New Roman" w:eastAsia="宋体" w:hAnsi="Times New Roman"/>
          <w:color w:val="000000"/>
          <w:sz w:val="20"/>
          <w:szCs w:val="20"/>
          <w:u w:val="single"/>
        </w:rPr>
        <w:t>(f) Allowance for Accounts Receivable, Contract As</w:t>
      </w:r>
      <w:r>
        <w:rPr>
          <w:rFonts w:ascii="Times New Roman" w:eastAsia="宋体" w:hAnsi="Times New Roman"/>
          <w:color w:val="000000"/>
          <w:sz w:val="20"/>
          <w:szCs w:val="20"/>
          <w:u w:val="single"/>
        </w:rPr>
        <w:t>sets and Financing Receivables</w:t>
      </w:r>
      <w:r>
        <w:rPr>
          <w:rFonts w:ascii="Times New Roman" w:eastAsia="宋体" w:hAnsi="Times New Roman"/>
          <w:color w:val="000000"/>
          <w:sz w:val="20"/>
          <w:szCs w:val="20"/>
        </w:rPr>
        <w:t xml:space="preserve">   We estimate our allowances for credit losses using relevant available information from internal and external sources, related to past events, current conditions and reasonable and supportable forecasts. Historical credit lo</w:t>
      </w:r>
      <w:r>
        <w:rPr>
          <w:rFonts w:ascii="Times New Roman" w:eastAsia="宋体" w:hAnsi="Times New Roman"/>
          <w:color w:val="000000"/>
          <w:sz w:val="20"/>
          <w:szCs w:val="20"/>
        </w:rPr>
        <w:t>ss experience provides the basis for the estimation of expected credit losses. When assessing for credit losses, we determine collectibility by pooling our assets with similar characteristics.</w:t>
      </w:r>
    </w:p>
    <w:p w14:paraId="518B5DD2" w14:textId="77777777" w:rsidR="005C332D" w:rsidRDefault="00B93EAE">
      <w:pPr>
        <w:spacing w:before="120"/>
        <w:jc w:val="both"/>
      </w:pPr>
      <w:r>
        <w:rPr>
          <w:rFonts w:ascii="Times New Roman" w:eastAsia="宋体" w:hAnsi="Times New Roman"/>
          <w:color w:val="000000"/>
          <w:sz w:val="20"/>
          <w:szCs w:val="20"/>
        </w:rPr>
        <w:t>The allowances for credit losses are each measured on a collect</w:t>
      </w:r>
      <w:r>
        <w:rPr>
          <w:rFonts w:ascii="Times New Roman" w:eastAsia="宋体" w:hAnsi="Times New Roman"/>
          <w:color w:val="000000"/>
          <w:sz w:val="20"/>
          <w:szCs w:val="20"/>
        </w:rPr>
        <w:t>ive basis when similar risk characteristics exist. Our internal credit risk ratings are categorized as 1 through 10, with the lowest credit risk rating representing the highest quality. Assets that do not share risk characteristics are evaluated on an indi</w:t>
      </w:r>
      <w:r>
        <w:rPr>
          <w:rFonts w:ascii="Times New Roman" w:eastAsia="宋体" w:hAnsi="Times New Roman"/>
          <w:color w:val="000000"/>
          <w:sz w:val="20"/>
          <w:szCs w:val="20"/>
        </w:rPr>
        <w:t xml:space="preserve">vidual basis. The allowances for credit losses are each measured by multiplying the exposure probability of default, the probability the asset will default within a given time frame, by the loss given default rate, the percentage of the asset not expected </w:t>
      </w:r>
      <w:r>
        <w:rPr>
          <w:rFonts w:ascii="Times New Roman" w:eastAsia="宋体" w:hAnsi="Times New Roman"/>
          <w:color w:val="000000"/>
          <w:sz w:val="20"/>
          <w:szCs w:val="20"/>
        </w:rPr>
        <w:t>to be collected due to default, based on the pool of assets.</w:t>
      </w:r>
    </w:p>
    <w:p w14:paraId="518B5DD3" w14:textId="77777777" w:rsidR="005C332D" w:rsidRDefault="00B93EAE">
      <w:pPr>
        <w:spacing w:before="120"/>
        <w:jc w:val="both"/>
      </w:pPr>
      <w:r>
        <w:rPr>
          <w:rFonts w:ascii="Times New Roman" w:eastAsia="宋体" w:hAnsi="Times New Roman"/>
          <w:color w:val="000000"/>
          <w:sz w:val="20"/>
          <w:szCs w:val="20"/>
        </w:rPr>
        <w:t>Probability of default rates are published quarterly by third-party credit agencies. Adjustments to our internal credit risk ratings may take into account including, but not limited to, various c</w:t>
      </w:r>
      <w:r>
        <w:rPr>
          <w:rFonts w:ascii="Times New Roman" w:eastAsia="宋体" w:hAnsi="Times New Roman"/>
          <w:color w:val="000000"/>
          <w:sz w:val="20"/>
          <w:szCs w:val="20"/>
        </w:rPr>
        <w:t>ustomer-specific factors, the potential sovereign risk of the geographic locations in which the customer is operating and macroeconomic conditions. These factors are updated regularly or when facts and circumstances indicate that an update is deemed necess</w:t>
      </w:r>
      <w:r>
        <w:rPr>
          <w:rFonts w:ascii="Times New Roman" w:eastAsia="宋体" w:hAnsi="Times New Roman"/>
          <w:color w:val="000000"/>
          <w:sz w:val="20"/>
          <w:szCs w:val="20"/>
        </w:rPr>
        <w:t>ary.</w:t>
      </w:r>
    </w:p>
    <w:p w14:paraId="518B5DD4" w14:textId="77777777" w:rsidR="005C332D" w:rsidRDefault="00B93EAE">
      <w:pPr>
        <w:spacing w:before="120"/>
        <w:jc w:val="both"/>
      </w:pPr>
      <w:r>
        <w:rPr>
          <w:rFonts w:ascii="Times New Roman" w:eastAsia="宋体" w:hAnsi="Times New Roman"/>
          <w:color w:val="000000"/>
          <w:sz w:val="20"/>
          <w:szCs w:val="20"/>
          <w:u w:val="single"/>
        </w:rPr>
        <w:t>(g) Financing Receivables and Guarantees</w:t>
      </w:r>
      <w:r>
        <w:rPr>
          <w:rFonts w:ascii="Times New Roman" w:eastAsia="宋体" w:hAnsi="Times New Roman"/>
          <w:color w:val="000000"/>
          <w:sz w:val="20"/>
          <w:szCs w:val="20"/>
        </w:rPr>
        <w:t xml:space="preserve">   We provide financing arrangements, including leases and loans and financed service contracts, for certain qualified end-user customers to build, maintain, and upgrade their networks. Lease receivables primari</w:t>
      </w:r>
      <w:r>
        <w:rPr>
          <w:rFonts w:ascii="Times New Roman" w:eastAsia="宋体" w:hAnsi="Times New Roman"/>
          <w:color w:val="000000"/>
          <w:sz w:val="20"/>
          <w:szCs w:val="20"/>
        </w:rPr>
        <w:t>ly represent sales-type and direct-financing leases. Leases have on average a four-year term and are usually collateralized by a security interest in the underlying assets. Loan receivables and financed service contracts include customers financing purchas</w:t>
      </w:r>
      <w:r>
        <w:rPr>
          <w:rFonts w:ascii="Times New Roman" w:eastAsia="宋体" w:hAnsi="Times New Roman"/>
          <w:color w:val="000000"/>
          <w:sz w:val="20"/>
          <w:szCs w:val="20"/>
        </w:rPr>
        <w:t>es of our hardware, software and services, and also may include additional funds for other costs associated with network installation and integration of our products and services. Loan receivables and financed service contracts have terms of one year to th</w:t>
      </w:r>
      <w:r>
        <w:rPr>
          <w:rFonts w:ascii="Times New Roman" w:eastAsia="宋体" w:hAnsi="Times New Roman"/>
          <w:color w:val="000000"/>
          <w:sz w:val="20"/>
          <w:szCs w:val="20"/>
        </w:rPr>
        <w:t xml:space="preserve">ree years on average. </w:t>
      </w:r>
    </w:p>
    <w:p w14:paraId="518B5DD5" w14:textId="77777777" w:rsidR="005C332D" w:rsidRDefault="00B93EAE">
      <w:pPr>
        <w:spacing w:before="120"/>
        <w:jc w:val="both"/>
      </w:pPr>
      <w:r>
        <w:rPr>
          <w:rFonts w:ascii="Times New Roman" w:eastAsia="宋体" w:hAnsi="Times New Roman"/>
          <w:color w:val="000000"/>
          <w:sz w:val="20"/>
          <w:szCs w:val="20"/>
        </w:rPr>
        <w:t>Outstanding financing receivables that are aged 31 days or more from the contractual payment date are considered past due. We do not accrue interest on financing receivables that are considered impaired and more than 120 days past du</w:t>
      </w:r>
      <w:r>
        <w:rPr>
          <w:rFonts w:ascii="Times New Roman" w:eastAsia="宋体" w:hAnsi="Times New Roman"/>
          <w:color w:val="000000"/>
          <w:sz w:val="20"/>
          <w:szCs w:val="20"/>
        </w:rPr>
        <w:t>e unless either the receivable has not been collected due to administrative reasons or the receivable is well secured and in the process of collection. Financing receivables may be placed on nonaccrual status earlier if, in management’s opinion, a timely c</w:t>
      </w:r>
      <w:r>
        <w:rPr>
          <w:rFonts w:ascii="Times New Roman" w:eastAsia="宋体" w:hAnsi="Times New Roman"/>
          <w:color w:val="000000"/>
          <w:sz w:val="20"/>
          <w:szCs w:val="20"/>
        </w:rPr>
        <w:t>ollection of the full principal and interest becomes uncertain. After a financing receivable has been categorized as nonaccrual, interest will be recognized when cash is received. A financing receivable may be returned to accrual status after all of the cu</w:t>
      </w:r>
      <w:r>
        <w:rPr>
          <w:rFonts w:ascii="Times New Roman" w:eastAsia="宋体" w:hAnsi="Times New Roman"/>
          <w:color w:val="000000"/>
          <w:sz w:val="20"/>
          <w:szCs w:val="20"/>
        </w:rPr>
        <w:t xml:space="preserve">stomer’s delinquent balances of principal and interest have been settled, and the customer remains current for an appropriate period. </w:t>
      </w:r>
    </w:p>
    <w:p w14:paraId="518B5DD6" w14:textId="77777777" w:rsidR="005C332D" w:rsidRDefault="00B93EAE">
      <w:pPr>
        <w:spacing w:before="120"/>
        <w:jc w:val="both"/>
      </w:pPr>
      <w:r>
        <w:rPr>
          <w:rFonts w:ascii="Times New Roman" w:eastAsia="宋体" w:hAnsi="Times New Roman"/>
          <w:color w:val="000000"/>
          <w:sz w:val="20"/>
          <w:szCs w:val="20"/>
        </w:rPr>
        <w:t>We facilitate arrangements for third-party financing extended to channel partners, consisting of revolving short-term fin</w:t>
      </w:r>
      <w:r>
        <w:rPr>
          <w:rFonts w:ascii="Times New Roman" w:eastAsia="宋体" w:hAnsi="Times New Roman"/>
          <w:color w:val="000000"/>
          <w:sz w:val="20"/>
          <w:szCs w:val="20"/>
        </w:rPr>
        <w:t>ancing, generally with payment terms ranging from 60 to 90 days. In certain instances, these financing arrangements result in a transfer of our receivables to the third party. The receivables are derecognized upon transfer, as these transfers qualify as tr</w:t>
      </w:r>
      <w:r>
        <w:rPr>
          <w:rFonts w:ascii="Times New Roman" w:eastAsia="宋体" w:hAnsi="Times New Roman"/>
          <w:color w:val="000000"/>
          <w:sz w:val="20"/>
          <w:szCs w:val="20"/>
        </w:rPr>
        <w:t>ue sales, and we receive a payment for the receivables from the third party based on our standard payment terms. These financing arrangements facilitate the working capital requirements of the channel partners, and, in some cases, we guarantee a portion of</w:t>
      </w:r>
      <w:r>
        <w:rPr>
          <w:rFonts w:ascii="Times New Roman" w:eastAsia="宋体" w:hAnsi="Times New Roman"/>
          <w:color w:val="000000"/>
          <w:sz w:val="20"/>
          <w:szCs w:val="20"/>
        </w:rPr>
        <w:t xml:space="preserve"> these arrangements. We could be called upon to make payments under these guarantees in the event of nonpayment by the channel partners. Deferred revenue relating to these financing arrangements is recorded in accordance with revenue recognition policies o</w:t>
      </w:r>
      <w:r>
        <w:rPr>
          <w:rFonts w:ascii="Times New Roman" w:eastAsia="宋体" w:hAnsi="Times New Roman"/>
          <w:color w:val="000000"/>
          <w:sz w:val="20"/>
          <w:szCs w:val="20"/>
        </w:rPr>
        <w:t>r for the fair value of the financing guarantees.</w:t>
      </w:r>
    </w:p>
    <w:p w14:paraId="518B5DD7" w14:textId="77777777" w:rsidR="005C332D" w:rsidRDefault="00B93EAE">
      <w:pPr>
        <w:spacing w:before="120"/>
        <w:jc w:val="both"/>
      </w:pPr>
      <w:r>
        <w:rPr>
          <w:rFonts w:ascii="Times New Roman" w:eastAsia="宋体" w:hAnsi="Times New Roman"/>
          <w:color w:val="000000"/>
          <w:sz w:val="20"/>
          <w:szCs w:val="20"/>
          <w:u w:val="single"/>
        </w:rPr>
        <w:t>(h) Leases</w:t>
      </w:r>
      <w:r>
        <w:rPr>
          <w:rFonts w:ascii="Times New Roman" w:eastAsia="宋体" w:hAnsi="Times New Roman"/>
          <w:color w:val="000000"/>
          <w:sz w:val="20"/>
          <w:szCs w:val="20"/>
        </w:rPr>
        <w:t xml:space="preserve"> We lease real estate, information technology (IT) and other equipment and vehicles. We also have arrangements with certain suppliers and contract manufacturers which includes the leasing of dedic</w:t>
      </w:r>
      <w:r>
        <w:rPr>
          <w:rFonts w:ascii="Times New Roman" w:eastAsia="宋体" w:hAnsi="Times New Roman"/>
          <w:color w:val="000000"/>
          <w:sz w:val="20"/>
          <w:szCs w:val="20"/>
        </w:rPr>
        <w:t xml:space="preserve">ated space and equipment costs. Our leases have the option to extend or terminate the lease when it is reasonably certain that we will exercise that option. </w:t>
      </w:r>
    </w:p>
    <w:p w14:paraId="518B5DD8" w14:textId="77777777" w:rsidR="005C332D" w:rsidRDefault="00B93EAE">
      <w:pPr>
        <w:jc w:val="center"/>
      </w:pPr>
      <w:r>
        <w:rPr>
          <w:rFonts w:ascii="Times New Roman" w:eastAsia="宋体" w:hAnsi="Times New Roman"/>
          <w:color w:val="000000"/>
          <w:sz w:val="20"/>
          <w:szCs w:val="20"/>
        </w:rPr>
        <w:t>65</w:t>
      </w:r>
    </w:p>
    <w:p w14:paraId="518B5DD9" w14:textId="77777777" w:rsidR="005C332D" w:rsidRDefault="00B93EAE">
      <w:r>
        <w:pict w14:anchorId="518B8756">
          <v:rect id="_x0000_i1091" style="width:415.3pt;height:1.5pt" o:hralign="center" o:hrstd="t" o:hr="t" fillcolor="#a0a0a0" stroked="f"/>
        </w:pict>
      </w:r>
    </w:p>
    <w:p w14:paraId="518B5DDA" w14:textId="77777777" w:rsidR="005C332D" w:rsidRDefault="00B93EAE">
      <w:hyperlink r:id="rId176" w:anchor="i049852cab38845aabd2a79d07dacda86_7" w:history="1">
        <w:r>
          <w:rPr>
            <w:rStyle w:val="a5"/>
            <w:rFonts w:ascii="Times New Roman" w:eastAsia="宋体" w:hAnsi="Times New Roman"/>
            <w:sz w:val="20"/>
            <w:szCs w:val="20"/>
          </w:rPr>
          <w:t>Table of Contents</w:t>
        </w:r>
      </w:hyperlink>
    </w:p>
    <w:p w14:paraId="518B5DDB" w14:textId="77777777" w:rsidR="005C332D" w:rsidRDefault="00B93EAE">
      <w:pPr>
        <w:spacing w:before="120"/>
        <w:jc w:val="both"/>
      </w:pPr>
      <w:r>
        <w:rPr>
          <w:rFonts w:ascii="Times New Roman" w:eastAsia="宋体" w:hAnsi="Times New Roman"/>
          <w:color w:val="000000"/>
          <w:sz w:val="20"/>
          <w:szCs w:val="20"/>
        </w:rPr>
        <w:t>As a lessee, we determine if an arrangement is a lease at commencement. Our ROU lease ass</w:t>
      </w:r>
      <w:r>
        <w:rPr>
          <w:rFonts w:ascii="Times New Roman" w:eastAsia="宋体" w:hAnsi="Times New Roman"/>
          <w:color w:val="000000"/>
          <w:sz w:val="20"/>
          <w:szCs w:val="20"/>
        </w:rPr>
        <w:t>ets represent our right to use an underlying asset for the lease term and lease liabilities represent our obligation to make lease payments related to the lease. Operating lease ROU assets and liabilities are recognized at the commencement date based on th</w:t>
      </w:r>
      <w:r>
        <w:rPr>
          <w:rFonts w:ascii="Times New Roman" w:eastAsia="宋体" w:hAnsi="Times New Roman"/>
          <w:color w:val="000000"/>
          <w:sz w:val="20"/>
          <w:szCs w:val="20"/>
        </w:rPr>
        <w:t>e present value of lease payments over the lease term. We use incremental borrowing rates based on information available at the commencement date to determine the present value of our lease payments. Certain of our lease agreements contain variable lease p</w:t>
      </w:r>
      <w:r>
        <w:rPr>
          <w:rFonts w:ascii="Times New Roman" w:eastAsia="宋体" w:hAnsi="Times New Roman"/>
          <w:color w:val="000000"/>
          <w:sz w:val="20"/>
          <w:szCs w:val="20"/>
        </w:rPr>
        <w:t>ayments. Our variable lease payments can fluctuate depending on the level of activity or the cost of certain services where we have elected to combine lease and non-lease components. While these payments are not included as part of our lease liabilities, t</w:t>
      </w:r>
      <w:r>
        <w:rPr>
          <w:rFonts w:ascii="Times New Roman" w:eastAsia="宋体" w:hAnsi="Times New Roman"/>
          <w:color w:val="000000"/>
          <w:sz w:val="20"/>
          <w:szCs w:val="20"/>
        </w:rPr>
        <w:t>hey are recognized as variable lease expense in the period they are incurred.</w:t>
      </w:r>
    </w:p>
    <w:p w14:paraId="518B5DDC" w14:textId="77777777" w:rsidR="005C332D" w:rsidRDefault="00B93EAE">
      <w:pPr>
        <w:spacing w:before="120"/>
        <w:jc w:val="both"/>
      </w:pPr>
      <w:r>
        <w:rPr>
          <w:rFonts w:ascii="Times New Roman" w:eastAsia="宋体" w:hAnsi="Times New Roman"/>
          <w:color w:val="000000"/>
          <w:sz w:val="20"/>
          <w:szCs w:val="20"/>
        </w:rPr>
        <w:t>We provide leasing of our equipment and complementary third-party products primarily through our channel partners and distributors, for which the income arising from these leases</w:t>
      </w:r>
      <w:r>
        <w:rPr>
          <w:rFonts w:ascii="Times New Roman" w:eastAsia="宋体" w:hAnsi="Times New Roman"/>
          <w:color w:val="000000"/>
          <w:sz w:val="20"/>
          <w:szCs w:val="20"/>
        </w:rPr>
        <w:t xml:space="preserve"> is recognized through interest income. As a lessor, we determine if an arrangement is a lease at inception. We provide leasing arrangements for our equipment to certain qualified customers. Our lease portfolio primarily consists of sales-type leases. We a</w:t>
      </w:r>
      <w:r>
        <w:rPr>
          <w:rFonts w:ascii="Times New Roman" w:eastAsia="宋体" w:hAnsi="Times New Roman"/>
          <w:color w:val="000000"/>
          <w:sz w:val="20"/>
          <w:szCs w:val="20"/>
        </w:rPr>
        <w:t>llocate the consideration in a bundled contract with our customers based on relative standalone selling prices of our lease and non-lease components. The residual value on our leased equipment is determined at the inception of the lease based on an analysi</w:t>
      </w:r>
      <w:r>
        <w:rPr>
          <w:rFonts w:ascii="Times New Roman" w:eastAsia="宋体" w:hAnsi="Times New Roman"/>
          <w:color w:val="000000"/>
          <w:sz w:val="20"/>
          <w:szCs w:val="20"/>
        </w:rPr>
        <w:t>s of estimates of the value of equipment, market factors and historical customer behavior. Residual value estimates are reviewed on a periodic basis and other-than-temporary declines are expensed in the period they occur. Our leases generally provide an en</w:t>
      </w:r>
      <w:r>
        <w:rPr>
          <w:rFonts w:ascii="Times New Roman" w:eastAsia="宋体" w:hAnsi="Times New Roman"/>
          <w:color w:val="000000"/>
          <w:sz w:val="20"/>
          <w:szCs w:val="20"/>
        </w:rPr>
        <w:t>d-of-term option for the customer to extend the lease under mutually-agreed terms, return the leased equipment, or purchase the equipment for either the then-market value of the equipment or a pre-determined purchase price. If a customer chooses to termina</w:t>
      </w:r>
      <w:r>
        <w:rPr>
          <w:rFonts w:ascii="Times New Roman" w:eastAsia="宋体" w:hAnsi="Times New Roman"/>
          <w:color w:val="000000"/>
          <w:sz w:val="20"/>
          <w:szCs w:val="20"/>
        </w:rPr>
        <w:t>te their lease prior to the original end of term date, the customer is required to pay all remaining lease payments in full.</w:t>
      </w:r>
    </w:p>
    <w:p w14:paraId="518B5DDD" w14:textId="77777777" w:rsidR="005C332D" w:rsidRDefault="00B93EAE">
      <w:pPr>
        <w:spacing w:before="120"/>
        <w:jc w:val="both"/>
      </w:pPr>
      <w:r>
        <w:rPr>
          <w:rFonts w:ascii="Times New Roman" w:eastAsia="宋体" w:hAnsi="Times New Roman"/>
          <w:color w:val="000000"/>
          <w:sz w:val="20"/>
          <w:szCs w:val="20"/>
          <w:u w:val="single"/>
        </w:rPr>
        <w:t>(i) Depreciation and Amortization</w:t>
      </w:r>
      <w:r>
        <w:rPr>
          <w:rFonts w:ascii="Times New Roman" w:eastAsia="宋体" w:hAnsi="Times New Roman"/>
          <w:color w:val="000000"/>
          <w:sz w:val="20"/>
          <w:szCs w:val="20"/>
        </w:rPr>
        <w:t xml:space="preserve">   Property and equipment are stated at cost, less accumulated depreciation or amortization, whene</w:t>
      </w:r>
      <w:r>
        <w:rPr>
          <w:rFonts w:ascii="Times New Roman" w:eastAsia="宋体" w:hAnsi="Times New Roman"/>
          <w:color w:val="000000"/>
          <w:sz w:val="20"/>
          <w:szCs w:val="20"/>
        </w:rPr>
        <w:t>ver applicable. Depreciation and amortization expenses for property and equipment were approximately $0.8 billion, $0.8 billion, and $0.9 billion for fiscal 2022, 2021, and 2020, respectively. Depreciation and amortization are computed using the straight-l</w:t>
      </w:r>
      <w:r>
        <w:rPr>
          <w:rFonts w:ascii="Times New Roman" w:eastAsia="宋体" w:hAnsi="Times New Roman"/>
          <w:color w:val="000000"/>
          <w:sz w:val="20"/>
          <w:szCs w:val="20"/>
        </w:rPr>
        <w:t>ine method, generally over the following periods:</w:t>
      </w:r>
    </w:p>
    <w:tbl>
      <w:tblPr>
        <w:tblW w:w="4993" w:type="pct"/>
        <w:tblCellMar>
          <w:top w:w="15" w:type="dxa"/>
          <w:left w:w="15" w:type="dxa"/>
          <w:bottom w:w="15" w:type="dxa"/>
          <w:right w:w="15" w:type="dxa"/>
        </w:tblCellMar>
        <w:tblLook w:val="04A0" w:firstRow="1" w:lastRow="0" w:firstColumn="1" w:lastColumn="0" w:noHBand="0" w:noVBand="1"/>
      </w:tblPr>
      <w:tblGrid>
        <w:gridCol w:w="61"/>
        <w:gridCol w:w="4115"/>
        <w:gridCol w:w="37"/>
        <w:gridCol w:w="36"/>
        <w:gridCol w:w="46"/>
        <w:gridCol w:w="36"/>
        <w:gridCol w:w="61"/>
        <w:gridCol w:w="3896"/>
        <w:gridCol w:w="36"/>
      </w:tblGrid>
      <w:tr w:rsidR="005C332D" w14:paraId="518B5DE7" w14:textId="77777777">
        <w:tc>
          <w:tcPr>
            <w:tcW w:w="50" w:type="pct"/>
            <w:shd w:val="clear" w:color="auto" w:fill="auto"/>
            <w:vAlign w:val="bottom"/>
          </w:tcPr>
          <w:p w14:paraId="518B5DDE" w14:textId="77777777" w:rsidR="005C332D" w:rsidRDefault="005C332D">
            <w:pPr>
              <w:rPr>
                <w:rFonts w:ascii="宋体"/>
              </w:rPr>
            </w:pPr>
          </w:p>
        </w:tc>
        <w:tc>
          <w:tcPr>
            <w:tcW w:w="2485" w:type="pct"/>
            <w:shd w:val="clear" w:color="auto" w:fill="auto"/>
            <w:vAlign w:val="bottom"/>
          </w:tcPr>
          <w:p w14:paraId="518B5DDF" w14:textId="77777777" w:rsidR="005C332D" w:rsidRDefault="005C332D">
            <w:pPr>
              <w:rPr>
                <w:rFonts w:ascii="宋体"/>
              </w:rPr>
            </w:pPr>
          </w:p>
        </w:tc>
        <w:tc>
          <w:tcPr>
            <w:tcW w:w="5" w:type="pct"/>
            <w:shd w:val="clear" w:color="auto" w:fill="auto"/>
            <w:vAlign w:val="bottom"/>
          </w:tcPr>
          <w:p w14:paraId="518B5DE0" w14:textId="77777777" w:rsidR="005C332D" w:rsidRDefault="005C332D">
            <w:pPr>
              <w:rPr>
                <w:rFonts w:ascii="宋体"/>
              </w:rPr>
            </w:pPr>
          </w:p>
        </w:tc>
        <w:tc>
          <w:tcPr>
            <w:tcW w:w="5" w:type="pct"/>
            <w:shd w:val="clear" w:color="auto" w:fill="auto"/>
            <w:vAlign w:val="bottom"/>
          </w:tcPr>
          <w:p w14:paraId="518B5DE1" w14:textId="77777777" w:rsidR="005C332D" w:rsidRDefault="005C332D">
            <w:pPr>
              <w:rPr>
                <w:rFonts w:ascii="宋体"/>
              </w:rPr>
            </w:pPr>
          </w:p>
        </w:tc>
        <w:tc>
          <w:tcPr>
            <w:tcW w:w="41" w:type="pct"/>
            <w:shd w:val="clear" w:color="auto" w:fill="auto"/>
            <w:vAlign w:val="bottom"/>
          </w:tcPr>
          <w:p w14:paraId="518B5DE2" w14:textId="77777777" w:rsidR="005C332D" w:rsidRDefault="005C332D">
            <w:pPr>
              <w:rPr>
                <w:rFonts w:ascii="宋体"/>
              </w:rPr>
            </w:pPr>
          </w:p>
        </w:tc>
        <w:tc>
          <w:tcPr>
            <w:tcW w:w="5" w:type="pct"/>
            <w:shd w:val="clear" w:color="auto" w:fill="auto"/>
            <w:vAlign w:val="bottom"/>
          </w:tcPr>
          <w:p w14:paraId="518B5DE3" w14:textId="77777777" w:rsidR="005C332D" w:rsidRDefault="005C332D">
            <w:pPr>
              <w:rPr>
                <w:rFonts w:ascii="宋体"/>
              </w:rPr>
            </w:pPr>
          </w:p>
        </w:tc>
        <w:tc>
          <w:tcPr>
            <w:tcW w:w="50" w:type="pct"/>
            <w:shd w:val="clear" w:color="auto" w:fill="auto"/>
            <w:vAlign w:val="bottom"/>
          </w:tcPr>
          <w:p w14:paraId="518B5DE4" w14:textId="77777777" w:rsidR="005C332D" w:rsidRDefault="005C332D">
            <w:pPr>
              <w:rPr>
                <w:rFonts w:ascii="宋体"/>
              </w:rPr>
            </w:pPr>
          </w:p>
        </w:tc>
        <w:tc>
          <w:tcPr>
            <w:tcW w:w="2353" w:type="pct"/>
            <w:shd w:val="clear" w:color="auto" w:fill="auto"/>
            <w:vAlign w:val="bottom"/>
          </w:tcPr>
          <w:p w14:paraId="518B5DE5" w14:textId="77777777" w:rsidR="005C332D" w:rsidRDefault="005C332D">
            <w:pPr>
              <w:rPr>
                <w:rFonts w:ascii="宋体"/>
              </w:rPr>
            </w:pPr>
          </w:p>
        </w:tc>
        <w:tc>
          <w:tcPr>
            <w:tcW w:w="5" w:type="pct"/>
            <w:shd w:val="clear" w:color="auto" w:fill="auto"/>
            <w:vAlign w:val="bottom"/>
          </w:tcPr>
          <w:p w14:paraId="518B5DE6" w14:textId="77777777" w:rsidR="005C332D" w:rsidRDefault="005C332D">
            <w:pPr>
              <w:rPr>
                <w:rFonts w:ascii="宋体"/>
              </w:rPr>
            </w:pPr>
          </w:p>
        </w:tc>
      </w:tr>
      <w:tr w:rsidR="005C332D" w14:paraId="518B5DEB" w14:textId="77777777">
        <w:tc>
          <w:tcPr>
            <w:tcW w:w="0" w:type="auto"/>
            <w:gridSpan w:val="3"/>
            <w:shd w:val="clear" w:color="auto" w:fill="auto"/>
            <w:tcMar>
              <w:top w:w="40" w:type="dxa"/>
              <w:left w:w="20" w:type="dxa"/>
              <w:bottom w:w="40" w:type="dxa"/>
              <w:right w:w="20" w:type="dxa"/>
            </w:tcMar>
            <w:vAlign w:val="bottom"/>
          </w:tcPr>
          <w:p w14:paraId="518B5DE8" w14:textId="77777777" w:rsidR="005C332D" w:rsidRDefault="00B93EAE">
            <w:pPr>
              <w:textAlignment w:val="bottom"/>
            </w:pPr>
            <w:r>
              <w:rPr>
                <w:rFonts w:ascii="Times New Roman" w:eastAsia="宋体" w:hAnsi="Times New Roman"/>
                <w:color w:val="000000"/>
                <w:sz w:val="18"/>
                <w:szCs w:val="18"/>
              </w:rPr>
              <w:t>Asset Category</w:t>
            </w:r>
          </w:p>
        </w:tc>
        <w:tc>
          <w:tcPr>
            <w:tcW w:w="0" w:type="auto"/>
            <w:gridSpan w:val="3"/>
            <w:shd w:val="clear" w:color="auto" w:fill="auto"/>
            <w:tcMar>
              <w:top w:w="0" w:type="dxa"/>
              <w:left w:w="20" w:type="dxa"/>
              <w:bottom w:w="0" w:type="dxa"/>
              <w:right w:w="20" w:type="dxa"/>
            </w:tcMar>
            <w:vAlign w:val="bottom"/>
          </w:tcPr>
          <w:p w14:paraId="518B5DE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DEA" w14:textId="77777777" w:rsidR="005C332D" w:rsidRDefault="00B93EAE">
            <w:pPr>
              <w:textAlignment w:val="bottom"/>
            </w:pPr>
            <w:r>
              <w:rPr>
                <w:rFonts w:ascii="Times New Roman" w:eastAsia="宋体" w:hAnsi="Times New Roman"/>
                <w:color w:val="000000"/>
                <w:sz w:val="18"/>
                <w:szCs w:val="18"/>
              </w:rPr>
              <w:t>Period</w:t>
            </w:r>
          </w:p>
        </w:tc>
      </w:tr>
      <w:tr w:rsidR="005C332D" w14:paraId="518B5DEF"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DEC" w14:textId="77777777" w:rsidR="005C332D" w:rsidRDefault="00B93EAE">
            <w:pPr>
              <w:textAlignment w:val="bottom"/>
            </w:pPr>
            <w:r>
              <w:rPr>
                <w:rFonts w:ascii="Times New Roman" w:eastAsia="宋体" w:hAnsi="Times New Roman"/>
                <w:color w:val="000000"/>
                <w:sz w:val="20"/>
                <w:szCs w:val="20"/>
              </w:rPr>
              <w:t>Buildings</w:t>
            </w:r>
          </w:p>
        </w:tc>
        <w:tc>
          <w:tcPr>
            <w:tcW w:w="0" w:type="auto"/>
            <w:gridSpan w:val="3"/>
            <w:shd w:val="clear" w:color="auto" w:fill="CCEEFF"/>
            <w:tcMar>
              <w:top w:w="0" w:type="dxa"/>
              <w:left w:w="20" w:type="dxa"/>
              <w:bottom w:w="0" w:type="dxa"/>
              <w:right w:w="20" w:type="dxa"/>
            </w:tcMar>
            <w:vAlign w:val="bottom"/>
          </w:tcPr>
          <w:p w14:paraId="518B5DED"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5DEE" w14:textId="77777777" w:rsidR="005C332D" w:rsidRDefault="00B93EAE">
            <w:pPr>
              <w:textAlignment w:val="bottom"/>
            </w:pPr>
            <w:r>
              <w:rPr>
                <w:rFonts w:ascii="Times New Roman" w:eastAsia="宋体" w:hAnsi="Times New Roman"/>
                <w:color w:val="000000"/>
                <w:sz w:val="20"/>
                <w:szCs w:val="20"/>
              </w:rPr>
              <w:t>25 years</w:t>
            </w:r>
          </w:p>
        </w:tc>
      </w:tr>
      <w:tr w:rsidR="005C332D" w14:paraId="518B5DF3" w14:textId="77777777">
        <w:tc>
          <w:tcPr>
            <w:tcW w:w="0" w:type="auto"/>
            <w:gridSpan w:val="3"/>
            <w:shd w:val="clear" w:color="auto" w:fill="FFFFFF"/>
            <w:tcMar>
              <w:top w:w="40" w:type="dxa"/>
              <w:left w:w="20" w:type="dxa"/>
              <w:bottom w:w="40" w:type="dxa"/>
              <w:right w:w="20" w:type="dxa"/>
            </w:tcMar>
            <w:vAlign w:val="bottom"/>
          </w:tcPr>
          <w:p w14:paraId="518B5DF0" w14:textId="77777777" w:rsidR="005C332D" w:rsidRDefault="00B93EAE">
            <w:pPr>
              <w:textAlignment w:val="bottom"/>
            </w:pPr>
            <w:r>
              <w:rPr>
                <w:rFonts w:ascii="Times New Roman" w:eastAsia="宋体" w:hAnsi="Times New Roman"/>
                <w:color w:val="000000"/>
                <w:sz w:val="20"/>
                <w:szCs w:val="20"/>
              </w:rPr>
              <w:t>Building improvements</w:t>
            </w:r>
          </w:p>
        </w:tc>
        <w:tc>
          <w:tcPr>
            <w:tcW w:w="0" w:type="auto"/>
            <w:gridSpan w:val="3"/>
            <w:shd w:val="clear" w:color="auto" w:fill="FFFFFF"/>
            <w:tcMar>
              <w:top w:w="0" w:type="dxa"/>
              <w:left w:w="20" w:type="dxa"/>
              <w:bottom w:w="0" w:type="dxa"/>
              <w:right w:w="20" w:type="dxa"/>
            </w:tcMar>
            <w:vAlign w:val="bottom"/>
          </w:tcPr>
          <w:p w14:paraId="518B5DF1"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5DF2" w14:textId="77777777" w:rsidR="005C332D" w:rsidRDefault="00B93EAE">
            <w:pPr>
              <w:textAlignment w:val="bottom"/>
            </w:pPr>
            <w:r>
              <w:rPr>
                <w:rFonts w:ascii="Times New Roman" w:eastAsia="宋体" w:hAnsi="Times New Roman"/>
                <w:color w:val="000000"/>
                <w:sz w:val="20"/>
                <w:szCs w:val="20"/>
              </w:rPr>
              <w:t>10 years</w:t>
            </w:r>
          </w:p>
        </w:tc>
      </w:tr>
      <w:tr w:rsidR="005C332D" w14:paraId="518B5DF7" w14:textId="77777777">
        <w:tc>
          <w:tcPr>
            <w:tcW w:w="0" w:type="auto"/>
            <w:gridSpan w:val="3"/>
            <w:shd w:val="clear" w:color="auto" w:fill="CCEEFF"/>
            <w:tcMar>
              <w:top w:w="40" w:type="dxa"/>
              <w:left w:w="20" w:type="dxa"/>
              <w:bottom w:w="40" w:type="dxa"/>
              <w:right w:w="20" w:type="dxa"/>
            </w:tcMar>
            <w:vAlign w:val="bottom"/>
          </w:tcPr>
          <w:p w14:paraId="518B5DF4" w14:textId="77777777" w:rsidR="005C332D" w:rsidRDefault="00B93EAE">
            <w:pPr>
              <w:textAlignment w:val="bottom"/>
            </w:pPr>
            <w:r>
              <w:rPr>
                <w:rFonts w:ascii="Times New Roman" w:eastAsia="宋体" w:hAnsi="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bottom"/>
          </w:tcPr>
          <w:p w14:paraId="518B5DF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5DF6" w14:textId="77777777" w:rsidR="005C332D" w:rsidRDefault="00B93EAE">
            <w:pPr>
              <w:textAlignment w:val="bottom"/>
            </w:pPr>
            <w:r>
              <w:rPr>
                <w:rFonts w:ascii="Times New Roman" w:eastAsia="宋体" w:hAnsi="Times New Roman"/>
                <w:color w:val="000000"/>
                <w:sz w:val="20"/>
                <w:szCs w:val="20"/>
              </w:rPr>
              <w:t>Shorter of remaining lease term or up to 10 years</w:t>
            </w:r>
          </w:p>
        </w:tc>
      </w:tr>
      <w:tr w:rsidR="005C332D" w14:paraId="518B5DFB" w14:textId="77777777">
        <w:tc>
          <w:tcPr>
            <w:tcW w:w="0" w:type="auto"/>
            <w:gridSpan w:val="3"/>
            <w:shd w:val="clear" w:color="auto" w:fill="FFFFFF"/>
            <w:tcMar>
              <w:top w:w="40" w:type="dxa"/>
              <w:left w:w="20" w:type="dxa"/>
              <w:bottom w:w="40" w:type="dxa"/>
              <w:right w:w="20" w:type="dxa"/>
            </w:tcMar>
            <w:vAlign w:val="bottom"/>
          </w:tcPr>
          <w:p w14:paraId="518B5DF8" w14:textId="77777777" w:rsidR="005C332D" w:rsidRDefault="00B93EAE">
            <w:pPr>
              <w:textAlignment w:val="bottom"/>
            </w:pPr>
            <w:r>
              <w:rPr>
                <w:rFonts w:ascii="Times New Roman" w:eastAsia="宋体" w:hAnsi="Times New Roman"/>
                <w:color w:val="000000"/>
                <w:sz w:val="20"/>
                <w:szCs w:val="20"/>
              </w:rPr>
              <w:t xml:space="preserve">Computer equipment and related </w:t>
            </w:r>
            <w:r>
              <w:rPr>
                <w:rFonts w:ascii="Times New Roman" w:eastAsia="宋体" w:hAnsi="Times New Roman"/>
                <w:color w:val="000000"/>
                <w:sz w:val="20"/>
                <w:szCs w:val="20"/>
              </w:rPr>
              <w:t>software</w:t>
            </w:r>
          </w:p>
        </w:tc>
        <w:tc>
          <w:tcPr>
            <w:tcW w:w="0" w:type="auto"/>
            <w:gridSpan w:val="3"/>
            <w:shd w:val="clear" w:color="auto" w:fill="FFFFFF"/>
            <w:tcMar>
              <w:top w:w="0" w:type="dxa"/>
              <w:left w:w="20" w:type="dxa"/>
              <w:bottom w:w="0" w:type="dxa"/>
              <w:right w:w="20" w:type="dxa"/>
            </w:tcMar>
            <w:vAlign w:val="bottom"/>
          </w:tcPr>
          <w:p w14:paraId="518B5DF9"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5DFA" w14:textId="77777777" w:rsidR="005C332D" w:rsidRDefault="00B93EAE">
            <w:pPr>
              <w:textAlignment w:val="bottom"/>
            </w:pPr>
            <w:r>
              <w:rPr>
                <w:rFonts w:ascii="Times New Roman" w:eastAsia="宋体" w:hAnsi="Times New Roman"/>
                <w:color w:val="000000"/>
                <w:sz w:val="20"/>
                <w:szCs w:val="20"/>
              </w:rPr>
              <w:t>30 to 36 months</w:t>
            </w:r>
          </w:p>
        </w:tc>
      </w:tr>
      <w:tr w:rsidR="005C332D" w14:paraId="518B5DFF" w14:textId="77777777">
        <w:tc>
          <w:tcPr>
            <w:tcW w:w="0" w:type="auto"/>
            <w:gridSpan w:val="3"/>
            <w:shd w:val="clear" w:color="auto" w:fill="CCEEFF"/>
            <w:tcMar>
              <w:top w:w="40" w:type="dxa"/>
              <w:left w:w="20" w:type="dxa"/>
              <w:bottom w:w="40" w:type="dxa"/>
              <w:right w:w="20" w:type="dxa"/>
            </w:tcMar>
            <w:vAlign w:val="bottom"/>
          </w:tcPr>
          <w:p w14:paraId="518B5DFC" w14:textId="77777777" w:rsidR="005C332D" w:rsidRDefault="00B93EAE">
            <w:pPr>
              <w:textAlignment w:val="bottom"/>
            </w:pPr>
            <w:r>
              <w:rPr>
                <w:rFonts w:ascii="Times New Roman" w:eastAsia="宋体" w:hAnsi="Times New Roman"/>
                <w:color w:val="000000"/>
                <w:sz w:val="20"/>
                <w:szCs w:val="20"/>
              </w:rPr>
              <w:t>Production, engineering, and other equipment</w:t>
            </w:r>
          </w:p>
        </w:tc>
        <w:tc>
          <w:tcPr>
            <w:tcW w:w="0" w:type="auto"/>
            <w:gridSpan w:val="3"/>
            <w:shd w:val="clear" w:color="auto" w:fill="CCEEFF"/>
            <w:tcMar>
              <w:top w:w="0" w:type="dxa"/>
              <w:left w:w="20" w:type="dxa"/>
              <w:bottom w:w="0" w:type="dxa"/>
              <w:right w:w="20" w:type="dxa"/>
            </w:tcMar>
            <w:vAlign w:val="bottom"/>
          </w:tcPr>
          <w:p w14:paraId="518B5DFD"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5DFE" w14:textId="77777777" w:rsidR="005C332D" w:rsidRDefault="00B93EAE">
            <w:pPr>
              <w:textAlignment w:val="bottom"/>
            </w:pPr>
            <w:r>
              <w:rPr>
                <w:rFonts w:ascii="Times New Roman" w:eastAsia="宋体" w:hAnsi="Times New Roman"/>
                <w:color w:val="000000"/>
                <w:sz w:val="20"/>
                <w:szCs w:val="20"/>
              </w:rPr>
              <w:t>Up to 5 years</w:t>
            </w:r>
          </w:p>
        </w:tc>
      </w:tr>
      <w:tr w:rsidR="005C332D" w14:paraId="518B5E03" w14:textId="77777777">
        <w:tc>
          <w:tcPr>
            <w:tcW w:w="0" w:type="auto"/>
            <w:gridSpan w:val="3"/>
            <w:shd w:val="clear" w:color="auto" w:fill="FFFFFF"/>
            <w:tcMar>
              <w:top w:w="40" w:type="dxa"/>
              <w:left w:w="20" w:type="dxa"/>
              <w:bottom w:w="40" w:type="dxa"/>
              <w:right w:w="20" w:type="dxa"/>
            </w:tcMar>
            <w:vAlign w:val="bottom"/>
          </w:tcPr>
          <w:p w14:paraId="518B5E00" w14:textId="77777777" w:rsidR="005C332D" w:rsidRDefault="00B93EAE">
            <w:pPr>
              <w:textAlignment w:val="bottom"/>
            </w:pPr>
            <w:r>
              <w:rPr>
                <w:rFonts w:ascii="Times New Roman" w:eastAsia="宋体" w:hAnsi="Times New Roman"/>
                <w:color w:val="000000"/>
                <w:sz w:val="20"/>
                <w:szCs w:val="20"/>
              </w:rPr>
              <w:t>Operating lease assets</w:t>
            </w:r>
          </w:p>
        </w:tc>
        <w:tc>
          <w:tcPr>
            <w:tcW w:w="0" w:type="auto"/>
            <w:gridSpan w:val="3"/>
            <w:shd w:val="clear" w:color="auto" w:fill="FFFFFF"/>
            <w:tcMar>
              <w:top w:w="0" w:type="dxa"/>
              <w:left w:w="20" w:type="dxa"/>
              <w:bottom w:w="0" w:type="dxa"/>
              <w:right w:w="20" w:type="dxa"/>
            </w:tcMar>
            <w:vAlign w:val="bottom"/>
          </w:tcPr>
          <w:p w14:paraId="518B5E01"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5E02" w14:textId="77777777" w:rsidR="005C332D" w:rsidRDefault="00B93EAE">
            <w:pPr>
              <w:textAlignment w:val="bottom"/>
            </w:pPr>
            <w:r>
              <w:rPr>
                <w:rFonts w:ascii="Times New Roman" w:eastAsia="宋体" w:hAnsi="Times New Roman"/>
                <w:color w:val="000000"/>
                <w:sz w:val="20"/>
                <w:szCs w:val="20"/>
              </w:rPr>
              <w:t>Based on lease term</w:t>
            </w:r>
          </w:p>
        </w:tc>
      </w:tr>
      <w:tr w:rsidR="005C332D" w14:paraId="518B5E07" w14:textId="77777777">
        <w:tc>
          <w:tcPr>
            <w:tcW w:w="0" w:type="auto"/>
            <w:gridSpan w:val="3"/>
            <w:shd w:val="clear" w:color="auto" w:fill="CCEEFF"/>
            <w:tcMar>
              <w:top w:w="40" w:type="dxa"/>
              <w:left w:w="20" w:type="dxa"/>
              <w:bottom w:w="40" w:type="dxa"/>
              <w:right w:w="20" w:type="dxa"/>
            </w:tcMar>
            <w:vAlign w:val="bottom"/>
          </w:tcPr>
          <w:p w14:paraId="518B5E04" w14:textId="77777777" w:rsidR="005C332D" w:rsidRDefault="00B93EAE">
            <w:pPr>
              <w:textAlignment w:val="bottom"/>
            </w:pPr>
            <w:r>
              <w:rPr>
                <w:rFonts w:ascii="Times New Roman" w:eastAsia="宋体" w:hAnsi="Times New Roman"/>
                <w:color w:val="000000"/>
                <w:sz w:val="20"/>
                <w:szCs w:val="20"/>
              </w:rPr>
              <w:t>Furniture and fixtures</w:t>
            </w:r>
          </w:p>
        </w:tc>
        <w:tc>
          <w:tcPr>
            <w:tcW w:w="0" w:type="auto"/>
            <w:gridSpan w:val="3"/>
            <w:shd w:val="clear" w:color="auto" w:fill="CCEEFF"/>
            <w:tcMar>
              <w:top w:w="0" w:type="dxa"/>
              <w:left w:w="20" w:type="dxa"/>
              <w:bottom w:w="0" w:type="dxa"/>
              <w:right w:w="20" w:type="dxa"/>
            </w:tcMar>
            <w:vAlign w:val="bottom"/>
          </w:tcPr>
          <w:p w14:paraId="518B5E0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5E06" w14:textId="77777777" w:rsidR="005C332D" w:rsidRDefault="00B93EAE">
            <w:pPr>
              <w:textAlignment w:val="bottom"/>
            </w:pPr>
            <w:r>
              <w:rPr>
                <w:rFonts w:ascii="Times New Roman" w:eastAsia="宋体" w:hAnsi="Times New Roman"/>
                <w:color w:val="000000"/>
                <w:sz w:val="20"/>
                <w:szCs w:val="20"/>
              </w:rPr>
              <w:t>5 years</w:t>
            </w:r>
          </w:p>
        </w:tc>
      </w:tr>
    </w:tbl>
    <w:p w14:paraId="518B5E08" w14:textId="77777777" w:rsidR="005C332D" w:rsidRDefault="00B93EAE">
      <w:pPr>
        <w:spacing w:before="120"/>
        <w:jc w:val="both"/>
      </w:pPr>
      <w:r>
        <w:rPr>
          <w:rFonts w:ascii="Times New Roman" w:eastAsia="宋体" w:hAnsi="Times New Roman"/>
          <w:color w:val="000000"/>
          <w:sz w:val="20"/>
          <w:szCs w:val="20"/>
          <w:u w:val="single"/>
        </w:rPr>
        <w:t>(j) Business Combinations</w:t>
      </w:r>
      <w:r>
        <w:rPr>
          <w:rFonts w:ascii="Times New Roman" w:eastAsia="宋体" w:hAnsi="Times New Roman"/>
          <w:color w:val="000000"/>
          <w:sz w:val="20"/>
          <w:szCs w:val="20"/>
        </w:rPr>
        <w:t xml:space="preserve"> We allocate the fair value of the purchase consideration of our acquisitions to the tangible assets, liabilities, and intangible assets acquired, including in-process research and development (IPR&amp;D), based on their estimated fair values. The excess of th</w:t>
      </w:r>
      <w:r>
        <w:rPr>
          <w:rFonts w:ascii="Times New Roman" w:eastAsia="宋体" w:hAnsi="Times New Roman"/>
          <w:color w:val="000000"/>
          <w:sz w:val="20"/>
          <w:szCs w:val="20"/>
        </w:rPr>
        <w:t>e fair value of purchase consideration over the fair values of these identifiable assets and liabilities is recorded as goodwill. IPR&amp;D is initially capitalized at fair value as an intangible asset with an indefinite life and assessed for impairment therea</w:t>
      </w:r>
      <w:r>
        <w:rPr>
          <w:rFonts w:ascii="Times New Roman" w:eastAsia="宋体" w:hAnsi="Times New Roman"/>
          <w:color w:val="000000"/>
          <w:sz w:val="20"/>
          <w:szCs w:val="20"/>
        </w:rPr>
        <w:t>fter. When an IPR&amp;D project is completed, the IPR&amp;D is reclassified as an amortizable purchased intangible asset and amortized over the asset’s estimated useful life. Acquisition-related expenses and related restructuring costs are recognized separately fr</w:t>
      </w:r>
      <w:r>
        <w:rPr>
          <w:rFonts w:ascii="Times New Roman" w:eastAsia="宋体" w:hAnsi="Times New Roman"/>
          <w:color w:val="000000"/>
          <w:sz w:val="20"/>
          <w:szCs w:val="20"/>
        </w:rPr>
        <w:t>om the business combination and are expensed as incurred.</w:t>
      </w:r>
    </w:p>
    <w:p w14:paraId="518B5E09" w14:textId="77777777" w:rsidR="005C332D" w:rsidRDefault="00B93EAE">
      <w:pPr>
        <w:spacing w:before="120"/>
        <w:jc w:val="both"/>
      </w:pPr>
      <w:r>
        <w:rPr>
          <w:rFonts w:ascii="Times New Roman" w:eastAsia="宋体" w:hAnsi="Times New Roman"/>
          <w:color w:val="000000"/>
          <w:sz w:val="20"/>
          <w:szCs w:val="20"/>
          <w:u w:val="single"/>
        </w:rPr>
        <w:t>(k) Goodwill and Purchased Intangible Assets</w:t>
      </w:r>
      <w:r>
        <w:rPr>
          <w:rFonts w:ascii="Times New Roman" w:eastAsia="宋体" w:hAnsi="Times New Roman"/>
          <w:color w:val="000000"/>
          <w:sz w:val="20"/>
          <w:szCs w:val="20"/>
        </w:rPr>
        <w:t xml:space="preserve">   Goodwill is tested for impairment on an annual basis in the fourth fiscal quarter and, when specific circumstances dictate, between annual tests. When </w:t>
      </w:r>
      <w:r>
        <w:rPr>
          <w:rFonts w:ascii="Times New Roman" w:eastAsia="宋体" w:hAnsi="Times New Roman"/>
          <w:color w:val="000000"/>
          <w:sz w:val="20"/>
          <w:szCs w:val="20"/>
        </w:rPr>
        <w:t xml:space="preserve">impaired, the carrying value of goodwill is written down to fair value. Identifying a potential impairment consists of comparing the fair value of a reporting unit with its carrying amount, including goodwill. Purchased intangible assets with finite lives </w:t>
      </w:r>
      <w:r>
        <w:rPr>
          <w:rFonts w:ascii="Times New Roman" w:eastAsia="宋体" w:hAnsi="Times New Roman"/>
          <w:color w:val="000000"/>
          <w:sz w:val="20"/>
          <w:szCs w:val="20"/>
        </w:rPr>
        <w:t>are carried at cost, less accumulated amortization. Amortization is computed over the estimated useful lives of the respective assets. See “Long-Lived Assets” for our policy regarding impairment testing of purchased intangible assets with finite lives. Pur</w:t>
      </w:r>
      <w:r>
        <w:rPr>
          <w:rFonts w:ascii="Times New Roman" w:eastAsia="宋体" w:hAnsi="Times New Roman"/>
          <w:color w:val="000000"/>
          <w:sz w:val="20"/>
          <w:szCs w:val="20"/>
        </w:rPr>
        <w:t>chased intangible assets with indefinite lives are assessed for potential impairment annually or when events or circumstances indicate that their carrying amounts might be impaired.</w:t>
      </w:r>
    </w:p>
    <w:p w14:paraId="518B5E0A" w14:textId="77777777" w:rsidR="005C332D" w:rsidRDefault="00B93EAE">
      <w:pPr>
        <w:spacing w:before="120"/>
        <w:jc w:val="both"/>
      </w:pPr>
      <w:r>
        <w:rPr>
          <w:rFonts w:ascii="Times New Roman" w:eastAsia="宋体" w:hAnsi="Times New Roman"/>
          <w:color w:val="000000"/>
          <w:sz w:val="20"/>
          <w:szCs w:val="20"/>
          <w:u w:val="single"/>
        </w:rPr>
        <w:t>(l) Long-Lived Assets</w:t>
      </w:r>
      <w:r>
        <w:rPr>
          <w:rFonts w:ascii="Times New Roman" w:eastAsia="宋体" w:hAnsi="Times New Roman"/>
          <w:color w:val="000000"/>
          <w:sz w:val="20"/>
          <w:szCs w:val="20"/>
        </w:rPr>
        <w:t xml:space="preserve">   Long-lived assets that are held and used by us are</w:t>
      </w:r>
      <w:r>
        <w:rPr>
          <w:rFonts w:ascii="Times New Roman" w:eastAsia="宋体" w:hAnsi="Times New Roman"/>
          <w:color w:val="000000"/>
          <w:sz w:val="20"/>
          <w:szCs w:val="20"/>
        </w:rPr>
        <w:t xml:space="preserve"> reviewed for impairment whenever events or changes in circumstances indicate that the carrying amount of such assets may not be recoverable. Determination of recoverability of long-lived assets is based on an estimate of the undiscounted future cash flows</w:t>
      </w:r>
      <w:r>
        <w:rPr>
          <w:rFonts w:ascii="Times New Roman" w:eastAsia="宋体" w:hAnsi="Times New Roman"/>
          <w:color w:val="000000"/>
          <w:sz w:val="20"/>
          <w:szCs w:val="20"/>
        </w:rPr>
        <w:t xml:space="preserve"> resulting from the use of the asset and its eventual disposition. Measurement of an impairment loss for long-lived assets that management expects to hold and use is based on the difference between the fair value of the asset and its carrying value. Long-l</w:t>
      </w:r>
      <w:r>
        <w:rPr>
          <w:rFonts w:ascii="Times New Roman" w:eastAsia="宋体" w:hAnsi="Times New Roman"/>
          <w:color w:val="000000"/>
          <w:sz w:val="20"/>
          <w:szCs w:val="20"/>
        </w:rPr>
        <w:t xml:space="preserve">ived assets to be disposed of are reported at the lower of carrying amount or fair value less costs to sell. </w:t>
      </w:r>
    </w:p>
    <w:p w14:paraId="518B5E0B" w14:textId="77777777" w:rsidR="005C332D" w:rsidRDefault="00B93EAE">
      <w:pPr>
        <w:jc w:val="center"/>
      </w:pPr>
      <w:r>
        <w:rPr>
          <w:rFonts w:ascii="Times New Roman" w:eastAsia="宋体" w:hAnsi="Times New Roman"/>
          <w:color w:val="000000"/>
          <w:sz w:val="20"/>
          <w:szCs w:val="20"/>
        </w:rPr>
        <w:t>66</w:t>
      </w:r>
    </w:p>
    <w:p w14:paraId="518B5E0C" w14:textId="77777777" w:rsidR="005C332D" w:rsidRDefault="00B93EAE">
      <w:r>
        <w:pict w14:anchorId="518B8757">
          <v:rect id="_x0000_i1092" style="width:415.3pt;height:1.5pt" o:hralign="center" o:hrstd="t" o:hr="t" fillcolor="#a0a0a0" stroked="f"/>
        </w:pict>
      </w:r>
    </w:p>
    <w:p w14:paraId="518B5E0D" w14:textId="77777777" w:rsidR="005C332D" w:rsidRDefault="00B93EAE">
      <w:hyperlink r:id="rId177" w:anchor="i049852cab38845aabd2a79d07dacda86_7" w:history="1">
        <w:r>
          <w:rPr>
            <w:rStyle w:val="a5"/>
            <w:rFonts w:ascii="Times New Roman" w:eastAsia="宋体" w:hAnsi="Times New Roman"/>
            <w:sz w:val="20"/>
            <w:szCs w:val="20"/>
          </w:rPr>
          <w:t>Table of Contents</w:t>
        </w:r>
      </w:hyperlink>
    </w:p>
    <w:p w14:paraId="518B5E0E" w14:textId="77777777" w:rsidR="005C332D" w:rsidRDefault="00B93EAE">
      <w:pPr>
        <w:spacing w:before="120"/>
        <w:jc w:val="both"/>
      </w:pPr>
      <w:r>
        <w:rPr>
          <w:rFonts w:ascii="Times New Roman" w:eastAsia="宋体" w:hAnsi="Times New Roman"/>
          <w:color w:val="000000"/>
          <w:sz w:val="20"/>
          <w:szCs w:val="20"/>
          <w:u w:val="single"/>
        </w:rPr>
        <w:t>(m) Fair Value</w:t>
      </w:r>
      <w:r>
        <w:rPr>
          <w:rFonts w:ascii="Times New Roman" w:eastAsia="宋体" w:hAnsi="Times New Roman"/>
          <w:color w:val="000000"/>
          <w:sz w:val="20"/>
          <w:szCs w:val="20"/>
        </w:rPr>
        <w:t xml:space="preserve">   Fair value is defined as the price that would be received from selling an asset or paid to transfer a liability in an orderly transaction between market participants at the measurement date. When determining the f</w:t>
      </w:r>
      <w:r>
        <w:rPr>
          <w:rFonts w:ascii="Times New Roman" w:eastAsia="宋体" w:hAnsi="Times New Roman"/>
          <w:color w:val="000000"/>
          <w:sz w:val="20"/>
          <w:szCs w:val="20"/>
        </w:rPr>
        <w:t>air value measurements for assets and liabilities required or permitted to be either recorded or disclosed at fair value, we consider the principal or most advantageous market in which we would transact, and we also consider assumptions that market partici</w:t>
      </w:r>
      <w:r>
        <w:rPr>
          <w:rFonts w:ascii="Times New Roman" w:eastAsia="宋体" w:hAnsi="Times New Roman"/>
          <w:color w:val="000000"/>
          <w:sz w:val="20"/>
          <w:szCs w:val="20"/>
        </w:rPr>
        <w:t xml:space="preserve">pants would use when pricing the asset or liability. </w:t>
      </w:r>
    </w:p>
    <w:p w14:paraId="518B5E0F" w14:textId="77777777" w:rsidR="005C332D" w:rsidRDefault="00B93EAE">
      <w:pPr>
        <w:spacing w:before="120"/>
        <w:jc w:val="both"/>
      </w:pPr>
      <w:r>
        <w:rPr>
          <w:rFonts w:ascii="Times New Roman" w:eastAsia="宋体" w:hAnsi="Times New Roman"/>
          <w:color w:val="000000"/>
          <w:sz w:val="20"/>
          <w:szCs w:val="20"/>
        </w:rPr>
        <w:t>The accounting guidance for fair value measurement requires an entity to maximize the use of observable inputs and minimize the use of unobservable inputs when measuring fair value. The standard establi</w:t>
      </w:r>
      <w:r>
        <w:rPr>
          <w:rFonts w:ascii="Times New Roman" w:eastAsia="宋体" w:hAnsi="Times New Roman"/>
          <w:color w:val="000000"/>
          <w:sz w:val="20"/>
          <w:szCs w:val="20"/>
        </w:rPr>
        <w:t>shes a fair value hierarchy based on the level of independent, objective evidence surrounding the inputs used to measure fair value. A financial instrument’s categorization within the fair value hierarchy is based upon the lowest level of input that is sig</w:t>
      </w:r>
      <w:r>
        <w:rPr>
          <w:rFonts w:ascii="Times New Roman" w:eastAsia="宋体" w:hAnsi="Times New Roman"/>
          <w:color w:val="000000"/>
          <w:sz w:val="20"/>
          <w:szCs w:val="20"/>
        </w:rPr>
        <w:t xml:space="preserve">nificant to the fair value measurement. </w:t>
      </w:r>
    </w:p>
    <w:p w14:paraId="518B5E10" w14:textId="77777777" w:rsidR="005C332D" w:rsidRDefault="00B93EAE">
      <w:pPr>
        <w:spacing w:before="120"/>
        <w:jc w:val="both"/>
      </w:pPr>
      <w:r>
        <w:rPr>
          <w:rFonts w:ascii="Times New Roman" w:eastAsia="宋体" w:hAnsi="Times New Roman"/>
          <w:color w:val="000000"/>
          <w:sz w:val="20"/>
          <w:szCs w:val="20"/>
        </w:rPr>
        <w:t>The fair value hierarchy is as follows:</w:t>
      </w:r>
    </w:p>
    <w:p w14:paraId="518B5E11" w14:textId="77777777" w:rsidR="005C332D" w:rsidRDefault="00B93EAE">
      <w:pPr>
        <w:spacing w:before="120"/>
        <w:jc w:val="both"/>
      </w:pPr>
      <w:r>
        <w:rPr>
          <w:rFonts w:ascii="Times New Roman" w:eastAsia="宋体" w:hAnsi="Times New Roman"/>
          <w:color w:val="000000"/>
          <w:sz w:val="20"/>
          <w:szCs w:val="20"/>
          <w:u w:val="single"/>
        </w:rPr>
        <w:t>Level 1</w:t>
      </w:r>
      <w:r>
        <w:rPr>
          <w:rFonts w:ascii="Times New Roman" w:eastAsia="宋体" w:hAnsi="Times New Roman"/>
          <w:color w:val="000000"/>
          <w:sz w:val="20"/>
          <w:szCs w:val="20"/>
        </w:rPr>
        <w:t xml:space="preserve"> applies to assets or liabilities for which there are quoted prices in active markets for identical assets or liabilities.</w:t>
      </w:r>
    </w:p>
    <w:p w14:paraId="518B5E12" w14:textId="77777777" w:rsidR="005C332D" w:rsidRDefault="00B93EAE">
      <w:pPr>
        <w:spacing w:before="120"/>
        <w:jc w:val="both"/>
      </w:pPr>
      <w:r>
        <w:rPr>
          <w:rFonts w:ascii="Times New Roman" w:eastAsia="宋体" w:hAnsi="Times New Roman"/>
          <w:color w:val="000000"/>
          <w:sz w:val="20"/>
          <w:szCs w:val="20"/>
          <w:u w:val="single"/>
        </w:rPr>
        <w:t>Level 2</w:t>
      </w:r>
      <w:r>
        <w:rPr>
          <w:rFonts w:ascii="Times New Roman" w:eastAsia="宋体" w:hAnsi="Times New Roman"/>
          <w:color w:val="000000"/>
          <w:sz w:val="20"/>
          <w:szCs w:val="20"/>
        </w:rPr>
        <w:t xml:space="preserve"> applies to assets or liabilities for </w:t>
      </w:r>
      <w:r>
        <w:rPr>
          <w:rFonts w:ascii="Times New Roman" w:eastAsia="宋体" w:hAnsi="Times New Roman"/>
          <w:color w:val="000000"/>
          <w:sz w:val="20"/>
          <w:szCs w:val="20"/>
        </w:rPr>
        <w:t xml:space="preserve">which there are inputs other than quoted prices that are observable for the asset or liability such as quoted prices for similar assets or liabilities in active markets; quoted prices for identical assets or liabilities in markets with insufficient volume </w:t>
      </w:r>
      <w:r>
        <w:rPr>
          <w:rFonts w:ascii="Times New Roman" w:eastAsia="宋体" w:hAnsi="Times New Roman"/>
          <w:color w:val="000000"/>
          <w:sz w:val="20"/>
          <w:szCs w:val="20"/>
        </w:rPr>
        <w:t>or infrequent transactions (less active markets); or model-derived valuations in which significant inputs are observable or can be derived principally from, or corroborated by, observable market data. We use inputs such as actual trade data, benchmark yiel</w:t>
      </w:r>
      <w:r>
        <w:rPr>
          <w:rFonts w:ascii="Times New Roman" w:eastAsia="宋体" w:hAnsi="Times New Roman"/>
          <w:color w:val="000000"/>
          <w:sz w:val="20"/>
          <w:szCs w:val="20"/>
        </w:rPr>
        <w:t>ds, broker/dealer quotes, and other similar data, which are obtained from quoted market prices, independent pricing vendors, or other sources, to determine the ultimate fair value of assets or liabilities.</w:t>
      </w:r>
    </w:p>
    <w:p w14:paraId="518B5E13" w14:textId="77777777" w:rsidR="005C332D" w:rsidRDefault="00B93EAE">
      <w:pPr>
        <w:spacing w:before="120"/>
        <w:jc w:val="both"/>
      </w:pPr>
      <w:r>
        <w:rPr>
          <w:rFonts w:ascii="Times New Roman" w:eastAsia="宋体" w:hAnsi="Times New Roman"/>
          <w:color w:val="000000"/>
          <w:sz w:val="20"/>
          <w:szCs w:val="20"/>
          <w:u w:val="single"/>
        </w:rPr>
        <w:t>Level 3</w:t>
      </w:r>
      <w:r>
        <w:rPr>
          <w:rFonts w:ascii="Times New Roman" w:eastAsia="宋体" w:hAnsi="Times New Roman"/>
          <w:color w:val="000000"/>
          <w:sz w:val="20"/>
          <w:szCs w:val="20"/>
        </w:rPr>
        <w:t xml:space="preserve"> applies to assets or liabilities for which there are unobservable inputs to the valuation methodology that are significant to the measurement of the fair value of the assets or liabilities. The fair values are determined based on model-based techniques su</w:t>
      </w:r>
      <w:r>
        <w:rPr>
          <w:rFonts w:ascii="Times New Roman" w:eastAsia="宋体" w:hAnsi="Times New Roman"/>
          <w:color w:val="000000"/>
          <w:sz w:val="20"/>
          <w:szCs w:val="20"/>
        </w:rPr>
        <w:t>ch as discounted cash flow models using inputs that we could not corroborate with market data.</w:t>
      </w:r>
    </w:p>
    <w:p w14:paraId="518B5E14" w14:textId="77777777" w:rsidR="005C332D" w:rsidRDefault="00B93EAE">
      <w:pPr>
        <w:spacing w:before="120"/>
        <w:jc w:val="both"/>
      </w:pPr>
      <w:r>
        <w:rPr>
          <w:rFonts w:ascii="Times New Roman" w:eastAsia="宋体" w:hAnsi="Times New Roman"/>
          <w:color w:val="000000"/>
          <w:sz w:val="20"/>
          <w:szCs w:val="20"/>
          <w:u w:val="single"/>
        </w:rPr>
        <w:t>(n) Derivative Instruments</w:t>
      </w:r>
      <w:r>
        <w:rPr>
          <w:rFonts w:ascii="Times New Roman" w:eastAsia="宋体" w:hAnsi="Times New Roman"/>
          <w:color w:val="000000"/>
          <w:sz w:val="20"/>
          <w:szCs w:val="20"/>
        </w:rPr>
        <w:t xml:space="preserve">   We recognize derivative instruments as either assets or liabilities and measure those instruments at fair value. The accounting for </w:t>
      </w:r>
      <w:r>
        <w:rPr>
          <w:rFonts w:ascii="Times New Roman" w:eastAsia="宋体" w:hAnsi="Times New Roman"/>
          <w:color w:val="000000"/>
          <w:sz w:val="20"/>
          <w:szCs w:val="20"/>
        </w:rPr>
        <w:t>changes in the fair value of a derivative depends on the intended use of the derivative and the resulting designation. For a derivative instrument designated as a fair value hedge, the gain or loss is recognized in earnings in the period of change together</w:t>
      </w:r>
      <w:r>
        <w:rPr>
          <w:rFonts w:ascii="Times New Roman" w:eastAsia="宋体" w:hAnsi="Times New Roman"/>
          <w:color w:val="000000"/>
          <w:sz w:val="20"/>
          <w:szCs w:val="20"/>
        </w:rPr>
        <w:t xml:space="preserve"> with the offsetting loss or gain on the hedged item attributed to the risk being hedged. For a derivative instrument designated as a cash flow hedge, the gain or loss is initially reported as a component of AOCI and subsequently reclassified into earnings</w:t>
      </w:r>
      <w:r>
        <w:rPr>
          <w:rFonts w:ascii="Times New Roman" w:eastAsia="宋体" w:hAnsi="Times New Roman"/>
          <w:color w:val="000000"/>
          <w:sz w:val="20"/>
          <w:szCs w:val="20"/>
        </w:rPr>
        <w:t xml:space="preserve"> when the hedged exposure affects earnings. For a derivative instrument designated as a net investment hedge of our foreign operations, the gain or loss is recorded in the cumulative translation adjustment within AOCI together with the offsetting loss or g</w:t>
      </w:r>
      <w:r>
        <w:rPr>
          <w:rFonts w:ascii="Times New Roman" w:eastAsia="宋体" w:hAnsi="Times New Roman"/>
          <w:color w:val="000000"/>
          <w:sz w:val="20"/>
          <w:szCs w:val="20"/>
        </w:rPr>
        <w:t>ain of the hedged exposure of the underlying foreign operations. For derivative instruments that are not designated as accounting hedges, changes in fair value are recognized in earnings in the period of change. We record derivative instruments in the stat</w:t>
      </w:r>
      <w:r>
        <w:rPr>
          <w:rFonts w:ascii="Times New Roman" w:eastAsia="宋体" w:hAnsi="Times New Roman"/>
          <w:color w:val="000000"/>
          <w:sz w:val="20"/>
          <w:szCs w:val="20"/>
        </w:rPr>
        <w:t>ements of cash flows to operating, investing, or financing activities consistent with the cash flows of the hedged item.</w:t>
      </w:r>
    </w:p>
    <w:p w14:paraId="518B5E15" w14:textId="77777777" w:rsidR="005C332D" w:rsidRDefault="00B93EAE">
      <w:pPr>
        <w:spacing w:before="120"/>
        <w:jc w:val="both"/>
      </w:pPr>
      <w:r>
        <w:rPr>
          <w:rFonts w:ascii="Times New Roman" w:eastAsia="宋体" w:hAnsi="Times New Roman"/>
          <w:color w:val="000000"/>
          <w:sz w:val="20"/>
          <w:szCs w:val="20"/>
        </w:rPr>
        <w:t>Hedge effectiveness for foreign exchange forward contracts used as cash flow hedges is assessed by comparing the change in the fair val</w:t>
      </w:r>
      <w:r>
        <w:rPr>
          <w:rFonts w:ascii="Times New Roman" w:eastAsia="宋体" w:hAnsi="Times New Roman"/>
          <w:color w:val="000000"/>
          <w:sz w:val="20"/>
          <w:szCs w:val="20"/>
        </w:rPr>
        <w:t>ue of the hedge contract with the change in the fair value of the forecasted cash flows of the hedged item. Hedge effectiveness for equity forward contracts and foreign exchange net investment hedge forward contracts is assessed by comparing changes in fai</w:t>
      </w:r>
      <w:r>
        <w:rPr>
          <w:rFonts w:ascii="Times New Roman" w:eastAsia="宋体" w:hAnsi="Times New Roman"/>
          <w:color w:val="000000"/>
          <w:sz w:val="20"/>
          <w:szCs w:val="20"/>
        </w:rPr>
        <w:t>r value due to changes in spot rates for both the derivative and the hedged item. For foreign exchange option contracts, hedge effectiveness is assessed based on the hedging instrument’s entire change in fair value. Hedge effectiveness for interest rate sw</w:t>
      </w:r>
      <w:r>
        <w:rPr>
          <w:rFonts w:ascii="Times New Roman" w:eastAsia="宋体" w:hAnsi="Times New Roman"/>
          <w:color w:val="000000"/>
          <w:sz w:val="20"/>
          <w:szCs w:val="20"/>
        </w:rPr>
        <w:t xml:space="preserve">aps is assessed by comparing the change in fair value of the swap with the change in the fair value of the hedged item due to changes in the benchmark interest rate. </w:t>
      </w:r>
    </w:p>
    <w:p w14:paraId="518B5E16" w14:textId="77777777" w:rsidR="005C332D" w:rsidRDefault="00B93EAE">
      <w:pPr>
        <w:spacing w:before="120"/>
        <w:jc w:val="both"/>
      </w:pPr>
      <w:r>
        <w:rPr>
          <w:rFonts w:ascii="Times New Roman" w:eastAsia="宋体" w:hAnsi="Times New Roman"/>
          <w:color w:val="000000"/>
          <w:sz w:val="20"/>
          <w:szCs w:val="20"/>
          <w:u w:val="single"/>
        </w:rPr>
        <w:t>(o) Foreign Currency Translation</w:t>
      </w:r>
      <w:r>
        <w:rPr>
          <w:rFonts w:ascii="Times New Roman" w:eastAsia="宋体" w:hAnsi="Times New Roman"/>
          <w:color w:val="000000"/>
          <w:sz w:val="20"/>
          <w:szCs w:val="20"/>
        </w:rPr>
        <w:t xml:space="preserve">   Assets and liabilities of non-U.S. subsidiaries that o</w:t>
      </w:r>
      <w:r>
        <w:rPr>
          <w:rFonts w:ascii="Times New Roman" w:eastAsia="宋体" w:hAnsi="Times New Roman"/>
          <w:color w:val="000000"/>
          <w:sz w:val="20"/>
          <w:szCs w:val="20"/>
        </w:rPr>
        <w:t>perate in a local currency environment, where that local currency is the functional currency, are translated to U.S. dollars at exchange rates in effect at the balance sheet date, with the resulting translation adjustments directly recorded to a separate c</w:t>
      </w:r>
      <w:r>
        <w:rPr>
          <w:rFonts w:ascii="Times New Roman" w:eastAsia="宋体" w:hAnsi="Times New Roman"/>
          <w:color w:val="000000"/>
          <w:sz w:val="20"/>
          <w:szCs w:val="20"/>
        </w:rPr>
        <w:t>omponent of AOCI. Income and expense accounts are translated at average exchange rates during the year. Remeasurement adjustments are recorded in other income (loss), net.</w:t>
      </w:r>
    </w:p>
    <w:p w14:paraId="518B5E17" w14:textId="77777777" w:rsidR="005C332D" w:rsidRDefault="00B93EAE">
      <w:pPr>
        <w:spacing w:before="120"/>
        <w:jc w:val="both"/>
      </w:pPr>
      <w:r>
        <w:rPr>
          <w:rFonts w:ascii="Times New Roman" w:eastAsia="宋体" w:hAnsi="Times New Roman"/>
          <w:color w:val="000000"/>
          <w:sz w:val="20"/>
          <w:szCs w:val="20"/>
          <w:u w:val="single"/>
        </w:rPr>
        <w:t>(p) Concentrations of Risk</w:t>
      </w:r>
      <w:r>
        <w:rPr>
          <w:rFonts w:ascii="Times New Roman" w:eastAsia="宋体" w:hAnsi="Times New Roman"/>
          <w:color w:val="000000"/>
          <w:sz w:val="20"/>
          <w:szCs w:val="20"/>
        </w:rPr>
        <w:t xml:space="preserve">   Cash and cash equivalents are maintained with several f</w:t>
      </w:r>
      <w:r>
        <w:rPr>
          <w:rFonts w:ascii="Times New Roman" w:eastAsia="宋体" w:hAnsi="Times New Roman"/>
          <w:color w:val="000000"/>
          <w:sz w:val="20"/>
          <w:szCs w:val="20"/>
        </w:rPr>
        <w:t>inancial institutions. Deposits held with banks may exceed the amount of insurance provided on such deposits. Generally, these deposits may be redeemed upon demand and are maintained with financial institutions with reputable credit and therefore bear mini</w:t>
      </w:r>
      <w:r>
        <w:rPr>
          <w:rFonts w:ascii="Times New Roman" w:eastAsia="宋体" w:hAnsi="Times New Roman"/>
          <w:color w:val="000000"/>
          <w:sz w:val="20"/>
          <w:szCs w:val="20"/>
        </w:rPr>
        <w:t>mal credit risk. We seek to mitigate our credit risks by spreading such risks across multiple counterparties and monitoring the risk profiles of these counterparties.</w:t>
      </w:r>
    </w:p>
    <w:p w14:paraId="518B5E18" w14:textId="77777777" w:rsidR="005C332D" w:rsidRDefault="00B93EAE">
      <w:pPr>
        <w:spacing w:before="120"/>
        <w:jc w:val="both"/>
      </w:pPr>
      <w:r>
        <w:rPr>
          <w:rFonts w:ascii="Times New Roman" w:eastAsia="宋体" w:hAnsi="Times New Roman"/>
          <w:color w:val="000000"/>
          <w:sz w:val="20"/>
          <w:szCs w:val="20"/>
        </w:rPr>
        <w:t xml:space="preserve">We perform ongoing credit evaluations of our customers and, with the exception of </w:t>
      </w:r>
      <w:r>
        <w:rPr>
          <w:rFonts w:ascii="Times New Roman" w:eastAsia="宋体" w:hAnsi="Times New Roman"/>
          <w:color w:val="000000"/>
          <w:sz w:val="20"/>
          <w:szCs w:val="20"/>
        </w:rPr>
        <w:t xml:space="preserve">certain financing transactions, do not require collateral from our customers. We receive certain of our components from sole suppliers. Additionally, we rely on a limited number of contract manufacturers and suppliers to provide manufacturing services for </w:t>
      </w:r>
      <w:r>
        <w:rPr>
          <w:rFonts w:ascii="Times New Roman" w:eastAsia="宋体" w:hAnsi="Times New Roman"/>
          <w:color w:val="000000"/>
          <w:sz w:val="20"/>
          <w:szCs w:val="20"/>
        </w:rPr>
        <w:t>our products. The inability of a contract manufacturer or supplier to fulfill our supply requirements could materially impact future operating results.</w:t>
      </w:r>
    </w:p>
    <w:p w14:paraId="518B5E19" w14:textId="77777777" w:rsidR="005C332D" w:rsidRDefault="00B93EAE">
      <w:pPr>
        <w:jc w:val="center"/>
      </w:pPr>
      <w:r>
        <w:rPr>
          <w:rFonts w:ascii="Times New Roman" w:eastAsia="宋体" w:hAnsi="Times New Roman"/>
          <w:color w:val="000000"/>
          <w:sz w:val="20"/>
          <w:szCs w:val="20"/>
        </w:rPr>
        <w:t>67</w:t>
      </w:r>
    </w:p>
    <w:p w14:paraId="518B5E1A" w14:textId="77777777" w:rsidR="005C332D" w:rsidRDefault="00B93EAE">
      <w:r>
        <w:pict w14:anchorId="518B8758">
          <v:rect id="_x0000_i1093" style="width:415.3pt;height:1.5pt" o:hralign="center" o:hrstd="t" o:hr="t" fillcolor="#a0a0a0" stroked="f"/>
        </w:pict>
      </w:r>
    </w:p>
    <w:p w14:paraId="518B5E1B" w14:textId="77777777" w:rsidR="005C332D" w:rsidRDefault="00B93EAE">
      <w:hyperlink r:id="rId178" w:anchor="i049852cab38845aabd2a79d07dacda86_7" w:history="1">
        <w:r>
          <w:rPr>
            <w:rStyle w:val="a5"/>
            <w:rFonts w:ascii="Times New Roman" w:eastAsia="宋体" w:hAnsi="Times New Roman"/>
            <w:sz w:val="20"/>
            <w:szCs w:val="20"/>
          </w:rPr>
          <w:t>Table of Contents</w:t>
        </w:r>
      </w:hyperlink>
    </w:p>
    <w:p w14:paraId="518B5E1C" w14:textId="77777777" w:rsidR="005C332D" w:rsidRDefault="00B93EAE">
      <w:pPr>
        <w:spacing w:before="120"/>
        <w:jc w:val="both"/>
      </w:pPr>
      <w:r>
        <w:rPr>
          <w:rFonts w:ascii="Times New Roman" w:eastAsia="宋体" w:hAnsi="Times New Roman"/>
          <w:color w:val="000000"/>
          <w:sz w:val="20"/>
          <w:szCs w:val="20"/>
          <w:u w:val="single"/>
        </w:rPr>
        <w:t>(q) Revenue Recognition</w:t>
      </w:r>
      <w:r>
        <w:rPr>
          <w:rFonts w:ascii="Times New Roman" w:eastAsia="宋体" w:hAnsi="Times New Roman"/>
          <w:color w:val="000000"/>
          <w:sz w:val="20"/>
          <w:szCs w:val="20"/>
        </w:rPr>
        <w:t xml:space="preserve">   We enter into contracts with customers that can include various combinations of products and services which are generally distinct and accounted for as separate p</w:t>
      </w:r>
      <w:r>
        <w:rPr>
          <w:rFonts w:ascii="Times New Roman" w:eastAsia="宋体" w:hAnsi="Times New Roman"/>
          <w:color w:val="000000"/>
          <w:sz w:val="20"/>
          <w:szCs w:val="20"/>
        </w:rPr>
        <w:t>erformance obligations. As a result, our contracts may contain multiple performance obligations. We determine whether arrangements are distinct based on whether the customer can benefit from the product or service on its own or together with other resource</w:t>
      </w:r>
      <w:r>
        <w:rPr>
          <w:rFonts w:ascii="Times New Roman" w:eastAsia="宋体" w:hAnsi="Times New Roman"/>
          <w:color w:val="000000"/>
          <w:sz w:val="20"/>
          <w:szCs w:val="20"/>
        </w:rPr>
        <w:t>s that are readily available and whether our commitment to transfer the product or service to the customer is separately identifiable from other obligations in the contract. We classify our hardware, perpetual software licenses, and SaaS as distinct perfor</w:t>
      </w:r>
      <w:r>
        <w:rPr>
          <w:rFonts w:ascii="Times New Roman" w:eastAsia="宋体" w:hAnsi="Times New Roman"/>
          <w:color w:val="000000"/>
          <w:sz w:val="20"/>
          <w:szCs w:val="20"/>
        </w:rPr>
        <w:t>mance obligations. Term software licenses represent multiple obligations, which include software licenses and software maintenance. In transactions where we deliver hardware or software, we are typically the principal and we record revenue and costs of goo</w:t>
      </w:r>
      <w:r>
        <w:rPr>
          <w:rFonts w:ascii="Times New Roman" w:eastAsia="宋体" w:hAnsi="Times New Roman"/>
          <w:color w:val="000000"/>
          <w:sz w:val="20"/>
          <w:szCs w:val="20"/>
        </w:rPr>
        <w:t>ds sold on a gross basis. We refer to our term software licenses, security software licenses, SaaS, and associated service arrangements as subscription offers.</w:t>
      </w:r>
    </w:p>
    <w:p w14:paraId="518B5E1D" w14:textId="77777777" w:rsidR="005C332D" w:rsidRDefault="00B93EAE">
      <w:pPr>
        <w:spacing w:before="120"/>
        <w:jc w:val="both"/>
      </w:pPr>
      <w:r>
        <w:rPr>
          <w:rFonts w:ascii="Times New Roman" w:eastAsia="宋体" w:hAnsi="Times New Roman"/>
          <w:color w:val="000000"/>
          <w:sz w:val="20"/>
          <w:szCs w:val="20"/>
        </w:rPr>
        <w:t>We recognize revenue upon transfer of control of promised goods or services in a contract with a</w:t>
      </w:r>
      <w:r>
        <w:rPr>
          <w:rFonts w:ascii="Times New Roman" w:eastAsia="宋体" w:hAnsi="Times New Roman"/>
          <w:color w:val="000000"/>
          <w:sz w:val="20"/>
          <w:szCs w:val="20"/>
        </w:rPr>
        <w:t xml:space="preserve"> customer in an amount that reflects the consideration we expect to receive in exchange for those products or services. Transfer of control occurs once the customer has the contractual right to use the product, generally upon shipment, electronic delivery </w:t>
      </w:r>
      <w:r>
        <w:rPr>
          <w:rFonts w:ascii="Times New Roman" w:eastAsia="宋体" w:hAnsi="Times New Roman"/>
          <w:color w:val="000000"/>
          <w:sz w:val="20"/>
          <w:szCs w:val="20"/>
        </w:rPr>
        <w:t>(or when the software is available for download by the customer), or once title and risk of loss has transferred to the customer. Transfer of control can also occur over time for software maintenance and services as the customer receives the benefit over t</w:t>
      </w:r>
      <w:r>
        <w:rPr>
          <w:rFonts w:ascii="Times New Roman" w:eastAsia="宋体" w:hAnsi="Times New Roman"/>
          <w:color w:val="000000"/>
          <w:sz w:val="20"/>
          <w:szCs w:val="20"/>
        </w:rPr>
        <w:t>he contract term. Our hardware and perpetual software licenses are distinct performance obligations where revenue is recognized upfront upon transfer of control. Term software licenses include multiple performance obligations where the term licenses are re</w:t>
      </w:r>
      <w:r>
        <w:rPr>
          <w:rFonts w:ascii="Times New Roman" w:eastAsia="宋体" w:hAnsi="Times New Roman"/>
          <w:color w:val="000000"/>
          <w:sz w:val="20"/>
          <w:szCs w:val="20"/>
        </w:rPr>
        <w:t>cognized upfront upon transfer of control, with the associated software maintenance revenue recognized ratably over the contract term as services and software updates are provided. SaaS arrangements do not include the right for the customer to take possess</w:t>
      </w:r>
      <w:r>
        <w:rPr>
          <w:rFonts w:ascii="Times New Roman" w:eastAsia="宋体" w:hAnsi="Times New Roman"/>
          <w:color w:val="000000"/>
          <w:sz w:val="20"/>
          <w:szCs w:val="20"/>
        </w:rPr>
        <w:t>ion of the software during the term, and therefore have one distinct performance obligation which is satisfied over time with revenue recognized ratably over the contract term as the customer consumes the services. On our product sales, we record considera</w:t>
      </w:r>
      <w:r>
        <w:rPr>
          <w:rFonts w:ascii="Times New Roman" w:eastAsia="宋体" w:hAnsi="Times New Roman"/>
          <w:color w:val="000000"/>
          <w:sz w:val="20"/>
          <w:szCs w:val="20"/>
        </w:rPr>
        <w:t>tion from shipping and handling on a gross basis within net product sales. We record our revenue net of any associated sales taxes.</w:t>
      </w:r>
    </w:p>
    <w:p w14:paraId="518B5E1E" w14:textId="77777777" w:rsidR="005C332D" w:rsidRDefault="00B93EAE">
      <w:pPr>
        <w:spacing w:before="120"/>
        <w:jc w:val="both"/>
      </w:pPr>
      <w:r>
        <w:rPr>
          <w:rFonts w:ascii="Times New Roman" w:eastAsia="宋体" w:hAnsi="Times New Roman"/>
          <w:color w:val="000000"/>
          <w:sz w:val="20"/>
          <w:szCs w:val="20"/>
        </w:rPr>
        <w:t>An allowance for future sales returns is established based on historical trends in product return rates. The allowance for f</w:t>
      </w:r>
      <w:r>
        <w:rPr>
          <w:rFonts w:ascii="Times New Roman" w:eastAsia="宋体" w:hAnsi="Times New Roman"/>
          <w:color w:val="000000"/>
          <w:sz w:val="20"/>
          <w:szCs w:val="20"/>
        </w:rPr>
        <w:t>uture sales returns as of July 30, 2022 and July 31, 2021 was $43 million and $55 million, respectively, and was recorded as a reduction of our accounts receivable and revenue.</w:t>
      </w:r>
    </w:p>
    <w:p w14:paraId="518B5E1F" w14:textId="77777777" w:rsidR="005C332D" w:rsidRDefault="00B93EAE">
      <w:pPr>
        <w:spacing w:before="120"/>
      </w:pPr>
      <w:r>
        <w:rPr>
          <w:rFonts w:ascii="Times New Roman" w:eastAsia="宋体" w:hAnsi="Times New Roman"/>
          <w:i/>
          <w:iCs/>
          <w:color w:val="000000"/>
          <w:sz w:val="20"/>
          <w:szCs w:val="20"/>
        </w:rPr>
        <w:t>Significant Judgments</w:t>
      </w:r>
      <w:r>
        <w:rPr>
          <w:rFonts w:ascii="Times New Roman" w:eastAsia="宋体" w:hAnsi="Times New Roman"/>
          <w:b/>
          <w:bCs/>
          <w:color w:val="000000"/>
          <w:sz w:val="20"/>
          <w:szCs w:val="20"/>
        </w:rPr>
        <w:t xml:space="preserve"> </w:t>
      </w:r>
    </w:p>
    <w:p w14:paraId="518B5E20" w14:textId="77777777" w:rsidR="005C332D" w:rsidRDefault="00B93EAE">
      <w:pPr>
        <w:spacing w:before="120"/>
        <w:jc w:val="both"/>
      </w:pPr>
      <w:r>
        <w:rPr>
          <w:rFonts w:ascii="Times New Roman" w:eastAsia="宋体" w:hAnsi="Times New Roman"/>
          <w:color w:val="000000"/>
          <w:sz w:val="20"/>
          <w:szCs w:val="20"/>
        </w:rPr>
        <w:t>Revenue is allocated among these performance obligations</w:t>
      </w:r>
      <w:r>
        <w:rPr>
          <w:rFonts w:ascii="Times New Roman" w:eastAsia="宋体" w:hAnsi="Times New Roman"/>
          <w:color w:val="000000"/>
          <w:sz w:val="20"/>
          <w:szCs w:val="20"/>
        </w:rPr>
        <w:t xml:space="preserve"> in a manner that reflects the consideration that we expect to be entitled to for the promised goods or services based on standalone selling prices (SSP). SSP is estimated for each distinct performance obligation and judgment may be required in their deter</w:t>
      </w:r>
      <w:r>
        <w:rPr>
          <w:rFonts w:ascii="Times New Roman" w:eastAsia="宋体" w:hAnsi="Times New Roman"/>
          <w:color w:val="000000"/>
          <w:sz w:val="20"/>
          <w:szCs w:val="20"/>
        </w:rPr>
        <w:t>mination. The best evidence of SSP is the observable price of a product or service when we sell the goods separately in similar circumstances and to similar customers. In instances where SSP is not directly observable, we determine SSP using information th</w:t>
      </w:r>
      <w:r>
        <w:rPr>
          <w:rFonts w:ascii="Times New Roman" w:eastAsia="宋体" w:hAnsi="Times New Roman"/>
          <w:color w:val="000000"/>
          <w:sz w:val="20"/>
          <w:szCs w:val="20"/>
        </w:rPr>
        <w:t xml:space="preserve">at may include market conditions and other observable inputs. </w:t>
      </w:r>
    </w:p>
    <w:p w14:paraId="518B5E21" w14:textId="77777777" w:rsidR="005C332D" w:rsidRDefault="00B93EAE">
      <w:pPr>
        <w:spacing w:before="120"/>
        <w:jc w:val="both"/>
      </w:pPr>
      <w:r>
        <w:rPr>
          <w:rFonts w:ascii="Times New Roman" w:eastAsia="宋体" w:hAnsi="Times New Roman"/>
          <w:color w:val="000000"/>
          <w:sz w:val="20"/>
          <w:szCs w:val="20"/>
        </w:rPr>
        <w:t>We assess relevant contractual terms in our customer contracts to determine the transaction price. We apply judgment in identifying contractual terms and determining the transaction price as we</w:t>
      </w:r>
      <w:r>
        <w:rPr>
          <w:rFonts w:ascii="Times New Roman" w:eastAsia="宋体" w:hAnsi="Times New Roman"/>
          <w:color w:val="000000"/>
          <w:sz w:val="20"/>
          <w:szCs w:val="20"/>
        </w:rPr>
        <w:t xml:space="preserve"> may be required to estimate variable consideration when determining the amount of revenue to recognize. Variable consideration includes potential contractual penalties and various rebate, cooperative marketing and other incentive programs that we offer to</w:t>
      </w:r>
      <w:r>
        <w:rPr>
          <w:rFonts w:ascii="Times New Roman" w:eastAsia="宋体" w:hAnsi="Times New Roman"/>
          <w:color w:val="000000"/>
          <w:sz w:val="20"/>
          <w:szCs w:val="20"/>
        </w:rPr>
        <w:t xml:space="preserve"> our distributors, channel partners and customers. When determining the amount of revenue to recognize, we estimate the expected usage of these programs, applying the expected value or most likely estimate and update the estimate at each reporting period a</w:t>
      </w:r>
      <w:r>
        <w:rPr>
          <w:rFonts w:ascii="Times New Roman" w:eastAsia="宋体" w:hAnsi="Times New Roman"/>
          <w:color w:val="000000"/>
          <w:sz w:val="20"/>
          <w:szCs w:val="20"/>
        </w:rPr>
        <w:t>s actual utilization becomes available. We also consider the customers’ right of return in determining the transaction price, where applicable.</w:t>
      </w:r>
    </w:p>
    <w:p w14:paraId="518B5E22" w14:textId="77777777" w:rsidR="005C332D" w:rsidRDefault="00B93EAE">
      <w:pPr>
        <w:spacing w:before="120"/>
        <w:jc w:val="both"/>
      </w:pPr>
      <w:r>
        <w:rPr>
          <w:rFonts w:ascii="Times New Roman" w:eastAsia="宋体" w:hAnsi="Times New Roman"/>
          <w:color w:val="000000"/>
          <w:sz w:val="20"/>
          <w:szCs w:val="20"/>
        </w:rPr>
        <w:t>We assess certain software licenses, such as for security software, that contain critical updates or upgrades wh</w:t>
      </w:r>
      <w:r>
        <w:rPr>
          <w:rFonts w:ascii="Times New Roman" w:eastAsia="宋体" w:hAnsi="Times New Roman"/>
          <w:color w:val="000000"/>
          <w:sz w:val="20"/>
          <w:szCs w:val="20"/>
        </w:rPr>
        <w:t>ich customers can download throughout the contract term. Without these updates or upgrades, the functionality of the software would diminish over a relatively short time period. These updates or upgrades provide the customer the full functionality of the p</w:t>
      </w:r>
      <w:r>
        <w:rPr>
          <w:rFonts w:ascii="Times New Roman" w:eastAsia="宋体" w:hAnsi="Times New Roman"/>
          <w:color w:val="000000"/>
          <w:sz w:val="20"/>
          <w:szCs w:val="20"/>
        </w:rPr>
        <w:t>urchased security software licenses and are required to maintain the security license’s utility as the risks and threats in the environment are rapidly changing. In these circumstances, the revenue from these software arrangements is recognized as a single</w:t>
      </w:r>
      <w:r>
        <w:rPr>
          <w:rFonts w:ascii="Times New Roman" w:eastAsia="宋体" w:hAnsi="Times New Roman"/>
          <w:color w:val="000000"/>
          <w:sz w:val="20"/>
          <w:szCs w:val="20"/>
        </w:rPr>
        <w:t xml:space="preserve"> performance obligation satisfied over the contract term.</w:t>
      </w:r>
    </w:p>
    <w:p w14:paraId="518B5E23" w14:textId="77777777" w:rsidR="005C332D" w:rsidRDefault="00B93EAE">
      <w:pPr>
        <w:spacing w:before="120"/>
        <w:jc w:val="both"/>
      </w:pPr>
      <w:r>
        <w:rPr>
          <w:rFonts w:ascii="Times New Roman" w:eastAsia="宋体" w:hAnsi="Times New Roman"/>
          <w:color w:val="000000"/>
          <w:sz w:val="20"/>
          <w:szCs w:val="20"/>
          <w:u w:val="single"/>
        </w:rPr>
        <w:t>(r) Advertising Costs</w:t>
      </w:r>
      <w:r>
        <w:rPr>
          <w:rFonts w:ascii="Times New Roman" w:eastAsia="宋体" w:hAnsi="Times New Roman"/>
          <w:color w:val="000000"/>
          <w:sz w:val="20"/>
          <w:szCs w:val="20"/>
        </w:rPr>
        <w:t xml:space="preserve">   We expense all advertising costs as incurred. Advertising costs included within sales and marketing expenses were approximately $219 million, $268 million, and $187 million f</w:t>
      </w:r>
      <w:r>
        <w:rPr>
          <w:rFonts w:ascii="Times New Roman" w:eastAsia="宋体" w:hAnsi="Times New Roman"/>
          <w:color w:val="000000"/>
          <w:sz w:val="20"/>
          <w:szCs w:val="20"/>
        </w:rPr>
        <w:t>or fiscal 2022, 2021, and 2020, respectively.</w:t>
      </w:r>
    </w:p>
    <w:p w14:paraId="518B5E24" w14:textId="77777777" w:rsidR="005C332D" w:rsidRDefault="00B93EAE">
      <w:pPr>
        <w:spacing w:before="120"/>
        <w:jc w:val="both"/>
      </w:pPr>
      <w:r>
        <w:rPr>
          <w:rFonts w:ascii="Times New Roman" w:eastAsia="宋体" w:hAnsi="Times New Roman"/>
          <w:color w:val="000000"/>
          <w:sz w:val="20"/>
          <w:szCs w:val="20"/>
          <w:u w:val="single"/>
        </w:rPr>
        <w:t>(s) Share-Based Compensation Expense</w:t>
      </w:r>
      <w:r>
        <w:rPr>
          <w:rFonts w:ascii="Times New Roman" w:eastAsia="宋体" w:hAnsi="Times New Roman"/>
          <w:color w:val="000000"/>
          <w:sz w:val="20"/>
          <w:szCs w:val="20"/>
        </w:rPr>
        <w:t xml:space="preserve">   We measure and recognize the compensation expense for all share-based awards made to employees and directors, including employee stock options, restricted stock units (RSU</w:t>
      </w:r>
      <w:r>
        <w:rPr>
          <w:rFonts w:ascii="Times New Roman" w:eastAsia="宋体" w:hAnsi="Times New Roman"/>
          <w:color w:val="000000"/>
          <w:sz w:val="20"/>
          <w:szCs w:val="20"/>
        </w:rPr>
        <w:t>s), performance-based restricted stock units (PRSUs), and employee stock purchases related to the Employee Stock Purchase Plan (Employee Stock Purchase Rights) based on estimated fair values. The fair value of employee stock options is estimated on the dat</w:t>
      </w:r>
      <w:r>
        <w:rPr>
          <w:rFonts w:ascii="Times New Roman" w:eastAsia="宋体" w:hAnsi="Times New Roman"/>
          <w:color w:val="000000"/>
          <w:sz w:val="20"/>
          <w:szCs w:val="20"/>
        </w:rPr>
        <w:t>e of grant using a lattice-binomial option-pricing model (Lattice-Binomial Model) or the Black-Scholes model, and for employee stock purchase rights we estimate the fair value using the Black-Scholes model. The fair value for time-based stock awards and st</w:t>
      </w:r>
      <w:r>
        <w:rPr>
          <w:rFonts w:ascii="Times New Roman" w:eastAsia="宋体" w:hAnsi="Times New Roman"/>
          <w:color w:val="000000"/>
          <w:sz w:val="20"/>
          <w:szCs w:val="20"/>
        </w:rPr>
        <w:t xml:space="preserve">ock awards that are contingent upon the achievement of financial performance metrics is based on the grant date share price reduced by the present </w:t>
      </w:r>
    </w:p>
    <w:p w14:paraId="518B5E25" w14:textId="77777777" w:rsidR="005C332D" w:rsidRDefault="00B93EAE">
      <w:pPr>
        <w:jc w:val="center"/>
      </w:pPr>
      <w:r>
        <w:rPr>
          <w:rFonts w:ascii="Times New Roman" w:eastAsia="宋体" w:hAnsi="Times New Roman"/>
          <w:color w:val="000000"/>
          <w:sz w:val="20"/>
          <w:szCs w:val="20"/>
        </w:rPr>
        <w:t>68</w:t>
      </w:r>
    </w:p>
    <w:p w14:paraId="518B5E26" w14:textId="77777777" w:rsidR="005C332D" w:rsidRDefault="00B93EAE">
      <w:r>
        <w:pict w14:anchorId="518B8759">
          <v:rect id="_x0000_i1094" style="width:415.3pt;height:1.5pt" o:hralign="center" o:hrstd="t" o:hr="t" fillcolor="#a0a0a0" stroked="f"/>
        </w:pict>
      </w:r>
    </w:p>
    <w:p w14:paraId="518B5E27" w14:textId="77777777" w:rsidR="005C332D" w:rsidRDefault="00B93EAE">
      <w:hyperlink r:id="rId179" w:anchor="i049852cab38845aabd2a79d07dacda86_7" w:history="1">
        <w:r>
          <w:rPr>
            <w:rStyle w:val="a5"/>
            <w:rFonts w:ascii="Times New Roman" w:eastAsia="宋体" w:hAnsi="Times New Roman"/>
            <w:sz w:val="20"/>
            <w:szCs w:val="20"/>
          </w:rPr>
          <w:t>Table of Contents</w:t>
        </w:r>
      </w:hyperlink>
    </w:p>
    <w:p w14:paraId="518B5E28" w14:textId="77777777" w:rsidR="005C332D" w:rsidRDefault="00B93EAE">
      <w:pPr>
        <w:spacing w:before="120"/>
        <w:jc w:val="both"/>
      </w:pPr>
      <w:r>
        <w:rPr>
          <w:rFonts w:ascii="Times New Roman" w:eastAsia="宋体" w:hAnsi="Times New Roman"/>
          <w:color w:val="000000"/>
          <w:sz w:val="20"/>
          <w:szCs w:val="20"/>
        </w:rPr>
        <w:t>value of the expected dividend yield prior to vesting. The fair value of market-based sto</w:t>
      </w:r>
      <w:r>
        <w:rPr>
          <w:rFonts w:ascii="Times New Roman" w:eastAsia="宋体" w:hAnsi="Times New Roman"/>
          <w:color w:val="000000"/>
          <w:sz w:val="20"/>
          <w:szCs w:val="20"/>
        </w:rPr>
        <w:t>ck awards is estimated using an option-pricing model on the date of grant. Share-based compensation expense is reduced for forfeitures.</w:t>
      </w:r>
    </w:p>
    <w:p w14:paraId="518B5E29" w14:textId="77777777" w:rsidR="005C332D" w:rsidRDefault="00B93EAE">
      <w:pPr>
        <w:spacing w:before="120"/>
        <w:jc w:val="both"/>
      </w:pPr>
      <w:r>
        <w:rPr>
          <w:rFonts w:ascii="Times New Roman" w:eastAsia="宋体" w:hAnsi="Times New Roman"/>
          <w:color w:val="000000"/>
          <w:sz w:val="20"/>
          <w:szCs w:val="20"/>
          <w:u w:val="single"/>
        </w:rPr>
        <w:t>(t) Software Development Costs</w:t>
      </w:r>
      <w:r>
        <w:rPr>
          <w:rFonts w:ascii="Times New Roman" w:eastAsia="宋体" w:hAnsi="Times New Roman"/>
          <w:color w:val="000000"/>
          <w:sz w:val="20"/>
          <w:szCs w:val="20"/>
        </w:rPr>
        <w:t xml:space="preserve">   Software development costs, including costs to develop software sold, leased, or otherw</w:t>
      </w:r>
      <w:r>
        <w:rPr>
          <w:rFonts w:ascii="Times New Roman" w:eastAsia="宋体" w:hAnsi="Times New Roman"/>
          <w:color w:val="000000"/>
          <w:sz w:val="20"/>
          <w:szCs w:val="20"/>
        </w:rPr>
        <w:t>ise marketed, that are incurred subsequent to the establishment of technological feasibility are capitalized if significant. Costs incurred during the application development stage for internal-use software are capitalized if significant. Capitalized softw</w:t>
      </w:r>
      <w:r>
        <w:rPr>
          <w:rFonts w:ascii="Times New Roman" w:eastAsia="宋体" w:hAnsi="Times New Roman"/>
          <w:color w:val="000000"/>
          <w:sz w:val="20"/>
          <w:szCs w:val="20"/>
        </w:rPr>
        <w:t xml:space="preserve">are development costs are amortized using the straight-line amortization method over the estimated useful life of the applicable software. Such software development costs required to be capitalized have not been material to date. </w:t>
      </w:r>
    </w:p>
    <w:p w14:paraId="518B5E2A" w14:textId="77777777" w:rsidR="005C332D" w:rsidRDefault="00B93EAE">
      <w:pPr>
        <w:spacing w:before="120"/>
        <w:jc w:val="both"/>
      </w:pPr>
      <w:r>
        <w:rPr>
          <w:rFonts w:ascii="Times New Roman" w:eastAsia="宋体" w:hAnsi="Times New Roman"/>
          <w:color w:val="000000"/>
          <w:sz w:val="20"/>
          <w:szCs w:val="20"/>
          <w:u w:val="single"/>
        </w:rPr>
        <w:t>(u) Income Taxes</w:t>
      </w:r>
      <w:r>
        <w:rPr>
          <w:rFonts w:ascii="Times New Roman" w:eastAsia="宋体" w:hAnsi="Times New Roman"/>
          <w:color w:val="000000"/>
          <w:sz w:val="20"/>
          <w:szCs w:val="20"/>
        </w:rPr>
        <w:t xml:space="preserve">   Income</w:t>
      </w:r>
      <w:r>
        <w:rPr>
          <w:rFonts w:ascii="Times New Roman" w:eastAsia="宋体" w:hAnsi="Times New Roman"/>
          <w:color w:val="000000"/>
          <w:sz w:val="20"/>
          <w:szCs w:val="20"/>
        </w:rPr>
        <w:t xml:space="preserve"> tax expense is based on pretax financial accounting income. Deferred tax assets and liabilities are recognized for the expected tax consequences of temporary differences between the tax bases of assets and liabilities and their reported amounts. Valuation</w:t>
      </w:r>
      <w:r>
        <w:rPr>
          <w:rFonts w:ascii="Times New Roman" w:eastAsia="宋体" w:hAnsi="Times New Roman"/>
          <w:color w:val="000000"/>
          <w:sz w:val="20"/>
          <w:szCs w:val="20"/>
        </w:rPr>
        <w:t xml:space="preserve"> allowances are recorded to reduce deferred tax assets to the amount that will more likely than not be realized.</w:t>
      </w:r>
    </w:p>
    <w:p w14:paraId="518B5E2B" w14:textId="77777777" w:rsidR="005C332D" w:rsidRDefault="00B93EAE">
      <w:pPr>
        <w:spacing w:before="120"/>
        <w:jc w:val="both"/>
      </w:pPr>
      <w:r>
        <w:rPr>
          <w:rFonts w:ascii="Times New Roman" w:eastAsia="宋体" w:hAnsi="Times New Roman"/>
          <w:color w:val="000000"/>
          <w:sz w:val="20"/>
          <w:szCs w:val="20"/>
        </w:rPr>
        <w:t>We account for uncertainty in income taxes using a two-step approach to recognizing and measuring uncertain tax positions. The first step is to</w:t>
      </w:r>
      <w:r>
        <w:rPr>
          <w:rFonts w:ascii="Times New Roman" w:eastAsia="宋体" w:hAnsi="Times New Roman"/>
          <w:color w:val="000000"/>
          <w:sz w:val="20"/>
          <w:szCs w:val="20"/>
        </w:rPr>
        <w:t xml:space="preserve"> evaluate the tax position for recognition by determining if the weight of available evidence indicates that it is more likely than not that the position will be sustained on audit, including resolution of related appeals or litigation processes, if any. T</w:t>
      </w:r>
      <w:r>
        <w:rPr>
          <w:rFonts w:ascii="Times New Roman" w:eastAsia="宋体" w:hAnsi="Times New Roman"/>
          <w:color w:val="000000"/>
          <w:sz w:val="20"/>
          <w:szCs w:val="20"/>
        </w:rPr>
        <w:t>he second step is to measure the tax benefit as the largest amount that is more than 50% likely of being realized upon settlement. We classify the liability for unrecognized tax benefits as current to the extent that we anticipate payment (or receipt) of c</w:t>
      </w:r>
      <w:r>
        <w:rPr>
          <w:rFonts w:ascii="Times New Roman" w:eastAsia="宋体" w:hAnsi="Times New Roman"/>
          <w:color w:val="000000"/>
          <w:sz w:val="20"/>
          <w:szCs w:val="20"/>
        </w:rPr>
        <w:t>ash within one year. Interest and penalties related to uncertain tax positions are recognized in the provision for income taxes.</w:t>
      </w:r>
    </w:p>
    <w:p w14:paraId="518B5E2C" w14:textId="77777777" w:rsidR="005C332D" w:rsidRDefault="00B93EAE">
      <w:pPr>
        <w:spacing w:before="120"/>
        <w:jc w:val="both"/>
      </w:pPr>
      <w:r>
        <w:rPr>
          <w:rFonts w:ascii="Times New Roman" w:eastAsia="宋体" w:hAnsi="Times New Roman"/>
          <w:color w:val="000000"/>
          <w:sz w:val="20"/>
          <w:szCs w:val="20"/>
          <w:u w:val="single"/>
        </w:rPr>
        <w:t>(v) Computation of Net Income per Share</w:t>
      </w:r>
      <w:r>
        <w:rPr>
          <w:rFonts w:ascii="Times New Roman" w:eastAsia="宋体" w:hAnsi="Times New Roman"/>
          <w:color w:val="000000"/>
          <w:sz w:val="20"/>
          <w:szCs w:val="20"/>
        </w:rPr>
        <w:t xml:space="preserve">   Basic net income per share is computed using the weighted-average number of common sh</w:t>
      </w:r>
      <w:r>
        <w:rPr>
          <w:rFonts w:ascii="Times New Roman" w:eastAsia="宋体" w:hAnsi="Times New Roman"/>
          <w:color w:val="000000"/>
          <w:sz w:val="20"/>
          <w:szCs w:val="20"/>
        </w:rPr>
        <w:t>ares outstanding during the period. Diluted net income per share is computed using the weighted-average number of common shares and dilutive potential common shares outstanding during the period. Diluted shares outstanding includes the dilutive effect of i</w:t>
      </w:r>
      <w:r>
        <w:rPr>
          <w:rFonts w:ascii="Times New Roman" w:eastAsia="宋体" w:hAnsi="Times New Roman"/>
          <w:color w:val="000000"/>
          <w:sz w:val="20"/>
          <w:szCs w:val="20"/>
        </w:rPr>
        <w:t>n-the-money options, unvested restricted stock, and restricted stock units. The dilutive effect of such equity awards is calculated based on the average share price for each fiscal period using the treasury stock method. Under the treasury stock method, th</w:t>
      </w:r>
      <w:r>
        <w:rPr>
          <w:rFonts w:ascii="Times New Roman" w:eastAsia="宋体" w:hAnsi="Times New Roman"/>
          <w:color w:val="000000"/>
          <w:sz w:val="20"/>
          <w:szCs w:val="20"/>
        </w:rPr>
        <w:t>e amount the employee must pay for exercising stock options and the amount of compensation cost for future service that we have not yet recognized are collectively assumed to be used to repurchase shares.</w:t>
      </w:r>
    </w:p>
    <w:p w14:paraId="518B5E2D" w14:textId="77777777" w:rsidR="005C332D" w:rsidRDefault="00B93EAE">
      <w:pPr>
        <w:spacing w:before="120"/>
        <w:jc w:val="both"/>
      </w:pPr>
      <w:r>
        <w:rPr>
          <w:rFonts w:ascii="Times New Roman" w:eastAsia="宋体" w:hAnsi="Times New Roman"/>
          <w:color w:val="000000"/>
          <w:sz w:val="20"/>
          <w:szCs w:val="20"/>
          <w:u w:val="single"/>
        </w:rPr>
        <w:t>(w) Consolidation of Variable Interest Entities</w:t>
      </w:r>
      <w:r>
        <w:rPr>
          <w:rFonts w:ascii="Times New Roman" w:eastAsia="宋体" w:hAnsi="Times New Roman"/>
          <w:color w:val="000000"/>
          <w:sz w:val="20"/>
          <w:szCs w:val="20"/>
        </w:rPr>
        <w:t>  Ou</w:t>
      </w:r>
      <w:r>
        <w:rPr>
          <w:rFonts w:ascii="Times New Roman" w:eastAsia="宋体" w:hAnsi="Times New Roman"/>
          <w:color w:val="000000"/>
          <w:sz w:val="20"/>
          <w:szCs w:val="20"/>
        </w:rPr>
        <w:t>r approach in assessing the consolidation requirement for variable interest entities focuses on identifying which enterprise has the power to direct the activities that most significantly impact the variable interest entity’s economic performance and which</w:t>
      </w:r>
      <w:r>
        <w:rPr>
          <w:rFonts w:ascii="Times New Roman" w:eastAsia="宋体" w:hAnsi="Times New Roman"/>
          <w:color w:val="000000"/>
          <w:sz w:val="20"/>
          <w:szCs w:val="20"/>
        </w:rPr>
        <w:t xml:space="preserve"> enterprise has the obligation to absorb losses or the right to receive benefits from the variable interest entity. Should we conclude that we are the primary beneficiary of a variable interest entity, the assets, liabilities, and results of operations of </w:t>
      </w:r>
      <w:r>
        <w:rPr>
          <w:rFonts w:ascii="Times New Roman" w:eastAsia="宋体" w:hAnsi="Times New Roman"/>
          <w:color w:val="000000"/>
          <w:sz w:val="20"/>
          <w:szCs w:val="20"/>
        </w:rPr>
        <w:t>the variable interest entity will be included in our Consolidated Financial Statements.</w:t>
      </w:r>
    </w:p>
    <w:p w14:paraId="518B5E2E" w14:textId="77777777" w:rsidR="005C332D" w:rsidRDefault="00B93EAE">
      <w:pPr>
        <w:spacing w:before="120"/>
      </w:pPr>
      <w:r>
        <w:rPr>
          <w:rFonts w:ascii="Times New Roman" w:eastAsia="宋体" w:hAnsi="Times New Roman"/>
          <w:color w:val="000000"/>
          <w:sz w:val="20"/>
          <w:szCs w:val="20"/>
          <w:u w:val="single"/>
        </w:rPr>
        <w:t>(x) Use of Estimates</w:t>
      </w:r>
      <w:r>
        <w:rPr>
          <w:rFonts w:ascii="Times New Roman" w:eastAsia="宋体" w:hAnsi="Times New Roman"/>
          <w:color w:val="000000"/>
          <w:sz w:val="20"/>
          <w:szCs w:val="20"/>
        </w:rPr>
        <w:t xml:space="preserve">   The preparation of financial statements and related disclosures in conformity with accounting principles generally accepted in the United States requires management to make estimates and judgments that affect the amounts reported in the Consolidated Fin</w:t>
      </w:r>
      <w:r>
        <w:rPr>
          <w:rFonts w:ascii="Times New Roman" w:eastAsia="宋体" w:hAnsi="Times New Roman"/>
          <w:color w:val="000000"/>
          <w:sz w:val="20"/>
          <w:szCs w:val="20"/>
        </w:rPr>
        <w:t>ancial Statements and accompanying notes. Estimates are used for the following, among others:</w:t>
      </w:r>
    </w:p>
    <w:p w14:paraId="518B5E2F"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color w:val="000000"/>
          <w:sz w:val="20"/>
          <w:szCs w:val="20"/>
        </w:rPr>
        <w:t>Revenue recognition</w:t>
      </w:r>
    </w:p>
    <w:p w14:paraId="518B5E30"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color w:val="000000"/>
          <w:sz w:val="20"/>
          <w:szCs w:val="20"/>
        </w:rPr>
        <w:t>Allowances for accounts receivable, sales returns, and financing receivables</w:t>
      </w:r>
    </w:p>
    <w:p w14:paraId="518B5E31"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color w:val="000000"/>
          <w:sz w:val="20"/>
          <w:szCs w:val="20"/>
        </w:rPr>
        <w:t>Inventory valuation and liability for purchase commitments wit</w:t>
      </w:r>
      <w:r>
        <w:rPr>
          <w:rFonts w:ascii="Times New Roman" w:eastAsia="宋体" w:hAnsi="Times New Roman"/>
          <w:color w:val="000000"/>
          <w:sz w:val="20"/>
          <w:szCs w:val="20"/>
        </w:rPr>
        <w:t>h contract manufacturers and suppliers</w:t>
      </w:r>
    </w:p>
    <w:p w14:paraId="518B5E32"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color w:val="000000"/>
          <w:sz w:val="20"/>
          <w:szCs w:val="20"/>
        </w:rPr>
        <w:t>Loss contingencies and product warranties</w:t>
      </w:r>
    </w:p>
    <w:p w14:paraId="518B5E33"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color w:val="000000"/>
          <w:sz w:val="20"/>
          <w:szCs w:val="20"/>
        </w:rPr>
        <w:t>Fair value measurements</w:t>
      </w:r>
    </w:p>
    <w:p w14:paraId="518B5E34"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color w:val="000000"/>
          <w:sz w:val="20"/>
          <w:szCs w:val="20"/>
        </w:rPr>
        <w:t>Goodwill and purchased intangible asset impairments</w:t>
      </w:r>
    </w:p>
    <w:p w14:paraId="518B5E35" w14:textId="77777777" w:rsidR="005C332D" w:rsidRDefault="00B93EAE">
      <w:pPr>
        <w:spacing w:before="120"/>
        <w:ind w:hanging="360"/>
        <w:jc w:val="both"/>
      </w:pPr>
      <w:r>
        <w:rPr>
          <w:rFonts w:ascii="Times New Roman" w:eastAsia="宋体" w:hAnsi="Times New Roman"/>
          <w:color w:val="000000"/>
          <w:sz w:val="20"/>
          <w:szCs w:val="20"/>
        </w:rPr>
        <w:t>▪</w:t>
      </w:r>
      <w:r>
        <w:rPr>
          <w:rFonts w:ascii="Times New Roman" w:eastAsia="宋体" w:hAnsi="Times New Roman"/>
          <w:color w:val="000000"/>
          <w:sz w:val="20"/>
          <w:szCs w:val="20"/>
        </w:rPr>
        <w:t>Income taxes</w:t>
      </w:r>
    </w:p>
    <w:p w14:paraId="518B5E36" w14:textId="77777777" w:rsidR="005C332D" w:rsidRDefault="00B93EAE">
      <w:pPr>
        <w:spacing w:before="120"/>
        <w:jc w:val="both"/>
      </w:pPr>
      <w:r>
        <w:rPr>
          <w:rFonts w:ascii="Times New Roman" w:eastAsia="宋体" w:hAnsi="Times New Roman"/>
          <w:color w:val="000000"/>
          <w:sz w:val="20"/>
          <w:szCs w:val="20"/>
        </w:rPr>
        <w:t>The inputs into certain of our judgments, assumptions, and estimates considered th</w:t>
      </w:r>
      <w:r>
        <w:rPr>
          <w:rFonts w:ascii="Times New Roman" w:eastAsia="宋体" w:hAnsi="Times New Roman"/>
          <w:color w:val="000000"/>
          <w:sz w:val="20"/>
          <w:szCs w:val="20"/>
        </w:rPr>
        <w:t>e economic implications of the COVID-19 pandemic, including the associated impact of supply constraints, on our critical and significant accounting estimates. The actual results that we experience may differ materially from our estimates. As the COVID-19 p</w:t>
      </w:r>
      <w:r>
        <w:rPr>
          <w:rFonts w:ascii="Times New Roman" w:eastAsia="宋体" w:hAnsi="Times New Roman"/>
          <w:color w:val="000000"/>
          <w:sz w:val="20"/>
          <w:szCs w:val="20"/>
        </w:rPr>
        <w:t>andemic continues, many of our estimates could require increased judgment and carry a higher degree of variability and volatility. As events continue to evolve our estimates may change materially in future periods.</w:t>
      </w:r>
    </w:p>
    <w:p w14:paraId="518B5E37" w14:textId="77777777" w:rsidR="005C332D" w:rsidRDefault="00B93EAE">
      <w:pPr>
        <w:spacing w:before="120"/>
        <w:jc w:val="both"/>
      </w:pPr>
      <w:r>
        <w:rPr>
          <w:rFonts w:ascii="Times New Roman" w:eastAsia="宋体" w:hAnsi="Times New Roman"/>
          <w:color w:val="000000"/>
          <w:sz w:val="20"/>
          <w:szCs w:val="20"/>
          <w:u w:val="single"/>
        </w:rPr>
        <w:t>(y) New Accounting Updates Recently Adopt</w:t>
      </w:r>
      <w:r>
        <w:rPr>
          <w:rFonts w:ascii="Times New Roman" w:eastAsia="宋体" w:hAnsi="Times New Roman"/>
          <w:color w:val="000000"/>
          <w:sz w:val="20"/>
          <w:szCs w:val="20"/>
          <w:u w:val="single"/>
        </w:rPr>
        <w:t>ed</w:t>
      </w:r>
    </w:p>
    <w:p w14:paraId="518B5E38" w14:textId="77777777" w:rsidR="005C332D" w:rsidRDefault="00B93EAE">
      <w:pPr>
        <w:spacing w:before="120"/>
        <w:jc w:val="both"/>
      </w:pPr>
      <w:r>
        <w:rPr>
          <w:rFonts w:ascii="Times New Roman" w:eastAsia="宋体" w:hAnsi="Times New Roman"/>
          <w:i/>
          <w:iCs/>
          <w:color w:val="000000"/>
          <w:sz w:val="20"/>
          <w:szCs w:val="20"/>
          <w:u w:val="single"/>
        </w:rPr>
        <w:t>Acquired Revenue Contracts with Customers in Business Combinations</w:t>
      </w:r>
      <w:r>
        <w:rPr>
          <w:rFonts w:ascii="Times New Roman" w:eastAsia="宋体" w:hAnsi="Times New Roman"/>
          <w:color w:val="000000"/>
          <w:sz w:val="20"/>
          <w:szCs w:val="20"/>
        </w:rPr>
        <w:t xml:space="preserve"> In October 2021, the Financial Accounting Standards Board (FASB) issued an accounting standard update that requires companies to apply ASC 606 to recognize and measure contract assets an</w:t>
      </w:r>
      <w:r>
        <w:rPr>
          <w:rFonts w:ascii="Times New Roman" w:eastAsia="宋体" w:hAnsi="Times New Roman"/>
          <w:color w:val="000000"/>
          <w:sz w:val="20"/>
          <w:szCs w:val="20"/>
        </w:rPr>
        <w:t xml:space="preserve">d contract liabilities from contracts with customers acquired in a business combination. We early adopted this accounting standard update beginning in the first quarter of fiscal 2022 and it did not have a material impact on our </w:t>
      </w:r>
    </w:p>
    <w:p w14:paraId="518B5E39" w14:textId="77777777" w:rsidR="005C332D" w:rsidRDefault="00B93EAE">
      <w:pPr>
        <w:jc w:val="center"/>
      </w:pPr>
      <w:r>
        <w:rPr>
          <w:rFonts w:ascii="Times New Roman" w:eastAsia="宋体" w:hAnsi="Times New Roman"/>
          <w:color w:val="000000"/>
          <w:sz w:val="20"/>
          <w:szCs w:val="20"/>
        </w:rPr>
        <w:t>69</w:t>
      </w:r>
    </w:p>
    <w:p w14:paraId="518B5E3A" w14:textId="77777777" w:rsidR="005C332D" w:rsidRDefault="00B93EAE">
      <w:r>
        <w:pict w14:anchorId="518B875A">
          <v:rect id="_x0000_i1095" style="width:415.3pt;height:1.5pt" o:hralign="center" o:hrstd="t" o:hr="t" fillcolor="#a0a0a0" stroked="f"/>
        </w:pict>
      </w:r>
    </w:p>
    <w:p w14:paraId="518B5E3B" w14:textId="77777777" w:rsidR="005C332D" w:rsidRDefault="00B93EAE">
      <w:hyperlink r:id="rId180" w:anchor="i049852cab38845aabd2a79d07dacda86_7" w:history="1">
        <w:r>
          <w:rPr>
            <w:rStyle w:val="a5"/>
            <w:rFonts w:ascii="Times New Roman" w:eastAsia="宋体" w:hAnsi="Times New Roman"/>
            <w:sz w:val="20"/>
            <w:szCs w:val="20"/>
          </w:rPr>
          <w:t>Table of Contents</w:t>
        </w:r>
      </w:hyperlink>
    </w:p>
    <w:p w14:paraId="518B5E3C" w14:textId="77777777" w:rsidR="005C332D" w:rsidRDefault="00B93EAE">
      <w:pPr>
        <w:spacing w:before="120"/>
        <w:jc w:val="both"/>
      </w:pPr>
      <w:r>
        <w:rPr>
          <w:rFonts w:ascii="Times New Roman" w:eastAsia="宋体" w:hAnsi="Times New Roman"/>
          <w:color w:val="000000"/>
          <w:sz w:val="20"/>
          <w:szCs w:val="20"/>
        </w:rPr>
        <w:t>Consolidated Financial Statements. The ongoing impact of this standard will be fact depen</w:t>
      </w:r>
      <w:r>
        <w:rPr>
          <w:rFonts w:ascii="Times New Roman" w:eastAsia="宋体" w:hAnsi="Times New Roman"/>
          <w:color w:val="000000"/>
          <w:sz w:val="20"/>
          <w:szCs w:val="20"/>
        </w:rPr>
        <w:t>dent on the transactions within its scope.</w:t>
      </w:r>
    </w:p>
    <w:p w14:paraId="518B5E3D" w14:textId="77777777" w:rsidR="005C332D" w:rsidRDefault="00B93EAE">
      <w:pPr>
        <w:spacing w:before="120"/>
        <w:jc w:val="both"/>
      </w:pPr>
      <w:r>
        <w:rPr>
          <w:rFonts w:ascii="Times New Roman" w:eastAsia="宋体" w:hAnsi="Times New Roman"/>
          <w:color w:val="000000"/>
          <w:sz w:val="20"/>
          <w:szCs w:val="20"/>
          <w:u w:val="single"/>
        </w:rPr>
        <w:t xml:space="preserve">(z) Recent Accounting Standards or Updates Not Yet Effective as of Fiscal Year End </w:t>
      </w:r>
    </w:p>
    <w:p w14:paraId="518B5E3E" w14:textId="77777777" w:rsidR="005C332D" w:rsidRDefault="00B93EAE">
      <w:pPr>
        <w:spacing w:before="120"/>
        <w:jc w:val="both"/>
      </w:pPr>
      <w:r>
        <w:rPr>
          <w:rFonts w:ascii="Times New Roman" w:eastAsia="宋体" w:hAnsi="Times New Roman"/>
          <w:i/>
          <w:iCs/>
          <w:color w:val="000000"/>
          <w:sz w:val="20"/>
          <w:szCs w:val="20"/>
          <w:u w:val="single"/>
        </w:rPr>
        <w:t>Reference Rate Reform</w:t>
      </w:r>
      <w:r>
        <w:rPr>
          <w:rFonts w:ascii="Times New Roman" w:eastAsia="宋体" w:hAnsi="Times New Roman"/>
          <w:color w:val="000000"/>
          <w:sz w:val="20"/>
          <w:szCs w:val="20"/>
        </w:rPr>
        <w:t xml:space="preserve"> In March 2020, the FASB issued an accounting standard update and subsequent amendments that provide optiona</w:t>
      </w:r>
      <w:r>
        <w:rPr>
          <w:rFonts w:ascii="Times New Roman" w:eastAsia="宋体" w:hAnsi="Times New Roman"/>
          <w:color w:val="000000"/>
          <w:sz w:val="20"/>
          <w:szCs w:val="20"/>
        </w:rPr>
        <w:t>l expedients and exceptions to the current guidance on contract modification and hedging relationships to ease the financial reporting burden of the expected market transition from the London InterBank Offered Rate (LIBOR) and other interbank offered rates</w:t>
      </w:r>
      <w:r>
        <w:rPr>
          <w:rFonts w:ascii="Times New Roman" w:eastAsia="宋体" w:hAnsi="Times New Roman"/>
          <w:color w:val="000000"/>
          <w:sz w:val="20"/>
          <w:szCs w:val="20"/>
        </w:rPr>
        <w:t xml:space="preserve"> to alternative reference rates. This accounting standard update was effective upon issuance and may be applied prospectively through December 31, 2022. We do not expect this accounting standard update will have a material impact on our Consolidated Financ</w:t>
      </w:r>
      <w:r>
        <w:rPr>
          <w:rFonts w:ascii="Times New Roman" w:eastAsia="宋体" w:hAnsi="Times New Roman"/>
          <w:color w:val="000000"/>
          <w:sz w:val="20"/>
          <w:szCs w:val="20"/>
        </w:rPr>
        <w:t>ial Statements.</w:t>
      </w:r>
    </w:p>
    <w:p w14:paraId="518B5E3F" w14:textId="77777777" w:rsidR="005C332D" w:rsidRDefault="005C332D">
      <w:pPr>
        <w:spacing w:before="120"/>
        <w:jc w:val="both"/>
      </w:pPr>
    </w:p>
    <w:p w14:paraId="518B5E40" w14:textId="77777777" w:rsidR="005C332D" w:rsidRDefault="00B93EAE">
      <w:pPr>
        <w:ind w:hanging="360"/>
        <w:jc w:val="both"/>
      </w:pPr>
      <w:r>
        <w:rPr>
          <w:rFonts w:ascii="Times New Roman" w:eastAsia="宋体" w:hAnsi="Times New Roman"/>
          <w:b/>
          <w:bCs/>
          <w:color w:val="000000"/>
          <w:sz w:val="20"/>
          <w:szCs w:val="20"/>
        </w:rPr>
        <w:t>3.Revenue</w:t>
      </w:r>
    </w:p>
    <w:p w14:paraId="518B5E41" w14:textId="77777777" w:rsidR="005C332D" w:rsidRDefault="00B93EAE">
      <w:pPr>
        <w:spacing w:before="120"/>
        <w:ind w:hanging="360"/>
        <w:jc w:val="both"/>
      </w:pPr>
      <w:r>
        <w:rPr>
          <w:rFonts w:ascii="Times New Roman" w:eastAsia="宋体" w:hAnsi="Times New Roman"/>
          <w:b/>
          <w:bCs/>
          <w:color w:val="000000"/>
          <w:sz w:val="20"/>
          <w:szCs w:val="20"/>
        </w:rPr>
        <w:t>(a)Disaggregation of Revenue</w:t>
      </w:r>
    </w:p>
    <w:p w14:paraId="518B5E42" w14:textId="77777777" w:rsidR="005C332D" w:rsidRDefault="00B93EAE">
      <w:pPr>
        <w:spacing w:before="120"/>
        <w:jc w:val="both"/>
      </w:pPr>
      <w:r>
        <w:rPr>
          <w:rFonts w:ascii="Times New Roman" w:eastAsia="宋体" w:hAnsi="Times New Roman"/>
          <w:color w:val="000000"/>
          <w:sz w:val="20"/>
          <w:szCs w:val="20"/>
        </w:rPr>
        <w:t>We disaggregate our revenue into groups of similar products and services that depict the nature, amount, and timing of revenue and cash flows for our various offerings. The sales cycle, contractual ob</w:t>
      </w:r>
      <w:r>
        <w:rPr>
          <w:rFonts w:ascii="Times New Roman" w:eastAsia="宋体" w:hAnsi="Times New Roman"/>
          <w:color w:val="000000"/>
          <w:sz w:val="20"/>
          <w:szCs w:val="20"/>
        </w:rPr>
        <w:t>ligations, customer requirements, and go-to-market strategies differ for each of our product categories, resulting in different economic risk profiles for each category. Effective fiscal 2022, we began reporting our product and service revenue in the follo</w:t>
      </w:r>
      <w:r>
        <w:rPr>
          <w:rFonts w:ascii="Times New Roman" w:eastAsia="宋体" w:hAnsi="Times New Roman"/>
          <w:color w:val="000000"/>
          <w:sz w:val="20"/>
          <w:szCs w:val="20"/>
        </w:rPr>
        <w:t>wing categories: Secure, Agile Networks; Internet for the Future; Collaboration; End-to-End Security; Optimized Application Experiences; Other Products; and Services. This change will better align our product categories with our strategic priorities.</w:t>
      </w:r>
    </w:p>
    <w:p w14:paraId="518B5E43" w14:textId="77777777" w:rsidR="005C332D" w:rsidRDefault="00B93EAE">
      <w:pPr>
        <w:spacing w:before="120"/>
        <w:jc w:val="both"/>
      </w:pPr>
      <w:r>
        <w:rPr>
          <w:rFonts w:ascii="Times New Roman" w:eastAsia="宋体" w:hAnsi="Times New Roman"/>
          <w:color w:val="000000"/>
          <w:sz w:val="20"/>
          <w:szCs w:val="20"/>
        </w:rPr>
        <w:t>The f</w:t>
      </w:r>
      <w:r>
        <w:rPr>
          <w:rFonts w:ascii="Times New Roman" w:eastAsia="宋体" w:hAnsi="Times New Roman"/>
          <w:color w:val="000000"/>
          <w:sz w:val="20"/>
          <w:szCs w:val="20"/>
        </w:rPr>
        <w:t>ollowing table presents this disaggregation of revenue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4401"/>
        <w:gridCol w:w="40"/>
        <w:gridCol w:w="120"/>
        <w:gridCol w:w="1079"/>
        <w:gridCol w:w="36"/>
        <w:gridCol w:w="36"/>
        <w:gridCol w:w="36"/>
        <w:gridCol w:w="36"/>
        <w:gridCol w:w="120"/>
        <w:gridCol w:w="1039"/>
        <w:gridCol w:w="36"/>
        <w:gridCol w:w="36"/>
        <w:gridCol w:w="36"/>
        <w:gridCol w:w="36"/>
        <w:gridCol w:w="120"/>
        <w:gridCol w:w="1040"/>
        <w:gridCol w:w="36"/>
      </w:tblGrid>
      <w:tr w:rsidR="005C332D" w14:paraId="518B5E56" w14:textId="77777777">
        <w:trPr>
          <w:jc w:val="center"/>
        </w:trPr>
        <w:tc>
          <w:tcPr>
            <w:tcW w:w="50" w:type="pct"/>
            <w:shd w:val="clear" w:color="auto" w:fill="auto"/>
            <w:vAlign w:val="bottom"/>
          </w:tcPr>
          <w:p w14:paraId="518B5E44" w14:textId="77777777" w:rsidR="005C332D" w:rsidRDefault="005C332D">
            <w:pPr>
              <w:rPr>
                <w:rFonts w:ascii="宋体"/>
              </w:rPr>
            </w:pPr>
          </w:p>
        </w:tc>
        <w:tc>
          <w:tcPr>
            <w:tcW w:w="2675" w:type="pct"/>
            <w:shd w:val="clear" w:color="auto" w:fill="auto"/>
            <w:vAlign w:val="bottom"/>
          </w:tcPr>
          <w:p w14:paraId="518B5E45" w14:textId="77777777" w:rsidR="005C332D" w:rsidRDefault="005C332D">
            <w:pPr>
              <w:rPr>
                <w:rFonts w:ascii="宋体"/>
              </w:rPr>
            </w:pPr>
          </w:p>
        </w:tc>
        <w:tc>
          <w:tcPr>
            <w:tcW w:w="5" w:type="pct"/>
            <w:shd w:val="clear" w:color="auto" w:fill="auto"/>
            <w:vAlign w:val="bottom"/>
          </w:tcPr>
          <w:p w14:paraId="518B5E46" w14:textId="77777777" w:rsidR="005C332D" w:rsidRDefault="005C332D">
            <w:pPr>
              <w:rPr>
                <w:rFonts w:ascii="宋体"/>
              </w:rPr>
            </w:pPr>
          </w:p>
        </w:tc>
        <w:tc>
          <w:tcPr>
            <w:tcW w:w="50" w:type="pct"/>
            <w:shd w:val="clear" w:color="auto" w:fill="auto"/>
            <w:vAlign w:val="bottom"/>
          </w:tcPr>
          <w:p w14:paraId="518B5E47" w14:textId="77777777" w:rsidR="005C332D" w:rsidRDefault="005C332D">
            <w:pPr>
              <w:rPr>
                <w:rFonts w:ascii="宋体"/>
              </w:rPr>
            </w:pPr>
          </w:p>
        </w:tc>
        <w:tc>
          <w:tcPr>
            <w:tcW w:w="677" w:type="pct"/>
            <w:shd w:val="clear" w:color="auto" w:fill="auto"/>
            <w:vAlign w:val="bottom"/>
          </w:tcPr>
          <w:p w14:paraId="518B5E48" w14:textId="77777777" w:rsidR="005C332D" w:rsidRDefault="005C332D">
            <w:pPr>
              <w:rPr>
                <w:rFonts w:ascii="宋体"/>
              </w:rPr>
            </w:pPr>
          </w:p>
        </w:tc>
        <w:tc>
          <w:tcPr>
            <w:tcW w:w="5" w:type="pct"/>
            <w:shd w:val="clear" w:color="auto" w:fill="auto"/>
            <w:vAlign w:val="bottom"/>
          </w:tcPr>
          <w:p w14:paraId="518B5E49" w14:textId="77777777" w:rsidR="005C332D" w:rsidRDefault="005C332D">
            <w:pPr>
              <w:rPr>
                <w:rFonts w:ascii="宋体"/>
              </w:rPr>
            </w:pPr>
          </w:p>
        </w:tc>
        <w:tc>
          <w:tcPr>
            <w:tcW w:w="5" w:type="pct"/>
            <w:shd w:val="clear" w:color="auto" w:fill="auto"/>
            <w:vAlign w:val="bottom"/>
          </w:tcPr>
          <w:p w14:paraId="518B5E4A" w14:textId="77777777" w:rsidR="005C332D" w:rsidRDefault="005C332D">
            <w:pPr>
              <w:rPr>
                <w:rFonts w:ascii="宋体"/>
              </w:rPr>
            </w:pPr>
          </w:p>
        </w:tc>
        <w:tc>
          <w:tcPr>
            <w:tcW w:w="26" w:type="pct"/>
            <w:shd w:val="clear" w:color="auto" w:fill="auto"/>
            <w:vAlign w:val="bottom"/>
          </w:tcPr>
          <w:p w14:paraId="518B5E4B" w14:textId="77777777" w:rsidR="005C332D" w:rsidRDefault="005C332D">
            <w:pPr>
              <w:rPr>
                <w:rFonts w:ascii="宋体"/>
              </w:rPr>
            </w:pPr>
          </w:p>
        </w:tc>
        <w:tc>
          <w:tcPr>
            <w:tcW w:w="5" w:type="pct"/>
            <w:shd w:val="clear" w:color="auto" w:fill="auto"/>
            <w:vAlign w:val="bottom"/>
          </w:tcPr>
          <w:p w14:paraId="518B5E4C" w14:textId="77777777" w:rsidR="005C332D" w:rsidRDefault="005C332D">
            <w:pPr>
              <w:rPr>
                <w:rFonts w:ascii="宋体"/>
              </w:rPr>
            </w:pPr>
          </w:p>
        </w:tc>
        <w:tc>
          <w:tcPr>
            <w:tcW w:w="50" w:type="pct"/>
            <w:shd w:val="clear" w:color="auto" w:fill="auto"/>
            <w:vAlign w:val="bottom"/>
          </w:tcPr>
          <w:p w14:paraId="518B5E4D" w14:textId="77777777" w:rsidR="005C332D" w:rsidRDefault="005C332D">
            <w:pPr>
              <w:rPr>
                <w:rFonts w:ascii="宋体"/>
              </w:rPr>
            </w:pPr>
          </w:p>
        </w:tc>
        <w:tc>
          <w:tcPr>
            <w:tcW w:w="677" w:type="pct"/>
            <w:shd w:val="clear" w:color="auto" w:fill="auto"/>
            <w:vAlign w:val="bottom"/>
          </w:tcPr>
          <w:p w14:paraId="518B5E4E" w14:textId="77777777" w:rsidR="005C332D" w:rsidRDefault="005C332D">
            <w:pPr>
              <w:rPr>
                <w:rFonts w:ascii="宋体"/>
              </w:rPr>
            </w:pPr>
          </w:p>
        </w:tc>
        <w:tc>
          <w:tcPr>
            <w:tcW w:w="5" w:type="pct"/>
            <w:shd w:val="clear" w:color="auto" w:fill="auto"/>
            <w:vAlign w:val="bottom"/>
          </w:tcPr>
          <w:p w14:paraId="518B5E4F" w14:textId="77777777" w:rsidR="005C332D" w:rsidRDefault="005C332D">
            <w:pPr>
              <w:rPr>
                <w:rFonts w:ascii="宋体"/>
              </w:rPr>
            </w:pPr>
          </w:p>
        </w:tc>
        <w:tc>
          <w:tcPr>
            <w:tcW w:w="5" w:type="pct"/>
            <w:shd w:val="clear" w:color="auto" w:fill="auto"/>
            <w:vAlign w:val="bottom"/>
          </w:tcPr>
          <w:p w14:paraId="518B5E50" w14:textId="77777777" w:rsidR="005C332D" w:rsidRDefault="005C332D">
            <w:pPr>
              <w:rPr>
                <w:rFonts w:ascii="宋体"/>
              </w:rPr>
            </w:pPr>
          </w:p>
        </w:tc>
        <w:tc>
          <w:tcPr>
            <w:tcW w:w="26" w:type="pct"/>
            <w:shd w:val="clear" w:color="auto" w:fill="auto"/>
            <w:vAlign w:val="bottom"/>
          </w:tcPr>
          <w:p w14:paraId="518B5E51" w14:textId="77777777" w:rsidR="005C332D" w:rsidRDefault="005C332D">
            <w:pPr>
              <w:rPr>
                <w:rFonts w:ascii="宋体"/>
              </w:rPr>
            </w:pPr>
          </w:p>
        </w:tc>
        <w:tc>
          <w:tcPr>
            <w:tcW w:w="5" w:type="pct"/>
            <w:shd w:val="clear" w:color="auto" w:fill="auto"/>
            <w:vAlign w:val="bottom"/>
          </w:tcPr>
          <w:p w14:paraId="518B5E52" w14:textId="77777777" w:rsidR="005C332D" w:rsidRDefault="005C332D">
            <w:pPr>
              <w:rPr>
                <w:rFonts w:ascii="宋体"/>
              </w:rPr>
            </w:pPr>
          </w:p>
        </w:tc>
        <w:tc>
          <w:tcPr>
            <w:tcW w:w="50" w:type="pct"/>
            <w:shd w:val="clear" w:color="auto" w:fill="auto"/>
            <w:vAlign w:val="bottom"/>
          </w:tcPr>
          <w:p w14:paraId="518B5E53" w14:textId="77777777" w:rsidR="005C332D" w:rsidRDefault="005C332D">
            <w:pPr>
              <w:rPr>
                <w:rFonts w:ascii="宋体"/>
              </w:rPr>
            </w:pPr>
          </w:p>
        </w:tc>
        <w:tc>
          <w:tcPr>
            <w:tcW w:w="677" w:type="pct"/>
            <w:shd w:val="clear" w:color="auto" w:fill="auto"/>
            <w:vAlign w:val="bottom"/>
          </w:tcPr>
          <w:p w14:paraId="518B5E54" w14:textId="77777777" w:rsidR="005C332D" w:rsidRDefault="005C332D">
            <w:pPr>
              <w:rPr>
                <w:rFonts w:ascii="宋体"/>
              </w:rPr>
            </w:pPr>
          </w:p>
        </w:tc>
        <w:tc>
          <w:tcPr>
            <w:tcW w:w="5" w:type="pct"/>
            <w:shd w:val="clear" w:color="auto" w:fill="auto"/>
            <w:vAlign w:val="bottom"/>
          </w:tcPr>
          <w:p w14:paraId="518B5E55" w14:textId="77777777" w:rsidR="005C332D" w:rsidRDefault="005C332D">
            <w:pPr>
              <w:rPr>
                <w:rFonts w:ascii="宋体"/>
              </w:rPr>
            </w:pPr>
          </w:p>
        </w:tc>
      </w:tr>
      <w:tr w:rsidR="005C332D" w14:paraId="518B5E5D" w14:textId="77777777">
        <w:trPr>
          <w:jc w:val="center"/>
        </w:trPr>
        <w:tc>
          <w:tcPr>
            <w:tcW w:w="0" w:type="auto"/>
            <w:gridSpan w:val="3"/>
            <w:shd w:val="clear" w:color="auto" w:fill="auto"/>
            <w:tcMar>
              <w:top w:w="40" w:type="dxa"/>
              <w:left w:w="20" w:type="dxa"/>
              <w:bottom w:w="40" w:type="dxa"/>
              <w:right w:w="20" w:type="dxa"/>
            </w:tcMar>
            <w:vAlign w:val="bottom"/>
          </w:tcPr>
          <w:p w14:paraId="518B5E57" w14:textId="77777777" w:rsidR="005C332D" w:rsidRDefault="00B93EAE">
            <w:pPr>
              <w:textAlignment w:val="bottom"/>
            </w:pPr>
            <w:r>
              <w:rPr>
                <w:rFonts w:ascii="Times New Roman" w:eastAsia="宋体" w:hAnsi="Times New Roman"/>
                <w:color w:val="000000"/>
                <w:sz w:val="16"/>
                <w:szCs w:val="16"/>
                <w:u w:val="single"/>
              </w:rPr>
              <w:t>Years Ended</w:t>
            </w:r>
          </w:p>
        </w:tc>
        <w:tc>
          <w:tcPr>
            <w:tcW w:w="0" w:type="auto"/>
            <w:gridSpan w:val="3"/>
            <w:shd w:val="clear" w:color="auto" w:fill="auto"/>
            <w:tcMar>
              <w:top w:w="40" w:type="dxa"/>
              <w:left w:w="20" w:type="dxa"/>
              <w:bottom w:w="40" w:type="dxa"/>
              <w:right w:w="20" w:type="dxa"/>
            </w:tcMar>
            <w:vAlign w:val="bottom"/>
          </w:tcPr>
          <w:p w14:paraId="518B5E58"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E5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E5A"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E5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E5C"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5E64" w14:textId="77777777">
        <w:trPr>
          <w:jc w:val="center"/>
        </w:trPr>
        <w:tc>
          <w:tcPr>
            <w:tcW w:w="0" w:type="auto"/>
            <w:gridSpan w:val="3"/>
            <w:shd w:val="clear" w:color="auto" w:fill="CCEEFF"/>
            <w:tcMar>
              <w:top w:w="40" w:type="dxa"/>
              <w:left w:w="20" w:type="dxa"/>
              <w:bottom w:w="40" w:type="dxa"/>
              <w:right w:w="20" w:type="dxa"/>
            </w:tcMar>
            <w:vAlign w:val="center"/>
          </w:tcPr>
          <w:p w14:paraId="518B5E5E" w14:textId="77777777" w:rsidR="005C332D" w:rsidRDefault="00B93EAE">
            <w:pPr>
              <w:textAlignment w:val="center"/>
            </w:pPr>
            <w:r>
              <w:rPr>
                <w:rFonts w:ascii="Times New Roman" w:eastAsia="宋体" w:hAnsi="Times New Roman"/>
                <w:color w:val="000000"/>
                <w:sz w:val="20"/>
                <w:szCs w:val="20"/>
              </w:rPr>
              <w:t>Product 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E5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E60"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E6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5E62"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5E63" w14:textId="77777777" w:rsidR="005C332D" w:rsidRDefault="005C332D">
            <w:pPr>
              <w:rPr>
                <w:rFonts w:ascii="宋体"/>
              </w:rPr>
            </w:pPr>
          </w:p>
        </w:tc>
      </w:tr>
      <w:tr w:rsidR="005C332D" w14:paraId="518B5E71" w14:textId="77777777">
        <w:trPr>
          <w:jc w:val="center"/>
        </w:trPr>
        <w:tc>
          <w:tcPr>
            <w:tcW w:w="0" w:type="auto"/>
            <w:gridSpan w:val="3"/>
            <w:shd w:val="clear" w:color="auto" w:fill="FFFFFF"/>
            <w:tcMar>
              <w:top w:w="40" w:type="dxa"/>
              <w:left w:w="380" w:type="dxa"/>
              <w:bottom w:w="40" w:type="dxa"/>
              <w:right w:w="20" w:type="dxa"/>
            </w:tcMar>
            <w:vAlign w:val="center"/>
          </w:tcPr>
          <w:p w14:paraId="518B5E65" w14:textId="77777777" w:rsidR="005C332D" w:rsidRDefault="00B93EAE">
            <w:pPr>
              <w:textAlignment w:val="center"/>
            </w:pPr>
            <w:r>
              <w:rPr>
                <w:rFonts w:ascii="Times New Roman" w:eastAsia="宋体" w:hAnsi="Times New Roman"/>
                <w:color w:val="000000"/>
                <w:sz w:val="20"/>
                <w:szCs w:val="20"/>
              </w:rPr>
              <w:t>Secure, Agile Networks</w:t>
            </w:r>
          </w:p>
        </w:tc>
        <w:tc>
          <w:tcPr>
            <w:tcW w:w="0" w:type="auto"/>
            <w:shd w:val="clear" w:color="auto" w:fill="FFFFFF"/>
            <w:tcMar>
              <w:top w:w="40" w:type="dxa"/>
              <w:left w:w="20" w:type="dxa"/>
              <w:bottom w:w="40" w:type="dxa"/>
              <w:right w:w="0" w:type="dxa"/>
            </w:tcMar>
            <w:vAlign w:val="bottom"/>
          </w:tcPr>
          <w:p w14:paraId="518B5E66"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5E67" w14:textId="77777777" w:rsidR="005C332D" w:rsidRDefault="00B93EAE">
            <w:pPr>
              <w:jc w:val="right"/>
              <w:textAlignment w:val="bottom"/>
            </w:pPr>
            <w:r>
              <w:rPr>
                <w:rFonts w:ascii="Times New Roman" w:eastAsia="宋体" w:hAnsi="Times New Roman"/>
                <w:b/>
                <w:bCs/>
                <w:color w:val="000000"/>
                <w:sz w:val="20"/>
                <w:szCs w:val="20"/>
              </w:rPr>
              <w:t>23,829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E6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E69"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E6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E6B" w14:textId="77777777" w:rsidR="005C332D" w:rsidRDefault="00B93EAE">
            <w:pPr>
              <w:jc w:val="right"/>
              <w:textAlignment w:val="bottom"/>
            </w:pPr>
            <w:r>
              <w:rPr>
                <w:rFonts w:ascii="Times New Roman" w:eastAsia="宋体" w:hAnsi="Times New Roman"/>
                <w:color w:val="000000"/>
                <w:sz w:val="20"/>
                <w:szCs w:val="20"/>
              </w:rPr>
              <w:t>22,722 </w:t>
            </w:r>
          </w:p>
        </w:tc>
        <w:tc>
          <w:tcPr>
            <w:tcW w:w="0" w:type="auto"/>
            <w:shd w:val="clear" w:color="auto" w:fill="FFFFFF"/>
            <w:tcMar>
              <w:top w:w="40" w:type="dxa"/>
              <w:left w:w="0" w:type="dxa"/>
              <w:bottom w:w="40" w:type="dxa"/>
              <w:right w:w="20" w:type="dxa"/>
            </w:tcMar>
            <w:vAlign w:val="bottom"/>
          </w:tcPr>
          <w:p w14:paraId="518B5E6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E6D"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5E6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5E6F" w14:textId="77777777" w:rsidR="005C332D" w:rsidRDefault="00B93EAE">
            <w:pPr>
              <w:jc w:val="right"/>
              <w:textAlignment w:val="bottom"/>
            </w:pPr>
            <w:r>
              <w:rPr>
                <w:rFonts w:ascii="Times New Roman" w:eastAsia="宋体" w:hAnsi="Times New Roman"/>
                <w:color w:val="000000"/>
                <w:sz w:val="20"/>
                <w:szCs w:val="20"/>
              </w:rPr>
              <w:t>23,265 </w:t>
            </w:r>
          </w:p>
        </w:tc>
        <w:tc>
          <w:tcPr>
            <w:tcW w:w="0" w:type="auto"/>
            <w:shd w:val="clear" w:color="auto" w:fill="FFFFFF"/>
            <w:tcMar>
              <w:top w:w="40" w:type="dxa"/>
              <w:left w:w="0" w:type="dxa"/>
              <w:bottom w:w="40" w:type="dxa"/>
              <w:right w:w="20" w:type="dxa"/>
            </w:tcMar>
            <w:vAlign w:val="bottom"/>
          </w:tcPr>
          <w:p w14:paraId="518B5E70" w14:textId="77777777" w:rsidR="005C332D" w:rsidRDefault="005C332D">
            <w:pPr>
              <w:jc w:val="right"/>
              <w:rPr>
                <w:rFonts w:ascii="宋体"/>
              </w:rPr>
            </w:pPr>
          </w:p>
        </w:tc>
      </w:tr>
      <w:tr w:rsidR="005C332D" w14:paraId="518B5E7B" w14:textId="77777777">
        <w:trPr>
          <w:jc w:val="center"/>
        </w:trPr>
        <w:tc>
          <w:tcPr>
            <w:tcW w:w="0" w:type="auto"/>
            <w:gridSpan w:val="3"/>
            <w:shd w:val="clear" w:color="auto" w:fill="CCEEFF"/>
            <w:tcMar>
              <w:top w:w="40" w:type="dxa"/>
              <w:left w:w="380" w:type="dxa"/>
              <w:bottom w:w="40" w:type="dxa"/>
              <w:right w:w="20" w:type="dxa"/>
            </w:tcMar>
            <w:vAlign w:val="center"/>
          </w:tcPr>
          <w:p w14:paraId="518B5E72" w14:textId="77777777" w:rsidR="005C332D" w:rsidRDefault="00B93EAE">
            <w:pPr>
              <w:textAlignment w:val="center"/>
            </w:pPr>
            <w:r>
              <w:rPr>
                <w:rFonts w:ascii="Times New Roman" w:eastAsia="宋体" w:hAnsi="Times New Roman"/>
                <w:color w:val="000000"/>
                <w:sz w:val="20"/>
                <w:szCs w:val="20"/>
              </w:rPr>
              <w:t>Internet for the Future</w:t>
            </w:r>
          </w:p>
        </w:tc>
        <w:tc>
          <w:tcPr>
            <w:tcW w:w="0" w:type="auto"/>
            <w:gridSpan w:val="2"/>
            <w:shd w:val="clear" w:color="auto" w:fill="CCEEFF"/>
            <w:tcMar>
              <w:top w:w="40" w:type="dxa"/>
              <w:left w:w="20" w:type="dxa"/>
              <w:bottom w:w="40" w:type="dxa"/>
              <w:right w:w="0" w:type="dxa"/>
            </w:tcMar>
            <w:vAlign w:val="bottom"/>
          </w:tcPr>
          <w:p w14:paraId="518B5E73" w14:textId="77777777" w:rsidR="005C332D" w:rsidRDefault="00B93EAE">
            <w:pPr>
              <w:jc w:val="right"/>
              <w:textAlignment w:val="bottom"/>
            </w:pPr>
            <w:r>
              <w:rPr>
                <w:rFonts w:ascii="Times New Roman" w:eastAsia="宋体" w:hAnsi="Times New Roman"/>
                <w:b/>
                <w:bCs/>
                <w:color w:val="000000"/>
                <w:sz w:val="20"/>
                <w:szCs w:val="20"/>
              </w:rPr>
              <w:t>5,278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E7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E7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E76" w14:textId="77777777" w:rsidR="005C332D" w:rsidRDefault="00B93EAE">
            <w:pPr>
              <w:jc w:val="right"/>
              <w:textAlignment w:val="bottom"/>
            </w:pPr>
            <w:r>
              <w:rPr>
                <w:rFonts w:ascii="Times New Roman" w:eastAsia="宋体" w:hAnsi="Times New Roman"/>
                <w:color w:val="000000"/>
                <w:sz w:val="20"/>
                <w:szCs w:val="20"/>
              </w:rPr>
              <w:t>4,514 </w:t>
            </w:r>
          </w:p>
        </w:tc>
        <w:tc>
          <w:tcPr>
            <w:tcW w:w="0" w:type="auto"/>
            <w:shd w:val="clear" w:color="auto" w:fill="CCEEFF"/>
            <w:tcMar>
              <w:top w:w="40" w:type="dxa"/>
              <w:left w:w="0" w:type="dxa"/>
              <w:bottom w:w="40" w:type="dxa"/>
              <w:right w:w="20" w:type="dxa"/>
            </w:tcMar>
            <w:vAlign w:val="bottom"/>
          </w:tcPr>
          <w:p w14:paraId="518B5E7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E7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E79" w14:textId="77777777" w:rsidR="005C332D" w:rsidRDefault="00B93EAE">
            <w:pPr>
              <w:jc w:val="right"/>
              <w:textAlignment w:val="bottom"/>
            </w:pPr>
            <w:r>
              <w:rPr>
                <w:rFonts w:ascii="Times New Roman" w:eastAsia="宋体" w:hAnsi="Times New Roman"/>
                <w:color w:val="000000"/>
                <w:sz w:val="20"/>
                <w:szCs w:val="20"/>
              </w:rPr>
              <w:t>4,180 </w:t>
            </w:r>
          </w:p>
        </w:tc>
        <w:tc>
          <w:tcPr>
            <w:tcW w:w="0" w:type="auto"/>
            <w:shd w:val="clear" w:color="auto" w:fill="CCEEFF"/>
            <w:tcMar>
              <w:top w:w="40" w:type="dxa"/>
              <w:left w:w="0" w:type="dxa"/>
              <w:bottom w:w="40" w:type="dxa"/>
              <w:right w:w="20" w:type="dxa"/>
            </w:tcMar>
            <w:vAlign w:val="bottom"/>
          </w:tcPr>
          <w:p w14:paraId="518B5E7A" w14:textId="77777777" w:rsidR="005C332D" w:rsidRDefault="005C332D">
            <w:pPr>
              <w:jc w:val="right"/>
              <w:rPr>
                <w:rFonts w:ascii="宋体"/>
              </w:rPr>
            </w:pPr>
          </w:p>
        </w:tc>
      </w:tr>
      <w:tr w:rsidR="005C332D" w14:paraId="518B5E85" w14:textId="77777777">
        <w:trPr>
          <w:jc w:val="center"/>
        </w:trPr>
        <w:tc>
          <w:tcPr>
            <w:tcW w:w="0" w:type="auto"/>
            <w:gridSpan w:val="3"/>
            <w:shd w:val="clear" w:color="auto" w:fill="FFFFFF"/>
            <w:tcMar>
              <w:top w:w="40" w:type="dxa"/>
              <w:left w:w="380" w:type="dxa"/>
              <w:bottom w:w="40" w:type="dxa"/>
              <w:right w:w="20" w:type="dxa"/>
            </w:tcMar>
            <w:vAlign w:val="center"/>
          </w:tcPr>
          <w:p w14:paraId="518B5E7C" w14:textId="77777777" w:rsidR="005C332D" w:rsidRDefault="00B93EAE">
            <w:pPr>
              <w:textAlignment w:val="center"/>
            </w:pPr>
            <w:r>
              <w:rPr>
                <w:rFonts w:ascii="Times New Roman" w:eastAsia="宋体" w:hAnsi="Times New Roman"/>
                <w:color w:val="000000"/>
                <w:sz w:val="20"/>
                <w:szCs w:val="20"/>
              </w:rPr>
              <w:t>Collaboration</w:t>
            </w:r>
          </w:p>
        </w:tc>
        <w:tc>
          <w:tcPr>
            <w:tcW w:w="0" w:type="auto"/>
            <w:gridSpan w:val="2"/>
            <w:shd w:val="clear" w:color="auto" w:fill="FFFFFF"/>
            <w:tcMar>
              <w:top w:w="40" w:type="dxa"/>
              <w:left w:w="20" w:type="dxa"/>
              <w:bottom w:w="40" w:type="dxa"/>
              <w:right w:w="0" w:type="dxa"/>
            </w:tcMar>
            <w:vAlign w:val="bottom"/>
          </w:tcPr>
          <w:p w14:paraId="518B5E7D" w14:textId="77777777" w:rsidR="005C332D" w:rsidRDefault="00B93EAE">
            <w:pPr>
              <w:jc w:val="right"/>
              <w:textAlignment w:val="bottom"/>
            </w:pPr>
            <w:r>
              <w:rPr>
                <w:rFonts w:ascii="Times New Roman" w:eastAsia="宋体" w:hAnsi="Times New Roman"/>
                <w:b/>
                <w:bCs/>
                <w:color w:val="000000"/>
                <w:sz w:val="20"/>
                <w:szCs w:val="20"/>
              </w:rPr>
              <w:t>4,472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E7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E7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E80" w14:textId="77777777" w:rsidR="005C332D" w:rsidRDefault="00B93EAE">
            <w:pPr>
              <w:jc w:val="right"/>
              <w:textAlignment w:val="bottom"/>
            </w:pPr>
            <w:r>
              <w:rPr>
                <w:rFonts w:ascii="Times New Roman" w:eastAsia="宋体" w:hAnsi="Times New Roman"/>
                <w:color w:val="000000"/>
                <w:sz w:val="20"/>
                <w:szCs w:val="20"/>
              </w:rPr>
              <w:t>4,727 </w:t>
            </w:r>
          </w:p>
        </w:tc>
        <w:tc>
          <w:tcPr>
            <w:tcW w:w="0" w:type="auto"/>
            <w:shd w:val="clear" w:color="auto" w:fill="FFFFFF"/>
            <w:tcMar>
              <w:top w:w="40" w:type="dxa"/>
              <w:left w:w="0" w:type="dxa"/>
              <w:bottom w:w="40" w:type="dxa"/>
              <w:right w:w="20" w:type="dxa"/>
            </w:tcMar>
            <w:vAlign w:val="bottom"/>
          </w:tcPr>
          <w:p w14:paraId="518B5E8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E8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E83" w14:textId="77777777" w:rsidR="005C332D" w:rsidRDefault="00B93EAE">
            <w:pPr>
              <w:jc w:val="right"/>
              <w:textAlignment w:val="bottom"/>
            </w:pPr>
            <w:r>
              <w:rPr>
                <w:rFonts w:ascii="Times New Roman" w:eastAsia="宋体" w:hAnsi="Times New Roman"/>
                <w:color w:val="000000"/>
                <w:sz w:val="20"/>
                <w:szCs w:val="20"/>
              </w:rPr>
              <w:t>4,823 </w:t>
            </w:r>
          </w:p>
        </w:tc>
        <w:tc>
          <w:tcPr>
            <w:tcW w:w="0" w:type="auto"/>
            <w:shd w:val="clear" w:color="auto" w:fill="FFFFFF"/>
            <w:tcMar>
              <w:top w:w="40" w:type="dxa"/>
              <w:left w:w="0" w:type="dxa"/>
              <w:bottom w:w="40" w:type="dxa"/>
              <w:right w:w="20" w:type="dxa"/>
            </w:tcMar>
            <w:vAlign w:val="bottom"/>
          </w:tcPr>
          <w:p w14:paraId="518B5E84" w14:textId="77777777" w:rsidR="005C332D" w:rsidRDefault="005C332D">
            <w:pPr>
              <w:jc w:val="right"/>
              <w:rPr>
                <w:rFonts w:ascii="宋体"/>
              </w:rPr>
            </w:pPr>
          </w:p>
        </w:tc>
      </w:tr>
      <w:tr w:rsidR="005C332D" w14:paraId="518B5E8F" w14:textId="77777777">
        <w:trPr>
          <w:jc w:val="center"/>
        </w:trPr>
        <w:tc>
          <w:tcPr>
            <w:tcW w:w="0" w:type="auto"/>
            <w:gridSpan w:val="3"/>
            <w:shd w:val="clear" w:color="auto" w:fill="CCEEFF"/>
            <w:tcMar>
              <w:top w:w="40" w:type="dxa"/>
              <w:left w:w="380" w:type="dxa"/>
              <w:bottom w:w="40" w:type="dxa"/>
              <w:right w:w="20" w:type="dxa"/>
            </w:tcMar>
            <w:vAlign w:val="center"/>
          </w:tcPr>
          <w:p w14:paraId="518B5E86" w14:textId="77777777" w:rsidR="005C332D" w:rsidRDefault="00B93EAE">
            <w:pPr>
              <w:textAlignment w:val="center"/>
            </w:pPr>
            <w:r>
              <w:rPr>
                <w:rFonts w:ascii="Times New Roman" w:eastAsia="宋体" w:hAnsi="Times New Roman"/>
                <w:color w:val="000000"/>
                <w:sz w:val="20"/>
                <w:szCs w:val="20"/>
              </w:rPr>
              <w:t>End-to-End Security</w:t>
            </w:r>
          </w:p>
        </w:tc>
        <w:tc>
          <w:tcPr>
            <w:tcW w:w="0" w:type="auto"/>
            <w:gridSpan w:val="2"/>
            <w:shd w:val="clear" w:color="auto" w:fill="CCEEFF"/>
            <w:tcMar>
              <w:top w:w="40" w:type="dxa"/>
              <w:left w:w="20" w:type="dxa"/>
              <w:bottom w:w="40" w:type="dxa"/>
              <w:right w:w="0" w:type="dxa"/>
            </w:tcMar>
            <w:vAlign w:val="bottom"/>
          </w:tcPr>
          <w:p w14:paraId="518B5E87" w14:textId="77777777" w:rsidR="005C332D" w:rsidRDefault="00B93EAE">
            <w:pPr>
              <w:jc w:val="right"/>
              <w:textAlignment w:val="bottom"/>
            </w:pPr>
            <w:r>
              <w:rPr>
                <w:rFonts w:ascii="Times New Roman" w:eastAsia="宋体" w:hAnsi="Times New Roman"/>
                <w:b/>
                <w:bCs/>
                <w:color w:val="000000"/>
                <w:sz w:val="20"/>
                <w:szCs w:val="20"/>
              </w:rPr>
              <w:t>3,699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E8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E8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E8A" w14:textId="77777777" w:rsidR="005C332D" w:rsidRDefault="00B93EAE">
            <w:pPr>
              <w:jc w:val="right"/>
              <w:textAlignment w:val="bottom"/>
            </w:pPr>
            <w:r>
              <w:rPr>
                <w:rFonts w:ascii="Times New Roman" w:eastAsia="宋体" w:hAnsi="Times New Roman"/>
                <w:color w:val="000000"/>
                <w:sz w:val="20"/>
                <w:szCs w:val="20"/>
              </w:rPr>
              <w:t>3,382 </w:t>
            </w:r>
          </w:p>
        </w:tc>
        <w:tc>
          <w:tcPr>
            <w:tcW w:w="0" w:type="auto"/>
            <w:shd w:val="clear" w:color="auto" w:fill="CCEEFF"/>
            <w:tcMar>
              <w:top w:w="40" w:type="dxa"/>
              <w:left w:w="0" w:type="dxa"/>
              <w:bottom w:w="40" w:type="dxa"/>
              <w:right w:w="20" w:type="dxa"/>
            </w:tcMar>
            <w:vAlign w:val="bottom"/>
          </w:tcPr>
          <w:p w14:paraId="518B5E8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E8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E8D" w14:textId="77777777" w:rsidR="005C332D" w:rsidRDefault="00B93EAE">
            <w:pPr>
              <w:jc w:val="right"/>
              <w:textAlignment w:val="bottom"/>
            </w:pPr>
            <w:r>
              <w:rPr>
                <w:rFonts w:ascii="Times New Roman" w:eastAsia="宋体" w:hAnsi="Times New Roman"/>
                <w:color w:val="000000"/>
                <w:sz w:val="20"/>
                <w:szCs w:val="20"/>
              </w:rPr>
              <w:t>3,158 </w:t>
            </w:r>
          </w:p>
        </w:tc>
        <w:tc>
          <w:tcPr>
            <w:tcW w:w="0" w:type="auto"/>
            <w:shd w:val="clear" w:color="auto" w:fill="CCEEFF"/>
            <w:tcMar>
              <w:top w:w="40" w:type="dxa"/>
              <w:left w:w="0" w:type="dxa"/>
              <w:bottom w:w="40" w:type="dxa"/>
              <w:right w:w="20" w:type="dxa"/>
            </w:tcMar>
            <w:vAlign w:val="bottom"/>
          </w:tcPr>
          <w:p w14:paraId="518B5E8E" w14:textId="77777777" w:rsidR="005C332D" w:rsidRDefault="005C332D">
            <w:pPr>
              <w:jc w:val="right"/>
              <w:rPr>
                <w:rFonts w:ascii="宋体"/>
              </w:rPr>
            </w:pPr>
          </w:p>
        </w:tc>
      </w:tr>
      <w:tr w:rsidR="005C332D" w14:paraId="518B5E99" w14:textId="77777777">
        <w:trPr>
          <w:jc w:val="center"/>
        </w:trPr>
        <w:tc>
          <w:tcPr>
            <w:tcW w:w="0" w:type="auto"/>
            <w:gridSpan w:val="3"/>
            <w:shd w:val="clear" w:color="auto" w:fill="FFFFFF"/>
            <w:tcMar>
              <w:top w:w="40" w:type="dxa"/>
              <w:left w:w="380" w:type="dxa"/>
              <w:bottom w:w="40" w:type="dxa"/>
              <w:right w:w="20" w:type="dxa"/>
            </w:tcMar>
            <w:vAlign w:val="center"/>
          </w:tcPr>
          <w:p w14:paraId="518B5E90" w14:textId="77777777" w:rsidR="005C332D" w:rsidRDefault="00B93EAE">
            <w:pPr>
              <w:textAlignment w:val="center"/>
            </w:pPr>
            <w:r>
              <w:rPr>
                <w:rFonts w:ascii="Times New Roman" w:eastAsia="宋体" w:hAnsi="Times New Roman"/>
                <w:color w:val="000000"/>
                <w:sz w:val="20"/>
                <w:szCs w:val="20"/>
              </w:rPr>
              <w:t>Optimized Application Experiences</w:t>
            </w:r>
          </w:p>
        </w:tc>
        <w:tc>
          <w:tcPr>
            <w:tcW w:w="0" w:type="auto"/>
            <w:gridSpan w:val="2"/>
            <w:shd w:val="clear" w:color="auto" w:fill="FFFFFF"/>
            <w:tcMar>
              <w:top w:w="40" w:type="dxa"/>
              <w:left w:w="20" w:type="dxa"/>
              <w:bottom w:w="40" w:type="dxa"/>
              <w:right w:w="0" w:type="dxa"/>
            </w:tcMar>
            <w:vAlign w:val="bottom"/>
          </w:tcPr>
          <w:p w14:paraId="518B5E91" w14:textId="77777777" w:rsidR="005C332D" w:rsidRDefault="00B93EAE">
            <w:pPr>
              <w:jc w:val="right"/>
              <w:textAlignment w:val="bottom"/>
            </w:pPr>
            <w:r>
              <w:rPr>
                <w:rFonts w:ascii="Times New Roman" w:eastAsia="宋体" w:hAnsi="Times New Roman"/>
                <w:b/>
                <w:bCs/>
                <w:color w:val="000000"/>
                <w:sz w:val="20"/>
                <w:szCs w:val="20"/>
              </w:rPr>
              <w:t>729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E9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E9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E94" w14:textId="77777777" w:rsidR="005C332D" w:rsidRDefault="00B93EAE">
            <w:pPr>
              <w:jc w:val="right"/>
              <w:textAlignment w:val="bottom"/>
            </w:pPr>
            <w:r>
              <w:rPr>
                <w:rFonts w:ascii="Times New Roman" w:eastAsia="宋体" w:hAnsi="Times New Roman"/>
                <w:color w:val="000000"/>
                <w:sz w:val="20"/>
                <w:szCs w:val="20"/>
              </w:rPr>
              <w:t>654 </w:t>
            </w:r>
          </w:p>
        </w:tc>
        <w:tc>
          <w:tcPr>
            <w:tcW w:w="0" w:type="auto"/>
            <w:shd w:val="clear" w:color="auto" w:fill="FFFFFF"/>
            <w:tcMar>
              <w:top w:w="40" w:type="dxa"/>
              <w:left w:w="0" w:type="dxa"/>
              <w:bottom w:w="40" w:type="dxa"/>
              <w:right w:w="20" w:type="dxa"/>
            </w:tcMar>
            <w:vAlign w:val="bottom"/>
          </w:tcPr>
          <w:p w14:paraId="518B5E9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E9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E97" w14:textId="77777777" w:rsidR="005C332D" w:rsidRDefault="00B93EAE">
            <w:pPr>
              <w:jc w:val="right"/>
              <w:textAlignment w:val="bottom"/>
            </w:pPr>
            <w:r>
              <w:rPr>
                <w:rFonts w:ascii="Times New Roman" w:eastAsia="宋体" w:hAnsi="Times New Roman"/>
                <w:color w:val="000000"/>
                <w:sz w:val="20"/>
                <w:szCs w:val="20"/>
              </w:rPr>
              <w:t>524 </w:t>
            </w:r>
          </w:p>
        </w:tc>
        <w:tc>
          <w:tcPr>
            <w:tcW w:w="0" w:type="auto"/>
            <w:shd w:val="clear" w:color="auto" w:fill="FFFFFF"/>
            <w:tcMar>
              <w:top w:w="40" w:type="dxa"/>
              <w:left w:w="0" w:type="dxa"/>
              <w:bottom w:w="40" w:type="dxa"/>
              <w:right w:w="20" w:type="dxa"/>
            </w:tcMar>
            <w:vAlign w:val="bottom"/>
          </w:tcPr>
          <w:p w14:paraId="518B5E98" w14:textId="77777777" w:rsidR="005C332D" w:rsidRDefault="005C332D">
            <w:pPr>
              <w:jc w:val="right"/>
              <w:rPr>
                <w:rFonts w:ascii="宋体"/>
              </w:rPr>
            </w:pPr>
          </w:p>
        </w:tc>
      </w:tr>
      <w:tr w:rsidR="005C332D" w14:paraId="518B5EA3" w14:textId="77777777">
        <w:trPr>
          <w:jc w:val="center"/>
        </w:trPr>
        <w:tc>
          <w:tcPr>
            <w:tcW w:w="0" w:type="auto"/>
            <w:gridSpan w:val="3"/>
            <w:shd w:val="clear" w:color="auto" w:fill="CCEEFF"/>
            <w:tcMar>
              <w:top w:w="40" w:type="dxa"/>
              <w:left w:w="380" w:type="dxa"/>
              <w:bottom w:w="40" w:type="dxa"/>
              <w:right w:w="20" w:type="dxa"/>
            </w:tcMar>
            <w:vAlign w:val="center"/>
          </w:tcPr>
          <w:p w14:paraId="518B5E9A" w14:textId="77777777" w:rsidR="005C332D" w:rsidRDefault="00B93EAE">
            <w:pPr>
              <w:textAlignment w:val="center"/>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518B5E9B" w14:textId="77777777" w:rsidR="005C332D" w:rsidRDefault="00B93EAE">
            <w:pPr>
              <w:jc w:val="right"/>
              <w:textAlignment w:val="bottom"/>
            </w:pPr>
            <w:r>
              <w:rPr>
                <w:rFonts w:ascii="Times New Roman" w:eastAsia="宋体" w:hAnsi="Times New Roman"/>
                <w:b/>
                <w:bCs/>
                <w:color w:val="000000"/>
                <w:sz w:val="20"/>
                <w:szCs w:val="20"/>
              </w:rPr>
              <w:t>11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E9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E9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E9E" w14:textId="77777777" w:rsidR="005C332D" w:rsidRDefault="00B93EAE">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518B5E9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EA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EA1" w14:textId="77777777" w:rsidR="005C332D" w:rsidRDefault="00B93EAE">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518B5EA2" w14:textId="77777777" w:rsidR="005C332D" w:rsidRDefault="005C332D">
            <w:pPr>
              <w:jc w:val="right"/>
              <w:rPr>
                <w:rFonts w:ascii="宋体"/>
              </w:rPr>
            </w:pPr>
          </w:p>
        </w:tc>
      </w:tr>
      <w:tr w:rsidR="005C332D" w14:paraId="518B5EAD" w14:textId="77777777">
        <w:trPr>
          <w:jc w:val="center"/>
        </w:trPr>
        <w:tc>
          <w:tcPr>
            <w:tcW w:w="0" w:type="auto"/>
            <w:gridSpan w:val="3"/>
            <w:shd w:val="clear" w:color="auto" w:fill="FFFFFF"/>
            <w:tcMar>
              <w:top w:w="40" w:type="dxa"/>
              <w:left w:w="740" w:type="dxa"/>
              <w:bottom w:w="40" w:type="dxa"/>
              <w:right w:w="20" w:type="dxa"/>
            </w:tcMar>
            <w:vAlign w:val="center"/>
          </w:tcPr>
          <w:p w14:paraId="518B5EA4" w14:textId="77777777" w:rsidR="005C332D" w:rsidRDefault="00B93EAE">
            <w:pPr>
              <w:textAlignment w:val="center"/>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EA5" w14:textId="77777777" w:rsidR="005C332D" w:rsidRDefault="00B93EAE">
            <w:pPr>
              <w:jc w:val="right"/>
              <w:textAlignment w:val="bottom"/>
            </w:pPr>
            <w:r>
              <w:rPr>
                <w:rFonts w:ascii="Times New Roman" w:eastAsia="宋体" w:hAnsi="Times New Roman"/>
                <w:b/>
                <w:bCs/>
                <w:color w:val="000000"/>
                <w:sz w:val="20"/>
                <w:szCs w:val="20"/>
              </w:rPr>
              <w:t>38,018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EA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EA7"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EA8" w14:textId="77777777" w:rsidR="005C332D" w:rsidRDefault="00B93EAE">
            <w:pPr>
              <w:jc w:val="right"/>
              <w:textAlignment w:val="bottom"/>
            </w:pPr>
            <w:r>
              <w:rPr>
                <w:rFonts w:ascii="Times New Roman" w:eastAsia="宋体" w:hAnsi="Times New Roman"/>
                <w:color w:val="000000"/>
                <w:sz w:val="20"/>
                <w:szCs w:val="20"/>
              </w:rPr>
              <w:t>36,014 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EA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EAA"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5EAB" w14:textId="77777777" w:rsidR="005C332D" w:rsidRDefault="00B93EAE">
            <w:pPr>
              <w:jc w:val="right"/>
              <w:textAlignment w:val="bottom"/>
            </w:pPr>
            <w:r>
              <w:rPr>
                <w:rFonts w:ascii="Times New Roman" w:eastAsia="宋体" w:hAnsi="Times New Roman"/>
                <w:color w:val="000000"/>
                <w:sz w:val="20"/>
                <w:szCs w:val="20"/>
              </w:rPr>
              <w:t>35,978 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5EAC" w14:textId="77777777" w:rsidR="005C332D" w:rsidRDefault="005C332D">
            <w:pPr>
              <w:jc w:val="right"/>
              <w:rPr>
                <w:rFonts w:ascii="宋体"/>
              </w:rPr>
            </w:pPr>
          </w:p>
        </w:tc>
      </w:tr>
      <w:tr w:rsidR="005C332D" w14:paraId="518B5EB7" w14:textId="77777777">
        <w:trPr>
          <w:jc w:val="center"/>
        </w:trPr>
        <w:tc>
          <w:tcPr>
            <w:tcW w:w="0" w:type="auto"/>
            <w:gridSpan w:val="3"/>
            <w:shd w:val="clear" w:color="auto" w:fill="CCEEFF"/>
            <w:tcMar>
              <w:top w:w="40" w:type="dxa"/>
              <w:left w:w="380" w:type="dxa"/>
              <w:bottom w:w="40" w:type="dxa"/>
              <w:right w:w="20" w:type="dxa"/>
            </w:tcMar>
            <w:vAlign w:val="center"/>
          </w:tcPr>
          <w:p w14:paraId="518B5EAE" w14:textId="77777777" w:rsidR="005C332D" w:rsidRDefault="00B93EAE">
            <w:pPr>
              <w:textAlignment w:val="center"/>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518B5EAF" w14:textId="77777777" w:rsidR="005C332D" w:rsidRDefault="00B93EAE">
            <w:pPr>
              <w:jc w:val="right"/>
              <w:textAlignment w:val="bottom"/>
            </w:pPr>
            <w:r>
              <w:rPr>
                <w:rFonts w:ascii="Times New Roman" w:eastAsia="宋体" w:hAnsi="Times New Roman"/>
                <w:b/>
                <w:bCs/>
                <w:color w:val="000000"/>
                <w:sz w:val="20"/>
                <w:szCs w:val="20"/>
              </w:rPr>
              <w:t>13,539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EB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EB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EB2" w14:textId="77777777" w:rsidR="005C332D" w:rsidRDefault="00B93EAE">
            <w:pPr>
              <w:jc w:val="right"/>
              <w:textAlignment w:val="bottom"/>
            </w:pPr>
            <w:r>
              <w:rPr>
                <w:rFonts w:ascii="Times New Roman" w:eastAsia="宋体" w:hAnsi="Times New Roman"/>
                <w:color w:val="000000"/>
                <w:sz w:val="20"/>
                <w:szCs w:val="20"/>
              </w:rPr>
              <w:t>13,804 </w:t>
            </w:r>
          </w:p>
        </w:tc>
        <w:tc>
          <w:tcPr>
            <w:tcW w:w="0" w:type="auto"/>
            <w:shd w:val="clear" w:color="auto" w:fill="CCEEFF"/>
            <w:tcMar>
              <w:top w:w="40" w:type="dxa"/>
              <w:left w:w="0" w:type="dxa"/>
              <w:bottom w:w="40" w:type="dxa"/>
              <w:right w:w="20" w:type="dxa"/>
            </w:tcMar>
            <w:vAlign w:val="bottom"/>
          </w:tcPr>
          <w:p w14:paraId="518B5EB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EB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EB5" w14:textId="77777777" w:rsidR="005C332D" w:rsidRDefault="00B93EAE">
            <w:pPr>
              <w:jc w:val="right"/>
              <w:textAlignment w:val="bottom"/>
            </w:pPr>
            <w:r>
              <w:rPr>
                <w:rFonts w:ascii="Times New Roman" w:eastAsia="宋体" w:hAnsi="Times New Roman"/>
                <w:color w:val="000000"/>
                <w:sz w:val="20"/>
                <w:szCs w:val="20"/>
              </w:rPr>
              <w:t>13,323 </w:t>
            </w:r>
          </w:p>
        </w:tc>
        <w:tc>
          <w:tcPr>
            <w:tcW w:w="0" w:type="auto"/>
            <w:shd w:val="clear" w:color="auto" w:fill="CCEEFF"/>
            <w:tcMar>
              <w:top w:w="40" w:type="dxa"/>
              <w:left w:w="0" w:type="dxa"/>
              <w:bottom w:w="40" w:type="dxa"/>
              <w:right w:w="20" w:type="dxa"/>
            </w:tcMar>
            <w:vAlign w:val="bottom"/>
          </w:tcPr>
          <w:p w14:paraId="518B5EB6" w14:textId="77777777" w:rsidR="005C332D" w:rsidRDefault="005C332D">
            <w:pPr>
              <w:jc w:val="right"/>
              <w:rPr>
                <w:rFonts w:ascii="宋体"/>
              </w:rPr>
            </w:pPr>
          </w:p>
        </w:tc>
      </w:tr>
      <w:tr w:rsidR="005C332D" w14:paraId="518B5EC4" w14:textId="77777777">
        <w:trPr>
          <w:jc w:val="center"/>
        </w:trPr>
        <w:tc>
          <w:tcPr>
            <w:tcW w:w="0" w:type="auto"/>
            <w:gridSpan w:val="3"/>
            <w:shd w:val="clear" w:color="auto" w:fill="FFFFFF"/>
            <w:tcMar>
              <w:top w:w="40" w:type="dxa"/>
              <w:left w:w="1235" w:type="dxa"/>
              <w:bottom w:w="40" w:type="dxa"/>
              <w:right w:w="20" w:type="dxa"/>
            </w:tcMar>
            <w:vAlign w:val="center"/>
          </w:tcPr>
          <w:p w14:paraId="518B5EB8" w14:textId="77777777" w:rsidR="005C332D" w:rsidRDefault="00B93EAE">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EB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EBA" w14:textId="77777777" w:rsidR="005C332D" w:rsidRDefault="00B93EAE">
            <w:pPr>
              <w:jc w:val="right"/>
              <w:textAlignment w:val="bottom"/>
            </w:pPr>
            <w:r>
              <w:rPr>
                <w:rFonts w:ascii="Times New Roman" w:eastAsia="宋体" w:hAnsi="Times New Roman"/>
                <w:b/>
                <w:bCs/>
                <w:color w:val="000000"/>
                <w:sz w:val="20"/>
                <w:szCs w:val="20"/>
              </w:rPr>
              <w:t>51,557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EB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EBC"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EB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EBE" w14:textId="77777777" w:rsidR="005C332D" w:rsidRDefault="00B93EAE">
            <w:pPr>
              <w:jc w:val="right"/>
              <w:textAlignment w:val="bottom"/>
            </w:pPr>
            <w:r>
              <w:rPr>
                <w:rFonts w:ascii="Times New Roman" w:eastAsia="宋体" w:hAnsi="Times New Roman"/>
                <w:color w:val="000000"/>
                <w:sz w:val="20"/>
                <w:szCs w:val="20"/>
              </w:rPr>
              <w:t>49,818 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EB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EC0"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EC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EC2" w14:textId="77777777" w:rsidR="005C332D" w:rsidRDefault="00B93EAE">
            <w:pPr>
              <w:jc w:val="right"/>
              <w:textAlignment w:val="bottom"/>
            </w:pPr>
            <w:r>
              <w:rPr>
                <w:rFonts w:ascii="Times New Roman" w:eastAsia="宋体" w:hAnsi="Times New Roman"/>
                <w:color w:val="000000"/>
                <w:sz w:val="20"/>
                <w:szCs w:val="20"/>
              </w:rPr>
              <w:t>49,301 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EC3" w14:textId="77777777" w:rsidR="005C332D" w:rsidRDefault="005C332D">
            <w:pPr>
              <w:jc w:val="right"/>
              <w:rPr>
                <w:rFonts w:ascii="宋体"/>
              </w:rPr>
            </w:pPr>
          </w:p>
        </w:tc>
      </w:tr>
    </w:tbl>
    <w:p w14:paraId="518B5EC5" w14:textId="77777777" w:rsidR="005C332D" w:rsidRDefault="00B93EAE">
      <w:pPr>
        <w:spacing w:before="120"/>
        <w:jc w:val="both"/>
      </w:pPr>
      <w:r>
        <w:rPr>
          <w:rFonts w:ascii="Times New Roman" w:eastAsia="宋体" w:hAnsi="Times New Roman"/>
          <w:color w:val="000000"/>
          <w:sz w:val="20"/>
          <w:szCs w:val="20"/>
        </w:rPr>
        <w:t>Amounts may not sum due to rounding.</w:t>
      </w:r>
    </w:p>
    <w:p w14:paraId="518B5EC6" w14:textId="77777777" w:rsidR="005C332D" w:rsidRDefault="00B93EAE">
      <w:pPr>
        <w:spacing w:before="120"/>
        <w:jc w:val="both"/>
      </w:pPr>
      <w:r>
        <w:rPr>
          <w:rFonts w:ascii="Times New Roman" w:eastAsia="宋体" w:hAnsi="Times New Roman"/>
          <w:color w:val="000000"/>
          <w:sz w:val="20"/>
          <w:szCs w:val="20"/>
        </w:rPr>
        <w:t>Secure, Agile Networks consists of our core networking technologies of switching, enterprise routing, wireless, and compute products. These technologies co</w:t>
      </w:r>
      <w:r>
        <w:rPr>
          <w:rFonts w:ascii="Times New Roman" w:eastAsia="宋体" w:hAnsi="Times New Roman"/>
          <w:color w:val="000000"/>
          <w:sz w:val="20"/>
          <w:szCs w:val="20"/>
        </w:rPr>
        <w:t xml:space="preserve">nsist of both hardware and software offerings, including software licenses and SaaS, that help our customers build networks, automate, orchestrate, integrate, and digitize data. Our hardware and perpetual software in this category are distinct performance </w:t>
      </w:r>
      <w:r>
        <w:rPr>
          <w:rFonts w:ascii="Times New Roman" w:eastAsia="宋体" w:hAnsi="Times New Roman"/>
          <w:color w:val="000000"/>
          <w:sz w:val="20"/>
          <w:szCs w:val="20"/>
        </w:rPr>
        <w:t>obligations where revenue is recognized upfront upon transfer of control. Term software licenses are multiple performance obligations where the term license is recognized upfront upon transfer of control with the associated software maintenance revenue rec</w:t>
      </w:r>
      <w:r>
        <w:rPr>
          <w:rFonts w:ascii="Times New Roman" w:eastAsia="宋体" w:hAnsi="Times New Roman"/>
          <w:color w:val="000000"/>
          <w:sz w:val="20"/>
          <w:szCs w:val="20"/>
        </w:rPr>
        <w:t>ognized ratably over the contract term. SaaS arrangements in this category have one distinct performance obligation which is satisfied over time with revenue recognized ratably over the contract term.</w:t>
      </w:r>
    </w:p>
    <w:p w14:paraId="518B5EC7" w14:textId="77777777" w:rsidR="005C332D" w:rsidRDefault="00B93EAE">
      <w:pPr>
        <w:spacing w:before="120"/>
        <w:jc w:val="both"/>
      </w:pPr>
      <w:r>
        <w:rPr>
          <w:rFonts w:ascii="Times New Roman" w:eastAsia="宋体" w:hAnsi="Times New Roman"/>
          <w:color w:val="000000"/>
          <w:sz w:val="20"/>
          <w:szCs w:val="20"/>
        </w:rPr>
        <w:t xml:space="preserve">Internet for the Future consists of our routed optical </w:t>
      </w:r>
      <w:r>
        <w:rPr>
          <w:rFonts w:ascii="Times New Roman" w:eastAsia="宋体" w:hAnsi="Times New Roman"/>
          <w:color w:val="000000"/>
          <w:sz w:val="20"/>
          <w:szCs w:val="20"/>
        </w:rPr>
        <w:t>networking, 5G, silicon, and optics solutions. These products consist primarily of both hardware and software offerings, including software licenses and SaaS. Our hardware and perpetual software in this category are distinct performance obligations where r</w:t>
      </w:r>
      <w:r>
        <w:rPr>
          <w:rFonts w:ascii="Times New Roman" w:eastAsia="宋体" w:hAnsi="Times New Roman"/>
          <w:color w:val="000000"/>
          <w:sz w:val="20"/>
          <w:szCs w:val="20"/>
        </w:rPr>
        <w:t>evenue is recognized upfront upon transfer of control. Term software licenses are multiple performance obligations where the term license is recognized upfront upon transfer of control with the associated software maintenance revenue recognized ratably ove</w:t>
      </w:r>
      <w:r>
        <w:rPr>
          <w:rFonts w:ascii="Times New Roman" w:eastAsia="宋体" w:hAnsi="Times New Roman"/>
          <w:color w:val="000000"/>
          <w:sz w:val="20"/>
          <w:szCs w:val="20"/>
        </w:rPr>
        <w:t>r the contract term. SaaS arrangements in this category have one distinct performance obligation which is satisfied over time with revenue recognized ratably over the contract term.</w:t>
      </w:r>
    </w:p>
    <w:p w14:paraId="518B5EC8" w14:textId="77777777" w:rsidR="005C332D" w:rsidRDefault="00B93EAE">
      <w:pPr>
        <w:spacing w:before="120"/>
        <w:jc w:val="both"/>
      </w:pPr>
      <w:r>
        <w:rPr>
          <w:rFonts w:ascii="Times New Roman" w:eastAsia="宋体" w:hAnsi="Times New Roman"/>
          <w:color w:val="000000"/>
          <w:sz w:val="20"/>
          <w:szCs w:val="20"/>
        </w:rPr>
        <w:t>Collaboration consists of our Meetings, Collaboration Devices, Calling, Co</w:t>
      </w:r>
      <w:r>
        <w:rPr>
          <w:rFonts w:ascii="Times New Roman" w:eastAsia="宋体" w:hAnsi="Times New Roman"/>
          <w:color w:val="000000"/>
          <w:sz w:val="20"/>
          <w:szCs w:val="20"/>
        </w:rPr>
        <w:t xml:space="preserve">ntact Center and CPaaS offerings. These products consist primarily of software offerings, including software licenses and SaaS, as well as hardware. Our perpetual software and hardware in this category are distinct performance obligations where revenue is </w:t>
      </w:r>
      <w:r>
        <w:rPr>
          <w:rFonts w:ascii="Times New Roman" w:eastAsia="宋体" w:hAnsi="Times New Roman"/>
          <w:color w:val="000000"/>
          <w:sz w:val="20"/>
          <w:szCs w:val="20"/>
        </w:rPr>
        <w:t>recognized upfront upon transfer of control. Term software licenses are multiple performance obligations where the term license is recognized upfront upon transfer of control with the associated software maintenance revenue recognized ratably over the cont</w:t>
      </w:r>
      <w:r>
        <w:rPr>
          <w:rFonts w:ascii="Times New Roman" w:eastAsia="宋体" w:hAnsi="Times New Roman"/>
          <w:color w:val="000000"/>
          <w:sz w:val="20"/>
          <w:szCs w:val="20"/>
        </w:rPr>
        <w:t xml:space="preserve">ract term. SaaS arrangements in this </w:t>
      </w:r>
    </w:p>
    <w:p w14:paraId="518B5EC9" w14:textId="77777777" w:rsidR="005C332D" w:rsidRDefault="00B93EAE">
      <w:pPr>
        <w:jc w:val="center"/>
      </w:pPr>
      <w:r>
        <w:rPr>
          <w:rFonts w:ascii="Times New Roman" w:eastAsia="宋体" w:hAnsi="Times New Roman"/>
          <w:color w:val="000000"/>
          <w:sz w:val="20"/>
          <w:szCs w:val="20"/>
        </w:rPr>
        <w:t>70</w:t>
      </w:r>
    </w:p>
    <w:p w14:paraId="518B5ECA" w14:textId="77777777" w:rsidR="005C332D" w:rsidRDefault="00B93EAE">
      <w:r>
        <w:pict w14:anchorId="518B875B">
          <v:rect id="_x0000_i1096" style="width:415.3pt;height:1.5pt" o:hralign="center" o:hrstd="t" o:hr="t" fillcolor="#a0a0a0" stroked="f"/>
        </w:pict>
      </w:r>
    </w:p>
    <w:p w14:paraId="518B5ECB" w14:textId="77777777" w:rsidR="005C332D" w:rsidRDefault="005C332D"/>
    <w:p w14:paraId="518B5ECC" w14:textId="77777777" w:rsidR="005C332D" w:rsidRDefault="00B93EAE">
      <w:pPr>
        <w:spacing w:before="120"/>
        <w:jc w:val="both"/>
      </w:pPr>
      <w:r>
        <w:rPr>
          <w:rFonts w:ascii="Times New Roman" w:eastAsia="宋体" w:hAnsi="Times New Roman"/>
          <w:color w:val="000000"/>
          <w:sz w:val="20"/>
          <w:szCs w:val="20"/>
        </w:rPr>
        <w:t>category have one distinct performance obligation which is satisfied over time with revenue recognized ratably over the contract term.</w:t>
      </w:r>
    </w:p>
    <w:p w14:paraId="518B5ECD" w14:textId="77777777" w:rsidR="005C332D" w:rsidRDefault="00B93EAE">
      <w:pPr>
        <w:spacing w:before="120"/>
        <w:jc w:val="both"/>
      </w:pPr>
      <w:r>
        <w:rPr>
          <w:rFonts w:ascii="Times New Roman" w:eastAsia="宋体" w:hAnsi="Times New Roman"/>
          <w:color w:val="000000"/>
          <w:sz w:val="20"/>
          <w:szCs w:val="20"/>
        </w:rPr>
        <w:t xml:space="preserve">End-to-End Security product category consists of our Network </w:t>
      </w:r>
      <w:r>
        <w:rPr>
          <w:rFonts w:ascii="Times New Roman" w:eastAsia="宋体" w:hAnsi="Times New Roman"/>
          <w:color w:val="000000"/>
          <w:sz w:val="20"/>
          <w:szCs w:val="20"/>
        </w:rPr>
        <w:t xml:space="preserve">Security, Cloud Security, Security Endpoints, Unified Threat Management and Zero Trust offerings. These products consist of both hardware and software offerings, including software licenses and SaaS. Updates and upgrades for the term software licenses are </w:t>
      </w:r>
      <w:r>
        <w:rPr>
          <w:rFonts w:ascii="Times New Roman" w:eastAsia="宋体" w:hAnsi="Times New Roman"/>
          <w:color w:val="000000"/>
          <w:sz w:val="20"/>
          <w:szCs w:val="20"/>
        </w:rPr>
        <w:t xml:space="preserve">critical for our software to perform its intended commercial purpose because of the continuous need for our software to secure our customers’ network environments against frequent threats. Therefore, security software licenses are generally represented by </w:t>
      </w:r>
      <w:r>
        <w:rPr>
          <w:rFonts w:ascii="Times New Roman" w:eastAsia="宋体" w:hAnsi="Times New Roman"/>
          <w:color w:val="000000"/>
          <w:sz w:val="20"/>
          <w:szCs w:val="20"/>
        </w:rPr>
        <w:t>a single distinct performance obligation with revenue recognized ratably over the contract term. Our hardware and perpetual software in this category are distinct performance obligations where revenue is recognized upfront upon transfer of control. SaaS ar</w:t>
      </w:r>
      <w:r>
        <w:rPr>
          <w:rFonts w:ascii="Times New Roman" w:eastAsia="宋体" w:hAnsi="Times New Roman"/>
          <w:color w:val="000000"/>
          <w:sz w:val="20"/>
          <w:szCs w:val="20"/>
        </w:rPr>
        <w:t>rangements in this category have one distinct performance obligation which is satisfied over time with revenue recognized ratably over the contract term.</w:t>
      </w:r>
    </w:p>
    <w:p w14:paraId="518B5ECE" w14:textId="77777777" w:rsidR="005C332D" w:rsidRDefault="00B93EAE">
      <w:pPr>
        <w:spacing w:before="120"/>
        <w:jc w:val="both"/>
      </w:pPr>
      <w:r>
        <w:rPr>
          <w:rFonts w:ascii="Times New Roman" w:eastAsia="宋体" w:hAnsi="Times New Roman"/>
          <w:color w:val="000000"/>
          <w:sz w:val="20"/>
          <w:szCs w:val="20"/>
        </w:rPr>
        <w:t>Optimized Application Experiences consists of our full stack observability and cloud-native platform o</w:t>
      </w:r>
      <w:r>
        <w:rPr>
          <w:rFonts w:ascii="Times New Roman" w:eastAsia="宋体" w:hAnsi="Times New Roman"/>
          <w:color w:val="000000"/>
          <w:sz w:val="20"/>
          <w:szCs w:val="20"/>
        </w:rPr>
        <w:t>fferings. These products consist primarily of software offerings, including software licenses and SaaS. Our perpetual software in this category are distinct performance obligations where revenue is recognized upfront upon transfer of control. Term software</w:t>
      </w:r>
      <w:r>
        <w:rPr>
          <w:rFonts w:ascii="Times New Roman" w:eastAsia="宋体" w:hAnsi="Times New Roman"/>
          <w:color w:val="000000"/>
          <w:sz w:val="20"/>
          <w:szCs w:val="20"/>
        </w:rPr>
        <w:t xml:space="preserve"> licenses are multiple performance obligations where the term license is recognized upfront upon transfer of control with the associated software maintenance revenue recognized ratably over the contract term. SaaS arrangements in this category have one dis</w:t>
      </w:r>
      <w:r>
        <w:rPr>
          <w:rFonts w:ascii="Times New Roman" w:eastAsia="宋体" w:hAnsi="Times New Roman"/>
          <w:color w:val="000000"/>
          <w:sz w:val="20"/>
          <w:szCs w:val="20"/>
        </w:rPr>
        <w:t>tinct performance obligation which is satisfied over time with revenue recognized ratably over the contract term.</w:t>
      </w:r>
    </w:p>
    <w:p w14:paraId="518B5ECF" w14:textId="77777777" w:rsidR="005C332D" w:rsidRDefault="00B93EAE">
      <w:pPr>
        <w:spacing w:before="120"/>
        <w:jc w:val="both"/>
      </w:pPr>
      <w:r>
        <w:rPr>
          <w:rFonts w:ascii="Times New Roman" w:eastAsia="宋体" w:hAnsi="Times New Roman"/>
          <w:color w:val="000000"/>
          <w:sz w:val="20"/>
          <w:szCs w:val="20"/>
        </w:rPr>
        <w:t>In addition to our product offerings, we provide a broad range of service and support options for our customers, including technical support s</w:t>
      </w:r>
      <w:r>
        <w:rPr>
          <w:rFonts w:ascii="Times New Roman" w:eastAsia="宋体" w:hAnsi="Times New Roman"/>
          <w:color w:val="000000"/>
          <w:sz w:val="20"/>
          <w:szCs w:val="20"/>
        </w:rPr>
        <w:t>ervices and advanced services. Technical support services represent the majority of these offerings which are distinct performance obligations that are satisfied over time with revenue recognized ratably over the contract term. Advanced services are distin</w:t>
      </w:r>
      <w:r>
        <w:rPr>
          <w:rFonts w:ascii="Times New Roman" w:eastAsia="宋体" w:hAnsi="Times New Roman"/>
          <w:color w:val="000000"/>
          <w:sz w:val="20"/>
          <w:szCs w:val="20"/>
        </w:rPr>
        <w:t xml:space="preserve">ct performance obligations that are satisfied over time with revenue recognized as services are delivered. </w:t>
      </w:r>
    </w:p>
    <w:p w14:paraId="518B5ED0" w14:textId="77777777" w:rsidR="005C332D" w:rsidRDefault="00B93EAE">
      <w:pPr>
        <w:spacing w:before="120"/>
        <w:jc w:val="both"/>
      </w:pPr>
      <w:r>
        <w:rPr>
          <w:rFonts w:ascii="Times New Roman" w:eastAsia="宋体" w:hAnsi="Times New Roman"/>
          <w:color w:val="000000"/>
          <w:sz w:val="20"/>
          <w:szCs w:val="20"/>
        </w:rPr>
        <w:t>The sales arrangements as discussed above are typically made pursuant to customer purchase orders based on master purchase or partner agreements. Ca</w:t>
      </w:r>
      <w:r>
        <w:rPr>
          <w:rFonts w:ascii="Times New Roman" w:eastAsia="宋体" w:hAnsi="Times New Roman"/>
          <w:color w:val="000000"/>
          <w:sz w:val="20"/>
          <w:szCs w:val="20"/>
        </w:rPr>
        <w:t xml:space="preserve">sh is received based on our standard payment terms which is typically 30 days. We provide financing arrangements to customers for all of our hardware, software and service offerings. Refer to Note 9 for additional information. For these arrangements, cash </w:t>
      </w:r>
      <w:r>
        <w:rPr>
          <w:rFonts w:ascii="Times New Roman" w:eastAsia="宋体" w:hAnsi="Times New Roman"/>
          <w:color w:val="000000"/>
          <w:sz w:val="20"/>
          <w:szCs w:val="20"/>
        </w:rPr>
        <w:t>is typically received over time.</w:t>
      </w:r>
    </w:p>
    <w:p w14:paraId="518B5ED1" w14:textId="77777777" w:rsidR="005C332D" w:rsidRDefault="00B93EAE">
      <w:pPr>
        <w:spacing w:before="120"/>
        <w:ind w:hanging="360"/>
        <w:jc w:val="both"/>
      </w:pPr>
      <w:r>
        <w:rPr>
          <w:rFonts w:ascii="Times New Roman" w:eastAsia="宋体" w:hAnsi="Times New Roman"/>
          <w:b/>
          <w:bCs/>
          <w:color w:val="000000"/>
          <w:sz w:val="20"/>
          <w:szCs w:val="20"/>
        </w:rPr>
        <w:t>(b)Contract Balances</w:t>
      </w:r>
    </w:p>
    <w:p w14:paraId="518B5ED2" w14:textId="77777777" w:rsidR="005C332D" w:rsidRDefault="00B93EAE">
      <w:pPr>
        <w:spacing w:before="120"/>
        <w:jc w:val="both"/>
      </w:pPr>
      <w:r>
        <w:rPr>
          <w:rFonts w:ascii="Times New Roman" w:eastAsia="宋体" w:hAnsi="Times New Roman"/>
          <w:i/>
          <w:iCs/>
          <w:color w:val="000000"/>
          <w:sz w:val="20"/>
          <w:szCs w:val="20"/>
        </w:rPr>
        <w:t>Accounts Receivable</w:t>
      </w:r>
    </w:p>
    <w:p w14:paraId="518B5ED3" w14:textId="77777777" w:rsidR="005C332D" w:rsidRDefault="00B93EAE">
      <w:pPr>
        <w:spacing w:before="120"/>
        <w:jc w:val="both"/>
      </w:pPr>
      <w:r>
        <w:rPr>
          <w:rFonts w:ascii="Times New Roman" w:eastAsia="宋体" w:hAnsi="Times New Roman"/>
          <w:color w:val="000000"/>
          <w:sz w:val="20"/>
          <w:szCs w:val="20"/>
        </w:rPr>
        <w:t>Accounts receivable, net was $6.6 billion as of July 30, 2022 compared to $5.8 billion as of July 31, 2021, as reported on the Consolidated Balance Sheets.</w:t>
      </w:r>
    </w:p>
    <w:p w14:paraId="518B5ED4" w14:textId="77777777" w:rsidR="005C332D" w:rsidRDefault="00B93EAE">
      <w:pPr>
        <w:spacing w:before="120"/>
        <w:jc w:val="both"/>
      </w:pPr>
      <w:r>
        <w:rPr>
          <w:rFonts w:ascii="Times New Roman" w:eastAsia="宋体" w:hAnsi="Times New Roman"/>
          <w:color w:val="000000"/>
          <w:sz w:val="20"/>
          <w:szCs w:val="20"/>
        </w:rPr>
        <w:t xml:space="preserve">The allowances for credit </w:t>
      </w:r>
      <w:r>
        <w:rPr>
          <w:rFonts w:ascii="Times New Roman" w:eastAsia="宋体" w:hAnsi="Times New Roman"/>
          <w:color w:val="000000"/>
          <w:sz w:val="20"/>
          <w:szCs w:val="20"/>
        </w:rPr>
        <w:t>loss for our accounts receivable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30"/>
        <w:gridCol w:w="37"/>
        <w:gridCol w:w="36"/>
        <w:gridCol w:w="36"/>
        <w:gridCol w:w="36"/>
        <w:gridCol w:w="120"/>
        <w:gridCol w:w="1045"/>
        <w:gridCol w:w="36"/>
        <w:gridCol w:w="36"/>
        <w:gridCol w:w="36"/>
        <w:gridCol w:w="36"/>
        <w:gridCol w:w="120"/>
        <w:gridCol w:w="1046"/>
        <w:gridCol w:w="36"/>
        <w:gridCol w:w="36"/>
        <w:gridCol w:w="36"/>
        <w:gridCol w:w="36"/>
        <w:gridCol w:w="120"/>
        <w:gridCol w:w="1048"/>
        <w:gridCol w:w="36"/>
      </w:tblGrid>
      <w:tr w:rsidR="005C332D" w14:paraId="518B5EEA" w14:textId="77777777">
        <w:tc>
          <w:tcPr>
            <w:tcW w:w="50" w:type="pct"/>
            <w:shd w:val="clear" w:color="auto" w:fill="auto"/>
            <w:vAlign w:val="bottom"/>
          </w:tcPr>
          <w:p w14:paraId="518B5ED5" w14:textId="77777777" w:rsidR="005C332D" w:rsidRDefault="005C332D">
            <w:pPr>
              <w:rPr>
                <w:rFonts w:ascii="宋体"/>
              </w:rPr>
            </w:pPr>
          </w:p>
        </w:tc>
        <w:tc>
          <w:tcPr>
            <w:tcW w:w="2664" w:type="pct"/>
            <w:shd w:val="clear" w:color="auto" w:fill="auto"/>
            <w:vAlign w:val="bottom"/>
          </w:tcPr>
          <w:p w14:paraId="518B5ED6" w14:textId="77777777" w:rsidR="005C332D" w:rsidRDefault="005C332D">
            <w:pPr>
              <w:rPr>
                <w:rFonts w:ascii="宋体"/>
              </w:rPr>
            </w:pPr>
          </w:p>
        </w:tc>
        <w:tc>
          <w:tcPr>
            <w:tcW w:w="5" w:type="pct"/>
            <w:shd w:val="clear" w:color="auto" w:fill="auto"/>
            <w:vAlign w:val="bottom"/>
          </w:tcPr>
          <w:p w14:paraId="518B5ED7" w14:textId="77777777" w:rsidR="005C332D" w:rsidRDefault="005C332D">
            <w:pPr>
              <w:rPr>
                <w:rFonts w:ascii="宋体"/>
              </w:rPr>
            </w:pPr>
          </w:p>
        </w:tc>
        <w:tc>
          <w:tcPr>
            <w:tcW w:w="5" w:type="pct"/>
            <w:shd w:val="clear" w:color="auto" w:fill="auto"/>
            <w:vAlign w:val="bottom"/>
          </w:tcPr>
          <w:p w14:paraId="518B5ED8" w14:textId="77777777" w:rsidR="005C332D" w:rsidRDefault="005C332D">
            <w:pPr>
              <w:rPr>
                <w:rFonts w:ascii="宋体"/>
              </w:rPr>
            </w:pPr>
          </w:p>
        </w:tc>
        <w:tc>
          <w:tcPr>
            <w:tcW w:w="19" w:type="pct"/>
            <w:shd w:val="clear" w:color="auto" w:fill="auto"/>
            <w:vAlign w:val="bottom"/>
          </w:tcPr>
          <w:p w14:paraId="518B5ED9" w14:textId="77777777" w:rsidR="005C332D" w:rsidRDefault="005C332D">
            <w:pPr>
              <w:rPr>
                <w:rFonts w:ascii="宋体"/>
              </w:rPr>
            </w:pPr>
          </w:p>
        </w:tc>
        <w:tc>
          <w:tcPr>
            <w:tcW w:w="5" w:type="pct"/>
            <w:shd w:val="clear" w:color="auto" w:fill="auto"/>
            <w:vAlign w:val="bottom"/>
          </w:tcPr>
          <w:p w14:paraId="518B5EDA" w14:textId="77777777" w:rsidR="005C332D" w:rsidRDefault="005C332D">
            <w:pPr>
              <w:rPr>
                <w:rFonts w:ascii="宋体"/>
              </w:rPr>
            </w:pPr>
          </w:p>
        </w:tc>
        <w:tc>
          <w:tcPr>
            <w:tcW w:w="50" w:type="pct"/>
            <w:shd w:val="clear" w:color="auto" w:fill="auto"/>
            <w:vAlign w:val="bottom"/>
          </w:tcPr>
          <w:p w14:paraId="518B5EDB" w14:textId="77777777" w:rsidR="005C332D" w:rsidRDefault="005C332D">
            <w:pPr>
              <w:rPr>
                <w:rFonts w:ascii="宋体"/>
              </w:rPr>
            </w:pPr>
          </w:p>
        </w:tc>
        <w:tc>
          <w:tcPr>
            <w:tcW w:w="675" w:type="pct"/>
            <w:shd w:val="clear" w:color="auto" w:fill="auto"/>
            <w:vAlign w:val="bottom"/>
          </w:tcPr>
          <w:p w14:paraId="518B5EDC" w14:textId="77777777" w:rsidR="005C332D" w:rsidRDefault="005C332D">
            <w:pPr>
              <w:rPr>
                <w:rFonts w:ascii="宋体"/>
              </w:rPr>
            </w:pPr>
          </w:p>
        </w:tc>
        <w:tc>
          <w:tcPr>
            <w:tcW w:w="5" w:type="pct"/>
            <w:shd w:val="clear" w:color="auto" w:fill="auto"/>
            <w:vAlign w:val="bottom"/>
          </w:tcPr>
          <w:p w14:paraId="518B5EDD" w14:textId="77777777" w:rsidR="005C332D" w:rsidRDefault="005C332D">
            <w:pPr>
              <w:rPr>
                <w:rFonts w:ascii="宋体"/>
              </w:rPr>
            </w:pPr>
          </w:p>
        </w:tc>
        <w:tc>
          <w:tcPr>
            <w:tcW w:w="5" w:type="pct"/>
            <w:shd w:val="clear" w:color="auto" w:fill="auto"/>
            <w:vAlign w:val="bottom"/>
          </w:tcPr>
          <w:p w14:paraId="518B5EDE" w14:textId="77777777" w:rsidR="005C332D" w:rsidRDefault="005C332D">
            <w:pPr>
              <w:rPr>
                <w:rFonts w:ascii="宋体"/>
              </w:rPr>
            </w:pPr>
          </w:p>
        </w:tc>
        <w:tc>
          <w:tcPr>
            <w:tcW w:w="19" w:type="pct"/>
            <w:shd w:val="clear" w:color="auto" w:fill="auto"/>
            <w:vAlign w:val="bottom"/>
          </w:tcPr>
          <w:p w14:paraId="518B5EDF" w14:textId="77777777" w:rsidR="005C332D" w:rsidRDefault="005C332D">
            <w:pPr>
              <w:rPr>
                <w:rFonts w:ascii="宋体"/>
              </w:rPr>
            </w:pPr>
          </w:p>
        </w:tc>
        <w:tc>
          <w:tcPr>
            <w:tcW w:w="5" w:type="pct"/>
            <w:shd w:val="clear" w:color="auto" w:fill="auto"/>
            <w:vAlign w:val="bottom"/>
          </w:tcPr>
          <w:p w14:paraId="518B5EE0" w14:textId="77777777" w:rsidR="005C332D" w:rsidRDefault="005C332D">
            <w:pPr>
              <w:rPr>
                <w:rFonts w:ascii="宋体"/>
              </w:rPr>
            </w:pPr>
          </w:p>
        </w:tc>
        <w:tc>
          <w:tcPr>
            <w:tcW w:w="50" w:type="pct"/>
            <w:shd w:val="clear" w:color="auto" w:fill="auto"/>
            <w:vAlign w:val="bottom"/>
          </w:tcPr>
          <w:p w14:paraId="518B5EE1" w14:textId="77777777" w:rsidR="005C332D" w:rsidRDefault="005C332D">
            <w:pPr>
              <w:rPr>
                <w:rFonts w:ascii="宋体"/>
              </w:rPr>
            </w:pPr>
          </w:p>
        </w:tc>
        <w:tc>
          <w:tcPr>
            <w:tcW w:w="675" w:type="pct"/>
            <w:shd w:val="clear" w:color="auto" w:fill="auto"/>
            <w:vAlign w:val="bottom"/>
          </w:tcPr>
          <w:p w14:paraId="518B5EE2" w14:textId="77777777" w:rsidR="005C332D" w:rsidRDefault="005C332D">
            <w:pPr>
              <w:rPr>
                <w:rFonts w:ascii="宋体"/>
              </w:rPr>
            </w:pPr>
          </w:p>
        </w:tc>
        <w:tc>
          <w:tcPr>
            <w:tcW w:w="5" w:type="pct"/>
            <w:shd w:val="clear" w:color="auto" w:fill="auto"/>
            <w:vAlign w:val="bottom"/>
          </w:tcPr>
          <w:p w14:paraId="518B5EE3" w14:textId="77777777" w:rsidR="005C332D" w:rsidRDefault="005C332D">
            <w:pPr>
              <w:rPr>
                <w:rFonts w:ascii="宋体"/>
              </w:rPr>
            </w:pPr>
          </w:p>
        </w:tc>
        <w:tc>
          <w:tcPr>
            <w:tcW w:w="5" w:type="pct"/>
            <w:shd w:val="clear" w:color="auto" w:fill="auto"/>
            <w:vAlign w:val="bottom"/>
          </w:tcPr>
          <w:p w14:paraId="518B5EE4" w14:textId="77777777" w:rsidR="005C332D" w:rsidRDefault="005C332D">
            <w:pPr>
              <w:rPr>
                <w:rFonts w:ascii="宋体"/>
              </w:rPr>
            </w:pPr>
          </w:p>
        </w:tc>
        <w:tc>
          <w:tcPr>
            <w:tcW w:w="19" w:type="pct"/>
            <w:shd w:val="clear" w:color="auto" w:fill="auto"/>
            <w:vAlign w:val="bottom"/>
          </w:tcPr>
          <w:p w14:paraId="518B5EE5" w14:textId="77777777" w:rsidR="005C332D" w:rsidRDefault="005C332D">
            <w:pPr>
              <w:rPr>
                <w:rFonts w:ascii="宋体"/>
              </w:rPr>
            </w:pPr>
          </w:p>
        </w:tc>
        <w:tc>
          <w:tcPr>
            <w:tcW w:w="5" w:type="pct"/>
            <w:shd w:val="clear" w:color="auto" w:fill="auto"/>
            <w:vAlign w:val="bottom"/>
          </w:tcPr>
          <w:p w14:paraId="518B5EE6" w14:textId="77777777" w:rsidR="005C332D" w:rsidRDefault="005C332D">
            <w:pPr>
              <w:rPr>
                <w:rFonts w:ascii="宋体"/>
              </w:rPr>
            </w:pPr>
          </w:p>
        </w:tc>
        <w:tc>
          <w:tcPr>
            <w:tcW w:w="50" w:type="pct"/>
            <w:shd w:val="clear" w:color="auto" w:fill="auto"/>
            <w:vAlign w:val="bottom"/>
          </w:tcPr>
          <w:p w14:paraId="518B5EE7" w14:textId="77777777" w:rsidR="005C332D" w:rsidRDefault="005C332D">
            <w:pPr>
              <w:rPr>
                <w:rFonts w:ascii="宋体"/>
              </w:rPr>
            </w:pPr>
          </w:p>
        </w:tc>
        <w:tc>
          <w:tcPr>
            <w:tcW w:w="676" w:type="pct"/>
            <w:shd w:val="clear" w:color="auto" w:fill="auto"/>
            <w:vAlign w:val="bottom"/>
          </w:tcPr>
          <w:p w14:paraId="518B5EE8" w14:textId="77777777" w:rsidR="005C332D" w:rsidRDefault="005C332D">
            <w:pPr>
              <w:rPr>
                <w:rFonts w:ascii="宋体"/>
              </w:rPr>
            </w:pPr>
          </w:p>
        </w:tc>
        <w:tc>
          <w:tcPr>
            <w:tcW w:w="5" w:type="pct"/>
            <w:shd w:val="clear" w:color="auto" w:fill="auto"/>
            <w:vAlign w:val="bottom"/>
          </w:tcPr>
          <w:p w14:paraId="518B5EE9" w14:textId="77777777" w:rsidR="005C332D" w:rsidRDefault="005C332D">
            <w:pPr>
              <w:rPr>
                <w:rFonts w:ascii="宋体"/>
              </w:rPr>
            </w:pPr>
          </w:p>
        </w:tc>
      </w:tr>
      <w:tr w:rsidR="005C332D" w14:paraId="518B5EF2" w14:textId="77777777">
        <w:tc>
          <w:tcPr>
            <w:tcW w:w="0" w:type="auto"/>
            <w:gridSpan w:val="3"/>
            <w:shd w:val="clear" w:color="auto" w:fill="auto"/>
            <w:tcMar>
              <w:top w:w="0" w:type="dxa"/>
              <w:left w:w="20" w:type="dxa"/>
              <w:bottom w:w="0" w:type="dxa"/>
              <w:right w:w="20" w:type="dxa"/>
            </w:tcMar>
            <w:vAlign w:val="bottom"/>
          </w:tcPr>
          <w:p w14:paraId="518B5EE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5EE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EED" w14:textId="77777777" w:rsidR="005C332D" w:rsidRDefault="00B93EAE">
            <w:pPr>
              <w:jc w:val="center"/>
              <w:textAlignment w:val="bottom"/>
            </w:pPr>
            <w:r>
              <w:rPr>
                <w:rFonts w:ascii="Times New Roman" w:eastAsia="宋体" w:hAnsi="Times New Roman"/>
                <w:b/>
                <w:bCs/>
                <w:color w:val="000000"/>
                <w:sz w:val="18"/>
                <w:szCs w:val="18"/>
              </w:rPr>
              <w:t xml:space="preserve">July </w:t>
            </w:r>
            <w:r>
              <w:rPr>
                <w:rFonts w:ascii="Times New Roman" w:eastAsia="宋体" w:hAnsi="Times New Roman"/>
                <w:b/>
                <w:bCs/>
                <w:color w:val="000000"/>
                <w:sz w:val="18"/>
                <w:szCs w:val="18"/>
              </w:rPr>
              <w:t>30, 2022</w:t>
            </w:r>
          </w:p>
        </w:tc>
        <w:tc>
          <w:tcPr>
            <w:tcW w:w="0" w:type="auto"/>
            <w:gridSpan w:val="3"/>
            <w:shd w:val="clear" w:color="auto" w:fill="auto"/>
            <w:tcMar>
              <w:top w:w="0" w:type="dxa"/>
              <w:left w:w="20" w:type="dxa"/>
              <w:bottom w:w="0" w:type="dxa"/>
              <w:right w:w="20" w:type="dxa"/>
            </w:tcMar>
            <w:vAlign w:val="bottom"/>
          </w:tcPr>
          <w:p w14:paraId="518B5EE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EEF"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5EF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EF1"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5F00" w14:textId="77777777">
        <w:tc>
          <w:tcPr>
            <w:tcW w:w="0" w:type="auto"/>
            <w:gridSpan w:val="3"/>
            <w:shd w:val="clear" w:color="auto" w:fill="CCEEFF"/>
            <w:tcMar>
              <w:top w:w="40" w:type="dxa"/>
              <w:left w:w="20" w:type="dxa"/>
              <w:bottom w:w="40" w:type="dxa"/>
              <w:right w:w="20" w:type="dxa"/>
            </w:tcMar>
            <w:vAlign w:val="bottom"/>
          </w:tcPr>
          <w:p w14:paraId="518B5EF3" w14:textId="77777777" w:rsidR="005C332D" w:rsidRDefault="00B93EAE">
            <w:pPr>
              <w:textAlignment w:val="bottom"/>
            </w:pPr>
            <w:r>
              <w:rPr>
                <w:rFonts w:ascii="Times New Roman" w:eastAsia="宋体" w:hAnsi="Times New Roman"/>
                <w:color w:val="000000"/>
                <w:sz w:val="20"/>
                <w:szCs w:val="20"/>
              </w:rPr>
              <w:t>Allowance for credit loss at beginning of fiscal year</w:t>
            </w:r>
          </w:p>
        </w:tc>
        <w:tc>
          <w:tcPr>
            <w:tcW w:w="0" w:type="auto"/>
            <w:gridSpan w:val="3"/>
            <w:shd w:val="clear" w:color="auto" w:fill="CCEEFF"/>
            <w:tcMar>
              <w:top w:w="0" w:type="dxa"/>
              <w:left w:w="20" w:type="dxa"/>
              <w:bottom w:w="0" w:type="dxa"/>
              <w:right w:w="20" w:type="dxa"/>
            </w:tcMar>
            <w:vAlign w:val="bottom"/>
          </w:tcPr>
          <w:p w14:paraId="518B5EF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EF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EF6" w14:textId="77777777" w:rsidR="005C332D" w:rsidRDefault="00B93EAE">
            <w:pPr>
              <w:jc w:val="right"/>
              <w:textAlignment w:val="bottom"/>
            </w:pPr>
            <w:r>
              <w:rPr>
                <w:rFonts w:ascii="Times New Roman" w:eastAsia="宋体" w:hAnsi="Times New Roman"/>
                <w:b/>
                <w:bCs/>
                <w:color w:val="000000"/>
                <w:sz w:val="20"/>
                <w:szCs w:val="20"/>
              </w:rPr>
              <w:t>109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EF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EF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EF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EFA" w14:textId="77777777" w:rsidR="005C332D" w:rsidRDefault="00B93EAE">
            <w:pPr>
              <w:jc w:val="right"/>
              <w:textAlignment w:val="bottom"/>
            </w:pPr>
            <w:r>
              <w:rPr>
                <w:rFonts w:ascii="Times New Roman" w:eastAsia="宋体" w:hAnsi="Times New Roman"/>
                <w:color w:val="000000"/>
                <w:sz w:val="20"/>
                <w:szCs w:val="20"/>
              </w:rPr>
              <w:t>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EF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EF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EF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EFE" w14:textId="77777777" w:rsidR="005C332D" w:rsidRDefault="00B93EAE">
            <w:pPr>
              <w:jc w:val="right"/>
              <w:textAlignment w:val="bottom"/>
            </w:pPr>
            <w:r>
              <w:rPr>
                <w:rFonts w:ascii="Times New Roman" w:eastAsia="宋体" w:hAnsi="Times New Roman"/>
                <w:color w:val="000000"/>
                <w:sz w:val="20"/>
                <w:szCs w:val="20"/>
              </w:rPr>
              <w:t>136 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EFF" w14:textId="77777777" w:rsidR="005C332D" w:rsidRDefault="005C332D">
            <w:pPr>
              <w:jc w:val="right"/>
              <w:rPr>
                <w:rFonts w:ascii="宋体"/>
              </w:rPr>
            </w:pPr>
          </w:p>
        </w:tc>
      </w:tr>
      <w:tr w:rsidR="005C332D" w14:paraId="518B5F0B" w14:textId="77777777">
        <w:tc>
          <w:tcPr>
            <w:tcW w:w="0" w:type="auto"/>
            <w:gridSpan w:val="3"/>
            <w:shd w:val="clear" w:color="auto" w:fill="FFFFFF"/>
            <w:tcMar>
              <w:top w:w="40" w:type="dxa"/>
              <w:left w:w="20" w:type="dxa"/>
              <w:bottom w:w="40" w:type="dxa"/>
              <w:right w:w="20" w:type="dxa"/>
            </w:tcMar>
            <w:vAlign w:val="bottom"/>
          </w:tcPr>
          <w:p w14:paraId="518B5F01" w14:textId="77777777" w:rsidR="005C332D" w:rsidRDefault="00B93EAE">
            <w:pPr>
              <w:textAlignment w:val="bottom"/>
            </w:pPr>
            <w:r>
              <w:rPr>
                <w:rFonts w:ascii="Times New Roman" w:eastAsia="宋体" w:hAnsi="Times New Roman"/>
                <w:color w:val="000000"/>
                <w:sz w:val="20"/>
                <w:szCs w:val="20"/>
              </w:rPr>
              <w:t>Provisions (benefits)</w:t>
            </w:r>
          </w:p>
        </w:tc>
        <w:tc>
          <w:tcPr>
            <w:tcW w:w="0" w:type="auto"/>
            <w:gridSpan w:val="3"/>
            <w:shd w:val="clear" w:color="auto" w:fill="FFFFFF"/>
            <w:tcMar>
              <w:top w:w="0" w:type="dxa"/>
              <w:left w:w="20" w:type="dxa"/>
              <w:bottom w:w="0" w:type="dxa"/>
              <w:right w:w="20" w:type="dxa"/>
            </w:tcMar>
            <w:vAlign w:val="bottom"/>
          </w:tcPr>
          <w:p w14:paraId="518B5F0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F03" w14:textId="77777777" w:rsidR="005C332D" w:rsidRDefault="00B93EAE">
            <w:pPr>
              <w:jc w:val="right"/>
              <w:textAlignment w:val="bottom"/>
            </w:pPr>
            <w:r>
              <w:rPr>
                <w:rFonts w:ascii="Times New Roman" w:eastAsia="宋体" w:hAnsi="Times New Roman"/>
                <w:b/>
                <w:bCs/>
                <w:color w:val="000000"/>
                <w:sz w:val="20"/>
                <w:szCs w:val="20"/>
              </w:rPr>
              <w:t>64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F0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F0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F06" w14:textId="77777777" w:rsidR="005C332D" w:rsidRDefault="00B93EAE">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518B5F0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F0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F09" w14:textId="77777777" w:rsidR="005C332D" w:rsidRDefault="00B93EAE">
            <w:pPr>
              <w:jc w:val="right"/>
              <w:textAlignment w:val="bottom"/>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bottom"/>
          </w:tcPr>
          <w:p w14:paraId="518B5F0A" w14:textId="77777777" w:rsidR="005C332D" w:rsidRDefault="005C332D">
            <w:pPr>
              <w:jc w:val="right"/>
              <w:rPr>
                <w:rFonts w:ascii="宋体"/>
              </w:rPr>
            </w:pPr>
          </w:p>
        </w:tc>
      </w:tr>
      <w:tr w:rsidR="005C332D" w14:paraId="518B5F16" w14:textId="77777777">
        <w:tc>
          <w:tcPr>
            <w:tcW w:w="0" w:type="auto"/>
            <w:gridSpan w:val="3"/>
            <w:shd w:val="clear" w:color="auto" w:fill="CCEEFF"/>
            <w:tcMar>
              <w:top w:w="40" w:type="dxa"/>
              <w:left w:w="20" w:type="dxa"/>
              <w:bottom w:w="40" w:type="dxa"/>
              <w:right w:w="20" w:type="dxa"/>
            </w:tcMar>
            <w:vAlign w:val="bottom"/>
          </w:tcPr>
          <w:p w14:paraId="518B5F0C" w14:textId="77777777" w:rsidR="005C332D" w:rsidRDefault="00B93EAE">
            <w:pPr>
              <w:textAlignment w:val="bottom"/>
            </w:pPr>
            <w:r>
              <w:rPr>
                <w:rFonts w:ascii="Times New Roman" w:eastAsia="宋体" w:hAnsi="Times New Roman"/>
                <w:color w:val="000000"/>
                <w:sz w:val="20"/>
                <w:szCs w:val="20"/>
              </w:rPr>
              <w:t>Recoveries (write-offs), net</w:t>
            </w:r>
          </w:p>
        </w:tc>
        <w:tc>
          <w:tcPr>
            <w:tcW w:w="0" w:type="auto"/>
            <w:gridSpan w:val="3"/>
            <w:shd w:val="clear" w:color="auto" w:fill="CCEEFF"/>
            <w:tcMar>
              <w:top w:w="0" w:type="dxa"/>
              <w:left w:w="20" w:type="dxa"/>
              <w:bottom w:w="0" w:type="dxa"/>
              <w:right w:w="20" w:type="dxa"/>
            </w:tcMar>
            <w:vAlign w:val="bottom"/>
          </w:tcPr>
          <w:p w14:paraId="518B5F0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F0E" w14:textId="77777777" w:rsidR="005C332D" w:rsidRDefault="00B93EAE">
            <w:pPr>
              <w:jc w:val="right"/>
              <w:textAlignment w:val="bottom"/>
            </w:pPr>
            <w:r>
              <w:rPr>
                <w:rFonts w:ascii="Times New Roman" w:eastAsia="宋体" w:hAnsi="Times New Roman"/>
                <w:b/>
                <w:bCs/>
                <w:color w:val="000000"/>
                <w:sz w:val="20"/>
                <w:szCs w:val="20"/>
              </w:rPr>
              <w:t>(81)</w:t>
            </w:r>
          </w:p>
        </w:tc>
        <w:tc>
          <w:tcPr>
            <w:tcW w:w="0" w:type="auto"/>
            <w:shd w:val="clear" w:color="auto" w:fill="CCEEFF"/>
            <w:tcMar>
              <w:top w:w="40" w:type="dxa"/>
              <w:left w:w="0" w:type="dxa"/>
              <w:bottom w:w="40" w:type="dxa"/>
              <w:right w:w="20" w:type="dxa"/>
            </w:tcMar>
            <w:vAlign w:val="bottom"/>
          </w:tcPr>
          <w:p w14:paraId="518B5F0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1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F11" w14:textId="77777777" w:rsidR="005C332D" w:rsidRDefault="00B93EAE">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518B5F1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1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F14" w14:textId="77777777" w:rsidR="005C332D" w:rsidRDefault="00B93EAE">
            <w:pPr>
              <w:jc w:val="right"/>
              <w:textAlignment w:val="bottom"/>
            </w:pPr>
            <w:r>
              <w:rPr>
                <w:rFonts w:ascii="Times New Roman" w:eastAsia="宋体" w:hAnsi="Times New Roman"/>
                <w:color w:val="000000"/>
                <w:sz w:val="20"/>
                <w:szCs w:val="20"/>
              </w:rPr>
              <w:t>(48)</w:t>
            </w:r>
          </w:p>
        </w:tc>
        <w:tc>
          <w:tcPr>
            <w:tcW w:w="0" w:type="auto"/>
            <w:shd w:val="clear" w:color="auto" w:fill="CCEEFF"/>
            <w:tcMar>
              <w:top w:w="40" w:type="dxa"/>
              <w:left w:w="0" w:type="dxa"/>
              <w:bottom w:w="40" w:type="dxa"/>
              <w:right w:w="20" w:type="dxa"/>
            </w:tcMar>
            <w:vAlign w:val="bottom"/>
          </w:tcPr>
          <w:p w14:paraId="518B5F15" w14:textId="77777777" w:rsidR="005C332D" w:rsidRDefault="005C332D">
            <w:pPr>
              <w:jc w:val="right"/>
              <w:rPr>
                <w:rFonts w:ascii="宋体"/>
              </w:rPr>
            </w:pPr>
          </w:p>
        </w:tc>
      </w:tr>
      <w:tr w:rsidR="005C332D" w14:paraId="518B5F21" w14:textId="77777777">
        <w:tc>
          <w:tcPr>
            <w:tcW w:w="0" w:type="auto"/>
            <w:gridSpan w:val="3"/>
            <w:shd w:val="clear" w:color="auto" w:fill="FFFFFF"/>
            <w:tcMar>
              <w:top w:w="40" w:type="dxa"/>
              <w:left w:w="20" w:type="dxa"/>
              <w:bottom w:w="40" w:type="dxa"/>
              <w:right w:w="20" w:type="dxa"/>
            </w:tcMar>
            <w:vAlign w:val="bottom"/>
          </w:tcPr>
          <w:p w14:paraId="518B5F17" w14:textId="77777777" w:rsidR="005C332D" w:rsidRDefault="00B93EAE">
            <w:pPr>
              <w:textAlignment w:val="bottom"/>
            </w:pPr>
            <w:r>
              <w:rPr>
                <w:rFonts w:ascii="Times New Roman" w:eastAsia="宋体" w:hAnsi="Times New Roman"/>
                <w:color w:val="000000"/>
                <w:sz w:val="20"/>
                <w:szCs w:val="20"/>
              </w:rPr>
              <w:t>Foreign exchange and other</w:t>
            </w:r>
          </w:p>
        </w:tc>
        <w:tc>
          <w:tcPr>
            <w:tcW w:w="0" w:type="auto"/>
            <w:gridSpan w:val="3"/>
            <w:shd w:val="clear" w:color="auto" w:fill="FFFFFF"/>
            <w:tcMar>
              <w:top w:w="0" w:type="dxa"/>
              <w:left w:w="20" w:type="dxa"/>
              <w:bottom w:w="0" w:type="dxa"/>
              <w:right w:w="20" w:type="dxa"/>
            </w:tcMar>
            <w:vAlign w:val="bottom"/>
          </w:tcPr>
          <w:p w14:paraId="518B5F1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F19" w14:textId="77777777" w:rsidR="005C332D" w:rsidRDefault="00B93EAE">
            <w:pPr>
              <w:jc w:val="right"/>
              <w:textAlignment w:val="bottom"/>
            </w:pPr>
            <w:r>
              <w:rPr>
                <w:rFonts w:ascii="Times New Roman" w:eastAsia="宋体" w:hAnsi="Times New Roman"/>
                <w:b/>
                <w:bCs/>
                <w:color w:val="000000"/>
                <w:sz w:val="20"/>
                <w:szCs w:val="20"/>
              </w:rPr>
              <w:t>(9)</w:t>
            </w:r>
          </w:p>
        </w:tc>
        <w:tc>
          <w:tcPr>
            <w:tcW w:w="0" w:type="auto"/>
            <w:shd w:val="clear" w:color="auto" w:fill="FFFFFF"/>
            <w:tcMar>
              <w:top w:w="40" w:type="dxa"/>
              <w:left w:w="0" w:type="dxa"/>
              <w:bottom w:w="40" w:type="dxa"/>
              <w:right w:w="20" w:type="dxa"/>
            </w:tcMar>
            <w:vAlign w:val="bottom"/>
          </w:tcPr>
          <w:p w14:paraId="518B5F1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F1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F1C" w14:textId="77777777" w:rsidR="005C332D" w:rsidRDefault="00B93EAE">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left w:w="0" w:type="dxa"/>
              <w:bottom w:w="40" w:type="dxa"/>
              <w:right w:w="20" w:type="dxa"/>
            </w:tcMar>
            <w:vAlign w:val="bottom"/>
          </w:tcPr>
          <w:p w14:paraId="518B5F1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F1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F1F"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F20" w14:textId="77777777" w:rsidR="005C332D" w:rsidRDefault="005C332D">
            <w:pPr>
              <w:jc w:val="right"/>
              <w:rPr>
                <w:rFonts w:ascii="宋体"/>
              </w:rPr>
            </w:pPr>
          </w:p>
        </w:tc>
      </w:tr>
      <w:tr w:rsidR="005C332D" w14:paraId="518B5F2F" w14:textId="77777777">
        <w:tc>
          <w:tcPr>
            <w:tcW w:w="0" w:type="auto"/>
            <w:gridSpan w:val="3"/>
            <w:shd w:val="clear" w:color="auto" w:fill="CCEEFF"/>
            <w:tcMar>
              <w:top w:w="40" w:type="dxa"/>
              <w:left w:w="20" w:type="dxa"/>
              <w:bottom w:w="40" w:type="dxa"/>
              <w:right w:w="20" w:type="dxa"/>
            </w:tcMar>
            <w:vAlign w:val="bottom"/>
          </w:tcPr>
          <w:p w14:paraId="518B5F22" w14:textId="77777777" w:rsidR="005C332D" w:rsidRDefault="00B93EAE">
            <w:pPr>
              <w:textAlignment w:val="bottom"/>
            </w:pPr>
            <w:r>
              <w:rPr>
                <w:rFonts w:ascii="Times New Roman" w:eastAsia="宋体" w:hAnsi="Times New Roman"/>
                <w:color w:val="000000"/>
                <w:sz w:val="20"/>
                <w:szCs w:val="20"/>
              </w:rPr>
              <w:t>Allowance for credit loss at end of fiscal year</w:t>
            </w:r>
          </w:p>
        </w:tc>
        <w:tc>
          <w:tcPr>
            <w:tcW w:w="0" w:type="auto"/>
            <w:gridSpan w:val="3"/>
            <w:shd w:val="clear" w:color="auto" w:fill="CCEEFF"/>
            <w:tcMar>
              <w:top w:w="0" w:type="dxa"/>
              <w:left w:w="20" w:type="dxa"/>
              <w:bottom w:w="0" w:type="dxa"/>
              <w:right w:w="20" w:type="dxa"/>
            </w:tcMar>
            <w:vAlign w:val="bottom"/>
          </w:tcPr>
          <w:p w14:paraId="518B5F23"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2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25" w14:textId="77777777" w:rsidR="005C332D" w:rsidRDefault="00B93EAE">
            <w:pPr>
              <w:jc w:val="right"/>
              <w:textAlignment w:val="bottom"/>
            </w:pPr>
            <w:r>
              <w:rPr>
                <w:rFonts w:ascii="Times New Roman" w:eastAsia="宋体" w:hAnsi="Times New Roman"/>
                <w:b/>
                <w:bCs/>
                <w:color w:val="000000"/>
                <w:sz w:val="20"/>
                <w:szCs w:val="20"/>
              </w:rPr>
              <w:t>83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2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27"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2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29" w14:textId="77777777" w:rsidR="005C332D" w:rsidRDefault="00B93EAE">
            <w:pPr>
              <w:jc w:val="right"/>
              <w:textAlignment w:val="bottom"/>
            </w:pPr>
            <w:r>
              <w:rPr>
                <w:rFonts w:ascii="Times New Roman" w:eastAsia="宋体" w:hAnsi="Times New Roman"/>
                <w:color w:val="000000"/>
                <w:sz w:val="20"/>
                <w:szCs w:val="20"/>
              </w:rPr>
              <w:t>109 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2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2B"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2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2D" w14:textId="77777777" w:rsidR="005C332D" w:rsidRDefault="00B93EAE">
            <w:pPr>
              <w:jc w:val="right"/>
              <w:textAlignment w:val="bottom"/>
            </w:pPr>
            <w:r>
              <w:rPr>
                <w:rFonts w:ascii="Times New Roman" w:eastAsia="宋体" w:hAnsi="Times New Roman"/>
                <w:color w:val="000000"/>
                <w:sz w:val="20"/>
                <w:szCs w:val="20"/>
              </w:rPr>
              <w:t>143 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2E" w14:textId="77777777" w:rsidR="005C332D" w:rsidRDefault="005C332D">
            <w:pPr>
              <w:jc w:val="right"/>
              <w:rPr>
                <w:rFonts w:ascii="宋体"/>
              </w:rPr>
            </w:pPr>
          </w:p>
        </w:tc>
      </w:tr>
    </w:tbl>
    <w:p w14:paraId="518B5F30" w14:textId="77777777" w:rsidR="005C332D" w:rsidRDefault="00B93EAE">
      <w:pPr>
        <w:spacing w:before="120"/>
        <w:jc w:val="both"/>
      </w:pPr>
      <w:r>
        <w:rPr>
          <w:rFonts w:ascii="Times New Roman" w:eastAsia="宋体" w:hAnsi="Times New Roman"/>
          <w:i/>
          <w:iCs/>
          <w:color w:val="000000"/>
          <w:sz w:val="20"/>
          <w:szCs w:val="20"/>
        </w:rPr>
        <w:t>Contract Assets and Liabilities</w:t>
      </w:r>
    </w:p>
    <w:p w14:paraId="518B5F31" w14:textId="77777777" w:rsidR="005C332D" w:rsidRDefault="00B93EAE">
      <w:pPr>
        <w:spacing w:before="120"/>
        <w:jc w:val="both"/>
      </w:pPr>
      <w:r>
        <w:rPr>
          <w:rFonts w:ascii="Times New Roman" w:eastAsia="宋体" w:hAnsi="Times New Roman"/>
          <w:color w:val="000000"/>
          <w:sz w:val="20"/>
          <w:szCs w:val="20"/>
        </w:rPr>
        <w:t>Gross contract assets by our internal risk ratings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695"/>
        <w:gridCol w:w="37"/>
        <w:gridCol w:w="120"/>
        <w:gridCol w:w="1071"/>
        <w:gridCol w:w="36"/>
        <w:gridCol w:w="36"/>
        <w:gridCol w:w="36"/>
        <w:gridCol w:w="36"/>
        <w:gridCol w:w="120"/>
        <w:gridCol w:w="1074"/>
        <w:gridCol w:w="36"/>
      </w:tblGrid>
      <w:tr w:rsidR="005C332D" w14:paraId="518B5F3E" w14:textId="77777777">
        <w:tc>
          <w:tcPr>
            <w:tcW w:w="50" w:type="pct"/>
            <w:shd w:val="clear" w:color="auto" w:fill="auto"/>
            <w:vAlign w:val="bottom"/>
          </w:tcPr>
          <w:p w14:paraId="518B5F32" w14:textId="77777777" w:rsidR="005C332D" w:rsidRDefault="005C332D">
            <w:pPr>
              <w:rPr>
                <w:rFonts w:ascii="宋体"/>
              </w:rPr>
            </w:pPr>
          </w:p>
        </w:tc>
        <w:tc>
          <w:tcPr>
            <w:tcW w:w="3453" w:type="pct"/>
            <w:shd w:val="clear" w:color="auto" w:fill="auto"/>
            <w:vAlign w:val="bottom"/>
          </w:tcPr>
          <w:p w14:paraId="518B5F33" w14:textId="77777777" w:rsidR="005C332D" w:rsidRDefault="005C332D">
            <w:pPr>
              <w:rPr>
                <w:rFonts w:ascii="宋体"/>
              </w:rPr>
            </w:pPr>
          </w:p>
        </w:tc>
        <w:tc>
          <w:tcPr>
            <w:tcW w:w="5" w:type="pct"/>
            <w:shd w:val="clear" w:color="auto" w:fill="auto"/>
            <w:vAlign w:val="bottom"/>
          </w:tcPr>
          <w:p w14:paraId="518B5F34" w14:textId="77777777" w:rsidR="005C332D" w:rsidRDefault="005C332D">
            <w:pPr>
              <w:rPr>
                <w:rFonts w:ascii="宋体"/>
              </w:rPr>
            </w:pPr>
          </w:p>
        </w:tc>
        <w:tc>
          <w:tcPr>
            <w:tcW w:w="50" w:type="pct"/>
            <w:shd w:val="clear" w:color="auto" w:fill="auto"/>
            <w:vAlign w:val="bottom"/>
          </w:tcPr>
          <w:p w14:paraId="518B5F35" w14:textId="77777777" w:rsidR="005C332D" w:rsidRDefault="005C332D">
            <w:pPr>
              <w:rPr>
                <w:rFonts w:ascii="宋体"/>
              </w:rPr>
            </w:pPr>
          </w:p>
        </w:tc>
        <w:tc>
          <w:tcPr>
            <w:tcW w:w="675" w:type="pct"/>
            <w:shd w:val="clear" w:color="auto" w:fill="auto"/>
            <w:vAlign w:val="bottom"/>
          </w:tcPr>
          <w:p w14:paraId="518B5F36" w14:textId="77777777" w:rsidR="005C332D" w:rsidRDefault="005C332D">
            <w:pPr>
              <w:rPr>
                <w:rFonts w:ascii="宋体"/>
              </w:rPr>
            </w:pPr>
          </w:p>
        </w:tc>
        <w:tc>
          <w:tcPr>
            <w:tcW w:w="5" w:type="pct"/>
            <w:shd w:val="clear" w:color="auto" w:fill="auto"/>
            <w:vAlign w:val="bottom"/>
          </w:tcPr>
          <w:p w14:paraId="518B5F37" w14:textId="77777777" w:rsidR="005C332D" w:rsidRDefault="005C332D">
            <w:pPr>
              <w:rPr>
                <w:rFonts w:ascii="宋体"/>
              </w:rPr>
            </w:pPr>
          </w:p>
        </w:tc>
        <w:tc>
          <w:tcPr>
            <w:tcW w:w="5" w:type="pct"/>
            <w:shd w:val="clear" w:color="auto" w:fill="auto"/>
            <w:vAlign w:val="bottom"/>
          </w:tcPr>
          <w:p w14:paraId="518B5F38" w14:textId="77777777" w:rsidR="005C332D" w:rsidRDefault="005C332D">
            <w:pPr>
              <w:rPr>
                <w:rFonts w:ascii="宋体"/>
              </w:rPr>
            </w:pPr>
          </w:p>
        </w:tc>
        <w:tc>
          <w:tcPr>
            <w:tcW w:w="19" w:type="pct"/>
            <w:shd w:val="clear" w:color="auto" w:fill="auto"/>
            <w:vAlign w:val="bottom"/>
          </w:tcPr>
          <w:p w14:paraId="518B5F39" w14:textId="77777777" w:rsidR="005C332D" w:rsidRDefault="005C332D">
            <w:pPr>
              <w:rPr>
                <w:rFonts w:ascii="宋体"/>
              </w:rPr>
            </w:pPr>
          </w:p>
        </w:tc>
        <w:tc>
          <w:tcPr>
            <w:tcW w:w="5" w:type="pct"/>
            <w:shd w:val="clear" w:color="auto" w:fill="auto"/>
            <w:vAlign w:val="bottom"/>
          </w:tcPr>
          <w:p w14:paraId="518B5F3A" w14:textId="77777777" w:rsidR="005C332D" w:rsidRDefault="005C332D">
            <w:pPr>
              <w:rPr>
                <w:rFonts w:ascii="宋体"/>
              </w:rPr>
            </w:pPr>
          </w:p>
        </w:tc>
        <w:tc>
          <w:tcPr>
            <w:tcW w:w="50" w:type="pct"/>
            <w:shd w:val="clear" w:color="auto" w:fill="auto"/>
            <w:vAlign w:val="bottom"/>
          </w:tcPr>
          <w:p w14:paraId="518B5F3B" w14:textId="77777777" w:rsidR="005C332D" w:rsidRDefault="005C332D">
            <w:pPr>
              <w:rPr>
                <w:rFonts w:ascii="宋体"/>
              </w:rPr>
            </w:pPr>
          </w:p>
        </w:tc>
        <w:tc>
          <w:tcPr>
            <w:tcW w:w="676" w:type="pct"/>
            <w:shd w:val="clear" w:color="auto" w:fill="auto"/>
            <w:vAlign w:val="bottom"/>
          </w:tcPr>
          <w:p w14:paraId="518B5F3C" w14:textId="77777777" w:rsidR="005C332D" w:rsidRDefault="005C332D">
            <w:pPr>
              <w:rPr>
                <w:rFonts w:ascii="宋体"/>
              </w:rPr>
            </w:pPr>
          </w:p>
        </w:tc>
        <w:tc>
          <w:tcPr>
            <w:tcW w:w="5" w:type="pct"/>
            <w:shd w:val="clear" w:color="auto" w:fill="auto"/>
            <w:vAlign w:val="bottom"/>
          </w:tcPr>
          <w:p w14:paraId="518B5F3D" w14:textId="77777777" w:rsidR="005C332D" w:rsidRDefault="005C332D">
            <w:pPr>
              <w:rPr>
                <w:rFonts w:ascii="宋体"/>
              </w:rPr>
            </w:pPr>
          </w:p>
        </w:tc>
      </w:tr>
      <w:tr w:rsidR="005C332D" w14:paraId="518B5F43" w14:textId="77777777">
        <w:tc>
          <w:tcPr>
            <w:tcW w:w="0" w:type="auto"/>
            <w:gridSpan w:val="3"/>
            <w:shd w:val="clear" w:color="auto" w:fill="auto"/>
            <w:tcMar>
              <w:top w:w="0" w:type="dxa"/>
              <w:left w:w="20" w:type="dxa"/>
              <w:bottom w:w="0" w:type="dxa"/>
              <w:right w:w="20" w:type="dxa"/>
            </w:tcMar>
            <w:vAlign w:val="bottom"/>
          </w:tcPr>
          <w:p w14:paraId="518B5F3F"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F40"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5F41"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F42"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5F4C" w14:textId="77777777">
        <w:tc>
          <w:tcPr>
            <w:tcW w:w="0" w:type="auto"/>
            <w:gridSpan w:val="3"/>
            <w:shd w:val="clear" w:color="auto" w:fill="CCEEFF"/>
            <w:tcMar>
              <w:top w:w="40" w:type="dxa"/>
              <w:left w:w="20" w:type="dxa"/>
              <w:bottom w:w="40" w:type="dxa"/>
              <w:right w:w="20" w:type="dxa"/>
            </w:tcMar>
          </w:tcPr>
          <w:p w14:paraId="518B5F44" w14:textId="77777777" w:rsidR="005C332D" w:rsidRDefault="00B93EAE">
            <w:pPr>
              <w:textAlignment w:val="top"/>
            </w:pPr>
            <w:r>
              <w:rPr>
                <w:rFonts w:ascii="Times New Roman" w:eastAsia="宋体" w:hAnsi="Times New Roman"/>
                <w:color w:val="000000"/>
                <w:sz w:val="20"/>
                <w:szCs w:val="20"/>
              </w:rPr>
              <w:t>1 to 4</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F4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F46" w14:textId="77777777" w:rsidR="005C332D" w:rsidRDefault="00B93EAE">
            <w:pPr>
              <w:jc w:val="right"/>
              <w:textAlignment w:val="bottom"/>
            </w:pPr>
            <w:r>
              <w:rPr>
                <w:rFonts w:ascii="Times New Roman" w:eastAsia="宋体" w:hAnsi="Times New Roman"/>
                <w:b/>
                <w:bCs/>
                <w:color w:val="000000"/>
                <w:sz w:val="20"/>
                <w:szCs w:val="20"/>
              </w:rPr>
              <w:t>414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F4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4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F4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F4A" w14:textId="77777777" w:rsidR="005C332D" w:rsidRDefault="00B93EAE">
            <w:pPr>
              <w:jc w:val="right"/>
              <w:textAlignment w:val="bottom"/>
            </w:pPr>
            <w:r>
              <w:rPr>
                <w:rFonts w:ascii="Times New Roman" w:eastAsia="宋体" w:hAnsi="Times New Roman"/>
                <w:color w:val="000000"/>
                <w:sz w:val="20"/>
                <w:szCs w:val="20"/>
              </w:rPr>
              <w:t>521 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F4B" w14:textId="77777777" w:rsidR="005C332D" w:rsidRDefault="005C332D">
            <w:pPr>
              <w:jc w:val="right"/>
              <w:rPr>
                <w:rFonts w:ascii="宋体"/>
              </w:rPr>
            </w:pPr>
          </w:p>
        </w:tc>
      </w:tr>
      <w:tr w:rsidR="005C332D" w14:paraId="518B5F53" w14:textId="77777777">
        <w:tc>
          <w:tcPr>
            <w:tcW w:w="0" w:type="auto"/>
            <w:gridSpan w:val="3"/>
            <w:shd w:val="clear" w:color="auto" w:fill="FFFFFF"/>
            <w:tcMar>
              <w:top w:w="40" w:type="dxa"/>
              <w:left w:w="20" w:type="dxa"/>
              <w:bottom w:w="40" w:type="dxa"/>
              <w:right w:w="20" w:type="dxa"/>
            </w:tcMar>
            <w:vAlign w:val="bottom"/>
          </w:tcPr>
          <w:p w14:paraId="518B5F4D" w14:textId="77777777" w:rsidR="005C332D" w:rsidRDefault="00B93EAE">
            <w:pPr>
              <w:textAlignment w:val="bottom"/>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518B5F4E" w14:textId="77777777" w:rsidR="005C332D" w:rsidRDefault="00B93EAE">
            <w:pPr>
              <w:jc w:val="right"/>
              <w:textAlignment w:val="bottom"/>
            </w:pPr>
            <w:r>
              <w:rPr>
                <w:rFonts w:ascii="Times New Roman" w:eastAsia="宋体" w:hAnsi="Times New Roman"/>
                <w:b/>
                <w:bCs/>
                <w:color w:val="000000"/>
                <w:sz w:val="20"/>
                <w:szCs w:val="20"/>
              </w:rPr>
              <w:t>814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5F4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F5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F51" w14:textId="77777777" w:rsidR="005C332D" w:rsidRDefault="00B93EAE">
            <w:pPr>
              <w:jc w:val="right"/>
              <w:textAlignment w:val="bottom"/>
            </w:pPr>
            <w:r>
              <w:rPr>
                <w:rFonts w:ascii="Times New Roman" w:eastAsia="宋体" w:hAnsi="Times New Roman"/>
                <w:color w:val="000000"/>
                <w:sz w:val="20"/>
                <w:szCs w:val="20"/>
              </w:rPr>
              <w:t>770 </w:t>
            </w:r>
          </w:p>
        </w:tc>
        <w:tc>
          <w:tcPr>
            <w:tcW w:w="0" w:type="auto"/>
            <w:shd w:val="clear" w:color="auto" w:fill="FFFFFF"/>
            <w:tcMar>
              <w:top w:w="40" w:type="dxa"/>
              <w:left w:w="0" w:type="dxa"/>
              <w:bottom w:w="40" w:type="dxa"/>
              <w:right w:w="20" w:type="dxa"/>
            </w:tcMar>
            <w:vAlign w:val="bottom"/>
          </w:tcPr>
          <w:p w14:paraId="518B5F52" w14:textId="77777777" w:rsidR="005C332D" w:rsidRDefault="005C332D">
            <w:pPr>
              <w:jc w:val="right"/>
              <w:rPr>
                <w:rFonts w:ascii="宋体"/>
              </w:rPr>
            </w:pPr>
          </w:p>
        </w:tc>
      </w:tr>
      <w:tr w:rsidR="005C332D" w14:paraId="518B5F5A" w14:textId="77777777">
        <w:tc>
          <w:tcPr>
            <w:tcW w:w="0" w:type="auto"/>
            <w:gridSpan w:val="3"/>
            <w:shd w:val="clear" w:color="auto" w:fill="CCEEFF"/>
            <w:tcMar>
              <w:top w:w="40" w:type="dxa"/>
              <w:left w:w="20" w:type="dxa"/>
              <w:bottom w:w="40" w:type="dxa"/>
              <w:right w:w="20" w:type="dxa"/>
            </w:tcMar>
            <w:vAlign w:val="bottom"/>
          </w:tcPr>
          <w:p w14:paraId="518B5F54" w14:textId="77777777" w:rsidR="005C332D" w:rsidRDefault="00B93EAE">
            <w:pPr>
              <w:textAlignment w:val="bottom"/>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518B5F55" w14:textId="77777777" w:rsidR="005C332D" w:rsidRDefault="00B93EAE">
            <w:pPr>
              <w:jc w:val="right"/>
              <w:textAlignment w:val="bottom"/>
            </w:pPr>
            <w:r>
              <w:rPr>
                <w:rFonts w:ascii="Times New Roman" w:eastAsia="宋体" w:hAnsi="Times New Roman"/>
                <w:b/>
                <w:bCs/>
                <w:color w:val="000000"/>
                <w:sz w:val="20"/>
                <w:szCs w:val="20"/>
              </w:rPr>
              <w:t>158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5F5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5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5F58" w14:textId="77777777" w:rsidR="005C332D" w:rsidRDefault="00B93EAE">
            <w:pPr>
              <w:jc w:val="right"/>
              <w:textAlignment w:val="bottom"/>
            </w:pPr>
            <w:r>
              <w:rPr>
                <w:rFonts w:ascii="Times New Roman" w:eastAsia="宋体" w:hAnsi="Times New Roman"/>
                <w:color w:val="000000"/>
                <w:sz w:val="20"/>
                <w:szCs w:val="20"/>
              </w:rPr>
              <w:t>166 </w:t>
            </w:r>
          </w:p>
        </w:tc>
        <w:tc>
          <w:tcPr>
            <w:tcW w:w="0" w:type="auto"/>
            <w:shd w:val="clear" w:color="auto" w:fill="CCEEFF"/>
            <w:tcMar>
              <w:top w:w="40" w:type="dxa"/>
              <w:left w:w="0" w:type="dxa"/>
              <w:bottom w:w="40" w:type="dxa"/>
              <w:right w:w="20" w:type="dxa"/>
            </w:tcMar>
            <w:vAlign w:val="bottom"/>
          </w:tcPr>
          <w:p w14:paraId="518B5F59" w14:textId="77777777" w:rsidR="005C332D" w:rsidRDefault="005C332D">
            <w:pPr>
              <w:jc w:val="right"/>
              <w:rPr>
                <w:rFonts w:ascii="宋体"/>
              </w:rPr>
            </w:pPr>
          </w:p>
        </w:tc>
      </w:tr>
      <w:tr w:rsidR="005C332D" w14:paraId="518B5F63" w14:textId="77777777">
        <w:tc>
          <w:tcPr>
            <w:tcW w:w="0" w:type="auto"/>
            <w:gridSpan w:val="3"/>
            <w:shd w:val="clear" w:color="auto" w:fill="FFFFFF"/>
            <w:tcMar>
              <w:top w:w="40" w:type="dxa"/>
              <w:left w:w="380" w:type="dxa"/>
              <w:bottom w:w="40" w:type="dxa"/>
              <w:right w:w="20" w:type="dxa"/>
            </w:tcMar>
            <w:vAlign w:val="bottom"/>
          </w:tcPr>
          <w:p w14:paraId="518B5F5B" w14:textId="77777777" w:rsidR="005C332D" w:rsidRDefault="00B93EAE">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F5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F5D" w14:textId="77777777" w:rsidR="005C332D" w:rsidRDefault="00B93EAE">
            <w:pPr>
              <w:jc w:val="right"/>
              <w:textAlignment w:val="bottom"/>
            </w:pPr>
            <w:r>
              <w:rPr>
                <w:rFonts w:ascii="Times New Roman" w:eastAsia="宋体" w:hAnsi="Times New Roman"/>
                <w:b/>
                <w:bCs/>
                <w:color w:val="000000"/>
                <w:sz w:val="20"/>
                <w:szCs w:val="20"/>
              </w:rPr>
              <w:t>1,386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F5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F5F"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5F6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5F61" w14:textId="77777777" w:rsidR="005C332D" w:rsidRDefault="00B93EAE">
            <w:pPr>
              <w:jc w:val="right"/>
              <w:textAlignment w:val="bottom"/>
            </w:pPr>
            <w:r>
              <w:rPr>
                <w:rFonts w:ascii="Times New Roman" w:eastAsia="宋体" w:hAnsi="Times New Roman"/>
                <w:color w:val="000000"/>
                <w:sz w:val="20"/>
                <w:szCs w:val="20"/>
              </w:rPr>
              <w:t>1,457 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5F62" w14:textId="77777777" w:rsidR="005C332D" w:rsidRDefault="005C332D">
            <w:pPr>
              <w:jc w:val="right"/>
              <w:rPr>
                <w:rFonts w:ascii="宋体"/>
              </w:rPr>
            </w:pPr>
          </w:p>
        </w:tc>
      </w:tr>
    </w:tbl>
    <w:p w14:paraId="518B5F64" w14:textId="77777777" w:rsidR="005C332D" w:rsidRDefault="00B93EAE">
      <w:pPr>
        <w:spacing w:before="120"/>
        <w:jc w:val="both"/>
      </w:pPr>
      <w:r>
        <w:rPr>
          <w:rFonts w:ascii="Times New Roman" w:eastAsia="宋体" w:hAnsi="Times New Roman"/>
          <w:color w:val="000000"/>
          <w:sz w:val="20"/>
          <w:szCs w:val="20"/>
        </w:rPr>
        <w:t xml:space="preserve">Contract assets consist of unbilled receivables and are recorded when revenue is recognized in advance of scheduled billings to our customers. These amounts are </w:t>
      </w:r>
      <w:r>
        <w:rPr>
          <w:rFonts w:ascii="Times New Roman" w:eastAsia="宋体" w:hAnsi="Times New Roman"/>
          <w:color w:val="000000"/>
          <w:sz w:val="20"/>
          <w:szCs w:val="20"/>
        </w:rPr>
        <w:t xml:space="preserve">primarily related to software and service arrangements where transfer of control has occurred but we have not yet invoiced. As of July 30, 2022 and July 31, 2021, our contract assets for these unbilled receivables, net of allowances, were $1.3 billion and </w:t>
      </w:r>
      <w:r>
        <w:rPr>
          <w:rFonts w:ascii="Times New Roman" w:eastAsia="宋体" w:hAnsi="Times New Roman"/>
          <w:color w:val="000000"/>
          <w:sz w:val="20"/>
          <w:szCs w:val="20"/>
        </w:rPr>
        <w:t>$1.4 billion, respectively, and were included in other current assets and other assets.</w:t>
      </w:r>
    </w:p>
    <w:p w14:paraId="518B5F65" w14:textId="77777777" w:rsidR="005C332D" w:rsidRDefault="00B93EAE">
      <w:pPr>
        <w:jc w:val="center"/>
      </w:pPr>
      <w:r>
        <w:rPr>
          <w:rFonts w:ascii="Times New Roman" w:eastAsia="宋体" w:hAnsi="Times New Roman"/>
          <w:color w:val="000000"/>
          <w:sz w:val="20"/>
          <w:szCs w:val="20"/>
        </w:rPr>
        <w:t>71</w:t>
      </w:r>
    </w:p>
    <w:p w14:paraId="518B5F66" w14:textId="77777777" w:rsidR="005C332D" w:rsidRDefault="00B93EAE">
      <w:r>
        <w:pict w14:anchorId="518B875C">
          <v:rect id="_x0000_i1097" style="width:415.3pt;height:1.5pt" o:hralign="center" o:hrstd="t" o:hr="t" fillcolor="#a0a0a0" stroked="f"/>
        </w:pict>
      </w:r>
    </w:p>
    <w:p w14:paraId="518B5F67" w14:textId="77777777" w:rsidR="005C332D" w:rsidRDefault="005C332D"/>
    <w:p w14:paraId="518B5F68" w14:textId="77777777" w:rsidR="005C332D" w:rsidRDefault="00B93EAE">
      <w:pPr>
        <w:spacing w:before="120"/>
        <w:jc w:val="both"/>
      </w:pPr>
      <w:r>
        <w:rPr>
          <w:rFonts w:ascii="Times New Roman" w:eastAsia="宋体" w:hAnsi="Times New Roman"/>
          <w:color w:val="000000"/>
          <w:sz w:val="20"/>
          <w:szCs w:val="20"/>
        </w:rPr>
        <w:t xml:space="preserve">Contract liabilities consist of deferred revenue. Deferred revenue was $23.3 billion as of July 30, 2022 compared to $22.2 billion as of July 31, 2021. We </w:t>
      </w:r>
      <w:r>
        <w:rPr>
          <w:rFonts w:ascii="Times New Roman" w:eastAsia="宋体" w:hAnsi="Times New Roman"/>
          <w:color w:val="000000"/>
          <w:sz w:val="20"/>
          <w:szCs w:val="20"/>
        </w:rPr>
        <w:t>recognized approximately $12.0 billion of revenue during fiscal 2022 that was included in the deferred revenue balance at July 31, 2021.</w:t>
      </w:r>
    </w:p>
    <w:p w14:paraId="518B5F69" w14:textId="77777777" w:rsidR="005C332D" w:rsidRDefault="00B93EAE">
      <w:pPr>
        <w:spacing w:before="120"/>
        <w:ind w:hanging="360"/>
        <w:jc w:val="both"/>
      </w:pPr>
      <w:r>
        <w:rPr>
          <w:rFonts w:ascii="Times New Roman" w:eastAsia="宋体" w:hAnsi="Times New Roman"/>
          <w:b/>
          <w:bCs/>
          <w:color w:val="000000"/>
          <w:sz w:val="20"/>
          <w:szCs w:val="20"/>
        </w:rPr>
        <w:t>(c)Capitalized Contract Acquisition Costs</w:t>
      </w:r>
    </w:p>
    <w:p w14:paraId="518B5F6A" w14:textId="77777777" w:rsidR="005C332D" w:rsidRDefault="00B93EAE">
      <w:pPr>
        <w:spacing w:before="120"/>
        <w:jc w:val="both"/>
      </w:pPr>
      <w:r>
        <w:rPr>
          <w:rFonts w:ascii="Times New Roman" w:eastAsia="宋体" w:hAnsi="Times New Roman"/>
          <w:color w:val="000000"/>
          <w:sz w:val="20"/>
          <w:szCs w:val="20"/>
        </w:rPr>
        <w:t>We capitalize direct and incremental costs incurred to acquire contracts, pri</w:t>
      </w:r>
      <w:r>
        <w:rPr>
          <w:rFonts w:ascii="Times New Roman" w:eastAsia="宋体" w:hAnsi="Times New Roman"/>
          <w:color w:val="000000"/>
          <w:sz w:val="20"/>
          <w:szCs w:val="20"/>
        </w:rPr>
        <w:t>marily sales commissions, for which the associated revenue is expected to be recognized in future periods. We incur these costs in connection with both initial contracts and renewals. These costs are initially deferred and typically amortized over the term</w:t>
      </w:r>
      <w:r>
        <w:rPr>
          <w:rFonts w:ascii="Times New Roman" w:eastAsia="宋体" w:hAnsi="Times New Roman"/>
          <w:color w:val="000000"/>
          <w:sz w:val="20"/>
          <w:szCs w:val="20"/>
        </w:rPr>
        <w:t xml:space="preserve"> of the customer contract which corresponds to the period of benefit. Deferred sales commissions were $1.0 billion as of each of July 30, 2022 and July 31, 2021, and were included in other current assets and other assets. The amortization expense associate</w:t>
      </w:r>
      <w:r>
        <w:rPr>
          <w:rFonts w:ascii="Times New Roman" w:eastAsia="宋体" w:hAnsi="Times New Roman"/>
          <w:color w:val="000000"/>
          <w:sz w:val="20"/>
          <w:szCs w:val="20"/>
        </w:rPr>
        <w:t>d with these costs was $679 million and $532 million for fiscal 2022 and 2021, respectively, and was included in sales and marketing expenses.</w:t>
      </w:r>
    </w:p>
    <w:p w14:paraId="518B5F6B" w14:textId="77777777" w:rsidR="005C332D" w:rsidRDefault="005C332D"/>
    <w:p w14:paraId="518B5F6C" w14:textId="77777777" w:rsidR="005C332D" w:rsidRDefault="00B93EAE">
      <w:pPr>
        <w:ind w:hanging="360"/>
        <w:jc w:val="both"/>
      </w:pPr>
      <w:r>
        <w:rPr>
          <w:rFonts w:ascii="Times New Roman" w:eastAsia="宋体" w:hAnsi="Times New Roman"/>
          <w:b/>
          <w:bCs/>
          <w:color w:val="000000"/>
          <w:sz w:val="20"/>
          <w:szCs w:val="20"/>
        </w:rPr>
        <w:t xml:space="preserve">4.Acquisitions and Divestitures </w:t>
      </w:r>
    </w:p>
    <w:p w14:paraId="518B5F6D" w14:textId="77777777" w:rsidR="005C332D" w:rsidRDefault="00B93EAE">
      <w:pPr>
        <w:spacing w:before="120"/>
        <w:ind w:hanging="360"/>
      </w:pPr>
      <w:r>
        <w:rPr>
          <w:rFonts w:ascii="Times New Roman" w:eastAsia="宋体" w:hAnsi="Times New Roman"/>
          <w:b/>
          <w:bCs/>
          <w:color w:val="000000"/>
          <w:sz w:val="20"/>
          <w:szCs w:val="20"/>
        </w:rPr>
        <w:t>(a)Acquisition Summary</w:t>
      </w:r>
    </w:p>
    <w:p w14:paraId="518B5F6E" w14:textId="77777777" w:rsidR="005C332D" w:rsidRDefault="00B93EAE">
      <w:pPr>
        <w:spacing w:before="120"/>
        <w:jc w:val="both"/>
      </w:pPr>
      <w:r>
        <w:rPr>
          <w:rFonts w:ascii="Times New Roman" w:eastAsia="宋体" w:hAnsi="Times New Roman"/>
          <w:color w:val="000000"/>
          <w:sz w:val="20"/>
          <w:szCs w:val="20"/>
        </w:rPr>
        <w:t>We completed three acquisitions during fiscal 2022. A su</w:t>
      </w:r>
      <w:r>
        <w:rPr>
          <w:rFonts w:ascii="Times New Roman" w:eastAsia="宋体" w:hAnsi="Times New Roman"/>
          <w:color w:val="000000"/>
          <w:sz w:val="20"/>
          <w:szCs w:val="20"/>
        </w:rPr>
        <w:t>mmary of the allocation of the total purchase consideration is presented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3909"/>
        <w:gridCol w:w="36"/>
        <w:gridCol w:w="121"/>
        <w:gridCol w:w="1028"/>
        <w:gridCol w:w="36"/>
        <w:gridCol w:w="36"/>
        <w:gridCol w:w="36"/>
        <w:gridCol w:w="36"/>
        <w:gridCol w:w="121"/>
        <w:gridCol w:w="792"/>
        <w:gridCol w:w="36"/>
        <w:gridCol w:w="36"/>
        <w:gridCol w:w="36"/>
        <w:gridCol w:w="36"/>
        <w:gridCol w:w="121"/>
        <w:gridCol w:w="781"/>
        <w:gridCol w:w="36"/>
        <w:gridCol w:w="36"/>
        <w:gridCol w:w="36"/>
        <w:gridCol w:w="36"/>
        <w:gridCol w:w="121"/>
        <w:gridCol w:w="788"/>
        <w:gridCol w:w="36"/>
      </w:tblGrid>
      <w:tr w:rsidR="005C332D" w14:paraId="518B5F87" w14:textId="77777777">
        <w:tc>
          <w:tcPr>
            <w:tcW w:w="50" w:type="pct"/>
            <w:shd w:val="clear" w:color="auto" w:fill="auto"/>
            <w:vAlign w:val="bottom"/>
          </w:tcPr>
          <w:p w14:paraId="518B5F6F" w14:textId="77777777" w:rsidR="005C332D" w:rsidRDefault="005C332D">
            <w:pPr>
              <w:rPr>
                <w:rFonts w:ascii="宋体"/>
              </w:rPr>
            </w:pPr>
          </w:p>
        </w:tc>
        <w:tc>
          <w:tcPr>
            <w:tcW w:w="2404" w:type="pct"/>
            <w:shd w:val="clear" w:color="auto" w:fill="auto"/>
            <w:vAlign w:val="bottom"/>
          </w:tcPr>
          <w:p w14:paraId="518B5F70" w14:textId="77777777" w:rsidR="005C332D" w:rsidRDefault="005C332D">
            <w:pPr>
              <w:rPr>
                <w:rFonts w:ascii="宋体"/>
              </w:rPr>
            </w:pPr>
          </w:p>
        </w:tc>
        <w:tc>
          <w:tcPr>
            <w:tcW w:w="5" w:type="pct"/>
            <w:shd w:val="clear" w:color="auto" w:fill="auto"/>
            <w:vAlign w:val="bottom"/>
          </w:tcPr>
          <w:p w14:paraId="518B5F71" w14:textId="77777777" w:rsidR="005C332D" w:rsidRDefault="005C332D">
            <w:pPr>
              <w:rPr>
                <w:rFonts w:ascii="宋体"/>
              </w:rPr>
            </w:pPr>
          </w:p>
        </w:tc>
        <w:tc>
          <w:tcPr>
            <w:tcW w:w="50" w:type="pct"/>
            <w:shd w:val="clear" w:color="auto" w:fill="auto"/>
            <w:vAlign w:val="bottom"/>
          </w:tcPr>
          <w:p w14:paraId="518B5F72" w14:textId="77777777" w:rsidR="005C332D" w:rsidRDefault="005C332D">
            <w:pPr>
              <w:rPr>
                <w:rFonts w:ascii="宋体"/>
              </w:rPr>
            </w:pPr>
          </w:p>
        </w:tc>
        <w:tc>
          <w:tcPr>
            <w:tcW w:w="552" w:type="pct"/>
            <w:shd w:val="clear" w:color="auto" w:fill="auto"/>
            <w:vAlign w:val="bottom"/>
          </w:tcPr>
          <w:p w14:paraId="518B5F73" w14:textId="77777777" w:rsidR="005C332D" w:rsidRDefault="005C332D">
            <w:pPr>
              <w:rPr>
                <w:rFonts w:ascii="宋体"/>
              </w:rPr>
            </w:pPr>
          </w:p>
        </w:tc>
        <w:tc>
          <w:tcPr>
            <w:tcW w:w="5" w:type="pct"/>
            <w:shd w:val="clear" w:color="auto" w:fill="auto"/>
            <w:vAlign w:val="bottom"/>
          </w:tcPr>
          <w:p w14:paraId="518B5F74" w14:textId="77777777" w:rsidR="005C332D" w:rsidRDefault="005C332D">
            <w:pPr>
              <w:rPr>
                <w:rFonts w:ascii="宋体"/>
              </w:rPr>
            </w:pPr>
          </w:p>
        </w:tc>
        <w:tc>
          <w:tcPr>
            <w:tcW w:w="5" w:type="pct"/>
            <w:shd w:val="clear" w:color="auto" w:fill="auto"/>
            <w:vAlign w:val="bottom"/>
          </w:tcPr>
          <w:p w14:paraId="518B5F75" w14:textId="77777777" w:rsidR="005C332D" w:rsidRDefault="005C332D">
            <w:pPr>
              <w:rPr>
                <w:rFonts w:ascii="宋体"/>
              </w:rPr>
            </w:pPr>
          </w:p>
        </w:tc>
        <w:tc>
          <w:tcPr>
            <w:tcW w:w="26" w:type="pct"/>
            <w:shd w:val="clear" w:color="auto" w:fill="auto"/>
            <w:vAlign w:val="bottom"/>
          </w:tcPr>
          <w:p w14:paraId="518B5F76" w14:textId="77777777" w:rsidR="005C332D" w:rsidRDefault="005C332D">
            <w:pPr>
              <w:rPr>
                <w:rFonts w:ascii="宋体"/>
              </w:rPr>
            </w:pPr>
          </w:p>
        </w:tc>
        <w:tc>
          <w:tcPr>
            <w:tcW w:w="5" w:type="pct"/>
            <w:shd w:val="clear" w:color="auto" w:fill="auto"/>
            <w:vAlign w:val="bottom"/>
          </w:tcPr>
          <w:p w14:paraId="518B5F77" w14:textId="77777777" w:rsidR="005C332D" w:rsidRDefault="005C332D">
            <w:pPr>
              <w:rPr>
                <w:rFonts w:ascii="宋体"/>
              </w:rPr>
            </w:pPr>
          </w:p>
        </w:tc>
        <w:tc>
          <w:tcPr>
            <w:tcW w:w="50" w:type="pct"/>
            <w:shd w:val="clear" w:color="auto" w:fill="auto"/>
            <w:vAlign w:val="bottom"/>
          </w:tcPr>
          <w:p w14:paraId="518B5F78" w14:textId="77777777" w:rsidR="005C332D" w:rsidRDefault="005C332D">
            <w:pPr>
              <w:rPr>
                <w:rFonts w:ascii="宋体"/>
              </w:rPr>
            </w:pPr>
          </w:p>
        </w:tc>
        <w:tc>
          <w:tcPr>
            <w:tcW w:w="552" w:type="pct"/>
            <w:shd w:val="clear" w:color="auto" w:fill="auto"/>
            <w:vAlign w:val="bottom"/>
          </w:tcPr>
          <w:p w14:paraId="518B5F79" w14:textId="77777777" w:rsidR="005C332D" w:rsidRDefault="005C332D">
            <w:pPr>
              <w:rPr>
                <w:rFonts w:ascii="宋体"/>
              </w:rPr>
            </w:pPr>
          </w:p>
        </w:tc>
        <w:tc>
          <w:tcPr>
            <w:tcW w:w="5" w:type="pct"/>
            <w:shd w:val="clear" w:color="auto" w:fill="auto"/>
            <w:vAlign w:val="bottom"/>
          </w:tcPr>
          <w:p w14:paraId="518B5F7A" w14:textId="77777777" w:rsidR="005C332D" w:rsidRDefault="005C332D">
            <w:pPr>
              <w:rPr>
                <w:rFonts w:ascii="宋体"/>
              </w:rPr>
            </w:pPr>
          </w:p>
        </w:tc>
        <w:tc>
          <w:tcPr>
            <w:tcW w:w="5" w:type="pct"/>
            <w:shd w:val="clear" w:color="auto" w:fill="auto"/>
            <w:vAlign w:val="bottom"/>
          </w:tcPr>
          <w:p w14:paraId="518B5F7B" w14:textId="77777777" w:rsidR="005C332D" w:rsidRDefault="005C332D">
            <w:pPr>
              <w:rPr>
                <w:rFonts w:ascii="宋体"/>
              </w:rPr>
            </w:pPr>
          </w:p>
        </w:tc>
        <w:tc>
          <w:tcPr>
            <w:tcW w:w="26" w:type="pct"/>
            <w:shd w:val="clear" w:color="auto" w:fill="auto"/>
            <w:vAlign w:val="bottom"/>
          </w:tcPr>
          <w:p w14:paraId="518B5F7C" w14:textId="77777777" w:rsidR="005C332D" w:rsidRDefault="005C332D">
            <w:pPr>
              <w:rPr>
                <w:rFonts w:ascii="宋体"/>
              </w:rPr>
            </w:pPr>
          </w:p>
        </w:tc>
        <w:tc>
          <w:tcPr>
            <w:tcW w:w="5" w:type="pct"/>
            <w:shd w:val="clear" w:color="auto" w:fill="auto"/>
            <w:vAlign w:val="bottom"/>
          </w:tcPr>
          <w:p w14:paraId="518B5F7D" w14:textId="77777777" w:rsidR="005C332D" w:rsidRDefault="005C332D">
            <w:pPr>
              <w:rPr>
                <w:rFonts w:ascii="宋体"/>
              </w:rPr>
            </w:pPr>
          </w:p>
        </w:tc>
        <w:tc>
          <w:tcPr>
            <w:tcW w:w="50" w:type="pct"/>
            <w:shd w:val="clear" w:color="auto" w:fill="auto"/>
            <w:vAlign w:val="bottom"/>
          </w:tcPr>
          <w:p w14:paraId="518B5F7E" w14:textId="77777777" w:rsidR="005C332D" w:rsidRDefault="005C332D">
            <w:pPr>
              <w:rPr>
                <w:rFonts w:ascii="宋体"/>
              </w:rPr>
            </w:pPr>
          </w:p>
        </w:tc>
        <w:tc>
          <w:tcPr>
            <w:tcW w:w="552" w:type="pct"/>
            <w:shd w:val="clear" w:color="auto" w:fill="auto"/>
            <w:vAlign w:val="bottom"/>
          </w:tcPr>
          <w:p w14:paraId="518B5F7F" w14:textId="77777777" w:rsidR="005C332D" w:rsidRDefault="005C332D">
            <w:pPr>
              <w:rPr>
                <w:rFonts w:ascii="宋体"/>
              </w:rPr>
            </w:pPr>
          </w:p>
        </w:tc>
        <w:tc>
          <w:tcPr>
            <w:tcW w:w="5" w:type="pct"/>
            <w:shd w:val="clear" w:color="auto" w:fill="auto"/>
            <w:vAlign w:val="bottom"/>
          </w:tcPr>
          <w:p w14:paraId="518B5F80" w14:textId="77777777" w:rsidR="005C332D" w:rsidRDefault="005C332D">
            <w:pPr>
              <w:rPr>
                <w:rFonts w:ascii="宋体"/>
              </w:rPr>
            </w:pPr>
          </w:p>
        </w:tc>
        <w:tc>
          <w:tcPr>
            <w:tcW w:w="5" w:type="pct"/>
            <w:shd w:val="clear" w:color="auto" w:fill="auto"/>
            <w:vAlign w:val="bottom"/>
          </w:tcPr>
          <w:p w14:paraId="518B5F81" w14:textId="77777777" w:rsidR="005C332D" w:rsidRDefault="005C332D">
            <w:pPr>
              <w:rPr>
                <w:rFonts w:ascii="宋体"/>
              </w:rPr>
            </w:pPr>
          </w:p>
        </w:tc>
        <w:tc>
          <w:tcPr>
            <w:tcW w:w="26" w:type="pct"/>
            <w:shd w:val="clear" w:color="auto" w:fill="auto"/>
            <w:vAlign w:val="bottom"/>
          </w:tcPr>
          <w:p w14:paraId="518B5F82" w14:textId="77777777" w:rsidR="005C332D" w:rsidRDefault="005C332D">
            <w:pPr>
              <w:rPr>
                <w:rFonts w:ascii="宋体"/>
              </w:rPr>
            </w:pPr>
          </w:p>
        </w:tc>
        <w:tc>
          <w:tcPr>
            <w:tcW w:w="5" w:type="pct"/>
            <w:shd w:val="clear" w:color="auto" w:fill="auto"/>
            <w:vAlign w:val="bottom"/>
          </w:tcPr>
          <w:p w14:paraId="518B5F83" w14:textId="77777777" w:rsidR="005C332D" w:rsidRDefault="005C332D">
            <w:pPr>
              <w:rPr>
                <w:rFonts w:ascii="宋体"/>
              </w:rPr>
            </w:pPr>
          </w:p>
        </w:tc>
        <w:tc>
          <w:tcPr>
            <w:tcW w:w="50" w:type="pct"/>
            <w:shd w:val="clear" w:color="auto" w:fill="auto"/>
            <w:vAlign w:val="bottom"/>
          </w:tcPr>
          <w:p w14:paraId="518B5F84" w14:textId="77777777" w:rsidR="005C332D" w:rsidRDefault="005C332D">
            <w:pPr>
              <w:rPr>
                <w:rFonts w:ascii="宋体"/>
              </w:rPr>
            </w:pPr>
          </w:p>
        </w:tc>
        <w:tc>
          <w:tcPr>
            <w:tcW w:w="552" w:type="pct"/>
            <w:shd w:val="clear" w:color="auto" w:fill="auto"/>
            <w:vAlign w:val="bottom"/>
          </w:tcPr>
          <w:p w14:paraId="518B5F85" w14:textId="77777777" w:rsidR="005C332D" w:rsidRDefault="005C332D">
            <w:pPr>
              <w:rPr>
                <w:rFonts w:ascii="宋体"/>
              </w:rPr>
            </w:pPr>
          </w:p>
        </w:tc>
        <w:tc>
          <w:tcPr>
            <w:tcW w:w="5" w:type="pct"/>
            <w:shd w:val="clear" w:color="auto" w:fill="auto"/>
            <w:vAlign w:val="bottom"/>
          </w:tcPr>
          <w:p w14:paraId="518B5F86" w14:textId="77777777" w:rsidR="005C332D" w:rsidRDefault="005C332D">
            <w:pPr>
              <w:rPr>
                <w:rFonts w:ascii="宋体"/>
              </w:rPr>
            </w:pPr>
          </w:p>
        </w:tc>
      </w:tr>
      <w:tr w:rsidR="005C332D" w14:paraId="518B5F90" w14:textId="77777777">
        <w:tc>
          <w:tcPr>
            <w:tcW w:w="0" w:type="auto"/>
            <w:gridSpan w:val="3"/>
            <w:shd w:val="clear" w:color="auto" w:fill="auto"/>
            <w:tcMar>
              <w:top w:w="40" w:type="dxa"/>
              <w:left w:w="20" w:type="dxa"/>
              <w:bottom w:w="40" w:type="dxa"/>
              <w:right w:w="20" w:type="dxa"/>
            </w:tcMar>
            <w:vAlign w:val="bottom"/>
          </w:tcPr>
          <w:p w14:paraId="518B5F88" w14:textId="77777777" w:rsidR="005C332D" w:rsidRDefault="00B93EAE">
            <w:pPr>
              <w:textAlignment w:val="bottom"/>
            </w:pPr>
            <w:r>
              <w:rPr>
                <w:rFonts w:ascii="Times New Roman" w:eastAsia="宋体" w:hAnsi="Times New Roman"/>
                <w:b/>
                <w:bCs/>
                <w:color w:val="000000"/>
                <w:sz w:val="18"/>
                <w:szCs w:val="18"/>
                <w:u w:val="single"/>
              </w:rPr>
              <w:t>Fiscal 2022</w:t>
            </w:r>
          </w:p>
        </w:tc>
        <w:tc>
          <w:tcPr>
            <w:tcW w:w="0" w:type="auto"/>
            <w:gridSpan w:val="3"/>
            <w:shd w:val="clear" w:color="auto" w:fill="auto"/>
            <w:tcMar>
              <w:top w:w="40" w:type="dxa"/>
              <w:left w:w="20" w:type="dxa"/>
              <w:bottom w:w="40" w:type="dxa"/>
              <w:right w:w="20" w:type="dxa"/>
            </w:tcMar>
            <w:vAlign w:val="bottom"/>
          </w:tcPr>
          <w:p w14:paraId="518B5F89" w14:textId="77777777" w:rsidR="005C332D" w:rsidRDefault="00B93EAE">
            <w:pPr>
              <w:jc w:val="center"/>
              <w:textAlignment w:val="bottom"/>
            </w:pPr>
            <w:r>
              <w:rPr>
                <w:rFonts w:ascii="Times New Roman" w:eastAsia="宋体" w:hAnsi="Times New Roman"/>
                <w:b/>
                <w:bCs/>
                <w:color w:val="000000"/>
                <w:sz w:val="18"/>
                <w:szCs w:val="18"/>
              </w:rPr>
              <w:t>Purchase Consideration</w:t>
            </w:r>
          </w:p>
        </w:tc>
        <w:tc>
          <w:tcPr>
            <w:tcW w:w="0" w:type="auto"/>
            <w:gridSpan w:val="3"/>
            <w:shd w:val="clear" w:color="auto" w:fill="auto"/>
            <w:tcMar>
              <w:top w:w="0" w:type="dxa"/>
              <w:left w:w="20" w:type="dxa"/>
              <w:bottom w:w="0" w:type="dxa"/>
              <w:right w:w="20" w:type="dxa"/>
            </w:tcMar>
            <w:vAlign w:val="bottom"/>
          </w:tcPr>
          <w:p w14:paraId="518B5F8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F8B" w14:textId="77777777" w:rsidR="005C332D" w:rsidRDefault="00B93EAE">
            <w:pPr>
              <w:jc w:val="center"/>
              <w:textAlignment w:val="bottom"/>
            </w:pPr>
            <w:r>
              <w:rPr>
                <w:rFonts w:ascii="Times New Roman" w:eastAsia="宋体" w:hAnsi="Times New Roman"/>
                <w:b/>
                <w:bCs/>
                <w:color w:val="000000"/>
                <w:sz w:val="18"/>
                <w:szCs w:val="18"/>
              </w:rPr>
              <w:t>Net Tangible Assets Acquired (Liabilities Assumed)</w:t>
            </w:r>
          </w:p>
        </w:tc>
        <w:tc>
          <w:tcPr>
            <w:tcW w:w="0" w:type="auto"/>
            <w:gridSpan w:val="3"/>
            <w:shd w:val="clear" w:color="auto" w:fill="auto"/>
            <w:tcMar>
              <w:top w:w="0" w:type="dxa"/>
              <w:left w:w="20" w:type="dxa"/>
              <w:bottom w:w="0" w:type="dxa"/>
              <w:right w:w="20" w:type="dxa"/>
            </w:tcMar>
            <w:vAlign w:val="bottom"/>
          </w:tcPr>
          <w:p w14:paraId="518B5F8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F8D" w14:textId="77777777" w:rsidR="005C332D" w:rsidRDefault="00B93EAE">
            <w:pPr>
              <w:jc w:val="center"/>
              <w:textAlignment w:val="bottom"/>
            </w:pPr>
            <w:r>
              <w:rPr>
                <w:rFonts w:ascii="Times New Roman" w:eastAsia="宋体" w:hAnsi="Times New Roman"/>
                <w:b/>
                <w:bCs/>
                <w:color w:val="000000"/>
                <w:sz w:val="18"/>
                <w:szCs w:val="18"/>
              </w:rPr>
              <w:t>Purchased Intangible Assets</w:t>
            </w:r>
          </w:p>
        </w:tc>
        <w:tc>
          <w:tcPr>
            <w:tcW w:w="0" w:type="auto"/>
            <w:gridSpan w:val="3"/>
            <w:shd w:val="clear" w:color="auto" w:fill="auto"/>
            <w:tcMar>
              <w:top w:w="0" w:type="dxa"/>
              <w:left w:w="20" w:type="dxa"/>
              <w:bottom w:w="0" w:type="dxa"/>
              <w:right w:w="20" w:type="dxa"/>
            </w:tcMar>
            <w:vAlign w:val="bottom"/>
          </w:tcPr>
          <w:p w14:paraId="518B5F8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F8F" w14:textId="77777777" w:rsidR="005C332D" w:rsidRDefault="00B93EAE">
            <w:pPr>
              <w:jc w:val="center"/>
              <w:textAlignment w:val="bottom"/>
            </w:pPr>
            <w:r>
              <w:rPr>
                <w:rFonts w:ascii="Times New Roman" w:eastAsia="宋体" w:hAnsi="Times New Roman"/>
                <w:b/>
                <w:bCs/>
                <w:color w:val="000000"/>
                <w:sz w:val="18"/>
                <w:szCs w:val="18"/>
              </w:rPr>
              <w:t>Goodwill</w:t>
            </w:r>
          </w:p>
        </w:tc>
      </w:tr>
      <w:tr w:rsidR="005C332D" w14:paraId="518B5FA1" w14:textId="77777777">
        <w:tc>
          <w:tcPr>
            <w:tcW w:w="0" w:type="auto"/>
            <w:gridSpan w:val="3"/>
            <w:shd w:val="clear" w:color="auto" w:fill="CCEEFF"/>
            <w:tcMar>
              <w:top w:w="40" w:type="dxa"/>
              <w:left w:w="20" w:type="dxa"/>
              <w:bottom w:w="40" w:type="dxa"/>
              <w:right w:w="20" w:type="dxa"/>
            </w:tcMar>
          </w:tcPr>
          <w:p w14:paraId="518B5F91" w14:textId="77777777" w:rsidR="005C332D" w:rsidRDefault="00B93EAE">
            <w:pPr>
              <w:textAlignment w:val="top"/>
            </w:pPr>
            <w:r>
              <w:rPr>
                <w:rFonts w:ascii="Times New Roman" w:eastAsia="宋体" w:hAnsi="Times New Roman"/>
                <w:b/>
                <w:bCs/>
                <w:color w:val="000000"/>
                <w:sz w:val="20"/>
                <w:szCs w:val="20"/>
              </w:rPr>
              <w:t>Total acquisitions (three in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9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93" w14:textId="77777777" w:rsidR="005C332D" w:rsidRDefault="00B93EAE">
            <w:pPr>
              <w:jc w:val="right"/>
              <w:textAlignment w:val="bottom"/>
            </w:pPr>
            <w:r>
              <w:rPr>
                <w:rFonts w:ascii="Times New Roman" w:eastAsia="宋体" w:hAnsi="Times New Roman"/>
                <w:b/>
                <w:bCs/>
                <w:color w:val="000000"/>
                <w:sz w:val="20"/>
                <w:szCs w:val="20"/>
              </w:rPr>
              <w:t>364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9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95"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96"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97" w14:textId="77777777" w:rsidR="005C332D" w:rsidRDefault="00B93EAE">
            <w:pPr>
              <w:jc w:val="right"/>
              <w:textAlignment w:val="bottom"/>
            </w:pPr>
            <w:r>
              <w:rPr>
                <w:rFonts w:ascii="Times New Roman" w:eastAsia="宋体" w:hAnsi="Times New Roman"/>
                <w:b/>
                <w:bCs/>
                <w:color w:val="000000"/>
                <w:sz w:val="20"/>
                <w:szCs w:val="20"/>
              </w:rPr>
              <w:t>12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9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99"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9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9B" w14:textId="77777777" w:rsidR="005C332D" w:rsidRDefault="00B93EAE">
            <w:pPr>
              <w:jc w:val="right"/>
              <w:textAlignment w:val="bottom"/>
            </w:pPr>
            <w:r>
              <w:rPr>
                <w:rFonts w:ascii="Times New Roman" w:eastAsia="宋体" w:hAnsi="Times New Roman"/>
                <w:b/>
                <w:bCs/>
                <w:color w:val="000000"/>
                <w:sz w:val="20"/>
                <w:szCs w:val="20"/>
              </w:rPr>
              <w:t>20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9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9D"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9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9F" w14:textId="77777777" w:rsidR="005C332D" w:rsidRDefault="00B93EAE">
            <w:pPr>
              <w:jc w:val="right"/>
              <w:textAlignment w:val="bottom"/>
            </w:pPr>
            <w:r>
              <w:rPr>
                <w:rFonts w:ascii="Times New Roman" w:eastAsia="宋体" w:hAnsi="Times New Roman"/>
                <w:b/>
                <w:bCs/>
                <w:color w:val="000000"/>
                <w:sz w:val="20"/>
                <w:szCs w:val="20"/>
              </w:rPr>
              <w:t>332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A0" w14:textId="77777777" w:rsidR="005C332D" w:rsidRDefault="005C332D">
            <w:pPr>
              <w:jc w:val="right"/>
              <w:rPr>
                <w:rFonts w:ascii="宋体"/>
              </w:rPr>
            </w:pPr>
          </w:p>
        </w:tc>
      </w:tr>
    </w:tbl>
    <w:p w14:paraId="518B5FA2" w14:textId="77777777" w:rsidR="005C332D" w:rsidRDefault="00B93EAE">
      <w:pPr>
        <w:spacing w:before="120"/>
        <w:jc w:val="both"/>
      </w:pPr>
      <w:r>
        <w:rPr>
          <w:rFonts w:ascii="Times New Roman" w:eastAsia="宋体" w:hAnsi="Times New Roman"/>
          <w:color w:val="000000"/>
          <w:sz w:val="20"/>
          <w:szCs w:val="20"/>
        </w:rPr>
        <w:t>The total purchase consideration related to our acquisitions completed during fiscal 2022 consisted of cash con</w:t>
      </w:r>
      <w:r>
        <w:rPr>
          <w:rFonts w:ascii="Times New Roman" w:eastAsia="宋体" w:hAnsi="Times New Roman"/>
          <w:color w:val="000000"/>
          <w:sz w:val="20"/>
          <w:szCs w:val="20"/>
        </w:rPr>
        <w:t xml:space="preserve">sideration and vested share-based awards assumed. The total cash and cash equivalents acquired from these acquisitions was approximately $7 million. </w:t>
      </w:r>
    </w:p>
    <w:p w14:paraId="518B5FA3" w14:textId="77777777" w:rsidR="005C332D" w:rsidRDefault="00B93EAE">
      <w:pPr>
        <w:spacing w:before="120"/>
        <w:jc w:val="both"/>
      </w:pPr>
      <w:r>
        <w:rPr>
          <w:rFonts w:ascii="Times New Roman" w:eastAsia="宋体" w:hAnsi="Times New Roman"/>
          <w:color w:val="000000"/>
          <w:sz w:val="20"/>
          <w:szCs w:val="20"/>
          <w:u w:val="single"/>
        </w:rPr>
        <w:t>Fiscal 2021 Acquisitions</w:t>
      </w:r>
    </w:p>
    <w:p w14:paraId="518B5FA4" w14:textId="77777777" w:rsidR="005C332D" w:rsidRDefault="00B93EAE">
      <w:pPr>
        <w:spacing w:before="120"/>
        <w:jc w:val="both"/>
      </w:pPr>
      <w:r>
        <w:rPr>
          <w:rFonts w:ascii="Times New Roman" w:eastAsia="宋体" w:hAnsi="Times New Roman"/>
          <w:color w:val="000000"/>
          <w:sz w:val="20"/>
          <w:szCs w:val="20"/>
        </w:rPr>
        <w:t>Allocation of the purchase consideration for acquisitions completed in fiscal 202</w:t>
      </w:r>
      <w:r>
        <w:rPr>
          <w:rFonts w:ascii="Times New Roman" w:eastAsia="宋体" w:hAnsi="Times New Roman"/>
          <w:color w:val="000000"/>
          <w:sz w:val="20"/>
          <w:szCs w:val="20"/>
        </w:rPr>
        <w:t>1 is summarized as follows (in millions):</w:t>
      </w:r>
    </w:p>
    <w:tbl>
      <w:tblPr>
        <w:tblW w:w="4971" w:type="pct"/>
        <w:jc w:val="center"/>
        <w:tblCellMar>
          <w:top w:w="15" w:type="dxa"/>
          <w:left w:w="15" w:type="dxa"/>
          <w:bottom w:w="15" w:type="dxa"/>
          <w:right w:w="15" w:type="dxa"/>
        </w:tblCellMar>
        <w:tblLook w:val="04A0" w:firstRow="1" w:lastRow="0" w:firstColumn="1" w:lastColumn="0" w:noHBand="0" w:noVBand="1"/>
      </w:tblPr>
      <w:tblGrid>
        <w:gridCol w:w="39"/>
        <w:gridCol w:w="3890"/>
        <w:gridCol w:w="38"/>
        <w:gridCol w:w="121"/>
        <w:gridCol w:w="955"/>
        <w:gridCol w:w="36"/>
        <w:gridCol w:w="36"/>
        <w:gridCol w:w="36"/>
        <w:gridCol w:w="36"/>
        <w:gridCol w:w="121"/>
        <w:gridCol w:w="804"/>
        <w:gridCol w:w="36"/>
        <w:gridCol w:w="36"/>
        <w:gridCol w:w="36"/>
        <w:gridCol w:w="36"/>
        <w:gridCol w:w="121"/>
        <w:gridCol w:w="805"/>
        <w:gridCol w:w="36"/>
        <w:gridCol w:w="36"/>
        <w:gridCol w:w="36"/>
        <w:gridCol w:w="36"/>
        <w:gridCol w:w="121"/>
        <w:gridCol w:w="805"/>
        <w:gridCol w:w="36"/>
      </w:tblGrid>
      <w:tr w:rsidR="005C332D" w14:paraId="518B5FBD" w14:textId="77777777">
        <w:trPr>
          <w:jc w:val="center"/>
        </w:trPr>
        <w:tc>
          <w:tcPr>
            <w:tcW w:w="50" w:type="pct"/>
            <w:shd w:val="clear" w:color="auto" w:fill="auto"/>
            <w:vAlign w:val="bottom"/>
          </w:tcPr>
          <w:p w14:paraId="518B5FA5" w14:textId="77777777" w:rsidR="005C332D" w:rsidRDefault="005C332D">
            <w:pPr>
              <w:rPr>
                <w:rFonts w:ascii="宋体"/>
              </w:rPr>
            </w:pPr>
          </w:p>
        </w:tc>
        <w:tc>
          <w:tcPr>
            <w:tcW w:w="2393" w:type="pct"/>
            <w:shd w:val="clear" w:color="auto" w:fill="auto"/>
            <w:vAlign w:val="bottom"/>
          </w:tcPr>
          <w:p w14:paraId="518B5FA6" w14:textId="77777777" w:rsidR="005C332D" w:rsidRDefault="005C332D">
            <w:pPr>
              <w:rPr>
                <w:rFonts w:ascii="宋体"/>
              </w:rPr>
            </w:pPr>
          </w:p>
        </w:tc>
        <w:tc>
          <w:tcPr>
            <w:tcW w:w="5" w:type="pct"/>
            <w:shd w:val="clear" w:color="auto" w:fill="auto"/>
            <w:vAlign w:val="bottom"/>
          </w:tcPr>
          <w:p w14:paraId="518B5FA7" w14:textId="77777777" w:rsidR="005C332D" w:rsidRDefault="005C332D">
            <w:pPr>
              <w:rPr>
                <w:rFonts w:ascii="宋体"/>
              </w:rPr>
            </w:pPr>
          </w:p>
        </w:tc>
        <w:tc>
          <w:tcPr>
            <w:tcW w:w="50" w:type="pct"/>
            <w:shd w:val="clear" w:color="auto" w:fill="auto"/>
            <w:vAlign w:val="bottom"/>
          </w:tcPr>
          <w:p w14:paraId="518B5FA8" w14:textId="77777777" w:rsidR="005C332D" w:rsidRDefault="005C332D">
            <w:pPr>
              <w:rPr>
                <w:rFonts w:ascii="宋体"/>
              </w:rPr>
            </w:pPr>
          </w:p>
        </w:tc>
        <w:tc>
          <w:tcPr>
            <w:tcW w:w="555" w:type="pct"/>
            <w:shd w:val="clear" w:color="auto" w:fill="auto"/>
            <w:vAlign w:val="bottom"/>
          </w:tcPr>
          <w:p w14:paraId="518B5FA9" w14:textId="77777777" w:rsidR="005C332D" w:rsidRDefault="005C332D">
            <w:pPr>
              <w:rPr>
                <w:rFonts w:ascii="宋体"/>
              </w:rPr>
            </w:pPr>
          </w:p>
        </w:tc>
        <w:tc>
          <w:tcPr>
            <w:tcW w:w="5" w:type="pct"/>
            <w:shd w:val="clear" w:color="auto" w:fill="auto"/>
            <w:vAlign w:val="bottom"/>
          </w:tcPr>
          <w:p w14:paraId="518B5FAA" w14:textId="77777777" w:rsidR="005C332D" w:rsidRDefault="005C332D">
            <w:pPr>
              <w:rPr>
                <w:rFonts w:ascii="宋体"/>
              </w:rPr>
            </w:pPr>
          </w:p>
        </w:tc>
        <w:tc>
          <w:tcPr>
            <w:tcW w:w="5" w:type="pct"/>
            <w:shd w:val="clear" w:color="auto" w:fill="auto"/>
            <w:vAlign w:val="bottom"/>
          </w:tcPr>
          <w:p w14:paraId="518B5FAB" w14:textId="77777777" w:rsidR="005C332D" w:rsidRDefault="005C332D">
            <w:pPr>
              <w:rPr>
                <w:rFonts w:ascii="宋体"/>
              </w:rPr>
            </w:pPr>
          </w:p>
        </w:tc>
        <w:tc>
          <w:tcPr>
            <w:tcW w:w="26" w:type="pct"/>
            <w:shd w:val="clear" w:color="auto" w:fill="auto"/>
            <w:vAlign w:val="bottom"/>
          </w:tcPr>
          <w:p w14:paraId="518B5FAC" w14:textId="77777777" w:rsidR="005C332D" w:rsidRDefault="005C332D">
            <w:pPr>
              <w:rPr>
                <w:rFonts w:ascii="宋体"/>
              </w:rPr>
            </w:pPr>
          </w:p>
        </w:tc>
        <w:tc>
          <w:tcPr>
            <w:tcW w:w="5" w:type="pct"/>
            <w:shd w:val="clear" w:color="auto" w:fill="auto"/>
            <w:vAlign w:val="bottom"/>
          </w:tcPr>
          <w:p w14:paraId="518B5FAD" w14:textId="77777777" w:rsidR="005C332D" w:rsidRDefault="005C332D">
            <w:pPr>
              <w:rPr>
                <w:rFonts w:ascii="宋体"/>
              </w:rPr>
            </w:pPr>
          </w:p>
        </w:tc>
        <w:tc>
          <w:tcPr>
            <w:tcW w:w="50" w:type="pct"/>
            <w:shd w:val="clear" w:color="auto" w:fill="auto"/>
            <w:vAlign w:val="bottom"/>
          </w:tcPr>
          <w:p w14:paraId="518B5FAE" w14:textId="77777777" w:rsidR="005C332D" w:rsidRDefault="005C332D">
            <w:pPr>
              <w:rPr>
                <w:rFonts w:ascii="宋体"/>
              </w:rPr>
            </w:pPr>
          </w:p>
        </w:tc>
        <w:tc>
          <w:tcPr>
            <w:tcW w:w="555" w:type="pct"/>
            <w:shd w:val="clear" w:color="auto" w:fill="auto"/>
            <w:vAlign w:val="bottom"/>
          </w:tcPr>
          <w:p w14:paraId="518B5FAF" w14:textId="77777777" w:rsidR="005C332D" w:rsidRDefault="005C332D">
            <w:pPr>
              <w:rPr>
                <w:rFonts w:ascii="宋体"/>
              </w:rPr>
            </w:pPr>
          </w:p>
        </w:tc>
        <w:tc>
          <w:tcPr>
            <w:tcW w:w="5" w:type="pct"/>
            <w:shd w:val="clear" w:color="auto" w:fill="auto"/>
            <w:vAlign w:val="bottom"/>
          </w:tcPr>
          <w:p w14:paraId="518B5FB0" w14:textId="77777777" w:rsidR="005C332D" w:rsidRDefault="005C332D">
            <w:pPr>
              <w:rPr>
                <w:rFonts w:ascii="宋体"/>
              </w:rPr>
            </w:pPr>
          </w:p>
        </w:tc>
        <w:tc>
          <w:tcPr>
            <w:tcW w:w="5" w:type="pct"/>
            <w:shd w:val="clear" w:color="auto" w:fill="auto"/>
            <w:vAlign w:val="bottom"/>
          </w:tcPr>
          <w:p w14:paraId="518B5FB1" w14:textId="77777777" w:rsidR="005C332D" w:rsidRDefault="005C332D">
            <w:pPr>
              <w:rPr>
                <w:rFonts w:ascii="宋体"/>
              </w:rPr>
            </w:pPr>
          </w:p>
        </w:tc>
        <w:tc>
          <w:tcPr>
            <w:tcW w:w="26" w:type="pct"/>
            <w:shd w:val="clear" w:color="auto" w:fill="auto"/>
            <w:vAlign w:val="bottom"/>
          </w:tcPr>
          <w:p w14:paraId="518B5FB2" w14:textId="77777777" w:rsidR="005C332D" w:rsidRDefault="005C332D">
            <w:pPr>
              <w:rPr>
                <w:rFonts w:ascii="宋体"/>
              </w:rPr>
            </w:pPr>
          </w:p>
        </w:tc>
        <w:tc>
          <w:tcPr>
            <w:tcW w:w="5" w:type="pct"/>
            <w:shd w:val="clear" w:color="auto" w:fill="auto"/>
            <w:vAlign w:val="bottom"/>
          </w:tcPr>
          <w:p w14:paraId="518B5FB3" w14:textId="77777777" w:rsidR="005C332D" w:rsidRDefault="005C332D">
            <w:pPr>
              <w:rPr>
                <w:rFonts w:ascii="宋体"/>
              </w:rPr>
            </w:pPr>
          </w:p>
        </w:tc>
        <w:tc>
          <w:tcPr>
            <w:tcW w:w="50" w:type="pct"/>
            <w:shd w:val="clear" w:color="auto" w:fill="auto"/>
            <w:vAlign w:val="bottom"/>
          </w:tcPr>
          <w:p w14:paraId="518B5FB4" w14:textId="77777777" w:rsidR="005C332D" w:rsidRDefault="005C332D">
            <w:pPr>
              <w:rPr>
                <w:rFonts w:ascii="宋体"/>
              </w:rPr>
            </w:pPr>
          </w:p>
        </w:tc>
        <w:tc>
          <w:tcPr>
            <w:tcW w:w="555" w:type="pct"/>
            <w:shd w:val="clear" w:color="auto" w:fill="auto"/>
            <w:vAlign w:val="bottom"/>
          </w:tcPr>
          <w:p w14:paraId="518B5FB5" w14:textId="77777777" w:rsidR="005C332D" w:rsidRDefault="005C332D">
            <w:pPr>
              <w:rPr>
                <w:rFonts w:ascii="宋体"/>
              </w:rPr>
            </w:pPr>
          </w:p>
        </w:tc>
        <w:tc>
          <w:tcPr>
            <w:tcW w:w="5" w:type="pct"/>
            <w:shd w:val="clear" w:color="auto" w:fill="auto"/>
            <w:vAlign w:val="bottom"/>
          </w:tcPr>
          <w:p w14:paraId="518B5FB6" w14:textId="77777777" w:rsidR="005C332D" w:rsidRDefault="005C332D">
            <w:pPr>
              <w:rPr>
                <w:rFonts w:ascii="宋体"/>
              </w:rPr>
            </w:pPr>
          </w:p>
        </w:tc>
        <w:tc>
          <w:tcPr>
            <w:tcW w:w="5" w:type="pct"/>
            <w:shd w:val="clear" w:color="auto" w:fill="auto"/>
            <w:vAlign w:val="bottom"/>
          </w:tcPr>
          <w:p w14:paraId="518B5FB7" w14:textId="77777777" w:rsidR="005C332D" w:rsidRDefault="005C332D">
            <w:pPr>
              <w:rPr>
                <w:rFonts w:ascii="宋体"/>
              </w:rPr>
            </w:pPr>
          </w:p>
        </w:tc>
        <w:tc>
          <w:tcPr>
            <w:tcW w:w="26" w:type="pct"/>
            <w:shd w:val="clear" w:color="auto" w:fill="auto"/>
            <w:vAlign w:val="bottom"/>
          </w:tcPr>
          <w:p w14:paraId="518B5FB8" w14:textId="77777777" w:rsidR="005C332D" w:rsidRDefault="005C332D">
            <w:pPr>
              <w:rPr>
                <w:rFonts w:ascii="宋体"/>
              </w:rPr>
            </w:pPr>
          </w:p>
        </w:tc>
        <w:tc>
          <w:tcPr>
            <w:tcW w:w="5" w:type="pct"/>
            <w:shd w:val="clear" w:color="auto" w:fill="auto"/>
            <w:vAlign w:val="bottom"/>
          </w:tcPr>
          <w:p w14:paraId="518B5FB9" w14:textId="77777777" w:rsidR="005C332D" w:rsidRDefault="005C332D">
            <w:pPr>
              <w:rPr>
                <w:rFonts w:ascii="宋体"/>
              </w:rPr>
            </w:pPr>
          </w:p>
        </w:tc>
        <w:tc>
          <w:tcPr>
            <w:tcW w:w="50" w:type="pct"/>
            <w:shd w:val="clear" w:color="auto" w:fill="auto"/>
            <w:vAlign w:val="bottom"/>
          </w:tcPr>
          <w:p w14:paraId="518B5FBA" w14:textId="77777777" w:rsidR="005C332D" w:rsidRDefault="005C332D">
            <w:pPr>
              <w:rPr>
                <w:rFonts w:ascii="宋体"/>
              </w:rPr>
            </w:pPr>
          </w:p>
        </w:tc>
        <w:tc>
          <w:tcPr>
            <w:tcW w:w="555" w:type="pct"/>
            <w:shd w:val="clear" w:color="auto" w:fill="auto"/>
            <w:vAlign w:val="bottom"/>
          </w:tcPr>
          <w:p w14:paraId="518B5FBB" w14:textId="77777777" w:rsidR="005C332D" w:rsidRDefault="005C332D">
            <w:pPr>
              <w:rPr>
                <w:rFonts w:ascii="宋体"/>
              </w:rPr>
            </w:pPr>
          </w:p>
        </w:tc>
        <w:tc>
          <w:tcPr>
            <w:tcW w:w="5" w:type="pct"/>
            <w:shd w:val="clear" w:color="auto" w:fill="auto"/>
            <w:vAlign w:val="bottom"/>
          </w:tcPr>
          <w:p w14:paraId="518B5FBC" w14:textId="77777777" w:rsidR="005C332D" w:rsidRDefault="005C332D">
            <w:pPr>
              <w:rPr>
                <w:rFonts w:ascii="宋体"/>
              </w:rPr>
            </w:pPr>
          </w:p>
        </w:tc>
      </w:tr>
      <w:tr w:rsidR="005C332D" w14:paraId="518B5FC6" w14:textId="77777777">
        <w:trPr>
          <w:jc w:val="center"/>
        </w:trPr>
        <w:tc>
          <w:tcPr>
            <w:tcW w:w="0" w:type="auto"/>
            <w:gridSpan w:val="3"/>
            <w:shd w:val="clear" w:color="auto" w:fill="auto"/>
            <w:tcMar>
              <w:top w:w="40" w:type="dxa"/>
              <w:left w:w="20" w:type="dxa"/>
              <w:bottom w:w="40" w:type="dxa"/>
              <w:right w:w="20" w:type="dxa"/>
            </w:tcMar>
            <w:vAlign w:val="bottom"/>
          </w:tcPr>
          <w:p w14:paraId="518B5FBE" w14:textId="77777777" w:rsidR="005C332D" w:rsidRDefault="00B93EAE">
            <w:pPr>
              <w:textAlignment w:val="bottom"/>
            </w:pPr>
            <w:r>
              <w:rPr>
                <w:rFonts w:ascii="Times New Roman" w:eastAsia="宋体" w:hAnsi="Times New Roman"/>
                <w:color w:val="000000"/>
                <w:sz w:val="18"/>
                <w:szCs w:val="18"/>
                <w:u w:val="single"/>
              </w:rPr>
              <w:t>Fiscal 2021</w:t>
            </w:r>
          </w:p>
        </w:tc>
        <w:tc>
          <w:tcPr>
            <w:tcW w:w="0" w:type="auto"/>
            <w:gridSpan w:val="3"/>
            <w:shd w:val="clear" w:color="auto" w:fill="auto"/>
            <w:tcMar>
              <w:top w:w="40" w:type="dxa"/>
              <w:left w:w="20" w:type="dxa"/>
              <w:bottom w:w="40" w:type="dxa"/>
              <w:right w:w="20" w:type="dxa"/>
            </w:tcMar>
            <w:vAlign w:val="bottom"/>
          </w:tcPr>
          <w:p w14:paraId="518B5FBF" w14:textId="77777777" w:rsidR="005C332D" w:rsidRDefault="00B93EAE">
            <w:pPr>
              <w:jc w:val="center"/>
              <w:textAlignment w:val="bottom"/>
            </w:pPr>
            <w:r>
              <w:rPr>
                <w:rFonts w:ascii="Times New Roman" w:eastAsia="宋体" w:hAnsi="Times New Roman"/>
                <w:color w:val="000000"/>
                <w:sz w:val="18"/>
                <w:szCs w:val="18"/>
              </w:rPr>
              <w:t>Purchase Consideration</w:t>
            </w:r>
          </w:p>
        </w:tc>
        <w:tc>
          <w:tcPr>
            <w:tcW w:w="0" w:type="auto"/>
            <w:gridSpan w:val="3"/>
            <w:shd w:val="clear" w:color="auto" w:fill="auto"/>
            <w:tcMar>
              <w:top w:w="0" w:type="dxa"/>
              <w:left w:w="20" w:type="dxa"/>
              <w:bottom w:w="0" w:type="dxa"/>
              <w:right w:w="20" w:type="dxa"/>
            </w:tcMar>
            <w:vAlign w:val="bottom"/>
          </w:tcPr>
          <w:p w14:paraId="518B5FC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FC1" w14:textId="77777777" w:rsidR="005C332D" w:rsidRDefault="00B93EAE">
            <w:pPr>
              <w:jc w:val="center"/>
              <w:textAlignment w:val="bottom"/>
            </w:pPr>
            <w:r>
              <w:rPr>
                <w:rFonts w:ascii="Times New Roman" w:eastAsia="宋体" w:hAnsi="Times New Roman"/>
                <w:color w:val="000000"/>
                <w:sz w:val="18"/>
                <w:szCs w:val="18"/>
              </w:rPr>
              <w:t>Net Tangible Assets Acquired (Liabilities Assumed)</w:t>
            </w:r>
          </w:p>
        </w:tc>
        <w:tc>
          <w:tcPr>
            <w:tcW w:w="0" w:type="auto"/>
            <w:gridSpan w:val="3"/>
            <w:shd w:val="clear" w:color="auto" w:fill="auto"/>
            <w:tcMar>
              <w:top w:w="0" w:type="dxa"/>
              <w:left w:w="20" w:type="dxa"/>
              <w:bottom w:w="0" w:type="dxa"/>
              <w:right w:w="20" w:type="dxa"/>
            </w:tcMar>
            <w:vAlign w:val="bottom"/>
          </w:tcPr>
          <w:p w14:paraId="518B5FC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FC3" w14:textId="77777777" w:rsidR="005C332D" w:rsidRDefault="00B93EAE">
            <w:pPr>
              <w:jc w:val="center"/>
              <w:textAlignment w:val="bottom"/>
            </w:pPr>
            <w:r>
              <w:rPr>
                <w:rFonts w:ascii="Times New Roman" w:eastAsia="宋体" w:hAnsi="Times New Roman"/>
                <w:color w:val="000000"/>
                <w:sz w:val="18"/>
                <w:szCs w:val="18"/>
              </w:rPr>
              <w:t>Purchased Intangible Assets</w:t>
            </w:r>
          </w:p>
        </w:tc>
        <w:tc>
          <w:tcPr>
            <w:tcW w:w="0" w:type="auto"/>
            <w:gridSpan w:val="3"/>
            <w:shd w:val="clear" w:color="auto" w:fill="auto"/>
            <w:tcMar>
              <w:top w:w="0" w:type="dxa"/>
              <w:left w:w="20" w:type="dxa"/>
              <w:bottom w:w="0" w:type="dxa"/>
              <w:right w:w="20" w:type="dxa"/>
            </w:tcMar>
            <w:vAlign w:val="bottom"/>
          </w:tcPr>
          <w:p w14:paraId="518B5FC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5FC5" w14:textId="77777777" w:rsidR="005C332D" w:rsidRDefault="00B93EAE">
            <w:pPr>
              <w:jc w:val="center"/>
              <w:textAlignment w:val="bottom"/>
            </w:pPr>
            <w:r>
              <w:rPr>
                <w:rFonts w:ascii="Times New Roman" w:eastAsia="宋体" w:hAnsi="Times New Roman"/>
                <w:color w:val="000000"/>
                <w:sz w:val="18"/>
                <w:szCs w:val="18"/>
              </w:rPr>
              <w:t>Goodwill</w:t>
            </w:r>
          </w:p>
        </w:tc>
      </w:tr>
      <w:tr w:rsidR="005C332D" w14:paraId="518B5FD7" w14:textId="77777777">
        <w:trPr>
          <w:jc w:val="center"/>
        </w:trPr>
        <w:tc>
          <w:tcPr>
            <w:tcW w:w="0" w:type="auto"/>
            <w:gridSpan w:val="3"/>
            <w:shd w:val="clear" w:color="auto" w:fill="CCEEFF"/>
            <w:tcMar>
              <w:top w:w="40" w:type="dxa"/>
              <w:left w:w="20" w:type="dxa"/>
              <w:bottom w:w="40" w:type="dxa"/>
              <w:right w:w="20" w:type="dxa"/>
            </w:tcMar>
          </w:tcPr>
          <w:p w14:paraId="518B5FC7" w14:textId="77777777" w:rsidR="005C332D" w:rsidRDefault="00B93EAE">
            <w:pPr>
              <w:textAlignment w:val="top"/>
            </w:pPr>
            <w:r>
              <w:rPr>
                <w:rFonts w:ascii="Times New Roman" w:eastAsia="宋体" w:hAnsi="Times New Roman"/>
                <w:color w:val="000000"/>
                <w:sz w:val="20"/>
                <w:szCs w:val="20"/>
              </w:rPr>
              <w:t>Acacia</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5FC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FC9" w14:textId="77777777" w:rsidR="005C332D" w:rsidRDefault="00B93EAE">
            <w:pPr>
              <w:jc w:val="right"/>
              <w:textAlignment w:val="bottom"/>
            </w:pPr>
            <w:r>
              <w:rPr>
                <w:rFonts w:ascii="Times New Roman" w:eastAsia="宋体" w:hAnsi="Times New Roman"/>
                <w:color w:val="000000"/>
                <w:sz w:val="20"/>
                <w:szCs w:val="20"/>
              </w:rPr>
              <w:t>4,983 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FC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C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FC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FCD" w14:textId="77777777" w:rsidR="005C332D" w:rsidRDefault="00B93EAE">
            <w:pPr>
              <w:jc w:val="right"/>
              <w:textAlignment w:val="bottom"/>
            </w:pPr>
            <w:r>
              <w:rPr>
                <w:rFonts w:ascii="Times New Roman" w:eastAsia="宋体" w:hAnsi="Times New Roman"/>
                <w:color w:val="000000"/>
                <w:sz w:val="20"/>
                <w:szCs w:val="20"/>
              </w:rPr>
              <w:t>442 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FC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C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FD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FD1" w14:textId="77777777" w:rsidR="005C332D" w:rsidRDefault="00B93EAE">
            <w:pPr>
              <w:jc w:val="right"/>
              <w:textAlignment w:val="bottom"/>
            </w:pPr>
            <w:r>
              <w:rPr>
                <w:rFonts w:ascii="Times New Roman" w:eastAsia="宋体" w:hAnsi="Times New Roman"/>
                <w:color w:val="000000"/>
                <w:sz w:val="20"/>
                <w:szCs w:val="20"/>
              </w:rPr>
              <w:t>2,160 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FD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D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5FD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5FD5" w14:textId="77777777" w:rsidR="005C332D" w:rsidRDefault="00B93EAE">
            <w:pPr>
              <w:jc w:val="right"/>
              <w:textAlignment w:val="bottom"/>
            </w:pPr>
            <w:r>
              <w:rPr>
                <w:rFonts w:ascii="Times New Roman" w:eastAsia="宋体" w:hAnsi="Times New Roman"/>
                <w:color w:val="000000"/>
                <w:sz w:val="20"/>
                <w:szCs w:val="20"/>
              </w:rPr>
              <w:t>2,381 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5FD6" w14:textId="77777777" w:rsidR="005C332D" w:rsidRDefault="005C332D">
            <w:pPr>
              <w:jc w:val="right"/>
              <w:rPr>
                <w:rFonts w:ascii="宋体"/>
              </w:rPr>
            </w:pPr>
          </w:p>
        </w:tc>
      </w:tr>
      <w:tr w:rsidR="005C332D" w14:paraId="518B5FE4" w14:textId="77777777">
        <w:trPr>
          <w:jc w:val="center"/>
        </w:trPr>
        <w:tc>
          <w:tcPr>
            <w:tcW w:w="0" w:type="auto"/>
            <w:gridSpan w:val="3"/>
            <w:shd w:val="clear" w:color="auto" w:fill="FFFFFF"/>
            <w:tcMar>
              <w:top w:w="40" w:type="dxa"/>
              <w:left w:w="20" w:type="dxa"/>
              <w:bottom w:w="40" w:type="dxa"/>
              <w:right w:w="20" w:type="dxa"/>
            </w:tcMar>
          </w:tcPr>
          <w:p w14:paraId="518B5FD8" w14:textId="77777777" w:rsidR="005C332D" w:rsidRDefault="00B93EAE">
            <w:pPr>
              <w:textAlignment w:val="top"/>
            </w:pPr>
            <w:r>
              <w:rPr>
                <w:rFonts w:ascii="Times New Roman" w:eastAsia="宋体" w:hAnsi="Times New Roman"/>
                <w:color w:val="000000"/>
                <w:sz w:val="20"/>
                <w:szCs w:val="20"/>
              </w:rPr>
              <w:t>Others (12 in total)</w:t>
            </w:r>
          </w:p>
        </w:tc>
        <w:tc>
          <w:tcPr>
            <w:tcW w:w="0" w:type="auto"/>
            <w:gridSpan w:val="2"/>
            <w:shd w:val="clear" w:color="auto" w:fill="FFFFFF"/>
            <w:tcMar>
              <w:top w:w="40" w:type="dxa"/>
              <w:left w:w="20" w:type="dxa"/>
              <w:bottom w:w="40" w:type="dxa"/>
              <w:right w:w="0" w:type="dxa"/>
            </w:tcMar>
            <w:vAlign w:val="bottom"/>
          </w:tcPr>
          <w:p w14:paraId="518B5FD9" w14:textId="77777777" w:rsidR="005C332D" w:rsidRDefault="00B93EAE">
            <w:pPr>
              <w:jc w:val="right"/>
              <w:textAlignment w:val="bottom"/>
            </w:pPr>
            <w:r>
              <w:rPr>
                <w:rFonts w:ascii="Times New Roman" w:eastAsia="宋体" w:hAnsi="Times New Roman"/>
                <w:color w:val="000000"/>
                <w:sz w:val="20"/>
                <w:szCs w:val="20"/>
              </w:rPr>
              <w:t>2,472 </w:t>
            </w:r>
          </w:p>
        </w:tc>
        <w:tc>
          <w:tcPr>
            <w:tcW w:w="0" w:type="auto"/>
            <w:shd w:val="clear" w:color="auto" w:fill="FFFFFF"/>
            <w:tcMar>
              <w:top w:w="40" w:type="dxa"/>
              <w:left w:w="0" w:type="dxa"/>
              <w:bottom w:w="40" w:type="dxa"/>
              <w:right w:w="20" w:type="dxa"/>
            </w:tcMar>
            <w:vAlign w:val="bottom"/>
          </w:tcPr>
          <w:p w14:paraId="518B5FD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FD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FDC" w14:textId="77777777" w:rsidR="005C332D" w:rsidRDefault="00B93EAE">
            <w:pPr>
              <w:jc w:val="right"/>
              <w:textAlignment w:val="bottom"/>
            </w:pPr>
            <w:r>
              <w:rPr>
                <w:rFonts w:ascii="Times New Roman" w:eastAsia="宋体" w:hAnsi="Times New Roman"/>
                <w:color w:val="000000"/>
                <w:sz w:val="20"/>
                <w:szCs w:val="20"/>
              </w:rPr>
              <w:t>(130)</w:t>
            </w:r>
          </w:p>
        </w:tc>
        <w:tc>
          <w:tcPr>
            <w:tcW w:w="0" w:type="auto"/>
            <w:shd w:val="clear" w:color="auto" w:fill="FFFFFF"/>
            <w:tcMar>
              <w:top w:w="40" w:type="dxa"/>
              <w:left w:w="0" w:type="dxa"/>
              <w:bottom w:w="40" w:type="dxa"/>
              <w:right w:w="20" w:type="dxa"/>
            </w:tcMar>
            <w:vAlign w:val="bottom"/>
          </w:tcPr>
          <w:p w14:paraId="518B5FD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FD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FDF" w14:textId="77777777" w:rsidR="005C332D" w:rsidRDefault="00B93EAE">
            <w:pPr>
              <w:jc w:val="right"/>
              <w:textAlignment w:val="bottom"/>
            </w:pPr>
            <w:r>
              <w:rPr>
                <w:rFonts w:ascii="Times New Roman" w:eastAsia="宋体" w:hAnsi="Times New Roman"/>
                <w:color w:val="000000"/>
                <w:sz w:val="20"/>
                <w:szCs w:val="20"/>
              </w:rPr>
              <w:t>754 </w:t>
            </w:r>
          </w:p>
        </w:tc>
        <w:tc>
          <w:tcPr>
            <w:tcW w:w="0" w:type="auto"/>
            <w:shd w:val="clear" w:color="auto" w:fill="FFFFFF"/>
            <w:tcMar>
              <w:top w:w="40" w:type="dxa"/>
              <w:left w:w="0" w:type="dxa"/>
              <w:bottom w:w="40" w:type="dxa"/>
              <w:right w:w="20" w:type="dxa"/>
            </w:tcMar>
            <w:vAlign w:val="bottom"/>
          </w:tcPr>
          <w:p w14:paraId="518B5FE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5FE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5FE2" w14:textId="77777777" w:rsidR="005C332D" w:rsidRDefault="00B93EAE">
            <w:pPr>
              <w:jc w:val="right"/>
              <w:textAlignment w:val="bottom"/>
            </w:pPr>
            <w:r>
              <w:rPr>
                <w:rFonts w:ascii="Times New Roman" w:eastAsia="宋体" w:hAnsi="Times New Roman"/>
                <w:color w:val="000000"/>
                <w:sz w:val="20"/>
                <w:szCs w:val="20"/>
              </w:rPr>
              <w:t>1,848 </w:t>
            </w:r>
          </w:p>
        </w:tc>
        <w:tc>
          <w:tcPr>
            <w:tcW w:w="0" w:type="auto"/>
            <w:shd w:val="clear" w:color="auto" w:fill="FFFFFF"/>
            <w:tcMar>
              <w:top w:w="40" w:type="dxa"/>
              <w:left w:w="0" w:type="dxa"/>
              <w:bottom w:w="40" w:type="dxa"/>
              <w:right w:w="20" w:type="dxa"/>
            </w:tcMar>
            <w:vAlign w:val="bottom"/>
          </w:tcPr>
          <w:p w14:paraId="518B5FE3" w14:textId="77777777" w:rsidR="005C332D" w:rsidRDefault="005C332D">
            <w:pPr>
              <w:jc w:val="right"/>
              <w:rPr>
                <w:rFonts w:ascii="宋体"/>
              </w:rPr>
            </w:pPr>
          </w:p>
        </w:tc>
      </w:tr>
      <w:tr w:rsidR="005C332D" w14:paraId="518B5FF5" w14:textId="77777777">
        <w:trPr>
          <w:jc w:val="center"/>
        </w:trPr>
        <w:tc>
          <w:tcPr>
            <w:tcW w:w="0" w:type="auto"/>
            <w:gridSpan w:val="3"/>
            <w:shd w:val="clear" w:color="auto" w:fill="CCEEFF"/>
            <w:tcMar>
              <w:top w:w="40" w:type="dxa"/>
              <w:left w:w="260" w:type="dxa"/>
              <w:bottom w:w="40" w:type="dxa"/>
              <w:right w:w="20" w:type="dxa"/>
            </w:tcMar>
          </w:tcPr>
          <w:p w14:paraId="518B5FE5"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E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E7" w14:textId="77777777" w:rsidR="005C332D" w:rsidRDefault="00B93EAE">
            <w:pPr>
              <w:jc w:val="right"/>
              <w:textAlignment w:val="bottom"/>
            </w:pPr>
            <w:r>
              <w:rPr>
                <w:rFonts w:ascii="Times New Roman" w:eastAsia="宋体" w:hAnsi="Times New Roman"/>
                <w:color w:val="000000"/>
                <w:sz w:val="20"/>
                <w:szCs w:val="20"/>
              </w:rPr>
              <w:t>7,455 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E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E9"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E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EB" w14:textId="77777777" w:rsidR="005C332D" w:rsidRDefault="00B93EAE">
            <w:pPr>
              <w:jc w:val="right"/>
              <w:textAlignment w:val="bottom"/>
            </w:pPr>
            <w:r>
              <w:rPr>
                <w:rFonts w:ascii="Times New Roman" w:eastAsia="宋体" w:hAnsi="Times New Roman"/>
                <w:color w:val="000000"/>
                <w:sz w:val="20"/>
                <w:szCs w:val="20"/>
              </w:rPr>
              <w:t>312 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E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ED"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E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EF" w14:textId="77777777" w:rsidR="005C332D" w:rsidRDefault="00B93EAE">
            <w:pPr>
              <w:jc w:val="right"/>
              <w:textAlignment w:val="bottom"/>
            </w:pPr>
            <w:r>
              <w:rPr>
                <w:rFonts w:ascii="Times New Roman" w:eastAsia="宋体" w:hAnsi="Times New Roman"/>
                <w:color w:val="000000"/>
                <w:sz w:val="20"/>
                <w:szCs w:val="20"/>
              </w:rPr>
              <w:t>2,914 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F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5FF1"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5FF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5FF3" w14:textId="77777777" w:rsidR="005C332D" w:rsidRDefault="00B93EAE">
            <w:pPr>
              <w:jc w:val="right"/>
              <w:textAlignment w:val="bottom"/>
            </w:pPr>
            <w:r>
              <w:rPr>
                <w:rFonts w:ascii="Times New Roman" w:eastAsia="宋体" w:hAnsi="Times New Roman"/>
                <w:color w:val="000000"/>
                <w:sz w:val="20"/>
                <w:szCs w:val="20"/>
              </w:rPr>
              <w:t>4,229 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5FF4" w14:textId="77777777" w:rsidR="005C332D" w:rsidRDefault="005C332D">
            <w:pPr>
              <w:jc w:val="right"/>
              <w:rPr>
                <w:rFonts w:ascii="宋体"/>
              </w:rPr>
            </w:pPr>
          </w:p>
        </w:tc>
      </w:tr>
    </w:tbl>
    <w:p w14:paraId="518B5FF6" w14:textId="77777777" w:rsidR="005C332D" w:rsidRDefault="00B93EAE">
      <w:pPr>
        <w:spacing w:before="120"/>
        <w:jc w:val="both"/>
      </w:pPr>
      <w:r>
        <w:rPr>
          <w:rFonts w:ascii="Times New Roman" w:eastAsia="宋体" w:hAnsi="Times New Roman"/>
          <w:color w:val="000000"/>
          <w:sz w:val="20"/>
          <w:szCs w:val="20"/>
        </w:rPr>
        <w:t>On March 1, 2021, we completed our acquisition of Acacia Communications, Inc. (“Acacia”), a public fable</w:t>
      </w:r>
      <w:r>
        <w:rPr>
          <w:rFonts w:ascii="Times New Roman" w:eastAsia="宋体" w:hAnsi="Times New Roman"/>
          <w:color w:val="000000"/>
          <w:sz w:val="20"/>
          <w:szCs w:val="20"/>
        </w:rPr>
        <w:t>ss semiconductor company that develops, manufactures and sells high-speed coherent optical interconnect products that are designed to transform communications networks through improvements in performance, capacity and cost. Revenue from the Acacia acquisit</w:t>
      </w:r>
      <w:r>
        <w:rPr>
          <w:rFonts w:ascii="Times New Roman" w:eastAsia="宋体" w:hAnsi="Times New Roman"/>
          <w:color w:val="000000"/>
          <w:sz w:val="20"/>
          <w:szCs w:val="20"/>
        </w:rPr>
        <w:t>ion has been included in our Internet for the Future product category.</w:t>
      </w:r>
    </w:p>
    <w:p w14:paraId="518B5FF7" w14:textId="77777777" w:rsidR="005C332D" w:rsidRDefault="00B93EAE">
      <w:pPr>
        <w:spacing w:before="120"/>
        <w:jc w:val="both"/>
      </w:pPr>
      <w:r>
        <w:rPr>
          <w:rFonts w:ascii="Times New Roman" w:eastAsia="宋体" w:hAnsi="Times New Roman"/>
          <w:color w:val="000000"/>
          <w:sz w:val="20"/>
          <w:szCs w:val="20"/>
        </w:rPr>
        <w:t xml:space="preserve">The total purchase consideration related to our acquisitions completed during fiscal 2021 consisted of cash consideration and vested share-based awards assumed. The total cash and cash </w:t>
      </w:r>
      <w:r>
        <w:rPr>
          <w:rFonts w:ascii="Times New Roman" w:eastAsia="宋体" w:hAnsi="Times New Roman"/>
          <w:color w:val="000000"/>
          <w:sz w:val="20"/>
          <w:szCs w:val="20"/>
        </w:rPr>
        <w:t xml:space="preserve">equivalents acquired from these acquisitions was approximately $338 million. </w:t>
      </w:r>
    </w:p>
    <w:p w14:paraId="518B5FF8" w14:textId="77777777" w:rsidR="005C332D" w:rsidRDefault="00B93EAE">
      <w:pPr>
        <w:spacing w:before="120"/>
        <w:jc w:val="both"/>
      </w:pPr>
      <w:r>
        <w:rPr>
          <w:rFonts w:ascii="Times New Roman" w:eastAsia="宋体" w:hAnsi="Times New Roman"/>
          <w:color w:val="000000"/>
          <w:sz w:val="20"/>
          <w:szCs w:val="20"/>
          <w:u w:val="single"/>
        </w:rPr>
        <w:t>Fiscal 2020 Acquisitions</w:t>
      </w:r>
    </w:p>
    <w:p w14:paraId="518B5FF9" w14:textId="77777777" w:rsidR="005C332D" w:rsidRDefault="00B93EAE">
      <w:pPr>
        <w:spacing w:before="120"/>
        <w:jc w:val="both"/>
      </w:pPr>
      <w:r>
        <w:rPr>
          <w:rFonts w:ascii="Times New Roman" w:eastAsia="宋体" w:hAnsi="Times New Roman"/>
          <w:color w:val="000000"/>
          <w:sz w:val="20"/>
          <w:szCs w:val="20"/>
        </w:rPr>
        <w:t>In fiscal 2020, we completed six</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acquisitions for total purchase consideration of</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$359 million.</w:t>
      </w:r>
    </w:p>
    <w:p w14:paraId="518B5FFA" w14:textId="77777777" w:rsidR="005C332D" w:rsidRDefault="00B93EAE">
      <w:pPr>
        <w:spacing w:before="120"/>
        <w:jc w:val="both"/>
      </w:pPr>
      <w:r>
        <w:rPr>
          <w:rFonts w:ascii="Times New Roman" w:eastAsia="宋体" w:hAnsi="Times New Roman"/>
          <w:b/>
          <w:bCs/>
          <w:color w:val="000000"/>
          <w:sz w:val="20"/>
          <w:szCs w:val="20"/>
        </w:rPr>
        <w:t xml:space="preserve">(b) Other Acquisition and Divestiture Information </w:t>
      </w:r>
    </w:p>
    <w:p w14:paraId="518B5FFB" w14:textId="77777777" w:rsidR="005C332D" w:rsidRDefault="00B93EAE">
      <w:pPr>
        <w:spacing w:before="120"/>
        <w:jc w:val="both"/>
      </w:pPr>
      <w:r>
        <w:rPr>
          <w:rFonts w:ascii="Times New Roman" w:eastAsia="宋体" w:hAnsi="Times New Roman"/>
          <w:color w:val="000000"/>
          <w:sz w:val="20"/>
          <w:szCs w:val="20"/>
        </w:rPr>
        <w:t>Total transaction costs related to acquisition and divestiture activities during fiscal 2022, 2021, and 2020 were $50 million, $46 million, and $21 million, respectively. These transaction costs were expen</w:t>
      </w:r>
      <w:r>
        <w:rPr>
          <w:rFonts w:ascii="Times New Roman" w:eastAsia="宋体" w:hAnsi="Times New Roman"/>
          <w:color w:val="000000"/>
          <w:sz w:val="20"/>
          <w:szCs w:val="20"/>
        </w:rPr>
        <w:t xml:space="preserve">sed as incurred in G&amp;A expenses in the Consolidated Statements of Operations. </w:t>
      </w:r>
    </w:p>
    <w:p w14:paraId="518B5FFC" w14:textId="77777777" w:rsidR="005C332D" w:rsidRDefault="00B93EAE">
      <w:pPr>
        <w:spacing w:before="120"/>
        <w:jc w:val="both"/>
      </w:pPr>
      <w:r>
        <w:rPr>
          <w:rFonts w:ascii="Times New Roman" w:eastAsia="宋体" w:hAnsi="Times New Roman"/>
          <w:color w:val="000000"/>
          <w:sz w:val="20"/>
          <w:szCs w:val="20"/>
        </w:rPr>
        <w:t>The goodwill generated from acquisitions completed during fiscal 2022 is primarily related to expected synergies. The goodwill is generally not deductible for income tax purpose</w:t>
      </w:r>
      <w:r>
        <w:rPr>
          <w:rFonts w:ascii="Times New Roman" w:eastAsia="宋体" w:hAnsi="Times New Roman"/>
          <w:color w:val="000000"/>
          <w:sz w:val="20"/>
          <w:szCs w:val="20"/>
        </w:rPr>
        <w:t>s.</w:t>
      </w:r>
    </w:p>
    <w:p w14:paraId="518B5FFD" w14:textId="77777777" w:rsidR="005C332D" w:rsidRDefault="00B93EAE">
      <w:pPr>
        <w:jc w:val="center"/>
      </w:pPr>
      <w:r>
        <w:rPr>
          <w:rFonts w:ascii="Times New Roman" w:eastAsia="宋体" w:hAnsi="Times New Roman"/>
          <w:color w:val="000000"/>
          <w:sz w:val="20"/>
          <w:szCs w:val="20"/>
        </w:rPr>
        <w:t>72</w:t>
      </w:r>
    </w:p>
    <w:p w14:paraId="518B5FFE" w14:textId="77777777" w:rsidR="005C332D" w:rsidRDefault="00B93EAE">
      <w:r>
        <w:pict w14:anchorId="518B875D">
          <v:rect id="_x0000_i1098" style="width:415.3pt;height:1.5pt" o:hralign="center" o:hrstd="t" o:hr="t" fillcolor="#a0a0a0" stroked="f"/>
        </w:pict>
      </w:r>
    </w:p>
    <w:p w14:paraId="518B5FFF" w14:textId="77777777" w:rsidR="005C332D" w:rsidRDefault="005C332D"/>
    <w:p w14:paraId="518B6000" w14:textId="77777777" w:rsidR="005C332D" w:rsidRDefault="00B93EAE">
      <w:pPr>
        <w:spacing w:before="120"/>
        <w:jc w:val="both"/>
      </w:pPr>
      <w:r>
        <w:rPr>
          <w:rFonts w:ascii="Times New Roman" w:eastAsia="宋体" w:hAnsi="Times New Roman"/>
          <w:color w:val="000000"/>
          <w:sz w:val="20"/>
          <w:szCs w:val="20"/>
        </w:rPr>
        <w:t xml:space="preserve">The Consolidated Financial Statements include the operating results of each acquisition from the date of acquisition. Pro forma results of operations and the revenue and net income subsequent to the acquisition date for the acquisitions completed </w:t>
      </w:r>
      <w:r>
        <w:rPr>
          <w:rFonts w:ascii="Times New Roman" w:eastAsia="宋体" w:hAnsi="Times New Roman"/>
          <w:color w:val="000000"/>
          <w:sz w:val="20"/>
          <w:szCs w:val="20"/>
        </w:rPr>
        <w:t>during fiscal 2022, 2021, and 2020 have not been presented because the effects of the acquisitions, individually and in the aggregate, were not material to our financial results.</w:t>
      </w:r>
    </w:p>
    <w:p w14:paraId="518B6001" w14:textId="77777777" w:rsidR="005C332D" w:rsidRDefault="005C332D">
      <w:pPr>
        <w:spacing w:before="120"/>
      </w:pPr>
    </w:p>
    <w:p w14:paraId="518B6002" w14:textId="77777777" w:rsidR="005C332D" w:rsidRDefault="00B93EAE">
      <w:pPr>
        <w:ind w:hanging="360"/>
      </w:pPr>
      <w:r>
        <w:rPr>
          <w:rFonts w:ascii="Times New Roman" w:eastAsia="宋体" w:hAnsi="Times New Roman"/>
          <w:b/>
          <w:bCs/>
          <w:color w:val="000000"/>
          <w:sz w:val="20"/>
          <w:szCs w:val="20"/>
        </w:rPr>
        <w:t xml:space="preserve">5.Goodwill and Purchased Intangible Assets </w:t>
      </w:r>
    </w:p>
    <w:p w14:paraId="518B6003" w14:textId="77777777" w:rsidR="005C332D" w:rsidRDefault="00B93EAE">
      <w:pPr>
        <w:spacing w:before="120"/>
        <w:ind w:hanging="360"/>
      </w:pPr>
      <w:r>
        <w:rPr>
          <w:rFonts w:ascii="Times New Roman" w:eastAsia="宋体" w:hAnsi="Times New Roman"/>
          <w:b/>
          <w:bCs/>
          <w:color w:val="000000"/>
          <w:sz w:val="20"/>
          <w:szCs w:val="20"/>
        </w:rPr>
        <w:t>(a)Goodwill</w:t>
      </w:r>
    </w:p>
    <w:p w14:paraId="518B6004" w14:textId="77777777" w:rsidR="005C332D" w:rsidRDefault="00B93EAE">
      <w:pPr>
        <w:spacing w:before="120"/>
        <w:jc w:val="both"/>
      </w:pPr>
      <w:r>
        <w:rPr>
          <w:rFonts w:ascii="Times New Roman" w:eastAsia="宋体" w:hAnsi="Times New Roman"/>
          <w:color w:val="000000"/>
          <w:sz w:val="20"/>
          <w:szCs w:val="20"/>
        </w:rPr>
        <w:t xml:space="preserve">The following tables present the goodwill allocated to our reportable segments as of July 30, 2022 and July 31, 2021, as well as the changes to goodwill during fiscal 2022 and 2021 (in millions): </w:t>
      </w:r>
    </w:p>
    <w:tbl>
      <w:tblPr>
        <w:tblW w:w="4985" w:type="pct"/>
        <w:tblCellMar>
          <w:top w:w="15" w:type="dxa"/>
          <w:left w:w="15" w:type="dxa"/>
          <w:bottom w:w="15" w:type="dxa"/>
          <w:right w:w="15" w:type="dxa"/>
        </w:tblCellMar>
        <w:tblLook w:val="04A0" w:firstRow="1" w:lastRow="0" w:firstColumn="1" w:lastColumn="0" w:noHBand="0" w:noVBand="1"/>
      </w:tblPr>
      <w:tblGrid>
        <w:gridCol w:w="37"/>
        <w:gridCol w:w="4146"/>
        <w:gridCol w:w="36"/>
        <w:gridCol w:w="120"/>
        <w:gridCol w:w="797"/>
        <w:gridCol w:w="36"/>
        <w:gridCol w:w="36"/>
        <w:gridCol w:w="36"/>
        <w:gridCol w:w="36"/>
        <w:gridCol w:w="121"/>
        <w:gridCol w:w="902"/>
        <w:gridCol w:w="36"/>
        <w:gridCol w:w="36"/>
        <w:gridCol w:w="36"/>
        <w:gridCol w:w="36"/>
        <w:gridCol w:w="120"/>
        <w:gridCol w:w="689"/>
        <w:gridCol w:w="36"/>
        <w:gridCol w:w="36"/>
        <w:gridCol w:w="36"/>
        <w:gridCol w:w="36"/>
        <w:gridCol w:w="120"/>
        <w:gridCol w:w="755"/>
        <w:gridCol w:w="36"/>
      </w:tblGrid>
      <w:tr w:rsidR="005C332D" w14:paraId="518B601D" w14:textId="77777777">
        <w:tc>
          <w:tcPr>
            <w:tcW w:w="50" w:type="pct"/>
            <w:shd w:val="clear" w:color="auto" w:fill="auto"/>
            <w:vAlign w:val="bottom"/>
          </w:tcPr>
          <w:p w14:paraId="518B6005" w14:textId="77777777" w:rsidR="005C332D" w:rsidRDefault="005C332D">
            <w:pPr>
              <w:rPr>
                <w:rFonts w:ascii="宋体"/>
              </w:rPr>
            </w:pPr>
          </w:p>
        </w:tc>
        <w:tc>
          <w:tcPr>
            <w:tcW w:w="2525" w:type="pct"/>
            <w:shd w:val="clear" w:color="auto" w:fill="auto"/>
            <w:vAlign w:val="bottom"/>
          </w:tcPr>
          <w:p w14:paraId="518B6006" w14:textId="77777777" w:rsidR="005C332D" w:rsidRDefault="005C332D">
            <w:pPr>
              <w:rPr>
                <w:rFonts w:ascii="宋体"/>
              </w:rPr>
            </w:pPr>
          </w:p>
        </w:tc>
        <w:tc>
          <w:tcPr>
            <w:tcW w:w="5" w:type="pct"/>
            <w:shd w:val="clear" w:color="auto" w:fill="auto"/>
            <w:vAlign w:val="bottom"/>
          </w:tcPr>
          <w:p w14:paraId="518B6007" w14:textId="77777777" w:rsidR="005C332D" w:rsidRDefault="005C332D">
            <w:pPr>
              <w:rPr>
                <w:rFonts w:ascii="宋体"/>
              </w:rPr>
            </w:pPr>
          </w:p>
        </w:tc>
        <w:tc>
          <w:tcPr>
            <w:tcW w:w="50" w:type="pct"/>
            <w:shd w:val="clear" w:color="auto" w:fill="auto"/>
            <w:vAlign w:val="bottom"/>
          </w:tcPr>
          <w:p w14:paraId="518B6008" w14:textId="77777777" w:rsidR="005C332D" w:rsidRDefault="005C332D">
            <w:pPr>
              <w:rPr>
                <w:rFonts w:ascii="宋体"/>
              </w:rPr>
            </w:pPr>
          </w:p>
        </w:tc>
        <w:tc>
          <w:tcPr>
            <w:tcW w:w="509" w:type="pct"/>
            <w:shd w:val="clear" w:color="auto" w:fill="auto"/>
            <w:vAlign w:val="bottom"/>
          </w:tcPr>
          <w:p w14:paraId="518B6009" w14:textId="77777777" w:rsidR="005C332D" w:rsidRDefault="005C332D">
            <w:pPr>
              <w:rPr>
                <w:rFonts w:ascii="宋体"/>
              </w:rPr>
            </w:pPr>
          </w:p>
        </w:tc>
        <w:tc>
          <w:tcPr>
            <w:tcW w:w="5" w:type="pct"/>
            <w:shd w:val="clear" w:color="auto" w:fill="auto"/>
            <w:vAlign w:val="bottom"/>
          </w:tcPr>
          <w:p w14:paraId="518B600A" w14:textId="77777777" w:rsidR="005C332D" w:rsidRDefault="005C332D">
            <w:pPr>
              <w:rPr>
                <w:rFonts w:ascii="宋体"/>
              </w:rPr>
            </w:pPr>
          </w:p>
        </w:tc>
        <w:tc>
          <w:tcPr>
            <w:tcW w:w="5" w:type="pct"/>
            <w:shd w:val="clear" w:color="auto" w:fill="auto"/>
            <w:vAlign w:val="bottom"/>
          </w:tcPr>
          <w:p w14:paraId="518B600B" w14:textId="77777777" w:rsidR="005C332D" w:rsidRDefault="005C332D">
            <w:pPr>
              <w:rPr>
                <w:rFonts w:ascii="宋体"/>
              </w:rPr>
            </w:pPr>
          </w:p>
        </w:tc>
        <w:tc>
          <w:tcPr>
            <w:tcW w:w="26" w:type="pct"/>
            <w:shd w:val="clear" w:color="auto" w:fill="auto"/>
            <w:vAlign w:val="bottom"/>
          </w:tcPr>
          <w:p w14:paraId="518B600C" w14:textId="77777777" w:rsidR="005C332D" w:rsidRDefault="005C332D">
            <w:pPr>
              <w:rPr>
                <w:rFonts w:ascii="宋体"/>
              </w:rPr>
            </w:pPr>
          </w:p>
        </w:tc>
        <w:tc>
          <w:tcPr>
            <w:tcW w:w="5" w:type="pct"/>
            <w:shd w:val="clear" w:color="auto" w:fill="auto"/>
            <w:vAlign w:val="bottom"/>
          </w:tcPr>
          <w:p w14:paraId="518B600D" w14:textId="77777777" w:rsidR="005C332D" w:rsidRDefault="005C332D">
            <w:pPr>
              <w:rPr>
                <w:rFonts w:ascii="宋体"/>
              </w:rPr>
            </w:pPr>
          </w:p>
        </w:tc>
        <w:tc>
          <w:tcPr>
            <w:tcW w:w="50" w:type="pct"/>
            <w:shd w:val="clear" w:color="auto" w:fill="auto"/>
            <w:vAlign w:val="bottom"/>
          </w:tcPr>
          <w:p w14:paraId="518B600E" w14:textId="77777777" w:rsidR="005C332D" w:rsidRDefault="005C332D">
            <w:pPr>
              <w:rPr>
                <w:rFonts w:ascii="宋体"/>
              </w:rPr>
            </w:pPr>
          </w:p>
        </w:tc>
        <w:tc>
          <w:tcPr>
            <w:tcW w:w="560" w:type="pct"/>
            <w:shd w:val="clear" w:color="auto" w:fill="auto"/>
            <w:vAlign w:val="bottom"/>
          </w:tcPr>
          <w:p w14:paraId="518B600F" w14:textId="77777777" w:rsidR="005C332D" w:rsidRDefault="005C332D">
            <w:pPr>
              <w:rPr>
                <w:rFonts w:ascii="宋体"/>
              </w:rPr>
            </w:pPr>
          </w:p>
        </w:tc>
        <w:tc>
          <w:tcPr>
            <w:tcW w:w="5" w:type="pct"/>
            <w:shd w:val="clear" w:color="auto" w:fill="auto"/>
            <w:vAlign w:val="bottom"/>
          </w:tcPr>
          <w:p w14:paraId="518B6010" w14:textId="77777777" w:rsidR="005C332D" w:rsidRDefault="005C332D">
            <w:pPr>
              <w:rPr>
                <w:rFonts w:ascii="宋体"/>
              </w:rPr>
            </w:pPr>
          </w:p>
        </w:tc>
        <w:tc>
          <w:tcPr>
            <w:tcW w:w="5" w:type="pct"/>
            <w:shd w:val="clear" w:color="auto" w:fill="auto"/>
            <w:vAlign w:val="bottom"/>
          </w:tcPr>
          <w:p w14:paraId="518B6011" w14:textId="77777777" w:rsidR="005C332D" w:rsidRDefault="005C332D">
            <w:pPr>
              <w:rPr>
                <w:rFonts w:ascii="宋体"/>
              </w:rPr>
            </w:pPr>
          </w:p>
        </w:tc>
        <w:tc>
          <w:tcPr>
            <w:tcW w:w="26" w:type="pct"/>
            <w:shd w:val="clear" w:color="auto" w:fill="auto"/>
            <w:vAlign w:val="bottom"/>
          </w:tcPr>
          <w:p w14:paraId="518B6012" w14:textId="77777777" w:rsidR="005C332D" w:rsidRDefault="005C332D">
            <w:pPr>
              <w:rPr>
                <w:rFonts w:ascii="宋体"/>
              </w:rPr>
            </w:pPr>
          </w:p>
        </w:tc>
        <w:tc>
          <w:tcPr>
            <w:tcW w:w="5" w:type="pct"/>
            <w:shd w:val="clear" w:color="auto" w:fill="auto"/>
            <w:vAlign w:val="bottom"/>
          </w:tcPr>
          <w:p w14:paraId="518B6013" w14:textId="77777777" w:rsidR="005C332D" w:rsidRDefault="005C332D">
            <w:pPr>
              <w:rPr>
                <w:rFonts w:ascii="宋体"/>
              </w:rPr>
            </w:pPr>
          </w:p>
        </w:tc>
        <w:tc>
          <w:tcPr>
            <w:tcW w:w="50" w:type="pct"/>
            <w:shd w:val="clear" w:color="auto" w:fill="auto"/>
            <w:vAlign w:val="bottom"/>
          </w:tcPr>
          <w:p w14:paraId="518B6014" w14:textId="77777777" w:rsidR="005C332D" w:rsidRDefault="005C332D">
            <w:pPr>
              <w:rPr>
                <w:rFonts w:ascii="宋体"/>
              </w:rPr>
            </w:pPr>
          </w:p>
        </w:tc>
        <w:tc>
          <w:tcPr>
            <w:tcW w:w="509" w:type="pct"/>
            <w:shd w:val="clear" w:color="auto" w:fill="auto"/>
            <w:vAlign w:val="bottom"/>
          </w:tcPr>
          <w:p w14:paraId="518B6015" w14:textId="77777777" w:rsidR="005C332D" w:rsidRDefault="005C332D">
            <w:pPr>
              <w:rPr>
                <w:rFonts w:ascii="宋体"/>
              </w:rPr>
            </w:pPr>
          </w:p>
        </w:tc>
        <w:tc>
          <w:tcPr>
            <w:tcW w:w="5" w:type="pct"/>
            <w:shd w:val="clear" w:color="auto" w:fill="auto"/>
            <w:vAlign w:val="bottom"/>
          </w:tcPr>
          <w:p w14:paraId="518B6016" w14:textId="77777777" w:rsidR="005C332D" w:rsidRDefault="005C332D">
            <w:pPr>
              <w:rPr>
                <w:rFonts w:ascii="宋体"/>
              </w:rPr>
            </w:pPr>
          </w:p>
        </w:tc>
        <w:tc>
          <w:tcPr>
            <w:tcW w:w="5" w:type="pct"/>
            <w:shd w:val="clear" w:color="auto" w:fill="auto"/>
            <w:vAlign w:val="bottom"/>
          </w:tcPr>
          <w:p w14:paraId="518B6017" w14:textId="77777777" w:rsidR="005C332D" w:rsidRDefault="005C332D">
            <w:pPr>
              <w:rPr>
                <w:rFonts w:ascii="宋体"/>
              </w:rPr>
            </w:pPr>
          </w:p>
        </w:tc>
        <w:tc>
          <w:tcPr>
            <w:tcW w:w="26" w:type="pct"/>
            <w:shd w:val="clear" w:color="auto" w:fill="auto"/>
            <w:vAlign w:val="bottom"/>
          </w:tcPr>
          <w:p w14:paraId="518B6018" w14:textId="77777777" w:rsidR="005C332D" w:rsidRDefault="005C332D">
            <w:pPr>
              <w:rPr>
                <w:rFonts w:ascii="宋体"/>
              </w:rPr>
            </w:pPr>
          </w:p>
        </w:tc>
        <w:tc>
          <w:tcPr>
            <w:tcW w:w="5" w:type="pct"/>
            <w:shd w:val="clear" w:color="auto" w:fill="auto"/>
            <w:vAlign w:val="bottom"/>
          </w:tcPr>
          <w:p w14:paraId="518B6019" w14:textId="77777777" w:rsidR="005C332D" w:rsidRDefault="005C332D">
            <w:pPr>
              <w:rPr>
                <w:rFonts w:ascii="宋体"/>
              </w:rPr>
            </w:pPr>
          </w:p>
        </w:tc>
        <w:tc>
          <w:tcPr>
            <w:tcW w:w="50" w:type="pct"/>
            <w:shd w:val="clear" w:color="auto" w:fill="auto"/>
            <w:vAlign w:val="bottom"/>
          </w:tcPr>
          <w:p w14:paraId="518B601A" w14:textId="77777777" w:rsidR="005C332D" w:rsidRDefault="005C332D">
            <w:pPr>
              <w:rPr>
                <w:rFonts w:ascii="宋体"/>
              </w:rPr>
            </w:pPr>
          </w:p>
        </w:tc>
        <w:tc>
          <w:tcPr>
            <w:tcW w:w="509" w:type="pct"/>
            <w:shd w:val="clear" w:color="auto" w:fill="auto"/>
            <w:vAlign w:val="bottom"/>
          </w:tcPr>
          <w:p w14:paraId="518B601B" w14:textId="77777777" w:rsidR="005C332D" w:rsidRDefault="005C332D">
            <w:pPr>
              <w:rPr>
                <w:rFonts w:ascii="宋体"/>
              </w:rPr>
            </w:pPr>
          </w:p>
        </w:tc>
        <w:tc>
          <w:tcPr>
            <w:tcW w:w="5" w:type="pct"/>
            <w:shd w:val="clear" w:color="auto" w:fill="auto"/>
            <w:vAlign w:val="bottom"/>
          </w:tcPr>
          <w:p w14:paraId="518B601C" w14:textId="77777777" w:rsidR="005C332D" w:rsidRDefault="005C332D">
            <w:pPr>
              <w:rPr>
                <w:rFonts w:ascii="宋体"/>
              </w:rPr>
            </w:pPr>
          </w:p>
        </w:tc>
      </w:tr>
      <w:tr w:rsidR="005C332D" w14:paraId="518B6026" w14:textId="77777777">
        <w:tc>
          <w:tcPr>
            <w:tcW w:w="0" w:type="auto"/>
            <w:gridSpan w:val="3"/>
            <w:shd w:val="clear" w:color="auto" w:fill="auto"/>
            <w:tcMar>
              <w:top w:w="0" w:type="dxa"/>
              <w:left w:w="20" w:type="dxa"/>
              <w:bottom w:w="0" w:type="dxa"/>
              <w:right w:w="20" w:type="dxa"/>
            </w:tcMar>
            <w:vAlign w:val="bottom"/>
          </w:tcPr>
          <w:p w14:paraId="518B601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01F" w14:textId="77777777" w:rsidR="005C332D" w:rsidRDefault="00B93EAE">
            <w:pPr>
              <w:jc w:val="center"/>
              <w:textAlignment w:val="bottom"/>
            </w:pPr>
            <w:r>
              <w:rPr>
                <w:rFonts w:ascii="Times New Roman" w:eastAsia="宋体" w:hAnsi="Times New Roman"/>
                <w:b/>
                <w:bCs/>
                <w:color w:val="000000"/>
                <w:sz w:val="18"/>
                <w:szCs w:val="18"/>
              </w:rPr>
              <w:t>Balance at July 31, 2021</w:t>
            </w:r>
          </w:p>
        </w:tc>
        <w:tc>
          <w:tcPr>
            <w:tcW w:w="0" w:type="auto"/>
            <w:gridSpan w:val="3"/>
            <w:shd w:val="clear" w:color="auto" w:fill="auto"/>
            <w:tcMar>
              <w:top w:w="0" w:type="dxa"/>
              <w:left w:w="20" w:type="dxa"/>
              <w:bottom w:w="0" w:type="dxa"/>
              <w:right w:w="20" w:type="dxa"/>
            </w:tcMar>
            <w:vAlign w:val="bottom"/>
          </w:tcPr>
          <w:p w14:paraId="518B602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021" w14:textId="77777777" w:rsidR="005C332D" w:rsidRDefault="00B93EAE">
            <w:pPr>
              <w:jc w:val="center"/>
              <w:textAlignment w:val="bottom"/>
            </w:pPr>
            <w:r>
              <w:rPr>
                <w:rFonts w:ascii="Times New Roman" w:eastAsia="宋体" w:hAnsi="Times New Roman"/>
                <w:b/>
                <w:bCs/>
                <w:color w:val="000000"/>
                <w:sz w:val="18"/>
                <w:szCs w:val="18"/>
              </w:rPr>
              <w:t>Acquisitions &amp; Divestitures</w:t>
            </w:r>
          </w:p>
        </w:tc>
        <w:tc>
          <w:tcPr>
            <w:tcW w:w="0" w:type="auto"/>
            <w:gridSpan w:val="3"/>
            <w:shd w:val="clear" w:color="auto" w:fill="auto"/>
            <w:tcMar>
              <w:top w:w="0" w:type="dxa"/>
              <w:left w:w="20" w:type="dxa"/>
              <w:bottom w:w="0" w:type="dxa"/>
              <w:right w:w="20" w:type="dxa"/>
            </w:tcMar>
            <w:vAlign w:val="bottom"/>
          </w:tcPr>
          <w:p w14:paraId="518B602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023" w14:textId="77777777" w:rsidR="005C332D" w:rsidRDefault="00B93EAE">
            <w:pPr>
              <w:jc w:val="center"/>
              <w:textAlignment w:val="bottom"/>
            </w:pPr>
            <w:r>
              <w:rPr>
                <w:rFonts w:ascii="Times New Roman" w:eastAsia="宋体" w:hAnsi="Times New Roman"/>
                <w:b/>
                <w:bCs/>
                <w:color w:val="000000"/>
                <w:sz w:val="18"/>
                <w:szCs w:val="18"/>
              </w:rPr>
              <w:t>Other</w:t>
            </w:r>
          </w:p>
        </w:tc>
        <w:tc>
          <w:tcPr>
            <w:tcW w:w="0" w:type="auto"/>
            <w:gridSpan w:val="3"/>
            <w:shd w:val="clear" w:color="auto" w:fill="auto"/>
            <w:tcMar>
              <w:top w:w="0" w:type="dxa"/>
              <w:left w:w="20" w:type="dxa"/>
              <w:bottom w:w="0" w:type="dxa"/>
              <w:right w:w="20" w:type="dxa"/>
            </w:tcMar>
            <w:vAlign w:val="bottom"/>
          </w:tcPr>
          <w:p w14:paraId="518B602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025" w14:textId="77777777" w:rsidR="005C332D" w:rsidRDefault="00B93EAE">
            <w:pPr>
              <w:jc w:val="center"/>
              <w:textAlignment w:val="bottom"/>
            </w:pPr>
            <w:r>
              <w:rPr>
                <w:rFonts w:ascii="Times New Roman" w:eastAsia="宋体" w:hAnsi="Times New Roman"/>
                <w:b/>
                <w:bCs/>
                <w:color w:val="000000"/>
                <w:sz w:val="18"/>
                <w:szCs w:val="18"/>
              </w:rPr>
              <w:t>Balance at July 30, 2022</w:t>
            </w:r>
          </w:p>
        </w:tc>
      </w:tr>
      <w:tr w:rsidR="005C332D" w14:paraId="518B6037" w14:textId="77777777">
        <w:tc>
          <w:tcPr>
            <w:tcW w:w="0" w:type="auto"/>
            <w:gridSpan w:val="3"/>
            <w:shd w:val="clear" w:color="auto" w:fill="CCEEFF"/>
            <w:tcMar>
              <w:top w:w="40" w:type="dxa"/>
              <w:left w:w="20" w:type="dxa"/>
              <w:bottom w:w="40" w:type="dxa"/>
              <w:right w:w="20" w:type="dxa"/>
            </w:tcMar>
          </w:tcPr>
          <w:p w14:paraId="518B6027" w14:textId="77777777" w:rsidR="005C332D" w:rsidRDefault="00B93EAE">
            <w:pPr>
              <w:textAlignment w:val="top"/>
            </w:pPr>
            <w:r>
              <w:rPr>
                <w:rFonts w:ascii="Times New Roman" w:eastAsia="宋体" w:hAnsi="Times New Roman"/>
                <w:b/>
                <w:bCs/>
                <w:color w:val="000000"/>
                <w:sz w:val="20"/>
                <w:szCs w:val="20"/>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028"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029" w14:textId="77777777" w:rsidR="005C332D" w:rsidRDefault="00B93EAE">
            <w:pPr>
              <w:jc w:val="right"/>
              <w:textAlignment w:val="bottom"/>
            </w:pPr>
            <w:r>
              <w:rPr>
                <w:rFonts w:ascii="Times New Roman" w:eastAsia="宋体" w:hAnsi="Times New Roman"/>
                <w:b/>
                <w:bCs/>
                <w:color w:val="000000"/>
                <w:sz w:val="20"/>
                <w:szCs w:val="20"/>
              </w:rPr>
              <w:t>23,673</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02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2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02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02D" w14:textId="77777777" w:rsidR="005C332D" w:rsidRDefault="00B93EAE">
            <w:pPr>
              <w:jc w:val="right"/>
              <w:textAlignment w:val="bottom"/>
            </w:pPr>
            <w:r>
              <w:rPr>
                <w:rFonts w:ascii="Times New Roman" w:eastAsia="宋体" w:hAnsi="Times New Roman"/>
                <w:b/>
                <w:bCs/>
                <w:color w:val="000000"/>
                <w:sz w:val="20"/>
                <w:szCs w:val="20"/>
              </w:rPr>
              <w:t>222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02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2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03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031" w14:textId="77777777" w:rsidR="005C332D" w:rsidRDefault="00B93EAE">
            <w:pPr>
              <w:jc w:val="right"/>
              <w:textAlignment w:val="bottom"/>
            </w:pPr>
            <w:r>
              <w:rPr>
                <w:rFonts w:ascii="Times New Roman" w:eastAsia="宋体" w:hAnsi="Times New Roman"/>
                <w:b/>
                <w:bCs/>
                <w:color w:val="000000"/>
                <w:sz w:val="20"/>
                <w:szCs w:val="20"/>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03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3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03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035" w14:textId="77777777" w:rsidR="005C332D" w:rsidRDefault="00B93EAE">
            <w:pPr>
              <w:jc w:val="right"/>
              <w:textAlignment w:val="bottom"/>
            </w:pPr>
            <w:r>
              <w:rPr>
                <w:rFonts w:ascii="Times New Roman" w:eastAsia="宋体" w:hAnsi="Times New Roman"/>
                <w:b/>
                <w:bCs/>
                <w:color w:val="000000"/>
                <w:sz w:val="20"/>
                <w:szCs w:val="20"/>
              </w:rPr>
              <w:t>23,882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036" w14:textId="77777777" w:rsidR="005C332D" w:rsidRDefault="005C332D">
            <w:pPr>
              <w:jc w:val="right"/>
              <w:rPr>
                <w:rFonts w:ascii="宋体"/>
              </w:rPr>
            </w:pPr>
          </w:p>
        </w:tc>
      </w:tr>
      <w:tr w:rsidR="005C332D" w14:paraId="518B6044" w14:textId="77777777">
        <w:tc>
          <w:tcPr>
            <w:tcW w:w="0" w:type="auto"/>
            <w:gridSpan w:val="3"/>
            <w:shd w:val="clear" w:color="auto" w:fill="FFFFFF"/>
            <w:tcMar>
              <w:top w:w="40" w:type="dxa"/>
              <w:left w:w="20" w:type="dxa"/>
              <w:bottom w:w="40" w:type="dxa"/>
              <w:right w:w="20" w:type="dxa"/>
            </w:tcMar>
          </w:tcPr>
          <w:p w14:paraId="518B6038" w14:textId="77777777" w:rsidR="005C332D" w:rsidRDefault="00B93EAE">
            <w:pPr>
              <w:textAlignment w:val="top"/>
            </w:pPr>
            <w:r>
              <w:rPr>
                <w:rFonts w:ascii="Times New Roman" w:eastAsia="宋体" w:hAnsi="Times New Roman"/>
                <w:b/>
                <w:bCs/>
                <w:color w:val="000000"/>
                <w:sz w:val="20"/>
                <w:szCs w:val="20"/>
              </w:rPr>
              <w:t>EMEA</w:t>
            </w:r>
          </w:p>
        </w:tc>
        <w:tc>
          <w:tcPr>
            <w:tcW w:w="0" w:type="auto"/>
            <w:gridSpan w:val="2"/>
            <w:shd w:val="clear" w:color="auto" w:fill="FFFFFF"/>
            <w:tcMar>
              <w:top w:w="40" w:type="dxa"/>
              <w:left w:w="20" w:type="dxa"/>
              <w:bottom w:w="40" w:type="dxa"/>
              <w:right w:w="0" w:type="dxa"/>
            </w:tcMar>
            <w:vAlign w:val="bottom"/>
          </w:tcPr>
          <w:p w14:paraId="518B6039" w14:textId="77777777" w:rsidR="005C332D" w:rsidRDefault="00B93EAE">
            <w:pPr>
              <w:jc w:val="right"/>
              <w:textAlignment w:val="bottom"/>
            </w:pPr>
            <w:r>
              <w:rPr>
                <w:rFonts w:ascii="Times New Roman" w:eastAsia="宋体" w:hAnsi="Times New Roman"/>
                <w:b/>
                <w:bCs/>
                <w:color w:val="000000"/>
                <w:sz w:val="20"/>
                <w:szCs w:val="20"/>
              </w:rPr>
              <w:t>9,094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03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3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03C" w14:textId="77777777" w:rsidR="005C332D" w:rsidRDefault="00B93EAE">
            <w:pPr>
              <w:jc w:val="right"/>
              <w:textAlignment w:val="bottom"/>
            </w:pPr>
            <w:r>
              <w:rPr>
                <w:rFonts w:ascii="Times New Roman" w:eastAsia="宋体" w:hAnsi="Times New Roman"/>
                <w:b/>
                <w:bCs/>
                <w:color w:val="000000"/>
                <w:sz w:val="20"/>
                <w:szCs w:val="20"/>
              </w:rPr>
              <w:t>83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03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3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03F" w14:textId="77777777" w:rsidR="005C332D" w:rsidRDefault="00B93EAE">
            <w:pPr>
              <w:jc w:val="right"/>
              <w:textAlignment w:val="bottom"/>
            </w:pPr>
            <w:r>
              <w:rPr>
                <w:rFonts w:ascii="Times New Roman" w:eastAsia="宋体" w:hAnsi="Times New Roman"/>
                <w:b/>
                <w:bCs/>
                <w:color w:val="000000"/>
                <w:sz w:val="20"/>
                <w:szCs w:val="20"/>
              </w:rPr>
              <w:t>(115)</w:t>
            </w:r>
          </w:p>
        </w:tc>
        <w:tc>
          <w:tcPr>
            <w:tcW w:w="0" w:type="auto"/>
            <w:shd w:val="clear" w:color="auto" w:fill="FFFFFF"/>
            <w:tcMar>
              <w:top w:w="40" w:type="dxa"/>
              <w:left w:w="0" w:type="dxa"/>
              <w:bottom w:w="40" w:type="dxa"/>
              <w:right w:w="20" w:type="dxa"/>
            </w:tcMar>
            <w:vAlign w:val="bottom"/>
          </w:tcPr>
          <w:p w14:paraId="518B604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4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042" w14:textId="77777777" w:rsidR="005C332D" w:rsidRDefault="00B93EAE">
            <w:pPr>
              <w:jc w:val="right"/>
              <w:textAlignment w:val="bottom"/>
            </w:pPr>
            <w:r>
              <w:rPr>
                <w:rFonts w:ascii="Times New Roman" w:eastAsia="宋体" w:hAnsi="Times New Roman"/>
                <w:b/>
                <w:bCs/>
                <w:color w:val="000000"/>
                <w:sz w:val="20"/>
                <w:szCs w:val="20"/>
              </w:rPr>
              <w:t>9,062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043" w14:textId="77777777" w:rsidR="005C332D" w:rsidRDefault="005C332D">
            <w:pPr>
              <w:jc w:val="right"/>
              <w:rPr>
                <w:rFonts w:ascii="宋体"/>
              </w:rPr>
            </w:pPr>
          </w:p>
        </w:tc>
      </w:tr>
      <w:tr w:rsidR="005C332D" w14:paraId="518B6051" w14:textId="77777777">
        <w:tc>
          <w:tcPr>
            <w:tcW w:w="0" w:type="auto"/>
            <w:gridSpan w:val="3"/>
            <w:shd w:val="clear" w:color="auto" w:fill="CCEEFF"/>
            <w:tcMar>
              <w:top w:w="40" w:type="dxa"/>
              <w:left w:w="20" w:type="dxa"/>
              <w:bottom w:w="40" w:type="dxa"/>
              <w:right w:w="20" w:type="dxa"/>
            </w:tcMar>
          </w:tcPr>
          <w:p w14:paraId="518B6045" w14:textId="77777777" w:rsidR="005C332D" w:rsidRDefault="00B93EAE">
            <w:pPr>
              <w:textAlignment w:val="top"/>
            </w:pPr>
            <w:r>
              <w:rPr>
                <w:rFonts w:ascii="Times New Roman" w:eastAsia="宋体" w:hAnsi="Times New Roman"/>
                <w:b/>
                <w:bCs/>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518B6046" w14:textId="77777777" w:rsidR="005C332D" w:rsidRDefault="00B93EAE">
            <w:pPr>
              <w:jc w:val="right"/>
              <w:textAlignment w:val="bottom"/>
            </w:pPr>
            <w:r>
              <w:rPr>
                <w:rFonts w:ascii="Times New Roman" w:eastAsia="宋体" w:hAnsi="Times New Roman"/>
                <w:b/>
                <w:bCs/>
                <w:color w:val="000000"/>
                <w:sz w:val="20"/>
                <w:szCs w:val="20"/>
              </w:rPr>
              <w:t>5,401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04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4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049" w14:textId="77777777" w:rsidR="005C332D" w:rsidRDefault="00B93EAE">
            <w:pPr>
              <w:jc w:val="right"/>
              <w:textAlignment w:val="bottom"/>
            </w:pPr>
            <w:r>
              <w:rPr>
                <w:rFonts w:ascii="Times New Roman" w:eastAsia="宋体" w:hAnsi="Times New Roman"/>
                <w:b/>
                <w:bCs/>
                <w:color w:val="000000"/>
                <w:sz w:val="20"/>
                <w:szCs w:val="20"/>
              </w:rPr>
              <w:t>27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04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4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04C" w14:textId="77777777" w:rsidR="005C332D" w:rsidRDefault="00B93EAE">
            <w:pPr>
              <w:jc w:val="right"/>
              <w:textAlignment w:val="bottom"/>
            </w:pPr>
            <w:r>
              <w:rPr>
                <w:rFonts w:ascii="Times New Roman" w:eastAsia="宋体" w:hAnsi="Times New Roman"/>
                <w:b/>
                <w:bCs/>
                <w:color w:val="000000"/>
                <w:sz w:val="20"/>
                <w:szCs w:val="20"/>
              </w:rPr>
              <w:t>(68)</w:t>
            </w:r>
          </w:p>
        </w:tc>
        <w:tc>
          <w:tcPr>
            <w:tcW w:w="0" w:type="auto"/>
            <w:shd w:val="clear" w:color="auto" w:fill="CCEEFF"/>
            <w:tcMar>
              <w:top w:w="40" w:type="dxa"/>
              <w:left w:w="0" w:type="dxa"/>
              <w:bottom w:w="40" w:type="dxa"/>
              <w:right w:w="20" w:type="dxa"/>
            </w:tcMar>
            <w:vAlign w:val="bottom"/>
          </w:tcPr>
          <w:p w14:paraId="518B604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4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04F" w14:textId="77777777" w:rsidR="005C332D" w:rsidRDefault="00B93EAE">
            <w:pPr>
              <w:jc w:val="right"/>
              <w:textAlignment w:val="bottom"/>
            </w:pPr>
            <w:r>
              <w:rPr>
                <w:rFonts w:ascii="Times New Roman" w:eastAsia="宋体" w:hAnsi="Times New Roman"/>
                <w:b/>
                <w:bCs/>
                <w:color w:val="000000"/>
                <w:sz w:val="20"/>
                <w:szCs w:val="20"/>
              </w:rPr>
              <w:t>5,360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050" w14:textId="77777777" w:rsidR="005C332D" w:rsidRDefault="005C332D">
            <w:pPr>
              <w:jc w:val="right"/>
              <w:rPr>
                <w:rFonts w:ascii="宋体"/>
              </w:rPr>
            </w:pPr>
          </w:p>
        </w:tc>
      </w:tr>
      <w:tr w:rsidR="005C332D" w14:paraId="518B6062" w14:textId="77777777">
        <w:tc>
          <w:tcPr>
            <w:tcW w:w="0" w:type="auto"/>
            <w:gridSpan w:val="3"/>
            <w:shd w:val="clear" w:color="auto" w:fill="FFFFFF"/>
            <w:tcMar>
              <w:top w:w="40" w:type="dxa"/>
              <w:left w:w="380" w:type="dxa"/>
              <w:bottom w:w="40" w:type="dxa"/>
              <w:right w:w="20" w:type="dxa"/>
            </w:tcMar>
          </w:tcPr>
          <w:p w14:paraId="518B6052" w14:textId="77777777" w:rsidR="005C332D" w:rsidRDefault="00B93EAE">
            <w:pPr>
              <w:textAlignment w:val="top"/>
            </w:pPr>
            <w:r>
              <w:rPr>
                <w:rFonts w:ascii="Times New Roman" w:eastAsia="宋体" w:hAnsi="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05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054" w14:textId="77777777" w:rsidR="005C332D" w:rsidRDefault="00B93EAE">
            <w:pPr>
              <w:jc w:val="right"/>
              <w:textAlignment w:val="bottom"/>
            </w:pPr>
            <w:r>
              <w:rPr>
                <w:rFonts w:ascii="Times New Roman" w:eastAsia="宋体" w:hAnsi="Times New Roman"/>
                <w:b/>
                <w:bCs/>
                <w:color w:val="000000"/>
                <w:sz w:val="20"/>
                <w:szCs w:val="20"/>
              </w:rPr>
              <w:t>38,168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05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56"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05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058" w14:textId="77777777" w:rsidR="005C332D" w:rsidRDefault="00B93EAE">
            <w:pPr>
              <w:jc w:val="right"/>
              <w:textAlignment w:val="bottom"/>
            </w:pPr>
            <w:r>
              <w:rPr>
                <w:rFonts w:ascii="Times New Roman" w:eastAsia="宋体" w:hAnsi="Times New Roman"/>
                <w:b/>
                <w:bCs/>
                <w:color w:val="000000"/>
                <w:sz w:val="20"/>
                <w:szCs w:val="20"/>
              </w:rPr>
              <w:t>332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05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5A"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05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05C" w14:textId="77777777" w:rsidR="005C332D" w:rsidRDefault="00B93EAE">
            <w:pPr>
              <w:jc w:val="right"/>
              <w:textAlignment w:val="bottom"/>
            </w:pPr>
            <w:r>
              <w:rPr>
                <w:rFonts w:ascii="Times New Roman" w:eastAsia="宋体" w:hAnsi="Times New Roman"/>
                <w:b/>
                <w:bCs/>
                <w:color w:val="000000"/>
                <w:sz w:val="20"/>
                <w:szCs w:val="20"/>
              </w:rPr>
              <w:t>(196)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05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5E"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05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060" w14:textId="77777777" w:rsidR="005C332D" w:rsidRDefault="00B93EAE">
            <w:pPr>
              <w:jc w:val="right"/>
              <w:textAlignment w:val="bottom"/>
            </w:pPr>
            <w:r>
              <w:rPr>
                <w:rFonts w:ascii="Times New Roman" w:eastAsia="宋体" w:hAnsi="Times New Roman"/>
                <w:b/>
                <w:bCs/>
                <w:color w:val="000000"/>
                <w:sz w:val="20"/>
                <w:szCs w:val="20"/>
              </w:rPr>
              <w:t>38,304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061" w14:textId="77777777" w:rsidR="005C332D" w:rsidRDefault="005C332D">
            <w:pPr>
              <w:jc w:val="right"/>
              <w:rPr>
                <w:rFonts w:ascii="宋体"/>
              </w:rPr>
            </w:pPr>
          </w:p>
        </w:tc>
      </w:tr>
    </w:tbl>
    <w:p w14:paraId="518B6063" w14:textId="77777777" w:rsidR="005C332D" w:rsidRDefault="005C332D">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4146"/>
        <w:gridCol w:w="36"/>
        <w:gridCol w:w="120"/>
        <w:gridCol w:w="797"/>
        <w:gridCol w:w="36"/>
        <w:gridCol w:w="36"/>
        <w:gridCol w:w="36"/>
        <w:gridCol w:w="36"/>
        <w:gridCol w:w="121"/>
        <w:gridCol w:w="866"/>
        <w:gridCol w:w="36"/>
        <w:gridCol w:w="36"/>
        <w:gridCol w:w="36"/>
        <w:gridCol w:w="36"/>
        <w:gridCol w:w="120"/>
        <w:gridCol w:w="725"/>
        <w:gridCol w:w="36"/>
        <w:gridCol w:w="36"/>
        <w:gridCol w:w="36"/>
        <w:gridCol w:w="36"/>
        <w:gridCol w:w="120"/>
        <w:gridCol w:w="755"/>
        <w:gridCol w:w="36"/>
      </w:tblGrid>
      <w:tr w:rsidR="005C332D" w14:paraId="518B607C" w14:textId="77777777">
        <w:trPr>
          <w:jc w:val="center"/>
        </w:trPr>
        <w:tc>
          <w:tcPr>
            <w:tcW w:w="50" w:type="pct"/>
            <w:shd w:val="clear" w:color="auto" w:fill="auto"/>
            <w:vAlign w:val="bottom"/>
          </w:tcPr>
          <w:p w14:paraId="518B6064" w14:textId="77777777" w:rsidR="005C332D" w:rsidRDefault="005C332D">
            <w:pPr>
              <w:rPr>
                <w:rFonts w:ascii="宋体"/>
              </w:rPr>
            </w:pPr>
          </w:p>
        </w:tc>
        <w:tc>
          <w:tcPr>
            <w:tcW w:w="2525" w:type="pct"/>
            <w:shd w:val="clear" w:color="auto" w:fill="auto"/>
            <w:vAlign w:val="bottom"/>
          </w:tcPr>
          <w:p w14:paraId="518B6065" w14:textId="77777777" w:rsidR="005C332D" w:rsidRDefault="005C332D">
            <w:pPr>
              <w:rPr>
                <w:rFonts w:ascii="宋体"/>
              </w:rPr>
            </w:pPr>
          </w:p>
        </w:tc>
        <w:tc>
          <w:tcPr>
            <w:tcW w:w="5" w:type="pct"/>
            <w:shd w:val="clear" w:color="auto" w:fill="auto"/>
            <w:vAlign w:val="bottom"/>
          </w:tcPr>
          <w:p w14:paraId="518B6066" w14:textId="77777777" w:rsidR="005C332D" w:rsidRDefault="005C332D">
            <w:pPr>
              <w:rPr>
                <w:rFonts w:ascii="宋体"/>
              </w:rPr>
            </w:pPr>
          </w:p>
        </w:tc>
        <w:tc>
          <w:tcPr>
            <w:tcW w:w="50" w:type="pct"/>
            <w:shd w:val="clear" w:color="auto" w:fill="auto"/>
            <w:vAlign w:val="bottom"/>
          </w:tcPr>
          <w:p w14:paraId="518B6067" w14:textId="77777777" w:rsidR="005C332D" w:rsidRDefault="005C332D">
            <w:pPr>
              <w:rPr>
                <w:rFonts w:ascii="宋体"/>
              </w:rPr>
            </w:pPr>
          </w:p>
        </w:tc>
        <w:tc>
          <w:tcPr>
            <w:tcW w:w="509" w:type="pct"/>
            <w:shd w:val="clear" w:color="auto" w:fill="auto"/>
            <w:vAlign w:val="bottom"/>
          </w:tcPr>
          <w:p w14:paraId="518B6068" w14:textId="77777777" w:rsidR="005C332D" w:rsidRDefault="005C332D">
            <w:pPr>
              <w:rPr>
                <w:rFonts w:ascii="宋体"/>
              </w:rPr>
            </w:pPr>
          </w:p>
        </w:tc>
        <w:tc>
          <w:tcPr>
            <w:tcW w:w="5" w:type="pct"/>
            <w:shd w:val="clear" w:color="auto" w:fill="auto"/>
            <w:vAlign w:val="bottom"/>
          </w:tcPr>
          <w:p w14:paraId="518B6069" w14:textId="77777777" w:rsidR="005C332D" w:rsidRDefault="005C332D">
            <w:pPr>
              <w:rPr>
                <w:rFonts w:ascii="宋体"/>
              </w:rPr>
            </w:pPr>
          </w:p>
        </w:tc>
        <w:tc>
          <w:tcPr>
            <w:tcW w:w="5" w:type="pct"/>
            <w:shd w:val="clear" w:color="auto" w:fill="auto"/>
            <w:vAlign w:val="bottom"/>
          </w:tcPr>
          <w:p w14:paraId="518B606A" w14:textId="77777777" w:rsidR="005C332D" w:rsidRDefault="005C332D">
            <w:pPr>
              <w:rPr>
                <w:rFonts w:ascii="宋体"/>
              </w:rPr>
            </w:pPr>
          </w:p>
        </w:tc>
        <w:tc>
          <w:tcPr>
            <w:tcW w:w="26" w:type="pct"/>
            <w:shd w:val="clear" w:color="auto" w:fill="auto"/>
            <w:vAlign w:val="bottom"/>
          </w:tcPr>
          <w:p w14:paraId="518B606B" w14:textId="77777777" w:rsidR="005C332D" w:rsidRDefault="005C332D">
            <w:pPr>
              <w:rPr>
                <w:rFonts w:ascii="宋体"/>
              </w:rPr>
            </w:pPr>
          </w:p>
        </w:tc>
        <w:tc>
          <w:tcPr>
            <w:tcW w:w="5" w:type="pct"/>
            <w:shd w:val="clear" w:color="auto" w:fill="auto"/>
            <w:vAlign w:val="bottom"/>
          </w:tcPr>
          <w:p w14:paraId="518B606C" w14:textId="77777777" w:rsidR="005C332D" w:rsidRDefault="005C332D">
            <w:pPr>
              <w:rPr>
                <w:rFonts w:ascii="宋体"/>
              </w:rPr>
            </w:pPr>
          </w:p>
        </w:tc>
        <w:tc>
          <w:tcPr>
            <w:tcW w:w="50" w:type="pct"/>
            <w:shd w:val="clear" w:color="auto" w:fill="auto"/>
            <w:vAlign w:val="bottom"/>
          </w:tcPr>
          <w:p w14:paraId="518B606D" w14:textId="77777777" w:rsidR="005C332D" w:rsidRDefault="005C332D">
            <w:pPr>
              <w:rPr>
                <w:rFonts w:ascii="宋体"/>
              </w:rPr>
            </w:pPr>
          </w:p>
        </w:tc>
        <w:tc>
          <w:tcPr>
            <w:tcW w:w="560" w:type="pct"/>
            <w:shd w:val="clear" w:color="auto" w:fill="auto"/>
            <w:vAlign w:val="bottom"/>
          </w:tcPr>
          <w:p w14:paraId="518B606E" w14:textId="77777777" w:rsidR="005C332D" w:rsidRDefault="005C332D">
            <w:pPr>
              <w:rPr>
                <w:rFonts w:ascii="宋体"/>
              </w:rPr>
            </w:pPr>
          </w:p>
        </w:tc>
        <w:tc>
          <w:tcPr>
            <w:tcW w:w="5" w:type="pct"/>
            <w:shd w:val="clear" w:color="auto" w:fill="auto"/>
            <w:vAlign w:val="bottom"/>
          </w:tcPr>
          <w:p w14:paraId="518B606F" w14:textId="77777777" w:rsidR="005C332D" w:rsidRDefault="005C332D">
            <w:pPr>
              <w:rPr>
                <w:rFonts w:ascii="宋体"/>
              </w:rPr>
            </w:pPr>
          </w:p>
        </w:tc>
        <w:tc>
          <w:tcPr>
            <w:tcW w:w="5" w:type="pct"/>
            <w:shd w:val="clear" w:color="auto" w:fill="auto"/>
            <w:vAlign w:val="bottom"/>
          </w:tcPr>
          <w:p w14:paraId="518B6070" w14:textId="77777777" w:rsidR="005C332D" w:rsidRDefault="005C332D">
            <w:pPr>
              <w:rPr>
                <w:rFonts w:ascii="宋体"/>
              </w:rPr>
            </w:pPr>
          </w:p>
        </w:tc>
        <w:tc>
          <w:tcPr>
            <w:tcW w:w="26" w:type="pct"/>
            <w:shd w:val="clear" w:color="auto" w:fill="auto"/>
            <w:vAlign w:val="bottom"/>
          </w:tcPr>
          <w:p w14:paraId="518B6071" w14:textId="77777777" w:rsidR="005C332D" w:rsidRDefault="005C332D">
            <w:pPr>
              <w:rPr>
                <w:rFonts w:ascii="宋体"/>
              </w:rPr>
            </w:pPr>
          </w:p>
        </w:tc>
        <w:tc>
          <w:tcPr>
            <w:tcW w:w="5" w:type="pct"/>
            <w:shd w:val="clear" w:color="auto" w:fill="auto"/>
            <w:vAlign w:val="bottom"/>
          </w:tcPr>
          <w:p w14:paraId="518B6072" w14:textId="77777777" w:rsidR="005C332D" w:rsidRDefault="005C332D">
            <w:pPr>
              <w:rPr>
                <w:rFonts w:ascii="宋体"/>
              </w:rPr>
            </w:pPr>
          </w:p>
        </w:tc>
        <w:tc>
          <w:tcPr>
            <w:tcW w:w="50" w:type="pct"/>
            <w:shd w:val="clear" w:color="auto" w:fill="auto"/>
            <w:vAlign w:val="bottom"/>
          </w:tcPr>
          <w:p w14:paraId="518B6073" w14:textId="77777777" w:rsidR="005C332D" w:rsidRDefault="005C332D">
            <w:pPr>
              <w:rPr>
                <w:rFonts w:ascii="宋体"/>
              </w:rPr>
            </w:pPr>
          </w:p>
        </w:tc>
        <w:tc>
          <w:tcPr>
            <w:tcW w:w="509" w:type="pct"/>
            <w:shd w:val="clear" w:color="auto" w:fill="auto"/>
            <w:vAlign w:val="bottom"/>
          </w:tcPr>
          <w:p w14:paraId="518B6074" w14:textId="77777777" w:rsidR="005C332D" w:rsidRDefault="005C332D">
            <w:pPr>
              <w:rPr>
                <w:rFonts w:ascii="宋体"/>
              </w:rPr>
            </w:pPr>
          </w:p>
        </w:tc>
        <w:tc>
          <w:tcPr>
            <w:tcW w:w="5" w:type="pct"/>
            <w:shd w:val="clear" w:color="auto" w:fill="auto"/>
            <w:vAlign w:val="bottom"/>
          </w:tcPr>
          <w:p w14:paraId="518B6075" w14:textId="77777777" w:rsidR="005C332D" w:rsidRDefault="005C332D">
            <w:pPr>
              <w:rPr>
                <w:rFonts w:ascii="宋体"/>
              </w:rPr>
            </w:pPr>
          </w:p>
        </w:tc>
        <w:tc>
          <w:tcPr>
            <w:tcW w:w="5" w:type="pct"/>
            <w:shd w:val="clear" w:color="auto" w:fill="auto"/>
            <w:vAlign w:val="bottom"/>
          </w:tcPr>
          <w:p w14:paraId="518B6076" w14:textId="77777777" w:rsidR="005C332D" w:rsidRDefault="005C332D">
            <w:pPr>
              <w:rPr>
                <w:rFonts w:ascii="宋体"/>
              </w:rPr>
            </w:pPr>
          </w:p>
        </w:tc>
        <w:tc>
          <w:tcPr>
            <w:tcW w:w="26" w:type="pct"/>
            <w:shd w:val="clear" w:color="auto" w:fill="auto"/>
            <w:vAlign w:val="bottom"/>
          </w:tcPr>
          <w:p w14:paraId="518B6077" w14:textId="77777777" w:rsidR="005C332D" w:rsidRDefault="005C332D">
            <w:pPr>
              <w:rPr>
                <w:rFonts w:ascii="宋体"/>
              </w:rPr>
            </w:pPr>
          </w:p>
        </w:tc>
        <w:tc>
          <w:tcPr>
            <w:tcW w:w="5" w:type="pct"/>
            <w:shd w:val="clear" w:color="auto" w:fill="auto"/>
            <w:vAlign w:val="bottom"/>
          </w:tcPr>
          <w:p w14:paraId="518B6078" w14:textId="77777777" w:rsidR="005C332D" w:rsidRDefault="005C332D">
            <w:pPr>
              <w:rPr>
                <w:rFonts w:ascii="宋体"/>
              </w:rPr>
            </w:pPr>
          </w:p>
        </w:tc>
        <w:tc>
          <w:tcPr>
            <w:tcW w:w="50" w:type="pct"/>
            <w:shd w:val="clear" w:color="auto" w:fill="auto"/>
            <w:vAlign w:val="bottom"/>
          </w:tcPr>
          <w:p w14:paraId="518B6079" w14:textId="77777777" w:rsidR="005C332D" w:rsidRDefault="005C332D">
            <w:pPr>
              <w:rPr>
                <w:rFonts w:ascii="宋体"/>
              </w:rPr>
            </w:pPr>
          </w:p>
        </w:tc>
        <w:tc>
          <w:tcPr>
            <w:tcW w:w="509" w:type="pct"/>
            <w:shd w:val="clear" w:color="auto" w:fill="auto"/>
            <w:vAlign w:val="bottom"/>
          </w:tcPr>
          <w:p w14:paraId="518B607A" w14:textId="77777777" w:rsidR="005C332D" w:rsidRDefault="005C332D">
            <w:pPr>
              <w:rPr>
                <w:rFonts w:ascii="宋体"/>
              </w:rPr>
            </w:pPr>
          </w:p>
        </w:tc>
        <w:tc>
          <w:tcPr>
            <w:tcW w:w="5" w:type="pct"/>
            <w:shd w:val="clear" w:color="auto" w:fill="auto"/>
            <w:vAlign w:val="bottom"/>
          </w:tcPr>
          <w:p w14:paraId="518B607B" w14:textId="77777777" w:rsidR="005C332D" w:rsidRDefault="005C332D">
            <w:pPr>
              <w:rPr>
                <w:rFonts w:ascii="宋体"/>
              </w:rPr>
            </w:pPr>
          </w:p>
        </w:tc>
      </w:tr>
      <w:tr w:rsidR="005C332D" w14:paraId="518B6085" w14:textId="77777777">
        <w:trPr>
          <w:jc w:val="center"/>
        </w:trPr>
        <w:tc>
          <w:tcPr>
            <w:tcW w:w="0" w:type="auto"/>
            <w:gridSpan w:val="3"/>
            <w:shd w:val="clear" w:color="auto" w:fill="FFFFFF"/>
            <w:tcMar>
              <w:top w:w="40" w:type="dxa"/>
              <w:left w:w="20" w:type="dxa"/>
              <w:bottom w:w="40" w:type="dxa"/>
              <w:right w:w="20" w:type="dxa"/>
            </w:tcMar>
            <w:vAlign w:val="bottom"/>
          </w:tcPr>
          <w:p w14:paraId="518B607D"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18B607E" w14:textId="77777777" w:rsidR="005C332D" w:rsidRDefault="00B93EAE">
            <w:pPr>
              <w:jc w:val="center"/>
              <w:textAlignment w:val="bottom"/>
            </w:pPr>
            <w:r>
              <w:rPr>
                <w:rFonts w:ascii="Times New Roman" w:eastAsia="宋体" w:hAnsi="Times New Roman"/>
                <w:color w:val="000000"/>
                <w:sz w:val="18"/>
                <w:szCs w:val="18"/>
              </w:rPr>
              <w:t>Balance at July 25, 2020</w:t>
            </w:r>
          </w:p>
        </w:tc>
        <w:tc>
          <w:tcPr>
            <w:tcW w:w="0" w:type="auto"/>
            <w:gridSpan w:val="3"/>
            <w:shd w:val="clear" w:color="auto" w:fill="auto"/>
            <w:tcMar>
              <w:top w:w="0" w:type="dxa"/>
              <w:left w:w="20" w:type="dxa"/>
              <w:bottom w:w="0" w:type="dxa"/>
              <w:right w:w="20" w:type="dxa"/>
            </w:tcMar>
            <w:vAlign w:val="bottom"/>
          </w:tcPr>
          <w:p w14:paraId="518B607F"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080" w14:textId="77777777" w:rsidR="005C332D" w:rsidRDefault="00B93EAE">
            <w:pPr>
              <w:jc w:val="center"/>
              <w:textAlignment w:val="bottom"/>
            </w:pPr>
            <w:r>
              <w:rPr>
                <w:rFonts w:ascii="Times New Roman" w:eastAsia="宋体" w:hAnsi="Times New Roman"/>
                <w:color w:val="000000"/>
                <w:sz w:val="18"/>
                <w:szCs w:val="18"/>
              </w:rPr>
              <w:t>Acquisitions &amp; Divestitures</w:t>
            </w:r>
          </w:p>
        </w:tc>
        <w:tc>
          <w:tcPr>
            <w:tcW w:w="0" w:type="auto"/>
            <w:gridSpan w:val="3"/>
            <w:shd w:val="clear" w:color="auto" w:fill="auto"/>
            <w:tcMar>
              <w:top w:w="0" w:type="dxa"/>
              <w:left w:w="20" w:type="dxa"/>
              <w:bottom w:w="0" w:type="dxa"/>
              <w:right w:w="20" w:type="dxa"/>
            </w:tcMar>
            <w:vAlign w:val="bottom"/>
          </w:tcPr>
          <w:p w14:paraId="518B6081"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082" w14:textId="77777777" w:rsidR="005C332D" w:rsidRDefault="00B93EAE">
            <w:pPr>
              <w:jc w:val="center"/>
              <w:textAlignment w:val="bottom"/>
            </w:pPr>
            <w:r>
              <w:rPr>
                <w:rFonts w:ascii="Times New Roman" w:eastAsia="宋体" w:hAnsi="Times New Roman"/>
                <w:color w:val="000000"/>
                <w:sz w:val="18"/>
                <w:szCs w:val="18"/>
              </w:rPr>
              <w:t>Other</w:t>
            </w:r>
          </w:p>
        </w:tc>
        <w:tc>
          <w:tcPr>
            <w:tcW w:w="0" w:type="auto"/>
            <w:gridSpan w:val="3"/>
            <w:shd w:val="clear" w:color="auto" w:fill="FFFFFF"/>
            <w:tcMar>
              <w:top w:w="0" w:type="dxa"/>
              <w:left w:w="20" w:type="dxa"/>
              <w:bottom w:w="0" w:type="dxa"/>
              <w:right w:w="20" w:type="dxa"/>
            </w:tcMar>
            <w:vAlign w:val="bottom"/>
          </w:tcPr>
          <w:p w14:paraId="518B608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6084" w14:textId="77777777" w:rsidR="005C332D" w:rsidRDefault="00B93EAE">
            <w:pPr>
              <w:jc w:val="center"/>
              <w:textAlignment w:val="bottom"/>
            </w:pPr>
            <w:r>
              <w:rPr>
                <w:rFonts w:ascii="Times New Roman" w:eastAsia="宋体" w:hAnsi="Times New Roman"/>
                <w:color w:val="000000"/>
                <w:sz w:val="18"/>
                <w:szCs w:val="18"/>
              </w:rPr>
              <w:t>Balance at July 31, 2021</w:t>
            </w:r>
          </w:p>
        </w:tc>
      </w:tr>
      <w:tr w:rsidR="005C332D" w14:paraId="518B6096" w14:textId="77777777">
        <w:trPr>
          <w:jc w:val="center"/>
        </w:trPr>
        <w:tc>
          <w:tcPr>
            <w:tcW w:w="0" w:type="auto"/>
            <w:gridSpan w:val="3"/>
            <w:shd w:val="clear" w:color="auto" w:fill="CCEEFF"/>
            <w:tcMar>
              <w:top w:w="40" w:type="dxa"/>
              <w:left w:w="20" w:type="dxa"/>
              <w:bottom w:w="40" w:type="dxa"/>
              <w:right w:w="20" w:type="dxa"/>
            </w:tcMar>
          </w:tcPr>
          <w:p w14:paraId="518B6086" w14:textId="77777777" w:rsidR="005C332D" w:rsidRDefault="00B93EAE">
            <w:pPr>
              <w:textAlignment w:val="top"/>
            </w:pPr>
            <w:r>
              <w:rPr>
                <w:rFonts w:ascii="Times New Roman" w:eastAsia="宋体" w:hAnsi="Times New Roman"/>
                <w:color w:val="000000"/>
                <w:sz w:val="20"/>
                <w:szCs w:val="20"/>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08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088" w14:textId="77777777" w:rsidR="005C332D" w:rsidRDefault="00B93EAE">
            <w:pPr>
              <w:jc w:val="right"/>
              <w:textAlignment w:val="bottom"/>
            </w:pPr>
            <w:r>
              <w:rPr>
                <w:rFonts w:ascii="Times New Roman" w:eastAsia="宋体" w:hAnsi="Times New Roman"/>
                <w:color w:val="000000"/>
                <w:sz w:val="20"/>
                <w:szCs w:val="20"/>
              </w:rPr>
              <w:t>21,304 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08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8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08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08C" w14:textId="77777777" w:rsidR="005C332D" w:rsidRDefault="00B93EAE">
            <w:pPr>
              <w:jc w:val="right"/>
              <w:textAlignment w:val="bottom"/>
            </w:pPr>
            <w:r>
              <w:rPr>
                <w:rFonts w:ascii="Times New Roman" w:eastAsia="宋体" w:hAnsi="Times New Roman"/>
                <w:color w:val="000000"/>
                <w:sz w:val="20"/>
                <w:szCs w:val="20"/>
              </w:rPr>
              <w:t>2,275 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08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8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08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090" w14:textId="77777777" w:rsidR="005C332D" w:rsidRDefault="00B93EAE">
            <w:pPr>
              <w:jc w:val="right"/>
              <w:textAlignment w:val="bottom"/>
            </w:pPr>
            <w:r>
              <w:rPr>
                <w:rFonts w:ascii="Times New Roman" w:eastAsia="宋体" w:hAnsi="Times New Roman"/>
                <w:color w:val="000000"/>
                <w:sz w:val="20"/>
                <w:szCs w:val="20"/>
              </w:rPr>
              <w:t>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09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9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09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094" w14:textId="77777777" w:rsidR="005C332D" w:rsidRDefault="00B93EAE">
            <w:pPr>
              <w:jc w:val="right"/>
              <w:textAlignment w:val="bottom"/>
            </w:pPr>
            <w:r>
              <w:rPr>
                <w:rFonts w:ascii="Times New Roman" w:eastAsia="宋体" w:hAnsi="Times New Roman"/>
                <w:color w:val="000000"/>
                <w:sz w:val="20"/>
                <w:szCs w:val="20"/>
              </w:rPr>
              <w:t>23,673 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095" w14:textId="77777777" w:rsidR="005C332D" w:rsidRDefault="005C332D">
            <w:pPr>
              <w:jc w:val="right"/>
              <w:rPr>
                <w:rFonts w:ascii="宋体"/>
              </w:rPr>
            </w:pPr>
          </w:p>
        </w:tc>
      </w:tr>
      <w:tr w:rsidR="005C332D" w14:paraId="518B60A3" w14:textId="77777777">
        <w:trPr>
          <w:jc w:val="center"/>
        </w:trPr>
        <w:tc>
          <w:tcPr>
            <w:tcW w:w="0" w:type="auto"/>
            <w:gridSpan w:val="3"/>
            <w:shd w:val="clear" w:color="auto" w:fill="FFFFFF"/>
            <w:tcMar>
              <w:top w:w="40" w:type="dxa"/>
              <w:left w:w="20" w:type="dxa"/>
              <w:bottom w:w="40" w:type="dxa"/>
              <w:right w:w="20" w:type="dxa"/>
            </w:tcMar>
          </w:tcPr>
          <w:p w14:paraId="518B6097" w14:textId="77777777" w:rsidR="005C332D" w:rsidRDefault="00B93EAE">
            <w:pPr>
              <w:textAlignment w:val="top"/>
            </w:pPr>
            <w:r>
              <w:rPr>
                <w:rFonts w:ascii="Times New Roman" w:eastAsia="宋体" w:hAnsi="Times New Roman"/>
                <w:color w:val="000000"/>
                <w:sz w:val="20"/>
                <w:szCs w:val="20"/>
              </w:rPr>
              <w:t>EMEA</w:t>
            </w:r>
          </w:p>
        </w:tc>
        <w:tc>
          <w:tcPr>
            <w:tcW w:w="0" w:type="auto"/>
            <w:gridSpan w:val="2"/>
            <w:shd w:val="clear" w:color="auto" w:fill="FFFFFF"/>
            <w:tcMar>
              <w:top w:w="40" w:type="dxa"/>
              <w:left w:w="20" w:type="dxa"/>
              <w:bottom w:w="40" w:type="dxa"/>
              <w:right w:w="0" w:type="dxa"/>
            </w:tcMar>
            <w:vAlign w:val="bottom"/>
          </w:tcPr>
          <w:p w14:paraId="518B6098" w14:textId="77777777" w:rsidR="005C332D" w:rsidRDefault="00B93EAE">
            <w:pPr>
              <w:jc w:val="right"/>
              <w:textAlignment w:val="bottom"/>
            </w:pPr>
            <w:r>
              <w:rPr>
                <w:rFonts w:ascii="Times New Roman" w:eastAsia="宋体" w:hAnsi="Times New Roman"/>
                <w:color w:val="000000"/>
                <w:sz w:val="20"/>
                <w:szCs w:val="20"/>
              </w:rPr>
              <w:t>8,040 </w:t>
            </w:r>
          </w:p>
        </w:tc>
        <w:tc>
          <w:tcPr>
            <w:tcW w:w="0" w:type="auto"/>
            <w:shd w:val="clear" w:color="auto" w:fill="FFFFFF"/>
            <w:tcMar>
              <w:top w:w="40" w:type="dxa"/>
              <w:left w:w="0" w:type="dxa"/>
              <w:bottom w:w="40" w:type="dxa"/>
              <w:right w:w="20" w:type="dxa"/>
            </w:tcMar>
            <w:vAlign w:val="bottom"/>
          </w:tcPr>
          <w:p w14:paraId="518B609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9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09B" w14:textId="77777777" w:rsidR="005C332D" w:rsidRDefault="00B93EAE">
            <w:pPr>
              <w:jc w:val="right"/>
              <w:textAlignment w:val="bottom"/>
            </w:pPr>
            <w:r>
              <w:rPr>
                <w:rFonts w:ascii="Times New Roman" w:eastAsia="宋体" w:hAnsi="Times New Roman"/>
                <w:color w:val="000000"/>
                <w:sz w:val="20"/>
                <w:szCs w:val="20"/>
              </w:rPr>
              <w:t>1,019 </w:t>
            </w:r>
          </w:p>
        </w:tc>
        <w:tc>
          <w:tcPr>
            <w:tcW w:w="0" w:type="auto"/>
            <w:shd w:val="clear" w:color="auto" w:fill="FFFFFF"/>
            <w:tcMar>
              <w:top w:w="40" w:type="dxa"/>
              <w:left w:w="0" w:type="dxa"/>
              <w:bottom w:w="40" w:type="dxa"/>
              <w:right w:w="20" w:type="dxa"/>
            </w:tcMar>
            <w:vAlign w:val="bottom"/>
          </w:tcPr>
          <w:p w14:paraId="518B609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9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09E" w14:textId="77777777" w:rsidR="005C332D" w:rsidRDefault="00B93EAE">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518B609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A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0A1" w14:textId="77777777" w:rsidR="005C332D" w:rsidRDefault="00B93EAE">
            <w:pPr>
              <w:jc w:val="right"/>
              <w:textAlignment w:val="bottom"/>
            </w:pPr>
            <w:r>
              <w:rPr>
                <w:rFonts w:ascii="Times New Roman" w:eastAsia="宋体" w:hAnsi="Times New Roman"/>
                <w:color w:val="000000"/>
                <w:sz w:val="20"/>
                <w:szCs w:val="20"/>
              </w:rPr>
              <w:t>9,094 </w:t>
            </w:r>
          </w:p>
        </w:tc>
        <w:tc>
          <w:tcPr>
            <w:tcW w:w="0" w:type="auto"/>
            <w:shd w:val="clear" w:color="auto" w:fill="FFFFFF"/>
            <w:tcMar>
              <w:top w:w="40" w:type="dxa"/>
              <w:left w:w="0" w:type="dxa"/>
              <w:bottom w:w="40" w:type="dxa"/>
              <w:right w:w="20" w:type="dxa"/>
            </w:tcMar>
            <w:vAlign w:val="bottom"/>
          </w:tcPr>
          <w:p w14:paraId="518B60A2" w14:textId="77777777" w:rsidR="005C332D" w:rsidRDefault="005C332D">
            <w:pPr>
              <w:jc w:val="right"/>
              <w:rPr>
                <w:rFonts w:ascii="宋体"/>
              </w:rPr>
            </w:pPr>
          </w:p>
        </w:tc>
      </w:tr>
      <w:tr w:rsidR="005C332D" w14:paraId="518B60B0" w14:textId="77777777">
        <w:trPr>
          <w:jc w:val="center"/>
        </w:trPr>
        <w:tc>
          <w:tcPr>
            <w:tcW w:w="0" w:type="auto"/>
            <w:gridSpan w:val="3"/>
            <w:shd w:val="clear" w:color="auto" w:fill="CCEEFF"/>
            <w:tcMar>
              <w:top w:w="40" w:type="dxa"/>
              <w:left w:w="20" w:type="dxa"/>
              <w:bottom w:w="40" w:type="dxa"/>
              <w:right w:w="20" w:type="dxa"/>
            </w:tcMar>
          </w:tcPr>
          <w:p w14:paraId="518B60A4" w14:textId="77777777" w:rsidR="005C332D" w:rsidRDefault="00B93EAE">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518B60A5" w14:textId="77777777" w:rsidR="005C332D" w:rsidRDefault="00B93EAE">
            <w:pPr>
              <w:jc w:val="right"/>
              <w:textAlignment w:val="bottom"/>
            </w:pPr>
            <w:r>
              <w:rPr>
                <w:rFonts w:ascii="Times New Roman" w:eastAsia="宋体" w:hAnsi="Times New Roman"/>
                <w:color w:val="000000"/>
                <w:sz w:val="20"/>
                <w:szCs w:val="20"/>
              </w:rPr>
              <w:t>4,462 </w:t>
            </w:r>
          </w:p>
        </w:tc>
        <w:tc>
          <w:tcPr>
            <w:tcW w:w="0" w:type="auto"/>
            <w:shd w:val="clear" w:color="auto" w:fill="CCEEFF"/>
            <w:tcMar>
              <w:top w:w="40" w:type="dxa"/>
              <w:left w:w="0" w:type="dxa"/>
              <w:bottom w:w="40" w:type="dxa"/>
              <w:right w:w="20" w:type="dxa"/>
            </w:tcMar>
            <w:vAlign w:val="bottom"/>
          </w:tcPr>
          <w:p w14:paraId="518B60A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A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0A8" w14:textId="77777777" w:rsidR="005C332D" w:rsidRDefault="00B93EAE">
            <w:pPr>
              <w:jc w:val="right"/>
              <w:textAlignment w:val="bottom"/>
            </w:pPr>
            <w:r>
              <w:rPr>
                <w:rFonts w:ascii="Times New Roman" w:eastAsia="宋体" w:hAnsi="Times New Roman"/>
                <w:color w:val="000000"/>
                <w:sz w:val="20"/>
                <w:szCs w:val="20"/>
              </w:rPr>
              <w:t>920 </w:t>
            </w:r>
          </w:p>
        </w:tc>
        <w:tc>
          <w:tcPr>
            <w:tcW w:w="0" w:type="auto"/>
            <w:shd w:val="clear" w:color="auto" w:fill="CCEEFF"/>
            <w:tcMar>
              <w:top w:w="40" w:type="dxa"/>
              <w:left w:w="0" w:type="dxa"/>
              <w:bottom w:w="40" w:type="dxa"/>
              <w:right w:w="20" w:type="dxa"/>
            </w:tcMar>
            <w:vAlign w:val="bottom"/>
          </w:tcPr>
          <w:p w14:paraId="518B60A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A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0AB" w14:textId="77777777" w:rsidR="005C332D" w:rsidRDefault="00B93EAE">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518B60A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0A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0AE" w14:textId="77777777" w:rsidR="005C332D" w:rsidRDefault="00B93EAE">
            <w:pPr>
              <w:jc w:val="right"/>
              <w:textAlignment w:val="bottom"/>
            </w:pPr>
            <w:r>
              <w:rPr>
                <w:rFonts w:ascii="Times New Roman" w:eastAsia="宋体" w:hAnsi="Times New Roman"/>
                <w:color w:val="000000"/>
                <w:sz w:val="20"/>
                <w:szCs w:val="20"/>
              </w:rPr>
              <w:t>5,401 </w:t>
            </w:r>
          </w:p>
        </w:tc>
        <w:tc>
          <w:tcPr>
            <w:tcW w:w="0" w:type="auto"/>
            <w:shd w:val="clear" w:color="auto" w:fill="CCEEFF"/>
            <w:tcMar>
              <w:top w:w="40" w:type="dxa"/>
              <w:left w:w="0" w:type="dxa"/>
              <w:bottom w:w="40" w:type="dxa"/>
              <w:right w:w="20" w:type="dxa"/>
            </w:tcMar>
            <w:vAlign w:val="bottom"/>
          </w:tcPr>
          <w:p w14:paraId="518B60AF" w14:textId="77777777" w:rsidR="005C332D" w:rsidRDefault="005C332D">
            <w:pPr>
              <w:jc w:val="right"/>
              <w:rPr>
                <w:rFonts w:ascii="宋体"/>
              </w:rPr>
            </w:pPr>
          </w:p>
        </w:tc>
      </w:tr>
      <w:tr w:rsidR="005C332D" w14:paraId="518B60C1" w14:textId="77777777">
        <w:trPr>
          <w:jc w:val="center"/>
        </w:trPr>
        <w:tc>
          <w:tcPr>
            <w:tcW w:w="0" w:type="auto"/>
            <w:gridSpan w:val="3"/>
            <w:shd w:val="clear" w:color="auto" w:fill="FFFFFF"/>
            <w:tcMar>
              <w:top w:w="40" w:type="dxa"/>
              <w:left w:w="380" w:type="dxa"/>
              <w:bottom w:w="40" w:type="dxa"/>
              <w:right w:w="20" w:type="dxa"/>
            </w:tcMar>
          </w:tcPr>
          <w:p w14:paraId="518B60B1"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0B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0B3" w14:textId="77777777" w:rsidR="005C332D" w:rsidRDefault="00B93EAE">
            <w:pPr>
              <w:jc w:val="right"/>
              <w:textAlignment w:val="bottom"/>
            </w:pPr>
            <w:r>
              <w:rPr>
                <w:rFonts w:ascii="Times New Roman" w:eastAsia="宋体" w:hAnsi="Times New Roman"/>
                <w:color w:val="000000"/>
                <w:sz w:val="20"/>
                <w:szCs w:val="20"/>
              </w:rPr>
              <w:t>33,806 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0B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B5"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0B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0B7" w14:textId="77777777" w:rsidR="005C332D" w:rsidRDefault="00B93EAE">
            <w:pPr>
              <w:jc w:val="right"/>
              <w:textAlignment w:val="bottom"/>
            </w:pPr>
            <w:r>
              <w:rPr>
                <w:rFonts w:ascii="Times New Roman" w:eastAsia="宋体" w:hAnsi="Times New Roman"/>
                <w:color w:val="000000"/>
                <w:sz w:val="20"/>
                <w:szCs w:val="20"/>
              </w:rPr>
              <w:t>4,214 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0B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B9"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0B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0BB" w14:textId="77777777" w:rsidR="005C332D" w:rsidRDefault="00B93EAE">
            <w:pPr>
              <w:jc w:val="right"/>
              <w:textAlignment w:val="bottom"/>
            </w:pPr>
            <w:r>
              <w:rPr>
                <w:rFonts w:ascii="Times New Roman" w:eastAsia="宋体" w:hAnsi="Times New Roman"/>
                <w:color w:val="000000"/>
                <w:sz w:val="20"/>
                <w:szCs w:val="20"/>
              </w:rPr>
              <w:t>148 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0B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0BD"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0B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0BF" w14:textId="77777777" w:rsidR="005C332D" w:rsidRDefault="00B93EAE">
            <w:pPr>
              <w:jc w:val="right"/>
              <w:textAlignment w:val="bottom"/>
            </w:pPr>
            <w:r>
              <w:rPr>
                <w:rFonts w:ascii="Times New Roman" w:eastAsia="宋体" w:hAnsi="Times New Roman"/>
                <w:color w:val="000000"/>
                <w:sz w:val="20"/>
                <w:szCs w:val="20"/>
              </w:rPr>
              <w:t>38,168 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0C0" w14:textId="77777777" w:rsidR="005C332D" w:rsidRDefault="005C332D">
            <w:pPr>
              <w:jc w:val="right"/>
              <w:rPr>
                <w:rFonts w:ascii="宋体"/>
              </w:rPr>
            </w:pPr>
          </w:p>
        </w:tc>
      </w:tr>
    </w:tbl>
    <w:p w14:paraId="518B60C2" w14:textId="77777777" w:rsidR="005C332D" w:rsidRDefault="00B93EAE">
      <w:pPr>
        <w:spacing w:before="120"/>
      </w:pPr>
      <w:r>
        <w:rPr>
          <w:rFonts w:ascii="Times New Roman" w:eastAsia="宋体" w:hAnsi="Times New Roman"/>
          <w:color w:val="000000"/>
          <w:sz w:val="20"/>
          <w:szCs w:val="20"/>
        </w:rPr>
        <w:t>“Other” in the tables above consists of foreign currency translation as well as purchase accounting adju</w:t>
      </w:r>
      <w:r>
        <w:rPr>
          <w:rFonts w:ascii="Times New Roman" w:eastAsia="宋体" w:hAnsi="Times New Roman"/>
          <w:color w:val="000000"/>
          <w:sz w:val="20"/>
          <w:szCs w:val="20"/>
        </w:rPr>
        <w:t>stments.</w:t>
      </w:r>
    </w:p>
    <w:p w14:paraId="518B60C3" w14:textId="77777777" w:rsidR="005C332D" w:rsidRDefault="00B93EAE">
      <w:pPr>
        <w:spacing w:before="120"/>
        <w:ind w:hanging="360"/>
      </w:pPr>
      <w:r>
        <w:rPr>
          <w:rFonts w:ascii="Times New Roman" w:eastAsia="宋体" w:hAnsi="Times New Roman"/>
          <w:b/>
          <w:bCs/>
          <w:color w:val="000000"/>
          <w:sz w:val="20"/>
          <w:szCs w:val="20"/>
        </w:rPr>
        <w:t>(b)Purchased Intangible Assets     </w:t>
      </w:r>
    </w:p>
    <w:p w14:paraId="518B60C4" w14:textId="77777777" w:rsidR="005C332D" w:rsidRDefault="00B93EAE">
      <w:pPr>
        <w:spacing w:before="120"/>
        <w:jc w:val="both"/>
      </w:pPr>
      <w:r>
        <w:rPr>
          <w:rFonts w:ascii="Times New Roman" w:eastAsia="宋体" w:hAnsi="Times New Roman"/>
          <w:color w:val="000000"/>
          <w:sz w:val="20"/>
          <w:szCs w:val="20"/>
        </w:rPr>
        <w:t>The following tables present details of our intangible assets acquired through acquisitions completed during fiscal 2022 and 2021 (in millions, except years):</w:t>
      </w:r>
    </w:p>
    <w:tbl>
      <w:tblPr>
        <w:tblW w:w="4963" w:type="pct"/>
        <w:tblCellMar>
          <w:top w:w="15" w:type="dxa"/>
          <w:left w:w="15" w:type="dxa"/>
          <w:bottom w:w="15" w:type="dxa"/>
          <w:right w:w="15" w:type="dxa"/>
        </w:tblCellMar>
        <w:tblLook w:val="04A0" w:firstRow="1" w:lastRow="0" w:firstColumn="1" w:lastColumn="0" w:noHBand="0" w:noVBand="1"/>
      </w:tblPr>
      <w:tblGrid>
        <w:gridCol w:w="51"/>
        <w:gridCol w:w="879"/>
        <w:gridCol w:w="35"/>
        <w:gridCol w:w="91"/>
        <w:gridCol w:w="918"/>
        <w:gridCol w:w="35"/>
        <w:gridCol w:w="36"/>
        <w:gridCol w:w="35"/>
        <w:gridCol w:w="35"/>
        <w:gridCol w:w="116"/>
        <w:gridCol w:w="484"/>
        <w:gridCol w:w="36"/>
        <w:gridCol w:w="36"/>
        <w:gridCol w:w="36"/>
        <w:gridCol w:w="36"/>
        <w:gridCol w:w="92"/>
        <w:gridCol w:w="919"/>
        <w:gridCol w:w="37"/>
        <w:gridCol w:w="37"/>
        <w:gridCol w:w="37"/>
        <w:gridCol w:w="37"/>
        <w:gridCol w:w="116"/>
        <w:gridCol w:w="423"/>
        <w:gridCol w:w="36"/>
        <w:gridCol w:w="36"/>
        <w:gridCol w:w="36"/>
        <w:gridCol w:w="36"/>
        <w:gridCol w:w="92"/>
        <w:gridCol w:w="919"/>
        <w:gridCol w:w="36"/>
        <w:gridCol w:w="36"/>
        <w:gridCol w:w="36"/>
        <w:gridCol w:w="36"/>
        <w:gridCol w:w="116"/>
        <w:gridCol w:w="484"/>
        <w:gridCol w:w="36"/>
        <w:gridCol w:w="36"/>
        <w:gridCol w:w="36"/>
        <w:gridCol w:w="36"/>
        <w:gridCol w:w="116"/>
        <w:gridCol w:w="840"/>
        <w:gridCol w:w="36"/>
        <w:gridCol w:w="36"/>
        <w:gridCol w:w="36"/>
        <w:gridCol w:w="36"/>
        <w:gridCol w:w="116"/>
        <w:gridCol w:w="484"/>
        <w:gridCol w:w="36"/>
      </w:tblGrid>
      <w:tr w:rsidR="005C332D" w14:paraId="518B60F5" w14:textId="77777777">
        <w:tc>
          <w:tcPr>
            <w:tcW w:w="50" w:type="pct"/>
            <w:shd w:val="clear" w:color="auto" w:fill="auto"/>
            <w:vAlign w:val="bottom"/>
          </w:tcPr>
          <w:p w14:paraId="518B60C5" w14:textId="77777777" w:rsidR="005C332D" w:rsidRDefault="005C332D">
            <w:pPr>
              <w:rPr>
                <w:rFonts w:ascii="宋体"/>
              </w:rPr>
            </w:pPr>
          </w:p>
        </w:tc>
        <w:tc>
          <w:tcPr>
            <w:tcW w:w="887" w:type="pct"/>
            <w:shd w:val="clear" w:color="auto" w:fill="auto"/>
            <w:vAlign w:val="bottom"/>
          </w:tcPr>
          <w:p w14:paraId="518B60C6" w14:textId="77777777" w:rsidR="005C332D" w:rsidRDefault="005C332D">
            <w:pPr>
              <w:rPr>
                <w:rFonts w:ascii="宋体"/>
              </w:rPr>
            </w:pPr>
          </w:p>
        </w:tc>
        <w:tc>
          <w:tcPr>
            <w:tcW w:w="5" w:type="pct"/>
            <w:shd w:val="clear" w:color="auto" w:fill="auto"/>
            <w:vAlign w:val="bottom"/>
          </w:tcPr>
          <w:p w14:paraId="518B60C7" w14:textId="77777777" w:rsidR="005C332D" w:rsidRDefault="005C332D">
            <w:pPr>
              <w:rPr>
                <w:rFonts w:ascii="宋体"/>
              </w:rPr>
            </w:pPr>
          </w:p>
        </w:tc>
        <w:tc>
          <w:tcPr>
            <w:tcW w:w="50" w:type="pct"/>
            <w:shd w:val="clear" w:color="auto" w:fill="auto"/>
            <w:vAlign w:val="bottom"/>
          </w:tcPr>
          <w:p w14:paraId="518B60C8" w14:textId="77777777" w:rsidR="005C332D" w:rsidRDefault="005C332D">
            <w:pPr>
              <w:rPr>
                <w:rFonts w:ascii="宋体"/>
              </w:rPr>
            </w:pPr>
          </w:p>
        </w:tc>
        <w:tc>
          <w:tcPr>
            <w:tcW w:w="512" w:type="pct"/>
            <w:shd w:val="clear" w:color="auto" w:fill="auto"/>
            <w:vAlign w:val="bottom"/>
          </w:tcPr>
          <w:p w14:paraId="518B60C9" w14:textId="77777777" w:rsidR="005C332D" w:rsidRDefault="005C332D">
            <w:pPr>
              <w:rPr>
                <w:rFonts w:ascii="宋体"/>
              </w:rPr>
            </w:pPr>
          </w:p>
        </w:tc>
        <w:tc>
          <w:tcPr>
            <w:tcW w:w="5" w:type="pct"/>
            <w:shd w:val="clear" w:color="auto" w:fill="auto"/>
            <w:vAlign w:val="bottom"/>
          </w:tcPr>
          <w:p w14:paraId="518B60CA" w14:textId="77777777" w:rsidR="005C332D" w:rsidRDefault="005C332D">
            <w:pPr>
              <w:rPr>
                <w:rFonts w:ascii="宋体"/>
              </w:rPr>
            </w:pPr>
          </w:p>
        </w:tc>
        <w:tc>
          <w:tcPr>
            <w:tcW w:w="5" w:type="pct"/>
            <w:shd w:val="clear" w:color="auto" w:fill="auto"/>
            <w:vAlign w:val="bottom"/>
          </w:tcPr>
          <w:p w14:paraId="518B60CB" w14:textId="77777777" w:rsidR="005C332D" w:rsidRDefault="005C332D">
            <w:pPr>
              <w:rPr>
                <w:rFonts w:ascii="宋体"/>
              </w:rPr>
            </w:pPr>
          </w:p>
        </w:tc>
        <w:tc>
          <w:tcPr>
            <w:tcW w:w="26" w:type="pct"/>
            <w:shd w:val="clear" w:color="auto" w:fill="auto"/>
            <w:vAlign w:val="bottom"/>
          </w:tcPr>
          <w:p w14:paraId="518B60CC" w14:textId="77777777" w:rsidR="005C332D" w:rsidRDefault="005C332D">
            <w:pPr>
              <w:rPr>
                <w:rFonts w:ascii="宋体"/>
              </w:rPr>
            </w:pPr>
          </w:p>
        </w:tc>
        <w:tc>
          <w:tcPr>
            <w:tcW w:w="5" w:type="pct"/>
            <w:shd w:val="clear" w:color="auto" w:fill="auto"/>
            <w:vAlign w:val="bottom"/>
          </w:tcPr>
          <w:p w14:paraId="518B60CD" w14:textId="77777777" w:rsidR="005C332D" w:rsidRDefault="005C332D">
            <w:pPr>
              <w:rPr>
                <w:rFonts w:ascii="宋体"/>
              </w:rPr>
            </w:pPr>
          </w:p>
        </w:tc>
        <w:tc>
          <w:tcPr>
            <w:tcW w:w="50" w:type="pct"/>
            <w:shd w:val="clear" w:color="auto" w:fill="auto"/>
            <w:vAlign w:val="bottom"/>
          </w:tcPr>
          <w:p w14:paraId="518B60CE" w14:textId="77777777" w:rsidR="005C332D" w:rsidRDefault="005C332D">
            <w:pPr>
              <w:rPr>
                <w:rFonts w:ascii="宋体"/>
              </w:rPr>
            </w:pPr>
          </w:p>
        </w:tc>
        <w:tc>
          <w:tcPr>
            <w:tcW w:w="327" w:type="pct"/>
            <w:shd w:val="clear" w:color="auto" w:fill="auto"/>
            <w:vAlign w:val="bottom"/>
          </w:tcPr>
          <w:p w14:paraId="518B60CF" w14:textId="77777777" w:rsidR="005C332D" w:rsidRDefault="005C332D">
            <w:pPr>
              <w:rPr>
                <w:rFonts w:ascii="宋体"/>
              </w:rPr>
            </w:pPr>
          </w:p>
        </w:tc>
        <w:tc>
          <w:tcPr>
            <w:tcW w:w="5" w:type="pct"/>
            <w:shd w:val="clear" w:color="auto" w:fill="auto"/>
            <w:vAlign w:val="bottom"/>
          </w:tcPr>
          <w:p w14:paraId="518B60D0" w14:textId="77777777" w:rsidR="005C332D" w:rsidRDefault="005C332D">
            <w:pPr>
              <w:rPr>
                <w:rFonts w:ascii="宋体"/>
              </w:rPr>
            </w:pPr>
          </w:p>
        </w:tc>
        <w:tc>
          <w:tcPr>
            <w:tcW w:w="5" w:type="pct"/>
            <w:shd w:val="clear" w:color="auto" w:fill="auto"/>
            <w:vAlign w:val="bottom"/>
          </w:tcPr>
          <w:p w14:paraId="518B60D1" w14:textId="77777777" w:rsidR="005C332D" w:rsidRDefault="005C332D">
            <w:pPr>
              <w:rPr>
                <w:rFonts w:ascii="宋体"/>
              </w:rPr>
            </w:pPr>
          </w:p>
        </w:tc>
        <w:tc>
          <w:tcPr>
            <w:tcW w:w="26" w:type="pct"/>
            <w:shd w:val="clear" w:color="auto" w:fill="auto"/>
            <w:vAlign w:val="bottom"/>
          </w:tcPr>
          <w:p w14:paraId="518B60D2" w14:textId="77777777" w:rsidR="005C332D" w:rsidRDefault="005C332D">
            <w:pPr>
              <w:rPr>
                <w:rFonts w:ascii="宋体"/>
              </w:rPr>
            </w:pPr>
          </w:p>
        </w:tc>
        <w:tc>
          <w:tcPr>
            <w:tcW w:w="5" w:type="pct"/>
            <w:shd w:val="clear" w:color="auto" w:fill="auto"/>
            <w:vAlign w:val="bottom"/>
          </w:tcPr>
          <w:p w14:paraId="518B60D3" w14:textId="77777777" w:rsidR="005C332D" w:rsidRDefault="005C332D">
            <w:pPr>
              <w:rPr>
                <w:rFonts w:ascii="宋体"/>
              </w:rPr>
            </w:pPr>
          </w:p>
        </w:tc>
        <w:tc>
          <w:tcPr>
            <w:tcW w:w="50" w:type="pct"/>
            <w:shd w:val="clear" w:color="auto" w:fill="auto"/>
            <w:vAlign w:val="bottom"/>
          </w:tcPr>
          <w:p w14:paraId="518B60D4" w14:textId="77777777" w:rsidR="005C332D" w:rsidRDefault="005C332D">
            <w:pPr>
              <w:rPr>
                <w:rFonts w:ascii="宋体"/>
              </w:rPr>
            </w:pPr>
          </w:p>
        </w:tc>
        <w:tc>
          <w:tcPr>
            <w:tcW w:w="512" w:type="pct"/>
            <w:shd w:val="clear" w:color="auto" w:fill="auto"/>
            <w:vAlign w:val="bottom"/>
          </w:tcPr>
          <w:p w14:paraId="518B60D5" w14:textId="77777777" w:rsidR="005C332D" w:rsidRDefault="005C332D">
            <w:pPr>
              <w:rPr>
                <w:rFonts w:ascii="宋体"/>
              </w:rPr>
            </w:pPr>
          </w:p>
        </w:tc>
        <w:tc>
          <w:tcPr>
            <w:tcW w:w="5" w:type="pct"/>
            <w:shd w:val="clear" w:color="auto" w:fill="auto"/>
            <w:vAlign w:val="bottom"/>
          </w:tcPr>
          <w:p w14:paraId="518B60D6" w14:textId="77777777" w:rsidR="005C332D" w:rsidRDefault="005C332D">
            <w:pPr>
              <w:rPr>
                <w:rFonts w:ascii="宋体"/>
              </w:rPr>
            </w:pPr>
          </w:p>
        </w:tc>
        <w:tc>
          <w:tcPr>
            <w:tcW w:w="5" w:type="pct"/>
            <w:shd w:val="clear" w:color="auto" w:fill="auto"/>
            <w:vAlign w:val="bottom"/>
          </w:tcPr>
          <w:p w14:paraId="518B60D7" w14:textId="77777777" w:rsidR="005C332D" w:rsidRDefault="005C332D">
            <w:pPr>
              <w:rPr>
                <w:rFonts w:ascii="宋体"/>
              </w:rPr>
            </w:pPr>
          </w:p>
        </w:tc>
        <w:tc>
          <w:tcPr>
            <w:tcW w:w="26" w:type="pct"/>
            <w:shd w:val="clear" w:color="auto" w:fill="auto"/>
            <w:vAlign w:val="bottom"/>
          </w:tcPr>
          <w:p w14:paraId="518B60D8" w14:textId="77777777" w:rsidR="005C332D" w:rsidRDefault="005C332D">
            <w:pPr>
              <w:rPr>
                <w:rFonts w:ascii="宋体"/>
              </w:rPr>
            </w:pPr>
          </w:p>
        </w:tc>
        <w:tc>
          <w:tcPr>
            <w:tcW w:w="5" w:type="pct"/>
            <w:shd w:val="clear" w:color="auto" w:fill="auto"/>
            <w:vAlign w:val="bottom"/>
          </w:tcPr>
          <w:p w14:paraId="518B60D9" w14:textId="77777777" w:rsidR="005C332D" w:rsidRDefault="005C332D">
            <w:pPr>
              <w:rPr>
                <w:rFonts w:ascii="宋体"/>
              </w:rPr>
            </w:pPr>
          </w:p>
        </w:tc>
        <w:tc>
          <w:tcPr>
            <w:tcW w:w="50" w:type="pct"/>
            <w:shd w:val="clear" w:color="auto" w:fill="auto"/>
            <w:vAlign w:val="bottom"/>
          </w:tcPr>
          <w:p w14:paraId="518B60DA" w14:textId="77777777" w:rsidR="005C332D" w:rsidRDefault="005C332D">
            <w:pPr>
              <w:rPr>
                <w:rFonts w:ascii="宋体"/>
              </w:rPr>
            </w:pPr>
          </w:p>
        </w:tc>
        <w:tc>
          <w:tcPr>
            <w:tcW w:w="327" w:type="pct"/>
            <w:shd w:val="clear" w:color="auto" w:fill="auto"/>
            <w:vAlign w:val="bottom"/>
          </w:tcPr>
          <w:p w14:paraId="518B60DB" w14:textId="77777777" w:rsidR="005C332D" w:rsidRDefault="005C332D">
            <w:pPr>
              <w:rPr>
                <w:rFonts w:ascii="宋体"/>
              </w:rPr>
            </w:pPr>
          </w:p>
        </w:tc>
        <w:tc>
          <w:tcPr>
            <w:tcW w:w="5" w:type="pct"/>
            <w:shd w:val="clear" w:color="auto" w:fill="auto"/>
            <w:vAlign w:val="bottom"/>
          </w:tcPr>
          <w:p w14:paraId="518B60DC" w14:textId="77777777" w:rsidR="005C332D" w:rsidRDefault="005C332D">
            <w:pPr>
              <w:rPr>
                <w:rFonts w:ascii="宋体"/>
              </w:rPr>
            </w:pPr>
          </w:p>
        </w:tc>
        <w:tc>
          <w:tcPr>
            <w:tcW w:w="5" w:type="pct"/>
            <w:shd w:val="clear" w:color="auto" w:fill="auto"/>
            <w:vAlign w:val="bottom"/>
          </w:tcPr>
          <w:p w14:paraId="518B60DD" w14:textId="77777777" w:rsidR="005C332D" w:rsidRDefault="005C332D">
            <w:pPr>
              <w:rPr>
                <w:rFonts w:ascii="宋体"/>
              </w:rPr>
            </w:pPr>
          </w:p>
        </w:tc>
        <w:tc>
          <w:tcPr>
            <w:tcW w:w="26" w:type="pct"/>
            <w:shd w:val="clear" w:color="auto" w:fill="auto"/>
            <w:vAlign w:val="bottom"/>
          </w:tcPr>
          <w:p w14:paraId="518B60DE" w14:textId="77777777" w:rsidR="005C332D" w:rsidRDefault="005C332D">
            <w:pPr>
              <w:rPr>
                <w:rFonts w:ascii="宋体"/>
              </w:rPr>
            </w:pPr>
          </w:p>
        </w:tc>
        <w:tc>
          <w:tcPr>
            <w:tcW w:w="5" w:type="pct"/>
            <w:shd w:val="clear" w:color="auto" w:fill="auto"/>
            <w:vAlign w:val="bottom"/>
          </w:tcPr>
          <w:p w14:paraId="518B60DF" w14:textId="77777777" w:rsidR="005C332D" w:rsidRDefault="005C332D">
            <w:pPr>
              <w:rPr>
                <w:rFonts w:ascii="宋体"/>
              </w:rPr>
            </w:pPr>
          </w:p>
        </w:tc>
        <w:tc>
          <w:tcPr>
            <w:tcW w:w="50" w:type="pct"/>
            <w:shd w:val="clear" w:color="auto" w:fill="auto"/>
            <w:vAlign w:val="bottom"/>
          </w:tcPr>
          <w:p w14:paraId="518B60E0" w14:textId="77777777" w:rsidR="005C332D" w:rsidRDefault="005C332D">
            <w:pPr>
              <w:rPr>
                <w:rFonts w:ascii="宋体"/>
              </w:rPr>
            </w:pPr>
          </w:p>
        </w:tc>
        <w:tc>
          <w:tcPr>
            <w:tcW w:w="512" w:type="pct"/>
            <w:shd w:val="clear" w:color="auto" w:fill="auto"/>
            <w:vAlign w:val="bottom"/>
          </w:tcPr>
          <w:p w14:paraId="518B60E1" w14:textId="77777777" w:rsidR="005C332D" w:rsidRDefault="005C332D">
            <w:pPr>
              <w:rPr>
                <w:rFonts w:ascii="宋体"/>
              </w:rPr>
            </w:pPr>
          </w:p>
        </w:tc>
        <w:tc>
          <w:tcPr>
            <w:tcW w:w="5" w:type="pct"/>
            <w:shd w:val="clear" w:color="auto" w:fill="auto"/>
            <w:vAlign w:val="bottom"/>
          </w:tcPr>
          <w:p w14:paraId="518B60E2" w14:textId="77777777" w:rsidR="005C332D" w:rsidRDefault="005C332D">
            <w:pPr>
              <w:rPr>
                <w:rFonts w:ascii="宋体"/>
              </w:rPr>
            </w:pPr>
          </w:p>
        </w:tc>
        <w:tc>
          <w:tcPr>
            <w:tcW w:w="5" w:type="pct"/>
            <w:shd w:val="clear" w:color="auto" w:fill="auto"/>
            <w:vAlign w:val="bottom"/>
          </w:tcPr>
          <w:p w14:paraId="518B60E3" w14:textId="77777777" w:rsidR="005C332D" w:rsidRDefault="005C332D">
            <w:pPr>
              <w:rPr>
                <w:rFonts w:ascii="宋体"/>
              </w:rPr>
            </w:pPr>
          </w:p>
        </w:tc>
        <w:tc>
          <w:tcPr>
            <w:tcW w:w="26" w:type="pct"/>
            <w:shd w:val="clear" w:color="auto" w:fill="auto"/>
            <w:vAlign w:val="bottom"/>
          </w:tcPr>
          <w:p w14:paraId="518B60E4" w14:textId="77777777" w:rsidR="005C332D" w:rsidRDefault="005C332D">
            <w:pPr>
              <w:rPr>
                <w:rFonts w:ascii="宋体"/>
              </w:rPr>
            </w:pPr>
          </w:p>
        </w:tc>
        <w:tc>
          <w:tcPr>
            <w:tcW w:w="5" w:type="pct"/>
            <w:shd w:val="clear" w:color="auto" w:fill="auto"/>
            <w:vAlign w:val="bottom"/>
          </w:tcPr>
          <w:p w14:paraId="518B60E5" w14:textId="77777777" w:rsidR="005C332D" w:rsidRDefault="005C332D">
            <w:pPr>
              <w:rPr>
                <w:rFonts w:ascii="宋体"/>
              </w:rPr>
            </w:pPr>
          </w:p>
        </w:tc>
        <w:tc>
          <w:tcPr>
            <w:tcW w:w="50" w:type="pct"/>
            <w:shd w:val="clear" w:color="auto" w:fill="auto"/>
            <w:vAlign w:val="bottom"/>
          </w:tcPr>
          <w:p w14:paraId="518B60E6" w14:textId="77777777" w:rsidR="005C332D" w:rsidRDefault="005C332D">
            <w:pPr>
              <w:rPr>
                <w:rFonts w:ascii="宋体"/>
              </w:rPr>
            </w:pPr>
          </w:p>
        </w:tc>
        <w:tc>
          <w:tcPr>
            <w:tcW w:w="327" w:type="pct"/>
            <w:shd w:val="clear" w:color="auto" w:fill="auto"/>
            <w:vAlign w:val="bottom"/>
          </w:tcPr>
          <w:p w14:paraId="518B60E7" w14:textId="77777777" w:rsidR="005C332D" w:rsidRDefault="005C332D">
            <w:pPr>
              <w:rPr>
                <w:rFonts w:ascii="宋体"/>
              </w:rPr>
            </w:pPr>
          </w:p>
        </w:tc>
        <w:tc>
          <w:tcPr>
            <w:tcW w:w="5" w:type="pct"/>
            <w:shd w:val="clear" w:color="auto" w:fill="auto"/>
            <w:vAlign w:val="bottom"/>
          </w:tcPr>
          <w:p w14:paraId="518B60E8" w14:textId="77777777" w:rsidR="005C332D" w:rsidRDefault="005C332D">
            <w:pPr>
              <w:rPr>
                <w:rFonts w:ascii="宋体"/>
              </w:rPr>
            </w:pPr>
          </w:p>
        </w:tc>
        <w:tc>
          <w:tcPr>
            <w:tcW w:w="5" w:type="pct"/>
            <w:shd w:val="clear" w:color="auto" w:fill="auto"/>
            <w:vAlign w:val="bottom"/>
          </w:tcPr>
          <w:p w14:paraId="518B60E9" w14:textId="77777777" w:rsidR="005C332D" w:rsidRDefault="005C332D">
            <w:pPr>
              <w:rPr>
                <w:rFonts w:ascii="宋体"/>
              </w:rPr>
            </w:pPr>
          </w:p>
        </w:tc>
        <w:tc>
          <w:tcPr>
            <w:tcW w:w="26" w:type="pct"/>
            <w:shd w:val="clear" w:color="auto" w:fill="auto"/>
            <w:vAlign w:val="bottom"/>
          </w:tcPr>
          <w:p w14:paraId="518B60EA" w14:textId="77777777" w:rsidR="005C332D" w:rsidRDefault="005C332D">
            <w:pPr>
              <w:rPr>
                <w:rFonts w:ascii="宋体"/>
              </w:rPr>
            </w:pPr>
          </w:p>
        </w:tc>
        <w:tc>
          <w:tcPr>
            <w:tcW w:w="5" w:type="pct"/>
            <w:shd w:val="clear" w:color="auto" w:fill="auto"/>
            <w:vAlign w:val="bottom"/>
          </w:tcPr>
          <w:p w14:paraId="518B60EB" w14:textId="77777777" w:rsidR="005C332D" w:rsidRDefault="005C332D">
            <w:pPr>
              <w:rPr>
                <w:rFonts w:ascii="宋体"/>
              </w:rPr>
            </w:pPr>
          </w:p>
        </w:tc>
        <w:tc>
          <w:tcPr>
            <w:tcW w:w="50" w:type="pct"/>
            <w:shd w:val="clear" w:color="auto" w:fill="auto"/>
            <w:vAlign w:val="bottom"/>
          </w:tcPr>
          <w:p w14:paraId="518B60EC" w14:textId="77777777" w:rsidR="005C332D" w:rsidRDefault="005C332D">
            <w:pPr>
              <w:rPr>
                <w:rFonts w:ascii="宋体"/>
              </w:rPr>
            </w:pPr>
          </w:p>
        </w:tc>
        <w:tc>
          <w:tcPr>
            <w:tcW w:w="512" w:type="pct"/>
            <w:shd w:val="clear" w:color="auto" w:fill="auto"/>
            <w:vAlign w:val="bottom"/>
          </w:tcPr>
          <w:p w14:paraId="518B60ED" w14:textId="77777777" w:rsidR="005C332D" w:rsidRDefault="005C332D">
            <w:pPr>
              <w:rPr>
                <w:rFonts w:ascii="宋体"/>
              </w:rPr>
            </w:pPr>
          </w:p>
        </w:tc>
        <w:tc>
          <w:tcPr>
            <w:tcW w:w="5" w:type="pct"/>
            <w:shd w:val="clear" w:color="auto" w:fill="auto"/>
            <w:vAlign w:val="bottom"/>
          </w:tcPr>
          <w:p w14:paraId="518B60EE" w14:textId="77777777" w:rsidR="005C332D" w:rsidRDefault="005C332D">
            <w:pPr>
              <w:rPr>
                <w:rFonts w:ascii="宋体"/>
              </w:rPr>
            </w:pPr>
          </w:p>
        </w:tc>
        <w:tc>
          <w:tcPr>
            <w:tcW w:w="5" w:type="pct"/>
            <w:shd w:val="clear" w:color="auto" w:fill="auto"/>
            <w:vAlign w:val="bottom"/>
          </w:tcPr>
          <w:p w14:paraId="518B60EF" w14:textId="77777777" w:rsidR="005C332D" w:rsidRDefault="005C332D">
            <w:pPr>
              <w:rPr>
                <w:rFonts w:ascii="宋体"/>
              </w:rPr>
            </w:pPr>
          </w:p>
        </w:tc>
        <w:tc>
          <w:tcPr>
            <w:tcW w:w="26" w:type="pct"/>
            <w:shd w:val="clear" w:color="auto" w:fill="auto"/>
            <w:vAlign w:val="bottom"/>
          </w:tcPr>
          <w:p w14:paraId="518B60F0" w14:textId="77777777" w:rsidR="005C332D" w:rsidRDefault="005C332D">
            <w:pPr>
              <w:rPr>
                <w:rFonts w:ascii="宋体"/>
              </w:rPr>
            </w:pPr>
          </w:p>
        </w:tc>
        <w:tc>
          <w:tcPr>
            <w:tcW w:w="5" w:type="pct"/>
            <w:shd w:val="clear" w:color="auto" w:fill="auto"/>
            <w:vAlign w:val="bottom"/>
          </w:tcPr>
          <w:p w14:paraId="518B60F1" w14:textId="77777777" w:rsidR="005C332D" w:rsidRDefault="005C332D">
            <w:pPr>
              <w:rPr>
                <w:rFonts w:ascii="宋体"/>
              </w:rPr>
            </w:pPr>
          </w:p>
        </w:tc>
        <w:tc>
          <w:tcPr>
            <w:tcW w:w="50" w:type="pct"/>
            <w:shd w:val="clear" w:color="auto" w:fill="auto"/>
            <w:vAlign w:val="bottom"/>
          </w:tcPr>
          <w:p w14:paraId="518B60F2" w14:textId="77777777" w:rsidR="005C332D" w:rsidRDefault="005C332D">
            <w:pPr>
              <w:rPr>
                <w:rFonts w:ascii="宋体"/>
              </w:rPr>
            </w:pPr>
          </w:p>
        </w:tc>
        <w:tc>
          <w:tcPr>
            <w:tcW w:w="328" w:type="pct"/>
            <w:shd w:val="clear" w:color="auto" w:fill="auto"/>
            <w:vAlign w:val="bottom"/>
          </w:tcPr>
          <w:p w14:paraId="518B60F3" w14:textId="77777777" w:rsidR="005C332D" w:rsidRDefault="005C332D">
            <w:pPr>
              <w:rPr>
                <w:rFonts w:ascii="宋体"/>
              </w:rPr>
            </w:pPr>
          </w:p>
        </w:tc>
        <w:tc>
          <w:tcPr>
            <w:tcW w:w="5" w:type="pct"/>
            <w:shd w:val="clear" w:color="auto" w:fill="auto"/>
            <w:vAlign w:val="bottom"/>
          </w:tcPr>
          <w:p w14:paraId="518B60F4" w14:textId="77777777" w:rsidR="005C332D" w:rsidRDefault="005C332D">
            <w:pPr>
              <w:rPr>
                <w:rFonts w:ascii="宋体"/>
              </w:rPr>
            </w:pPr>
          </w:p>
        </w:tc>
      </w:tr>
      <w:tr w:rsidR="005C332D" w14:paraId="518B60FC" w14:textId="77777777">
        <w:trPr>
          <w:trHeight w:val="420"/>
        </w:trPr>
        <w:tc>
          <w:tcPr>
            <w:tcW w:w="0" w:type="auto"/>
            <w:gridSpan w:val="3"/>
            <w:shd w:val="clear" w:color="auto" w:fill="auto"/>
            <w:tcMar>
              <w:top w:w="40" w:type="dxa"/>
              <w:left w:w="20" w:type="dxa"/>
              <w:bottom w:w="40" w:type="dxa"/>
              <w:right w:w="20" w:type="dxa"/>
            </w:tcMar>
            <w:vAlign w:val="bottom"/>
          </w:tcPr>
          <w:p w14:paraId="518B60F6" w14:textId="77777777" w:rsidR="005C332D" w:rsidRDefault="00B93EAE">
            <w:pPr>
              <w:textAlignment w:val="bottom"/>
            </w:pPr>
            <w:r>
              <w:rPr>
                <w:rFonts w:ascii="Times New Roman" w:eastAsia="宋体" w:hAnsi="Times New Roman"/>
                <w:b/>
                <w:bCs/>
                <w:color w:val="000000"/>
                <w:sz w:val="16"/>
                <w:szCs w:val="16"/>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18B60F7" w14:textId="77777777" w:rsidR="005C332D" w:rsidRDefault="00B93EAE">
            <w:pPr>
              <w:jc w:val="center"/>
              <w:textAlignment w:val="bottom"/>
            </w:pPr>
            <w:r>
              <w:rPr>
                <w:rFonts w:ascii="Times New Roman" w:eastAsia="宋体" w:hAnsi="Times New Roman"/>
                <w:b/>
                <w:bCs/>
                <w:color w:val="000000"/>
                <w:sz w:val="16"/>
                <w:szCs w:val="16"/>
              </w:rPr>
              <w:t>FINITE LIVES</w:t>
            </w:r>
          </w:p>
        </w:tc>
        <w:tc>
          <w:tcPr>
            <w:tcW w:w="0" w:type="auto"/>
            <w:gridSpan w:val="3"/>
            <w:shd w:val="clear" w:color="auto" w:fill="auto"/>
            <w:tcMar>
              <w:top w:w="0" w:type="dxa"/>
              <w:left w:w="20" w:type="dxa"/>
              <w:bottom w:w="0" w:type="dxa"/>
              <w:right w:w="20" w:type="dxa"/>
            </w:tcMar>
            <w:vAlign w:val="bottom"/>
          </w:tcPr>
          <w:p w14:paraId="518B60F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0F9" w14:textId="77777777" w:rsidR="005C332D" w:rsidRDefault="00B93EAE">
            <w:pPr>
              <w:jc w:val="center"/>
              <w:textAlignment w:val="bottom"/>
            </w:pPr>
            <w:r>
              <w:rPr>
                <w:rFonts w:ascii="Times New Roman" w:eastAsia="宋体" w:hAnsi="Times New Roman"/>
                <w:b/>
                <w:bCs/>
                <w:color w:val="000000"/>
                <w:sz w:val="16"/>
                <w:szCs w:val="16"/>
              </w:rPr>
              <w:t>INDEFINITE</w:t>
            </w:r>
            <w:r>
              <w:rPr>
                <w:rFonts w:ascii="Times New Roman" w:eastAsia="宋体" w:hAnsi="Times New Roman"/>
                <w:b/>
                <w:bCs/>
                <w:color w:val="000000"/>
                <w:sz w:val="16"/>
                <w:szCs w:val="16"/>
              </w:rPr>
              <w:br/>
              <w:t>LIVES</w:t>
            </w:r>
          </w:p>
        </w:tc>
        <w:tc>
          <w:tcPr>
            <w:tcW w:w="0" w:type="auto"/>
            <w:gridSpan w:val="3"/>
            <w:shd w:val="clear" w:color="auto" w:fill="auto"/>
            <w:tcMar>
              <w:top w:w="0" w:type="dxa"/>
              <w:left w:w="20" w:type="dxa"/>
              <w:bottom w:w="0" w:type="dxa"/>
              <w:right w:w="20" w:type="dxa"/>
            </w:tcMar>
            <w:vAlign w:val="bottom"/>
          </w:tcPr>
          <w:p w14:paraId="518B60FA" w14:textId="77777777" w:rsidR="005C332D" w:rsidRDefault="005C332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18B60FB" w14:textId="77777777" w:rsidR="005C332D" w:rsidRDefault="00B93EAE">
            <w:pPr>
              <w:jc w:val="center"/>
              <w:textAlignment w:val="bottom"/>
            </w:pPr>
            <w:r>
              <w:rPr>
                <w:rFonts w:ascii="Times New Roman" w:eastAsia="宋体" w:hAnsi="Times New Roman"/>
                <w:b/>
                <w:bCs/>
                <w:color w:val="000000"/>
                <w:sz w:val="16"/>
                <w:szCs w:val="16"/>
              </w:rPr>
              <w:t>TOTAL</w:t>
            </w:r>
          </w:p>
        </w:tc>
      </w:tr>
      <w:tr w:rsidR="005C332D" w14:paraId="518B6107" w14:textId="77777777">
        <w:trPr>
          <w:trHeight w:val="420"/>
        </w:trPr>
        <w:tc>
          <w:tcPr>
            <w:tcW w:w="0" w:type="auto"/>
            <w:gridSpan w:val="3"/>
            <w:shd w:val="clear" w:color="auto" w:fill="auto"/>
            <w:tcMar>
              <w:top w:w="40" w:type="dxa"/>
              <w:left w:w="20" w:type="dxa"/>
              <w:bottom w:w="40" w:type="dxa"/>
              <w:right w:w="20" w:type="dxa"/>
            </w:tcMar>
            <w:vAlign w:val="bottom"/>
          </w:tcPr>
          <w:p w14:paraId="518B60FD" w14:textId="77777777" w:rsidR="005C332D" w:rsidRDefault="00B93EAE">
            <w:pPr>
              <w:textAlignment w:val="bottom"/>
            </w:pPr>
            <w:r>
              <w:rPr>
                <w:rFonts w:ascii="Times New Roman" w:eastAsia="宋体" w:hAnsi="Times New Roman"/>
                <w:b/>
                <w:bCs/>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18B60FE" w14:textId="77777777" w:rsidR="005C332D" w:rsidRDefault="00B93EAE">
            <w:pPr>
              <w:jc w:val="center"/>
              <w:textAlignment w:val="bottom"/>
            </w:pPr>
            <w:r>
              <w:rPr>
                <w:rFonts w:ascii="Times New Roman" w:eastAsia="宋体" w:hAnsi="Times New Roman"/>
                <w:b/>
                <w:bCs/>
                <w:color w:val="000000"/>
                <w:sz w:val="16"/>
                <w:szCs w:val="16"/>
              </w:rPr>
              <w:t>TECHNOLOGY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0FF" w14:textId="77777777" w:rsidR="005C332D" w:rsidRDefault="005C332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18B6100" w14:textId="77777777" w:rsidR="005C332D" w:rsidRDefault="00B93EAE">
            <w:pPr>
              <w:jc w:val="center"/>
              <w:textAlignment w:val="bottom"/>
            </w:pPr>
            <w:r>
              <w:rPr>
                <w:rFonts w:ascii="Times New Roman" w:eastAsia="宋体" w:hAnsi="Times New Roman"/>
                <w:b/>
                <w:bCs/>
                <w:color w:val="000000"/>
                <w:sz w:val="16"/>
                <w:szCs w:val="16"/>
              </w:rPr>
              <w:t>CUSTOMER</w:t>
            </w:r>
            <w:r>
              <w:rPr>
                <w:rFonts w:ascii="Times New Roman" w:eastAsia="宋体" w:hAnsi="Times New Roman"/>
                <w:b/>
                <w:bCs/>
                <w:color w:val="000000"/>
                <w:sz w:val="16"/>
                <w:szCs w:val="16"/>
              </w:rPr>
              <w:br/>
              <w:t>RELATIONSHIPS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101" w14:textId="77777777" w:rsidR="005C332D" w:rsidRDefault="005C332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18B6102" w14:textId="77777777" w:rsidR="005C332D" w:rsidRDefault="00B93EAE">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518B6103"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04" w14:textId="77777777" w:rsidR="005C332D" w:rsidRDefault="00B93EAE">
            <w:pPr>
              <w:jc w:val="center"/>
              <w:textAlignment w:val="bottom"/>
            </w:pPr>
            <w:r>
              <w:rPr>
                <w:rFonts w:ascii="Times New Roman" w:eastAsia="宋体" w:hAnsi="Times New Roman"/>
                <w:b/>
                <w:bCs/>
                <w:color w:val="000000"/>
                <w:sz w:val="16"/>
                <w:szCs w:val="16"/>
              </w:rPr>
              <w:t>IPR&amp;D</w:t>
            </w:r>
          </w:p>
        </w:tc>
        <w:tc>
          <w:tcPr>
            <w:tcW w:w="0" w:type="auto"/>
            <w:gridSpan w:val="3"/>
            <w:shd w:val="clear" w:color="auto" w:fill="auto"/>
            <w:tcMar>
              <w:top w:w="0" w:type="dxa"/>
              <w:left w:w="20" w:type="dxa"/>
              <w:bottom w:w="0" w:type="dxa"/>
              <w:right w:w="20" w:type="dxa"/>
            </w:tcMar>
            <w:vAlign w:val="bottom"/>
          </w:tcPr>
          <w:p w14:paraId="518B6105" w14:textId="77777777" w:rsidR="005C332D" w:rsidRDefault="005C332D">
            <w:pPr>
              <w:rPr>
                <w:rFonts w:ascii="宋体"/>
              </w:rPr>
            </w:pPr>
          </w:p>
        </w:tc>
        <w:tc>
          <w:tcPr>
            <w:tcW w:w="0" w:type="auto"/>
            <w:gridSpan w:val="3"/>
            <w:vMerge/>
            <w:shd w:val="clear" w:color="auto" w:fill="auto"/>
            <w:tcMar>
              <w:top w:w="40" w:type="dxa"/>
              <w:left w:w="20" w:type="dxa"/>
              <w:bottom w:w="40" w:type="dxa"/>
              <w:right w:w="20" w:type="dxa"/>
            </w:tcMar>
            <w:vAlign w:val="bottom"/>
          </w:tcPr>
          <w:p w14:paraId="518B6106" w14:textId="77777777" w:rsidR="005C332D" w:rsidRDefault="005C332D">
            <w:pPr>
              <w:jc w:val="center"/>
              <w:rPr>
                <w:rFonts w:ascii="宋体"/>
              </w:rPr>
            </w:pPr>
          </w:p>
        </w:tc>
      </w:tr>
      <w:tr w:rsidR="005C332D" w14:paraId="518B6118" w14:textId="77777777">
        <w:tc>
          <w:tcPr>
            <w:tcW w:w="0" w:type="auto"/>
            <w:gridSpan w:val="3"/>
            <w:shd w:val="clear" w:color="auto" w:fill="auto"/>
            <w:tcMar>
              <w:top w:w="40" w:type="dxa"/>
              <w:left w:w="20" w:type="dxa"/>
              <w:bottom w:w="40" w:type="dxa"/>
              <w:right w:w="20" w:type="dxa"/>
            </w:tcMar>
            <w:vAlign w:val="bottom"/>
          </w:tcPr>
          <w:p w14:paraId="518B6108" w14:textId="77777777" w:rsidR="005C332D" w:rsidRDefault="00B93EAE">
            <w:pPr>
              <w:textAlignment w:val="bottom"/>
            </w:pPr>
            <w:r>
              <w:rPr>
                <w:rFonts w:ascii="Times New Roman" w:eastAsia="宋体" w:hAnsi="Times New Roman"/>
                <w:b/>
                <w:bCs/>
                <w:color w:val="000000"/>
                <w:sz w:val="16"/>
                <w:szCs w:val="16"/>
                <w:u w:val="single"/>
              </w:rPr>
              <w:t>Fiscal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09" w14:textId="77777777" w:rsidR="005C332D" w:rsidRDefault="00B93EAE">
            <w:pPr>
              <w:jc w:val="center"/>
              <w:textAlignment w:val="bottom"/>
            </w:pPr>
            <w:r>
              <w:rPr>
                <w:rFonts w:ascii="Times New Roman" w:eastAsia="宋体" w:hAnsi="Times New Roman"/>
                <w:b/>
                <w:bCs/>
                <w:color w:val="000000"/>
                <w:sz w:val="16"/>
                <w:szCs w:val="16"/>
              </w:rPr>
              <w:t>Weighted-</w:t>
            </w:r>
            <w:r>
              <w:rPr>
                <w:rFonts w:ascii="Times New Roman" w:eastAsia="宋体" w:hAnsi="Times New Roman"/>
                <w:b/>
                <w:bCs/>
                <w:color w:val="000000"/>
                <w:sz w:val="16"/>
                <w:szCs w:val="16"/>
              </w:rPr>
              <w:br/>
              <w:t>Average Useful</w:t>
            </w:r>
            <w:r>
              <w:rPr>
                <w:rFonts w:ascii="Times New Roman" w:eastAsia="宋体" w:hAnsi="Times New Roman"/>
                <w:b/>
                <w:bCs/>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10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0B" w14:textId="77777777" w:rsidR="005C332D" w:rsidRDefault="00B93EAE">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518B610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0D" w14:textId="77777777" w:rsidR="005C332D" w:rsidRDefault="00B93EAE">
            <w:pPr>
              <w:jc w:val="center"/>
              <w:textAlignment w:val="bottom"/>
            </w:pPr>
            <w:r>
              <w:rPr>
                <w:rFonts w:ascii="Times New Roman" w:eastAsia="宋体" w:hAnsi="Times New Roman"/>
                <w:b/>
                <w:bCs/>
                <w:color w:val="000000"/>
                <w:sz w:val="16"/>
                <w:szCs w:val="16"/>
              </w:rPr>
              <w:t>Weighted-</w:t>
            </w:r>
            <w:r>
              <w:rPr>
                <w:rFonts w:ascii="Times New Roman" w:eastAsia="宋体" w:hAnsi="Times New Roman"/>
                <w:b/>
                <w:bCs/>
                <w:color w:val="000000"/>
                <w:sz w:val="16"/>
                <w:szCs w:val="16"/>
              </w:rPr>
              <w:br/>
              <w:t>Average Useful</w:t>
            </w:r>
            <w:r>
              <w:rPr>
                <w:rFonts w:ascii="Times New Roman" w:eastAsia="宋体" w:hAnsi="Times New Roman"/>
                <w:b/>
                <w:bCs/>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10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0F" w14:textId="77777777" w:rsidR="005C332D" w:rsidRDefault="00B93EAE">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518B611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11" w14:textId="77777777" w:rsidR="005C332D" w:rsidRDefault="00B93EAE">
            <w:pPr>
              <w:jc w:val="center"/>
              <w:textAlignment w:val="bottom"/>
            </w:pPr>
            <w:r>
              <w:rPr>
                <w:rFonts w:ascii="Times New Roman" w:eastAsia="宋体" w:hAnsi="Times New Roman"/>
                <w:b/>
                <w:bCs/>
                <w:color w:val="000000"/>
                <w:sz w:val="16"/>
                <w:szCs w:val="16"/>
              </w:rPr>
              <w:t>Weighted-</w:t>
            </w:r>
            <w:r>
              <w:rPr>
                <w:rFonts w:ascii="Times New Roman" w:eastAsia="宋体" w:hAnsi="Times New Roman"/>
                <w:b/>
                <w:bCs/>
                <w:color w:val="000000"/>
                <w:sz w:val="16"/>
                <w:szCs w:val="16"/>
              </w:rPr>
              <w:br/>
              <w:t>Average Useful</w:t>
            </w:r>
            <w:r>
              <w:rPr>
                <w:rFonts w:ascii="Times New Roman" w:eastAsia="宋体" w:hAnsi="Times New Roman"/>
                <w:b/>
                <w:bCs/>
                <w:color w:val="000000"/>
                <w:sz w:val="16"/>
                <w:szCs w:val="16"/>
              </w:rPr>
              <w:br/>
              <w:t xml:space="preserve">Life </w:t>
            </w:r>
            <w:r>
              <w:rPr>
                <w:rFonts w:ascii="Times New Roman" w:eastAsia="宋体" w:hAnsi="Times New Roman"/>
                <w:b/>
                <w:bCs/>
                <w:color w:val="000000"/>
                <w:sz w:val="16"/>
                <w:szCs w:val="16"/>
              </w:rPr>
              <w:t>(in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11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13" w14:textId="77777777" w:rsidR="005C332D" w:rsidRDefault="00B93EAE">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518B611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15" w14:textId="77777777" w:rsidR="005C332D" w:rsidRDefault="00B93EAE">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518B611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17" w14:textId="77777777" w:rsidR="005C332D" w:rsidRDefault="00B93EAE">
            <w:pPr>
              <w:jc w:val="center"/>
              <w:textAlignment w:val="bottom"/>
            </w:pPr>
            <w:r>
              <w:rPr>
                <w:rFonts w:ascii="Times New Roman" w:eastAsia="宋体" w:hAnsi="Times New Roman"/>
                <w:b/>
                <w:bCs/>
                <w:color w:val="000000"/>
                <w:sz w:val="16"/>
                <w:szCs w:val="16"/>
              </w:rPr>
              <w:t>Amount</w:t>
            </w:r>
          </w:p>
        </w:tc>
      </w:tr>
      <w:tr w:rsidR="005C332D" w14:paraId="518B6134" w14:textId="77777777">
        <w:tc>
          <w:tcPr>
            <w:tcW w:w="0" w:type="auto"/>
            <w:gridSpan w:val="3"/>
            <w:shd w:val="clear" w:color="auto" w:fill="CCEEFF"/>
            <w:tcMar>
              <w:top w:w="40" w:type="dxa"/>
              <w:left w:w="20" w:type="dxa"/>
              <w:bottom w:w="40" w:type="dxa"/>
              <w:right w:w="20" w:type="dxa"/>
            </w:tcMar>
          </w:tcPr>
          <w:p w14:paraId="518B6119" w14:textId="77777777" w:rsidR="005C332D" w:rsidRDefault="00B93EAE">
            <w:pPr>
              <w:textAlignment w:val="top"/>
            </w:pPr>
            <w:r>
              <w:rPr>
                <w:rFonts w:ascii="Times New Roman" w:eastAsia="宋体" w:hAnsi="Times New Roman"/>
                <w:color w:val="000000"/>
                <w:sz w:val="20"/>
                <w:szCs w:val="20"/>
              </w:rPr>
              <w:t>Total acquisitions (three in total)</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611A" w14:textId="77777777" w:rsidR="005C332D" w:rsidRDefault="00B93EAE">
            <w:pPr>
              <w:jc w:val="right"/>
              <w:textAlignment w:val="bottom"/>
            </w:pPr>
            <w:r>
              <w:rPr>
                <w:rFonts w:ascii="Times New Roman" w:eastAsia="宋体" w:hAnsi="Times New Roman"/>
                <w:b/>
                <w:bCs/>
                <w:color w:val="000000"/>
                <w:sz w:val="20"/>
                <w:szCs w:val="20"/>
              </w:rPr>
              <w:t>2.7</w:t>
            </w:r>
          </w:p>
        </w:tc>
        <w:tc>
          <w:tcPr>
            <w:tcW w:w="0" w:type="auto"/>
            <w:gridSpan w:val="3"/>
            <w:shd w:val="clear" w:color="auto" w:fill="CCEEFF"/>
            <w:tcMar>
              <w:top w:w="0" w:type="dxa"/>
              <w:left w:w="20" w:type="dxa"/>
              <w:bottom w:w="0" w:type="dxa"/>
              <w:right w:w="20" w:type="dxa"/>
            </w:tcMar>
            <w:vAlign w:val="bottom"/>
          </w:tcPr>
          <w:p w14:paraId="518B611B"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11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11D" w14:textId="77777777" w:rsidR="005C332D" w:rsidRDefault="00B93EAE">
            <w:pPr>
              <w:jc w:val="right"/>
              <w:textAlignment w:val="bottom"/>
            </w:pPr>
            <w:r>
              <w:rPr>
                <w:rFonts w:ascii="Times New Roman" w:eastAsia="宋体" w:hAnsi="Times New Roman"/>
                <w:b/>
                <w:bCs/>
                <w:color w:val="000000"/>
                <w:sz w:val="20"/>
                <w:szCs w:val="20"/>
              </w:rPr>
              <w:t>16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11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1F"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6120" w14:textId="77777777" w:rsidR="005C332D" w:rsidRDefault="00B93EAE">
            <w:pPr>
              <w:jc w:val="right"/>
              <w:textAlignment w:val="bottom"/>
            </w:pPr>
            <w:r>
              <w:rPr>
                <w:rFonts w:ascii="Times New Roman" w:eastAsia="宋体" w:hAnsi="Times New Roman"/>
                <w:b/>
                <w:bCs/>
                <w:color w:val="000000"/>
                <w:sz w:val="20"/>
                <w:szCs w:val="20"/>
              </w:rPr>
              <w:t>2.0</w:t>
            </w:r>
          </w:p>
        </w:tc>
        <w:tc>
          <w:tcPr>
            <w:tcW w:w="0" w:type="auto"/>
            <w:gridSpan w:val="3"/>
            <w:shd w:val="clear" w:color="auto" w:fill="CCEEFF"/>
            <w:tcMar>
              <w:top w:w="0" w:type="dxa"/>
              <w:left w:w="20" w:type="dxa"/>
              <w:bottom w:w="0" w:type="dxa"/>
              <w:right w:w="20" w:type="dxa"/>
            </w:tcMar>
            <w:vAlign w:val="bottom"/>
          </w:tcPr>
          <w:p w14:paraId="518B6121"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12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123" w14:textId="77777777" w:rsidR="005C332D" w:rsidRDefault="00B93EAE">
            <w:pPr>
              <w:jc w:val="right"/>
              <w:textAlignment w:val="bottom"/>
            </w:pPr>
            <w:r>
              <w:rPr>
                <w:rFonts w:ascii="Times New Roman" w:eastAsia="宋体" w:hAnsi="Times New Roman"/>
                <w:b/>
                <w:bCs/>
                <w:color w:val="000000"/>
                <w:sz w:val="20"/>
                <w:szCs w:val="20"/>
              </w:rPr>
              <w:t>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12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25"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126"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12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28"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12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12A"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12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2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12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12E"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12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30"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13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132" w14:textId="77777777" w:rsidR="005C332D" w:rsidRDefault="00B93EAE">
            <w:pPr>
              <w:jc w:val="right"/>
              <w:textAlignment w:val="bottom"/>
            </w:pPr>
            <w:r>
              <w:rPr>
                <w:rFonts w:ascii="Times New Roman" w:eastAsia="宋体" w:hAnsi="Times New Roman"/>
                <w:b/>
                <w:bCs/>
                <w:color w:val="000000"/>
                <w:sz w:val="20"/>
                <w:szCs w:val="20"/>
              </w:rPr>
              <w:t>20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133" w14:textId="77777777" w:rsidR="005C332D" w:rsidRDefault="005C332D">
            <w:pPr>
              <w:jc w:val="right"/>
              <w:rPr>
                <w:rFonts w:ascii="宋体"/>
              </w:rPr>
            </w:pPr>
          </w:p>
        </w:tc>
      </w:tr>
    </w:tbl>
    <w:p w14:paraId="518B6135" w14:textId="77777777" w:rsidR="005C332D" w:rsidRDefault="005C332D">
      <w:pPr>
        <w:rPr>
          <w:vanish/>
        </w:rPr>
      </w:pPr>
    </w:p>
    <w:tbl>
      <w:tblPr>
        <w:tblW w:w="4963" w:type="pct"/>
        <w:tblCellMar>
          <w:top w:w="15" w:type="dxa"/>
          <w:left w:w="15" w:type="dxa"/>
          <w:bottom w:w="15" w:type="dxa"/>
          <w:right w:w="15" w:type="dxa"/>
        </w:tblCellMar>
        <w:tblLook w:val="04A0" w:firstRow="1" w:lastRow="0" w:firstColumn="1" w:lastColumn="0" w:noHBand="0" w:noVBand="1"/>
      </w:tblPr>
      <w:tblGrid>
        <w:gridCol w:w="39"/>
        <w:gridCol w:w="678"/>
        <w:gridCol w:w="38"/>
        <w:gridCol w:w="93"/>
        <w:gridCol w:w="947"/>
        <w:gridCol w:w="37"/>
        <w:gridCol w:w="37"/>
        <w:gridCol w:w="37"/>
        <w:gridCol w:w="37"/>
        <w:gridCol w:w="120"/>
        <w:gridCol w:w="500"/>
        <w:gridCol w:w="36"/>
        <w:gridCol w:w="36"/>
        <w:gridCol w:w="36"/>
        <w:gridCol w:w="36"/>
        <w:gridCol w:w="93"/>
        <w:gridCol w:w="947"/>
        <w:gridCol w:w="37"/>
        <w:gridCol w:w="37"/>
        <w:gridCol w:w="37"/>
        <w:gridCol w:w="36"/>
        <w:gridCol w:w="120"/>
        <w:gridCol w:w="423"/>
        <w:gridCol w:w="36"/>
        <w:gridCol w:w="36"/>
        <w:gridCol w:w="36"/>
        <w:gridCol w:w="36"/>
        <w:gridCol w:w="93"/>
        <w:gridCol w:w="947"/>
        <w:gridCol w:w="36"/>
        <w:gridCol w:w="36"/>
        <w:gridCol w:w="36"/>
        <w:gridCol w:w="36"/>
        <w:gridCol w:w="121"/>
        <w:gridCol w:w="484"/>
        <w:gridCol w:w="36"/>
        <w:gridCol w:w="36"/>
        <w:gridCol w:w="36"/>
        <w:gridCol w:w="36"/>
        <w:gridCol w:w="121"/>
        <w:gridCol w:w="839"/>
        <w:gridCol w:w="36"/>
        <w:gridCol w:w="36"/>
        <w:gridCol w:w="36"/>
        <w:gridCol w:w="36"/>
        <w:gridCol w:w="120"/>
        <w:gridCol w:w="500"/>
        <w:gridCol w:w="36"/>
      </w:tblGrid>
      <w:tr w:rsidR="005C332D" w14:paraId="518B6166" w14:textId="77777777">
        <w:tc>
          <w:tcPr>
            <w:tcW w:w="50" w:type="pct"/>
            <w:shd w:val="clear" w:color="auto" w:fill="auto"/>
            <w:vAlign w:val="bottom"/>
          </w:tcPr>
          <w:p w14:paraId="518B6136" w14:textId="77777777" w:rsidR="005C332D" w:rsidRDefault="005C332D">
            <w:pPr>
              <w:rPr>
                <w:rFonts w:ascii="宋体"/>
              </w:rPr>
            </w:pPr>
          </w:p>
        </w:tc>
        <w:tc>
          <w:tcPr>
            <w:tcW w:w="887" w:type="pct"/>
            <w:shd w:val="clear" w:color="auto" w:fill="auto"/>
            <w:vAlign w:val="bottom"/>
          </w:tcPr>
          <w:p w14:paraId="518B6137" w14:textId="77777777" w:rsidR="005C332D" w:rsidRDefault="005C332D">
            <w:pPr>
              <w:rPr>
                <w:rFonts w:ascii="宋体"/>
              </w:rPr>
            </w:pPr>
          </w:p>
        </w:tc>
        <w:tc>
          <w:tcPr>
            <w:tcW w:w="5" w:type="pct"/>
            <w:shd w:val="clear" w:color="auto" w:fill="auto"/>
            <w:vAlign w:val="bottom"/>
          </w:tcPr>
          <w:p w14:paraId="518B6138" w14:textId="77777777" w:rsidR="005C332D" w:rsidRDefault="005C332D">
            <w:pPr>
              <w:rPr>
                <w:rFonts w:ascii="宋体"/>
              </w:rPr>
            </w:pPr>
          </w:p>
        </w:tc>
        <w:tc>
          <w:tcPr>
            <w:tcW w:w="50" w:type="pct"/>
            <w:shd w:val="clear" w:color="auto" w:fill="auto"/>
            <w:vAlign w:val="bottom"/>
          </w:tcPr>
          <w:p w14:paraId="518B6139" w14:textId="77777777" w:rsidR="005C332D" w:rsidRDefault="005C332D">
            <w:pPr>
              <w:rPr>
                <w:rFonts w:ascii="宋体"/>
              </w:rPr>
            </w:pPr>
          </w:p>
        </w:tc>
        <w:tc>
          <w:tcPr>
            <w:tcW w:w="512" w:type="pct"/>
            <w:shd w:val="clear" w:color="auto" w:fill="auto"/>
            <w:vAlign w:val="bottom"/>
          </w:tcPr>
          <w:p w14:paraId="518B613A" w14:textId="77777777" w:rsidR="005C332D" w:rsidRDefault="005C332D">
            <w:pPr>
              <w:rPr>
                <w:rFonts w:ascii="宋体"/>
              </w:rPr>
            </w:pPr>
          </w:p>
        </w:tc>
        <w:tc>
          <w:tcPr>
            <w:tcW w:w="5" w:type="pct"/>
            <w:shd w:val="clear" w:color="auto" w:fill="auto"/>
            <w:vAlign w:val="bottom"/>
          </w:tcPr>
          <w:p w14:paraId="518B613B" w14:textId="77777777" w:rsidR="005C332D" w:rsidRDefault="005C332D">
            <w:pPr>
              <w:rPr>
                <w:rFonts w:ascii="宋体"/>
              </w:rPr>
            </w:pPr>
          </w:p>
        </w:tc>
        <w:tc>
          <w:tcPr>
            <w:tcW w:w="5" w:type="pct"/>
            <w:shd w:val="clear" w:color="auto" w:fill="auto"/>
            <w:vAlign w:val="bottom"/>
          </w:tcPr>
          <w:p w14:paraId="518B613C" w14:textId="77777777" w:rsidR="005C332D" w:rsidRDefault="005C332D">
            <w:pPr>
              <w:rPr>
                <w:rFonts w:ascii="宋体"/>
              </w:rPr>
            </w:pPr>
          </w:p>
        </w:tc>
        <w:tc>
          <w:tcPr>
            <w:tcW w:w="26" w:type="pct"/>
            <w:shd w:val="clear" w:color="auto" w:fill="auto"/>
            <w:vAlign w:val="bottom"/>
          </w:tcPr>
          <w:p w14:paraId="518B613D" w14:textId="77777777" w:rsidR="005C332D" w:rsidRDefault="005C332D">
            <w:pPr>
              <w:rPr>
                <w:rFonts w:ascii="宋体"/>
              </w:rPr>
            </w:pPr>
          </w:p>
        </w:tc>
        <w:tc>
          <w:tcPr>
            <w:tcW w:w="5" w:type="pct"/>
            <w:shd w:val="clear" w:color="auto" w:fill="auto"/>
            <w:vAlign w:val="bottom"/>
          </w:tcPr>
          <w:p w14:paraId="518B613E" w14:textId="77777777" w:rsidR="005C332D" w:rsidRDefault="005C332D">
            <w:pPr>
              <w:rPr>
                <w:rFonts w:ascii="宋体"/>
              </w:rPr>
            </w:pPr>
          </w:p>
        </w:tc>
        <w:tc>
          <w:tcPr>
            <w:tcW w:w="50" w:type="pct"/>
            <w:shd w:val="clear" w:color="auto" w:fill="auto"/>
            <w:vAlign w:val="bottom"/>
          </w:tcPr>
          <w:p w14:paraId="518B613F" w14:textId="77777777" w:rsidR="005C332D" w:rsidRDefault="005C332D">
            <w:pPr>
              <w:rPr>
                <w:rFonts w:ascii="宋体"/>
              </w:rPr>
            </w:pPr>
          </w:p>
        </w:tc>
        <w:tc>
          <w:tcPr>
            <w:tcW w:w="327" w:type="pct"/>
            <w:shd w:val="clear" w:color="auto" w:fill="auto"/>
            <w:vAlign w:val="bottom"/>
          </w:tcPr>
          <w:p w14:paraId="518B6140" w14:textId="77777777" w:rsidR="005C332D" w:rsidRDefault="005C332D">
            <w:pPr>
              <w:rPr>
                <w:rFonts w:ascii="宋体"/>
              </w:rPr>
            </w:pPr>
          </w:p>
        </w:tc>
        <w:tc>
          <w:tcPr>
            <w:tcW w:w="5" w:type="pct"/>
            <w:shd w:val="clear" w:color="auto" w:fill="auto"/>
            <w:vAlign w:val="bottom"/>
          </w:tcPr>
          <w:p w14:paraId="518B6141" w14:textId="77777777" w:rsidR="005C332D" w:rsidRDefault="005C332D">
            <w:pPr>
              <w:rPr>
                <w:rFonts w:ascii="宋体"/>
              </w:rPr>
            </w:pPr>
          </w:p>
        </w:tc>
        <w:tc>
          <w:tcPr>
            <w:tcW w:w="5" w:type="pct"/>
            <w:shd w:val="clear" w:color="auto" w:fill="auto"/>
            <w:vAlign w:val="bottom"/>
          </w:tcPr>
          <w:p w14:paraId="518B6142" w14:textId="77777777" w:rsidR="005C332D" w:rsidRDefault="005C332D">
            <w:pPr>
              <w:rPr>
                <w:rFonts w:ascii="宋体"/>
              </w:rPr>
            </w:pPr>
          </w:p>
        </w:tc>
        <w:tc>
          <w:tcPr>
            <w:tcW w:w="26" w:type="pct"/>
            <w:shd w:val="clear" w:color="auto" w:fill="auto"/>
            <w:vAlign w:val="bottom"/>
          </w:tcPr>
          <w:p w14:paraId="518B6143" w14:textId="77777777" w:rsidR="005C332D" w:rsidRDefault="005C332D">
            <w:pPr>
              <w:rPr>
                <w:rFonts w:ascii="宋体"/>
              </w:rPr>
            </w:pPr>
          </w:p>
        </w:tc>
        <w:tc>
          <w:tcPr>
            <w:tcW w:w="5" w:type="pct"/>
            <w:shd w:val="clear" w:color="auto" w:fill="auto"/>
            <w:vAlign w:val="bottom"/>
          </w:tcPr>
          <w:p w14:paraId="518B6144" w14:textId="77777777" w:rsidR="005C332D" w:rsidRDefault="005C332D">
            <w:pPr>
              <w:rPr>
                <w:rFonts w:ascii="宋体"/>
              </w:rPr>
            </w:pPr>
          </w:p>
        </w:tc>
        <w:tc>
          <w:tcPr>
            <w:tcW w:w="50" w:type="pct"/>
            <w:shd w:val="clear" w:color="auto" w:fill="auto"/>
            <w:vAlign w:val="bottom"/>
          </w:tcPr>
          <w:p w14:paraId="518B6145" w14:textId="77777777" w:rsidR="005C332D" w:rsidRDefault="005C332D">
            <w:pPr>
              <w:rPr>
                <w:rFonts w:ascii="宋体"/>
              </w:rPr>
            </w:pPr>
          </w:p>
        </w:tc>
        <w:tc>
          <w:tcPr>
            <w:tcW w:w="512" w:type="pct"/>
            <w:shd w:val="clear" w:color="auto" w:fill="auto"/>
            <w:vAlign w:val="bottom"/>
          </w:tcPr>
          <w:p w14:paraId="518B6146" w14:textId="77777777" w:rsidR="005C332D" w:rsidRDefault="005C332D">
            <w:pPr>
              <w:rPr>
                <w:rFonts w:ascii="宋体"/>
              </w:rPr>
            </w:pPr>
          </w:p>
        </w:tc>
        <w:tc>
          <w:tcPr>
            <w:tcW w:w="5" w:type="pct"/>
            <w:shd w:val="clear" w:color="auto" w:fill="auto"/>
            <w:vAlign w:val="bottom"/>
          </w:tcPr>
          <w:p w14:paraId="518B6147" w14:textId="77777777" w:rsidR="005C332D" w:rsidRDefault="005C332D">
            <w:pPr>
              <w:rPr>
                <w:rFonts w:ascii="宋体"/>
              </w:rPr>
            </w:pPr>
          </w:p>
        </w:tc>
        <w:tc>
          <w:tcPr>
            <w:tcW w:w="5" w:type="pct"/>
            <w:shd w:val="clear" w:color="auto" w:fill="auto"/>
            <w:vAlign w:val="bottom"/>
          </w:tcPr>
          <w:p w14:paraId="518B6148" w14:textId="77777777" w:rsidR="005C332D" w:rsidRDefault="005C332D">
            <w:pPr>
              <w:rPr>
                <w:rFonts w:ascii="宋体"/>
              </w:rPr>
            </w:pPr>
          </w:p>
        </w:tc>
        <w:tc>
          <w:tcPr>
            <w:tcW w:w="26" w:type="pct"/>
            <w:shd w:val="clear" w:color="auto" w:fill="auto"/>
            <w:vAlign w:val="bottom"/>
          </w:tcPr>
          <w:p w14:paraId="518B6149" w14:textId="77777777" w:rsidR="005C332D" w:rsidRDefault="005C332D">
            <w:pPr>
              <w:rPr>
                <w:rFonts w:ascii="宋体"/>
              </w:rPr>
            </w:pPr>
          </w:p>
        </w:tc>
        <w:tc>
          <w:tcPr>
            <w:tcW w:w="5" w:type="pct"/>
            <w:shd w:val="clear" w:color="auto" w:fill="auto"/>
            <w:vAlign w:val="bottom"/>
          </w:tcPr>
          <w:p w14:paraId="518B614A" w14:textId="77777777" w:rsidR="005C332D" w:rsidRDefault="005C332D">
            <w:pPr>
              <w:rPr>
                <w:rFonts w:ascii="宋体"/>
              </w:rPr>
            </w:pPr>
          </w:p>
        </w:tc>
        <w:tc>
          <w:tcPr>
            <w:tcW w:w="50" w:type="pct"/>
            <w:shd w:val="clear" w:color="auto" w:fill="auto"/>
            <w:vAlign w:val="bottom"/>
          </w:tcPr>
          <w:p w14:paraId="518B614B" w14:textId="77777777" w:rsidR="005C332D" w:rsidRDefault="005C332D">
            <w:pPr>
              <w:rPr>
                <w:rFonts w:ascii="宋体"/>
              </w:rPr>
            </w:pPr>
          </w:p>
        </w:tc>
        <w:tc>
          <w:tcPr>
            <w:tcW w:w="327" w:type="pct"/>
            <w:shd w:val="clear" w:color="auto" w:fill="auto"/>
            <w:vAlign w:val="bottom"/>
          </w:tcPr>
          <w:p w14:paraId="518B614C" w14:textId="77777777" w:rsidR="005C332D" w:rsidRDefault="005C332D">
            <w:pPr>
              <w:rPr>
                <w:rFonts w:ascii="宋体"/>
              </w:rPr>
            </w:pPr>
          </w:p>
        </w:tc>
        <w:tc>
          <w:tcPr>
            <w:tcW w:w="5" w:type="pct"/>
            <w:shd w:val="clear" w:color="auto" w:fill="auto"/>
            <w:vAlign w:val="bottom"/>
          </w:tcPr>
          <w:p w14:paraId="518B614D" w14:textId="77777777" w:rsidR="005C332D" w:rsidRDefault="005C332D">
            <w:pPr>
              <w:rPr>
                <w:rFonts w:ascii="宋体"/>
              </w:rPr>
            </w:pPr>
          </w:p>
        </w:tc>
        <w:tc>
          <w:tcPr>
            <w:tcW w:w="5" w:type="pct"/>
            <w:shd w:val="clear" w:color="auto" w:fill="auto"/>
            <w:vAlign w:val="bottom"/>
          </w:tcPr>
          <w:p w14:paraId="518B614E" w14:textId="77777777" w:rsidR="005C332D" w:rsidRDefault="005C332D">
            <w:pPr>
              <w:rPr>
                <w:rFonts w:ascii="宋体"/>
              </w:rPr>
            </w:pPr>
          </w:p>
        </w:tc>
        <w:tc>
          <w:tcPr>
            <w:tcW w:w="26" w:type="pct"/>
            <w:shd w:val="clear" w:color="auto" w:fill="auto"/>
            <w:vAlign w:val="bottom"/>
          </w:tcPr>
          <w:p w14:paraId="518B614F" w14:textId="77777777" w:rsidR="005C332D" w:rsidRDefault="005C332D">
            <w:pPr>
              <w:rPr>
                <w:rFonts w:ascii="宋体"/>
              </w:rPr>
            </w:pPr>
          </w:p>
        </w:tc>
        <w:tc>
          <w:tcPr>
            <w:tcW w:w="5" w:type="pct"/>
            <w:shd w:val="clear" w:color="auto" w:fill="auto"/>
            <w:vAlign w:val="bottom"/>
          </w:tcPr>
          <w:p w14:paraId="518B6150" w14:textId="77777777" w:rsidR="005C332D" w:rsidRDefault="005C332D">
            <w:pPr>
              <w:rPr>
                <w:rFonts w:ascii="宋体"/>
              </w:rPr>
            </w:pPr>
          </w:p>
        </w:tc>
        <w:tc>
          <w:tcPr>
            <w:tcW w:w="50" w:type="pct"/>
            <w:shd w:val="clear" w:color="auto" w:fill="auto"/>
            <w:vAlign w:val="bottom"/>
          </w:tcPr>
          <w:p w14:paraId="518B6151" w14:textId="77777777" w:rsidR="005C332D" w:rsidRDefault="005C332D">
            <w:pPr>
              <w:rPr>
                <w:rFonts w:ascii="宋体"/>
              </w:rPr>
            </w:pPr>
          </w:p>
        </w:tc>
        <w:tc>
          <w:tcPr>
            <w:tcW w:w="512" w:type="pct"/>
            <w:shd w:val="clear" w:color="auto" w:fill="auto"/>
            <w:vAlign w:val="bottom"/>
          </w:tcPr>
          <w:p w14:paraId="518B6152" w14:textId="77777777" w:rsidR="005C332D" w:rsidRDefault="005C332D">
            <w:pPr>
              <w:rPr>
                <w:rFonts w:ascii="宋体"/>
              </w:rPr>
            </w:pPr>
          </w:p>
        </w:tc>
        <w:tc>
          <w:tcPr>
            <w:tcW w:w="5" w:type="pct"/>
            <w:shd w:val="clear" w:color="auto" w:fill="auto"/>
            <w:vAlign w:val="bottom"/>
          </w:tcPr>
          <w:p w14:paraId="518B6153" w14:textId="77777777" w:rsidR="005C332D" w:rsidRDefault="005C332D">
            <w:pPr>
              <w:rPr>
                <w:rFonts w:ascii="宋体"/>
              </w:rPr>
            </w:pPr>
          </w:p>
        </w:tc>
        <w:tc>
          <w:tcPr>
            <w:tcW w:w="5" w:type="pct"/>
            <w:shd w:val="clear" w:color="auto" w:fill="auto"/>
            <w:vAlign w:val="bottom"/>
          </w:tcPr>
          <w:p w14:paraId="518B6154" w14:textId="77777777" w:rsidR="005C332D" w:rsidRDefault="005C332D">
            <w:pPr>
              <w:rPr>
                <w:rFonts w:ascii="宋体"/>
              </w:rPr>
            </w:pPr>
          </w:p>
        </w:tc>
        <w:tc>
          <w:tcPr>
            <w:tcW w:w="26" w:type="pct"/>
            <w:shd w:val="clear" w:color="auto" w:fill="auto"/>
            <w:vAlign w:val="bottom"/>
          </w:tcPr>
          <w:p w14:paraId="518B6155" w14:textId="77777777" w:rsidR="005C332D" w:rsidRDefault="005C332D">
            <w:pPr>
              <w:rPr>
                <w:rFonts w:ascii="宋体"/>
              </w:rPr>
            </w:pPr>
          </w:p>
        </w:tc>
        <w:tc>
          <w:tcPr>
            <w:tcW w:w="5" w:type="pct"/>
            <w:shd w:val="clear" w:color="auto" w:fill="auto"/>
            <w:vAlign w:val="bottom"/>
          </w:tcPr>
          <w:p w14:paraId="518B6156" w14:textId="77777777" w:rsidR="005C332D" w:rsidRDefault="005C332D">
            <w:pPr>
              <w:rPr>
                <w:rFonts w:ascii="宋体"/>
              </w:rPr>
            </w:pPr>
          </w:p>
        </w:tc>
        <w:tc>
          <w:tcPr>
            <w:tcW w:w="50" w:type="pct"/>
            <w:shd w:val="clear" w:color="auto" w:fill="auto"/>
            <w:vAlign w:val="bottom"/>
          </w:tcPr>
          <w:p w14:paraId="518B6157" w14:textId="77777777" w:rsidR="005C332D" w:rsidRDefault="005C332D">
            <w:pPr>
              <w:rPr>
                <w:rFonts w:ascii="宋体"/>
              </w:rPr>
            </w:pPr>
          </w:p>
        </w:tc>
        <w:tc>
          <w:tcPr>
            <w:tcW w:w="327" w:type="pct"/>
            <w:shd w:val="clear" w:color="auto" w:fill="auto"/>
            <w:vAlign w:val="bottom"/>
          </w:tcPr>
          <w:p w14:paraId="518B6158" w14:textId="77777777" w:rsidR="005C332D" w:rsidRDefault="005C332D">
            <w:pPr>
              <w:rPr>
                <w:rFonts w:ascii="宋体"/>
              </w:rPr>
            </w:pPr>
          </w:p>
        </w:tc>
        <w:tc>
          <w:tcPr>
            <w:tcW w:w="5" w:type="pct"/>
            <w:shd w:val="clear" w:color="auto" w:fill="auto"/>
            <w:vAlign w:val="bottom"/>
          </w:tcPr>
          <w:p w14:paraId="518B6159" w14:textId="77777777" w:rsidR="005C332D" w:rsidRDefault="005C332D">
            <w:pPr>
              <w:rPr>
                <w:rFonts w:ascii="宋体"/>
              </w:rPr>
            </w:pPr>
          </w:p>
        </w:tc>
        <w:tc>
          <w:tcPr>
            <w:tcW w:w="5" w:type="pct"/>
            <w:shd w:val="clear" w:color="auto" w:fill="auto"/>
            <w:vAlign w:val="bottom"/>
          </w:tcPr>
          <w:p w14:paraId="518B615A" w14:textId="77777777" w:rsidR="005C332D" w:rsidRDefault="005C332D">
            <w:pPr>
              <w:rPr>
                <w:rFonts w:ascii="宋体"/>
              </w:rPr>
            </w:pPr>
          </w:p>
        </w:tc>
        <w:tc>
          <w:tcPr>
            <w:tcW w:w="26" w:type="pct"/>
            <w:shd w:val="clear" w:color="auto" w:fill="auto"/>
            <w:vAlign w:val="bottom"/>
          </w:tcPr>
          <w:p w14:paraId="518B615B" w14:textId="77777777" w:rsidR="005C332D" w:rsidRDefault="005C332D">
            <w:pPr>
              <w:rPr>
                <w:rFonts w:ascii="宋体"/>
              </w:rPr>
            </w:pPr>
          </w:p>
        </w:tc>
        <w:tc>
          <w:tcPr>
            <w:tcW w:w="5" w:type="pct"/>
            <w:shd w:val="clear" w:color="auto" w:fill="auto"/>
            <w:vAlign w:val="bottom"/>
          </w:tcPr>
          <w:p w14:paraId="518B615C" w14:textId="77777777" w:rsidR="005C332D" w:rsidRDefault="005C332D">
            <w:pPr>
              <w:rPr>
                <w:rFonts w:ascii="宋体"/>
              </w:rPr>
            </w:pPr>
          </w:p>
        </w:tc>
        <w:tc>
          <w:tcPr>
            <w:tcW w:w="50" w:type="pct"/>
            <w:shd w:val="clear" w:color="auto" w:fill="auto"/>
            <w:vAlign w:val="bottom"/>
          </w:tcPr>
          <w:p w14:paraId="518B615D" w14:textId="77777777" w:rsidR="005C332D" w:rsidRDefault="005C332D">
            <w:pPr>
              <w:rPr>
                <w:rFonts w:ascii="宋体"/>
              </w:rPr>
            </w:pPr>
          </w:p>
        </w:tc>
        <w:tc>
          <w:tcPr>
            <w:tcW w:w="512" w:type="pct"/>
            <w:shd w:val="clear" w:color="auto" w:fill="auto"/>
            <w:vAlign w:val="bottom"/>
          </w:tcPr>
          <w:p w14:paraId="518B615E" w14:textId="77777777" w:rsidR="005C332D" w:rsidRDefault="005C332D">
            <w:pPr>
              <w:rPr>
                <w:rFonts w:ascii="宋体"/>
              </w:rPr>
            </w:pPr>
          </w:p>
        </w:tc>
        <w:tc>
          <w:tcPr>
            <w:tcW w:w="5" w:type="pct"/>
            <w:shd w:val="clear" w:color="auto" w:fill="auto"/>
            <w:vAlign w:val="bottom"/>
          </w:tcPr>
          <w:p w14:paraId="518B615F" w14:textId="77777777" w:rsidR="005C332D" w:rsidRDefault="005C332D">
            <w:pPr>
              <w:rPr>
                <w:rFonts w:ascii="宋体"/>
              </w:rPr>
            </w:pPr>
          </w:p>
        </w:tc>
        <w:tc>
          <w:tcPr>
            <w:tcW w:w="5" w:type="pct"/>
            <w:shd w:val="clear" w:color="auto" w:fill="auto"/>
            <w:vAlign w:val="bottom"/>
          </w:tcPr>
          <w:p w14:paraId="518B6160" w14:textId="77777777" w:rsidR="005C332D" w:rsidRDefault="005C332D">
            <w:pPr>
              <w:rPr>
                <w:rFonts w:ascii="宋体"/>
              </w:rPr>
            </w:pPr>
          </w:p>
        </w:tc>
        <w:tc>
          <w:tcPr>
            <w:tcW w:w="26" w:type="pct"/>
            <w:shd w:val="clear" w:color="auto" w:fill="auto"/>
            <w:vAlign w:val="bottom"/>
          </w:tcPr>
          <w:p w14:paraId="518B6161" w14:textId="77777777" w:rsidR="005C332D" w:rsidRDefault="005C332D">
            <w:pPr>
              <w:rPr>
                <w:rFonts w:ascii="宋体"/>
              </w:rPr>
            </w:pPr>
          </w:p>
        </w:tc>
        <w:tc>
          <w:tcPr>
            <w:tcW w:w="5" w:type="pct"/>
            <w:shd w:val="clear" w:color="auto" w:fill="auto"/>
            <w:vAlign w:val="bottom"/>
          </w:tcPr>
          <w:p w14:paraId="518B6162" w14:textId="77777777" w:rsidR="005C332D" w:rsidRDefault="005C332D">
            <w:pPr>
              <w:rPr>
                <w:rFonts w:ascii="宋体"/>
              </w:rPr>
            </w:pPr>
          </w:p>
        </w:tc>
        <w:tc>
          <w:tcPr>
            <w:tcW w:w="50" w:type="pct"/>
            <w:shd w:val="clear" w:color="auto" w:fill="auto"/>
            <w:vAlign w:val="bottom"/>
          </w:tcPr>
          <w:p w14:paraId="518B6163" w14:textId="77777777" w:rsidR="005C332D" w:rsidRDefault="005C332D">
            <w:pPr>
              <w:rPr>
                <w:rFonts w:ascii="宋体"/>
              </w:rPr>
            </w:pPr>
          </w:p>
        </w:tc>
        <w:tc>
          <w:tcPr>
            <w:tcW w:w="328" w:type="pct"/>
            <w:shd w:val="clear" w:color="auto" w:fill="auto"/>
            <w:vAlign w:val="bottom"/>
          </w:tcPr>
          <w:p w14:paraId="518B6164" w14:textId="77777777" w:rsidR="005C332D" w:rsidRDefault="005C332D">
            <w:pPr>
              <w:rPr>
                <w:rFonts w:ascii="宋体"/>
              </w:rPr>
            </w:pPr>
          </w:p>
        </w:tc>
        <w:tc>
          <w:tcPr>
            <w:tcW w:w="5" w:type="pct"/>
            <w:shd w:val="clear" w:color="auto" w:fill="auto"/>
            <w:vAlign w:val="bottom"/>
          </w:tcPr>
          <w:p w14:paraId="518B6165" w14:textId="77777777" w:rsidR="005C332D" w:rsidRDefault="005C332D">
            <w:pPr>
              <w:rPr>
                <w:rFonts w:ascii="宋体"/>
              </w:rPr>
            </w:pPr>
          </w:p>
        </w:tc>
      </w:tr>
      <w:tr w:rsidR="005C332D" w14:paraId="518B616D" w14:textId="77777777">
        <w:trPr>
          <w:trHeight w:val="400"/>
        </w:trPr>
        <w:tc>
          <w:tcPr>
            <w:tcW w:w="0" w:type="auto"/>
            <w:gridSpan w:val="3"/>
            <w:shd w:val="clear" w:color="auto" w:fill="auto"/>
            <w:tcMar>
              <w:top w:w="40" w:type="dxa"/>
              <w:left w:w="20" w:type="dxa"/>
              <w:bottom w:w="40" w:type="dxa"/>
              <w:right w:w="20" w:type="dxa"/>
            </w:tcMar>
            <w:vAlign w:val="bottom"/>
          </w:tcPr>
          <w:p w14:paraId="518B6167" w14:textId="77777777" w:rsidR="005C332D" w:rsidRDefault="00B93EAE">
            <w:pPr>
              <w:textAlignment w:val="bottom"/>
            </w:pPr>
            <w:r>
              <w:rPr>
                <w:rFonts w:ascii="Times New Roman" w:eastAsia="宋体" w:hAnsi="Times New Roman"/>
                <w:color w:val="000000"/>
                <w:sz w:val="16"/>
                <w:szCs w:val="16"/>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518B6168" w14:textId="77777777" w:rsidR="005C332D" w:rsidRDefault="00B93EAE">
            <w:pPr>
              <w:jc w:val="center"/>
              <w:textAlignment w:val="bottom"/>
            </w:pPr>
            <w:r>
              <w:rPr>
                <w:rFonts w:ascii="Times New Roman" w:eastAsia="宋体" w:hAnsi="Times New Roman"/>
                <w:color w:val="000000"/>
                <w:sz w:val="16"/>
                <w:szCs w:val="16"/>
              </w:rPr>
              <w:t>FINITE LIVES</w:t>
            </w:r>
          </w:p>
        </w:tc>
        <w:tc>
          <w:tcPr>
            <w:tcW w:w="0" w:type="auto"/>
            <w:gridSpan w:val="3"/>
            <w:shd w:val="clear" w:color="auto" w:fill="auto"/>
            <w:tcMar>
              <w:top w:w="0" w:type="dxa"/>
              <w:left w:w="20" w:type="dxa"/>
              <w:bottom w:w="0" w:type="dxa"/>
              <w:right w:w="20" w:type="dxa"/>
            </w:tcMar>
            <w:vAlign w:val="bottom"/>
          </w:tcPr>
          <w:p w14:paraId="518B616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16A" w14:textId="77777777" w:rsidR="005C332D" w:rsidRDefault="00B93EAE">
            <w:pPr>
              <w:jc w:val="center"/>
              <w:textAlignment w:val="bottom"/>
            </w:pPr>
            <w:r>
              <w:rPr>
                <w:rFonts w:ascii="Times New Roman" w:eastAsia="宋体" w:hAnsi="Times New Roman"/>
                <w:color w:val="000000"/>
                <w:sz w:val="16"/>
                <w:szCs w:val="16"/>
              </w:rPr>
              <w:t>INDEFINITE</w:t>
            </w:r>
            <w:r>
              <w:rPr>
                <w:rFonts w:ascii="Times New Roman" w:eastAsia="宋体" w:hAnsi="Times New Roman"/>
                <w:color w:val="000000"/>
                <w:sz w:val="16"/>
                <w:szCs w:val="16"/>
              </w:rPr>
              <w:br/>
              <w:t>LIVES</w:t>
            </w:r>
          </w:p>
        </w:tc>
        <w:tc>
          <w:tcPr>
            <w:tcW w:w="0" w:type="auto"/>
            <w:gridSpan w:val="3"/>
            <w:shd w:val="clear" w:color="auto" w:fill="auto"/>
            <w:tcMar>
              <w:top w:w="0" w:type="dxa"/>
              <w:left w:w="20" w:type="dxa"/>
              <w:bottom w:w="0" w:type="dxa"/>
              <w:right w:w="20" w:type="dxa"/>
            </w:tcMar>
            <w:vAlign w:val="bottom"/>
          </w:tcPr>
          <w:p w14:paraId="518B616B" w14:textId="77777777" w:rsidR="005C332D" w:rsidRDefault="005C332D">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518B616C" w14:textId="77777777" w:rsidR="005C332D" w:rsidRDefault="00B93EAE">
            <w:pPr>
              <w:jc w:val="center"/>
              <w:textAlignment w:val="bottom"/>
            </w:pPr>
            <w:r>
              <w:rPr>
                <w:rFonts w:ascii="Times New Roman" w:eastAsia="宋体" w:hAnsi="Times New Roman"/>
                <w:color w:val="000000"/>
                <w:sz w:val="16"/>
                <w:szCs w:val="16"/>
              </w:rPr>
              <w:t>TOTAL</w:t>
            </w:r>
          </w:p>
        </w:tc>
      </w:tr>
      <w:tr w:rsidR="005C332D" w14:paraId="518B6178" w14:textId="77777777">
        <w:trPr>
          <w:trHeight w:val="400"/>
        </w:trPr>
        <w:tc>
          <w:tcPr>
            <w:tcW w:w="0" w:type="auto"/>
            <w:gridSpan w:val="3"/>
            <w:shd w:val="clear" w:color="auto" w:fill="auto"/>
            <w:tcMar>
              <w:top w:w="40" w:type="dxa"/>
              <w:left w:w="20" w:type="dxa"/>
              <w:bottom w:w="40" w:type="dxa"/>
              <w:right w:w="20" w:type="dxa"/>
            </w:tcMar>
            <w:vAlign w:val="bottom"/>
          </w:tcPr>
          <w:p w14:paraId="518B616E" w14:textId="77777777" w:rsidR="005C332D" w:rsidRDefault="00B93EAE">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18B616F" w14:textId="77777777" w:rsidR="005C332D" w:rsidRDefault="00B93EAE">
            <w:pPr>
              <w:jc w:val="center"/>
              <w:textAlignment w:val="bottom"/>
            </w:pPr>
            <w:r>
              <w:rPr>
                <w:rFonts w:ascii="Times New Roman" w:eastAsia="宋体" w:hAnsi="Times New Roman"/>
                <w:color w:val="000000"/>
                <w:sz w:val="16"/>
                <w:szCs w:val="16"/>
              </w:rPr>
              <w:t>TECHNOLOGY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170" w14:textId="77777777" w:rsidR="005C332D" w:rsidRDefault="005C332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18B6171" w14:textId="77777777" w:rsidR="005C332D" w:rsidRDefault="00B93EAE">
            <w:pPr>
              <w:jc w:val="center"/>
              <w:textAlignment w:val="bottom"/>
            </w:pPr>
            <w:r>
              <w:rPr>
                <w:rFonts w:ascii="Times New Roman" w:eastAsia="宋体" w:hAnsi="Times New Roman"/>
                <w:color w:val="000000"/>
                <w:sz w:val="16"/>
                <w:szCs w:val="16"/>
              </w:rPr>
              <w:t>CUSTOMER</w:t>
            </w:r>
            <w:r>
              <w:rPr>
                <w:rFonts w:ascii="Times New Roman" w:eastAsia="宋体" w:hAnsi="Times New Roman"/>
                <w:color w:val="000000"/>
                <w:sz w:val="16"/>
                <w:szCs w:val="16"/>
              </w:rPr>
              <w:br/>
              <w:t>RELATIONSHIPS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172" w14:textId="77777777" w:rsidR="005C332D" w:rsidRDefault="005C332D">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518B6173" w14:textId="77777777" w:rsidR="005C332D" w:rsidRDefault="00B93EAE">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518B617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75" w14:textId="77777777" w:rsidR="005C332D" w:rsidRDefault="00B93EAE">
            <w:pPr>
              <w:jc w:val="center"/>
              <w:textAlignment w:val="bottom"/>
            </w:pPr>
            <w:r>
              <w:rPr>
                <w:rFonts w:ascii="Times New Roman" w:eastAsia="宋体" w:hAnsi="Times New Roman"/>
                <w:color w:val="000000"/>
                <w:sz w:val="16"/>
                <w:szCs w:val="16"/>
              </w:rPr>
              <w:t>IPR&amp;D</w:t>
            </w:r>
          </w:p>
        </w:tc>
        <w:tc>
          <w:tcPr>
            <w:tcW w:w="0" w:type="auto"/>
            <w:gridSpan w:val="3"/>
            <w:shd w:val="clear" w:color="auto" w:fill="auto"/>
            <w:tcMar>
              <w:top w:w="0" w:type="dxa"/>
              <w:left w:w="20" w:type="dxa"/>
              <w:bottom w:w="0" w:type="dxa"/>
              <w:right w:w="20" w:type="dxa"/>
            </w:tcMar>
            <w:vAlign w:val="bottom"/>
          </w:tcPr>
          <w:p w14:paraId="518B6176" w14:textId="77777777" w:rsidR="005C332D" w:rsidRDefault="005C332D">
            <w:pPr>
              <w:rPr>
                <w:rFonts w:ascii="宋体"/>
              </w:rPr>
            </w:pPr>
          </w:p>
        </w:tc>
        <w:tc>
          <w:tcPr>
            <w:tcW w:w="0" w:type="auto"/>
            <w:gridSpan w:val="3"/>
            <w:vMerge/>
            <w:shd w:val="clear" w:color="auto" w:fill="auto"/>
            <w:tcMar>
              <w:top w:w="40" w:type="dxa"/>
              <w:left w:w="20" w:type="dxa"/>
              <w:bottom w:w="40" w:type="dxa"/>
              <w:right w:w="20" w:type="dxa"/>
            </w:tcMar>
            <w:vAlign w:val="bottom"/>
          </w:tcPr>
          <w:p w14:paraId="518B6177" w14:textId="77777777" w:rsidR="005C332D" w:rsidRDefault="005C332D">
            <w:pPr>
              <w:jc w:val="center"/>
              <w:rPr>
                <w:rFonts w:ascii="宋体"/>
              </w:rPr>
            </w:pPr>
          </w:p>
        </w:tc>
      </w:tr>
      <w:tr w:rsidR="005C332D" w14:paraId="518B6189" w14:textId="77777777">
        <w:tc>
          <w:tcPr>
            <w:tcW w:w="0" w:type="auto"/>
            <w:gridSpan w:val="3"/>
            <w:shd w:val="clear" w:color="auto" w:fill="auto"/>
            <w:tcMar>
              <w:top w:w="40" w:type="dxa"/>
              <w:left w:w="20" w:type="dxa"/>
              <w:bottom w:w="40" w:type="dxa"/>
              <w:right w:w="20" w:type="dxa"/>
            </w:tcMar>
            <w:vAlign w:val="bottom"/>
          </w:tcPr>
          <w:p w14:paraId="518B6179" w14:textId="77777777" w:rsidR="005C332D" w:rsidRDefault="00B93EAE">
            <w:pPr>
              <w:textAlignment w:val="bottom"/>
            </w:pPr>
            <w:r>
              <w:rPr>
                <w:rFonts w:ascii="Times New Roman" w:eastAsia="宋体" w:hAnsi="Times New Roman"/>
                <w:color w:val="000000"/>
                <w:sz w:val="16"/>
                <w:szCs w:val="16"/>
                <w:u w:val="single"/>
              </w:rPr>
              <w:t>Fiscal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7A" w14:textId="77777777" w:rsidR="005C332D" w:rsidRDefault="00B93EAE">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17B"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7C" w14:textId="77777777" w:rsidR="005C332D" w:rsidRDefault="00B93EAE">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518B617D"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7E" w14:textId="77777777" w:rsidR="005C332D" w:rsidRDefault="00B93EAE">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17F"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80" w14:textId="77777777" w:rsidR="005C332D" w:rsidRDefault="00B93EAE">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518B6181"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82" w14:textId="77777777" w:rsidR="005C332D" w:rsidRDefault="00B93EAE">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 xml:space="preserve">Life </w:t>
            </w:r>
            <w:r>
              <w:rPr>
                <w:rFonts w:ascii="Times New Roman" w:eastAsia="宋体" w:hAnsi="Times New Roman"/>
                <w:color w:val="000000"/>
                <w:sz w:val="16"/>
                <w:szCs w:val="16"/>
              </w:rPr>
              <w:t>(in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183"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84" w14:textId="77777777" w:rsidR="005C332D" w:rsidRDefault="00B93EAE">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518B6185"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86" w14:textId="77777777" w:rsidR="005C332D" w:rsidRDefault="00B93EAE">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518B6187"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188" w14:textId="77777777" w:rsidR="005C332D" w:rsidRDefault="00B93EAE">
            <w:pPr>
              <w:jc w:val="center"/>
              <w:textAlignment w:val="bottom"/>
            </w:pPr>
            <w:r>
              <w:rPr>
                <w:rFonts w:ascii="Times New Roman" w:eastAsia="宋体" w:hAnsi="Times New Roman"/>
                <w:color w:val="000000"/>
                <w:sz w:val="16"/>
                <w:szCs w:val="16"/>
              </w:rPr>
              <w:t>Amount</w:t>
            </w:r>
          </w:p>
        </w:tc>
      </w:tr>
      <w:tr w:rsidR="005C332D" w14:paraId="518B61A4" w14:textId="77777777">
        <w:tc>
          <w:tcPr>
            <w:tcW w:w="0" w:type="auto"/>
            <w:gridSpan w:val="3"/>
            <w:shd w:val="clear" w:color="auto" w:fill="CCEEFF"/>
            <w:tcMar>
              <w:top w:w="40" w:type="dxa"/>
              <w:left w:w="20" w:type="dxa"/>
              <w:bottom w:w="40" w:type="dxa"/>
              <w:right w:w="20" w:type="dxa"/>
            </w:tcMar>
          </w:tcPr>
          <w:p w14:paraId="518B618A" w14:textId="77777777" w:rsidR="005C332D" w:rsidRDefault="00B93EAE">
            <w:pPr>
              <w:textAlignment w:val="top"/>
            </w:pPr>
            <w:r>
              <w:rPr>
                <w:rFonts w:ascii="Times New Roman" w:eastAsia="宋体" w:hAnsi="Times New Roman"/>
                <w:color w:val="000000"/>
                <w:sz w:val="20"/>
                <w:szCs w:val="20"/>
              </w:rPr>
              <w:t>Acacia</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618B" w14:textId="77777777" w:rsidR="005C332D" w:rsidRDefault="00B93EAE">
            <w:pPr>
              <w:jc w:val="right"/>
              <w:textAlignment w:val="bottom"/>
            </w:pPr>
            <w:r>
              <w:rPr>
                <w:rFonts w:ascii="Times New Roman" w:eastAsia="宋体" w:hAnsi="Times New Roman"/>
                <w:color w:val="000000"/>
                <w:sz w:val="20"/>
                <w:szCs w:val="20"/>
              </w:rPr>
              <w:t>4.0</w:t>
            </w:r>
          </w:p>
        </w:tc>
        <w:tc>
          <w:tcPr>
            <w:tcW w:w="0" w:type="auto"/>
            <w:gridSpan w:val="3"/>
            <w:shd w:val="clear" w:color="auto" w:fill="CCEEFF"/>
            <w:tcMar>
              <w:top w:w="0" w:type="dxa"/>
              <w:left w:w="20" w:type="dxa"/>
              <w:bottom w:w="0" w:type="dxa"/>
              <w:right w:w="20" w:type="dxa"/>
            </w:tcMar>
            <w:vAlign w:val="bottom"/>
          </w:tcPr>
          <w:p w14:paraId="518B618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18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18E" w14:textId="77777777" w:rsidR="005C332D" w:rsidRDefault="00B93EAE">
            <w:pPr>
              <w:jc w:val="right"/>
              <w:textAlignment w:val="bottom"/>
            </w:pPr>
            <w:r>
              <w:rPr>
                <w:rFonts w:ascii="Times New Roman" w:eastAsia="宋体" w:hAnsi="Times New Roman"/>
                <w:color w:val="000000"/>
                <w:sz w:val="20"/>
                <w:szCs w:val="20"/>
              </w:rPr>
              <w:t>1,290 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18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90"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6191" w14:textId="77777777" w:rsidR="005C332D" w:rsidRDefault="00B93EAE">
            <w:pPr>
              <w:jc w:val="right"/>
              <w:textAlignment w:val="bottom"/>
            </w:pPr>
            <w:r>
              <w:rPr>
                <w:rFonts w:ascii="Times New Roman" w:eastAsia="宋体" w:hAnsi="Times New Roman"/>
                <w:color w:val="000000"/>
                <w:sz w:val="20"/>
                <w:szCs w:val="20"/>
              </w:rPr>
              <w:t>4.0</w:t>
            </w:r>
          </w:p>
        </w:tc>
        <w:tc>
          <w:tcPr>
            <w:tcW w:w="0" w:type="auto"/>
            <w:gridSpan w:val="3"/>
            <w:shd w:val="clear" w:color="auto" w:fill="CCEEFF"/>
            <w:tcMar>
              <w:top w:w="0" w:type="dxa"/>
              <w:left w:w="20" w:type="dxa"/>
              <w:bottom w:w="0" w:type="dxa"/>
              <w:right w:w="20" w:type="dxa"/>
            </w:tcMar>
            <w:vAlign w:val="bottom"/>
          </w:tcPr>
          <w:p w14:paraId="518B619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19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194" w14:textId="77777777" w:rsidR="005C332D" w:rsidRDefault="00B93EAE">
            <w:pPr>
              <w:jc w:val="right"/>
              <w:textAlignment w:val="bottom"/>
            </w:pPr>
            <w:r>
              <w:rPr>
                <w:rFonts w:ascii="Times New Roman" w:eastAsia="宋体" w:hAnsi="Times New Roman"/>
                <w:color w:val="000000"/>
                <w:sz w:val="20"/>
                <w:szCs w:val="20"/>
              </w:rPr>
              <w:t>490 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19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96"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6197" w14:textId="77777777" w:rsidR="005C332D" w:rsidRDefault="00B93EAE">
            <w:pPr>
              <w:jc w:val="right"/>
              <w:textAlignment w:val="bottom"/>
            </w:pPr>
            <w:r>
              <w:rPr>
                <w:rFonts w:ascii="Times New Roman" w:eastAsia="宋体" w:hAnsi="Times New Roman"/>
                <w:color w:val="000000"/>
                <w:sz w:val="20"/>
                <w:szCs w:val="20"/>
              </w:rPr>
              <w:t>3.1</w:t>
            </w:r>
          </w:p>
        </w:tc>
        <w:tc>
          <w:tcPr>
            <w:tcW w:w="0" w:type="auto"/>
            <w:gridSpan w:val="3"/>
            <w:shd w:val="clear" w:color="auto" w:fill="CCEEFF"/>
            <w:tcMar>
              <w:top w:w="0" w:type="dxa"/>
              <w:left w:w="20" w:type="dxa"/>
              <w:bottom w:w="0" w:type="dxa"/>
              <w:right w:w="20" w:type="dxa"/>
            </w:tcMar>
            <w:vAlign w:val="bottom"/>
          </w:tcPr>
          <w:p w14:paraId="518B619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19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19A" w14:textId="77777777" w:rsidR="005C332D" w:rsidRDefault="00B93EAE">
            <w:pPr>
              <w:jc w:val="right"/>
              <w:textAlignment w:val="bottom"/>
            </w:pPr>
            <w:r>
              <w:rPr>
                <w:rFonts w:ascii="Times New Roman" w:eastAsia="宋体" w:hAnsi="Times New Roman"/>
                <w:color w:val="000000"/>
                <w:sz w:val="20"/>
                <w:szCs w:val="20"/>
              </w:rPr>
              <w:t>35 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19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9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19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19E" w14:textId="77777777" w:rsidR="005C332D" w:rsidRDefault="00B93EAE">
            <w:pPr>
              <w:jc w:val="right"/>
              <w:textAlignment w:val="bottom"/>
            </w:pPr>
            <w:r>
              <w:rPr>
                <w:rFonts w:ascii="Times New Roman" w:eastAsia="宋体" w:hAnsi="Times New Roman"/>
                <w:color w:val="000000"/>
                <w:sz w:val="20"/>
                <w:szCs w:val="20"/>
              </w:rPr>
              <w:t>345 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19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A0"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1A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1A2" w14:textId="77777777" w:rsidR="005C332D" w:rsidRDefault="00B93EAE">
            <w:pPr>
              <w:jc w:val="right"/>
              <w:textAlignment w:val="bottom"/>
            </w:pPr>
            <w:r>
              <w:rPr>
                <w:rFonts w:ascii="Times New Roman" w:eastAsia="宋体" w:hAnsi="Times New Roman"/>
                <w:color w:val="000000"/>
                <w:sz w:val="20"/>
                <w:szCs w:val="20"/>
              </w:rPr>
              <w:t>2,160 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1A3" w14:textId="77777777" w:rsidR="005C332D" w:rsidRDefault="005C332D">
            <w:pPr>
              <w:jc w:val="right"/>
              <w:rPr>
                <w:rFonts w:ascii="宋体"/>
              </w:rPr>
            </w:pPr>
          </w:p>
        </w:tc>
      </w:tr>
      <w:tr w:rsidR="005C332D" w14:paraId="518B61BA" w14:textId="77777777">
        <w:tc>
          <w:tcPr>
            <w:tcW w:w="0" w:type="auto"/>
            <w:gridSpan w:val="3"/>
            <w:shd w:val="clear" w:color="auto" w:fill="FFFFFF"/>
            <w:tcMar>
              <w:top w:w="40" w:type="dxa"/>
              <w:left w:w="20" w:type="dxa"/>
              <w:bottom w:w="40" w:type="dxa"/>
              <w:right w:w="20" w:type="dxa"/>
            </w:tcMar>
          </w:tcPr>
          <w:p w14:paraId="518B61A5" w14:textId="77777777" w:rsidR="005C332D" w:rsidRDefault="00B93EAE">
            <w:pPr>
              <w:textAlignment w:val="top"/>
            </w:pPr>
            <w:r>
              <w:rPr>
                <w:rFonts w:ascii="Times New Roman" w:eastAsia="宋体" w:hAnsi="Times New Roman"/>
                <w:color w:val="000000"/>
                <w:sz w:val="20"/>
                <w:szCs w:val="20"/>
              </w:rPr>
              <w:t>Others</w:t>
            </w:r>
          </w:p>
        </w:tc>
        <w:tc>
          <w:tcPr>
            <w:tcW w:w="0" w:type="auto"/>
            <w:gridSpan w:val="3"/>
            <w:shd w:val="clear" w:color="auto" w:fill="FFFFFF"/>
            <w:tcMar>
              <w:top w:w="40" w:type="dxa"/>
              <w:left w:w="20" w:type="dxa"/>
              <w:bottom w:w="40" w:type="dxa"/>
              <w:right w:w="20" w:type="dxa"/>
            </w:tcMar>
            <w:vAlign w:val="bottom"/>
          </w:tcPr>
          <w:p w14:paraId="518B61A6" w14:textId="77777777" w:rsidR="005C332D" w:rsidRDefault="00B93EAE">
            <w:pPr>
              <w:jc w:val="right"/>
              <w:textAlignment w:val="bottom"/>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518B61A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1A8" w14:textId="77777777" w:rsidR="005C332D" w:rsidRDefault="00B93EAE">
            <w:pPr>
              <w:jc w:val="right"/>
              <w:textAlignment w:val="bottom"/>
            </w:pPr>
            <w:r>
              <w:rPr>
                <w:rFonts w:ascii="Times New Roman" w:eastAsia="宋体" w:hAnsi="Times New Roman"/>
                <w:color w:val="000000"/>
                <w:sz w:val="20"/>
                <w:szCs w:val="20"/>
              </w:rPr>
              <w:t>545 </w:t>
            </w:r>
          </w:p>
        </w:tc>
        <w:tc>
          <w:tcPr>
            <w:tcW w:w="0" w:type="auto"/>
            <w:shd w:val="clear" w:color="auto" w:fill="FFFFFF"/>
            <w:tcMar>
              <w:top w:w="40" w:type="dxa"/>
              <w:left w:w="0" w:type="dxa"/>
              <w:bottom w:w="40" w:type="dxa"/>
              <w:right w:w="20" w:type="dxa"/>
            </w:tcMar>
            <w:vAlign w:val="bottom"/>
          </w:tcPr>
          <w:p w14:paraId="518B61A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1AA"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61AB" w14:textId="77777777" w:rsidR="005C332D" w:rsidRDefault="00B93EAE">
            <w:pPr>
              <w:jc w:val="right"/>
              <w:textAlignment w:val="bottom"/>
            </w:pPr>
            <w:r>
              <w:rPr>
                <w:rFonts w:ascii="Times New Roman" w:eastAsia="宋体" w:hAnsi="Times New Roman"/>
                <w:color w:val="000000"/>
                <w:sz w:val="20"/>
                <w:szCs w:val="20"/>
              </w:rPr>
              <w:t>4.6</w:t>
            </w:r>
          </w:p>
        </w:tc>
        <w:tc>
          <w:tcPr>
            <w:tcW w:w="0" w:type="auto"/>
            <w:gridSpan w:val="3"/>
            <w:shd w:val="clear" w:color="auto" w:fill="FFFFFF"/>
            <w:tcMar>
              <w:top w:w="0" w:type="dxa"/>
              <w:left w:w="20" w:type="dxa"/>
              <w:bottom w:w="0" w:type="dxa"/>
              <w:right w:w="20" w:type="dxa"/>
            </w:tcMar>
            <w:vAlign w:val="bottom"/>
          </w:tcPr>
          <w:p w14:paraId="518B61A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1AD" w14:textId="77777777" w:rsidR="005C332D" w:rsidRDefault="00B93EAE">
            <w:pPr>
              <w:jc w:val="right"/>
              <w:textAlignment w:val="bottom"/>
            </w:pPr>
            <w:r>
              <w:rPr>
                <w:rFonts w:ascii="Times New Roman" w:eastAsia="宋体" w:hAnsi="Times New Roman"/>
                <w:color w:val="000000"/>
                <w:sz w:val="20"/>
                <w:szCs w:val="20"/>
              </w:rPr>
              <w:t>174 </w:t>
            </w:r>
          </w:p>
        </w:tc>
        <w:tc>
          <w:tcPr>
            <w:tcW w:w="0" w:type="auto"/>
            <w:shd w:val="clear" w:color="auto" w:fill="FFFFFF"/>
            <w:tcMar>
              <w:top w:w="40" w:type="dxa"/>
              <w:left w:w="0" w:type="dxa"/>
              <w:bottom w:w="40" w:type="dxa"/>
              <w:right w:w="20" w:type="dxa"/>
            </w:tcMar>
            <w:vAlign w:val="bottom"/>
          </w:tcPr>
          <w:p w14:paraId="518B61A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1AF"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61B0" w14:textId="77777777" w:rsidR="005C332D" w:rsidRDefault="00B93EAE">
            <w:pPr>
              <w:jc w:val="right"/>
              <w:textAlignment w:val="bottom"/>
            </w:pPr>
            <w:r>
              <w:rPr>
                <w:rFonts w:ascii="Times New Roman" w:eastAsia="宋体" w:hAnsi="Times New Roman"/>
                <w:color w:val="000000"/>
                <w:sz w:val="20"/>
                <w:szCs w:val="20"/>
              </w:rPr>
              <w:t>2.9</w:t>
            </w:r>
          </w:p>
        </w:tc>
        <w:tc>
          <w:tcPr>
            <w:tcW w:w="0" w:type="auto"/>
            <w:gridSpan w:val="3"/>
            <w:shd w:val="clear" w:color="auto" w:fill="FFFFFF"/>
            <w:tcMar>
              <w:top w:w="0" w:type="dxa"/>
              <w:left w:w="20" w:type="dxa"/>
              <w:bottom w:w="0" w:type="dxa"/>
              <w:right w:w="20" w:type="dxa"/>
            </w:tcMar>
            <w:vAlign w:val="bottom"/>
          </w:tcPr>
          <w:p w14:paraId="518B61B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1B2" w14:textId="77777777" w:rsidR="005C332D" w:rsidRDefault="00B93EAE">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518B61B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1B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1B5"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1B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1B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1B8" w14:textId="77777777" w:rsidR="005C332D" w:rsidRDefault="00B93EAE">
            <w:pPr>
              <w:jc w:val="right"/>
              <w:textAlignment w:val="bottom"/>
            </w:pPr>
            <w:r>
              <w:rPr>
                <w:rFonts w:ascii="Times New Roman" w:eastAsia="宋体" w:hAnsi="Times New Roman"/>
                <w:color w:val="000000"/>
                <w:sz w:val="20"/>
                <w:szCs w:val="20"/>
              </w:rPr>
              <w:t>754 </w:t>
            </w:r>
          </w:p>
        </w:tc>
        <w:tc>
          <w:tcPr>
            <w:tcW w:w="0" w:type="auto"/>
            <w:shd w:val="clear" w:color="auto" w:fill="FFFFFF"/>
            <w:tcMar>
              <w:top w:w="40" w:type="dxa"/>
              <w:left w:w="0" w:type="dxa"/>
              <w:bottom w:w="40" w:type="dxa"/>
              <w:right w:w="20" w:type="dxa"/>
            </w:tcMar>
            <w:vAlign w:val="bottom"/>
          </w:tcPr>
          <w:p w14:paraId="518B61B9" w14:textId="77777777" w:rsidR="005C332D" w:rsidRDefault="005C332D">
            <w:pPr>
              <w:jc w:val="right"/>
              <w:rPr>
                <w:rFonts w:ascii="宋体"/>
              </w:rPr>
            </w:pPr>
          </w:p>
        </w:tc>
      </w:tr>
      <w:tr w:rsidR="005C332D" w14:paraId="518B61D5" w14:textId="77777777">
        <w:tc>
          <w:tcPr>
            <w:tcW w:w="0" w:type="auto"/>
            <w:gridSpan w:val="3"/>
            <w:shd w:val="clear" w:color="auto" w:fill="CCEEFF"/>
            <w:tcMar>
              <w:top w:w="40" w:type="dxa"/>
              <w:left w:w="260" w:type="dxa"/>
              <w:bottom w:w="40" w:type="dxa"/>
              <w:right w:w="20" w:type="dxa"/>
            </w:tcMar>
          </w:tcPr>
          <w:p w14:paraId="518B61BB"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1B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1BD"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1B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1BF" w14:textId="77777777" w:rsidR="005C332D" w:rsidRDefault="00B93EAE">
            <w:pPr>
              <w:jc w:val="right"/>
              <w:textAlignment w:val="bottom"/>
            </w:pPr>
            <w:r>
              <w:rPr>
                <w:rFonts w:ascii="Times New Roman" w:eastAsia="宋体" w:hAnsi="Times New Roman"/>
                <w:color w:val="000000"/>
                <w:sz w:val="20"/>
                <w:szCs w:val="20"/>
              </w:rPr>
              <w:t>1,835 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1C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C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1C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1C3"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1C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1C5" w14:textId="77777777" w:rsidR="005C332D" w:rsidRDefault="00B93EAE">
            <w:pPr>
              <w:jc w:val="right"/>
              <w:textAlignment w:val="bottom"/>
            </w:pPr>
            <w:r>
              <w:rPr>
                <w:rFonts w:ascii="Times New Roman" w:eastAsia="宋体" w:hAnsi="Times New Roman"/>
                <w:color w:val="000000"/>
                <w:sz w:val="20"/>
                <w:szCs w:val="20"/>
              </w:rPr>
              <w:t>664 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1C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C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1C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1C9"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1C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1CB" w14:textId="77777777" w:rsidR="005C332D" w:rsidRDefault="00B93EAE">
            <w:pPr>
              <w:jc w:val="right"/>
              <w:textAlignment w:val="bottom"/>
            </w:pPr>
            <w:r>
              <w:rPr>
                <w:rFonts w:ascii="Times New Roman" w:eastAsia="宋体" w:hAnsi="Times New Roman"/>
                <w:color w:val="000000"/>
                <w:sz w:val="20"/>
                <w:szCs w:val="20"/>
              </w:rPr>
              <w:t>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1C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CD"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1C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1CF" w14:textId="77777777" w:rsidR="005C332D" w:rsidRDefault="00B93EAE">
            <w:pPr>
              <w:jc w:val="right"/>
              <w:textAlignment w:val="bottom"/>
            </w:pPr>
            <w:r>
              <w:rPr>
                <w:rFonts w:ascii="Times New Roman" w:eastAsia="宋体" w:hAnsi="Times New Roman"/>
                <w:color w:val="000000"/>
                <w:sz w:val="20"/>
                <w:szCs w:val="20"/>
              </w:rPr>
              <w:t>345 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1D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1D1"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1D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1D3" w14:textId="77777777" w:rsidR="005C332D" w:rsidRDefault="00B93EAE">
            <w:pPr>
              <w:jc w:val="right"/>
              <w:textAlignment w:val="bottom"/>
            </w:pPr>
            <w:r>
              <w:rPr>
                <w:rFonts w:ascii="Times New Roman" w:eastAsia="宋体" w:hAnsi="Times New Roman"/>
                <w:color w:val="000000"/>
                <w:sz w:val="20"/>
                <w:szCs w:val="20"/>
              </w:rPr>
              <w:t>2,914 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1D4" w14:textId="77777777" w:rsidR="005C332D" w:rsidRDefault="005C332D">
            <w:pPr>
              <w:jc w:val="right"/>
              <w:rPr>
                <w:rFonts w:ascii="宋体"/>
              </w:rPr>
            </w:pPr>
          </w:p>
        </w:tc>
      </w:tr>
    </w:tbl>
    <w:p w14:paraId="518B61D6" w14:textId="77777777" w:rsidR="005C332D" w:rsidRDefault="00B93EAE">
      <w:pPr>
        <w:jc w:val="center"/>
      </w:pPr>
      <w:r>
        <w:rPr>
          <w:rFonts w:ascii="Times New Roman" w:eastAsia="宋体" w:hAnsi="Times New Roman"/>
          <w:color w:val="000000"/>
          <w:sz w:val="20"/>
          <w:szCs w:val="20"/>
        </w:rPr>
        <w:t>73</w:t>
      </w:r>
    </w:p>
    <w:p w14:paraId="518B61D7" w14:textId="77777777" w:rsidR="005C332D" w:rsidRDefault="00B93EAE">
      <w:r>
        <w:pict w14:anchorId="518B875E">
          <v:rect id="_x0000_i1099" style="width:415.3pt;height:1.5pt" o:hralign="center" o:hrstd="t" o:hr="t" fillcolor="#a0a0a0" stroked="f"/>
        </w:pict>
      </w:r>
    </w:p>
    <w:p w14:paraId="518B61D8" w14:textId="77777777" w:rsidR="005C332D" w:rsidRDefault="005C332D"/>
    <w:p w14:paraId="518B61D9" w14:textId="77777777" w:rsidR="005C332D" w:rsidRDefault="00B93EAE">
      <w:pPr>
        <w:spacing w:before="120"/>
        <w:jc w:val="both"/>
      </w:pPr>
      <w:r>
        <w:rPr>
          <w:rFonts w:ascii="Times New Roman" w:eastAsia="宋体" w:hAnsi="Times New Roman"/>
          <w:color w:val="000000"/>
          <w:sz w:val="20"/>
          <w:szCs w:val="20"/>
        </w:rPr>
        <w:t>The following tables present details of our purchased intangible assets (in millions):</w:t>
      </w:r>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1036"/>
        <w:gridCol w:w="36"/>
        <w:gridCol w:w="36"/>
        <w:gridCol w:w="36"/>
        <w:gridCol w:w="36"/>
        <w:gridCol w:w="121"/>
        <w:gridCol w:w="1037"/>
        <w:gridCol w:w="36"/>
        <w:gridCol w:w="36"/>
        <w:gridCol w:w="36"/>
        <w:gridCol w:w="36"/>
        <w:gridCol w:w="120"/>
        <w:gridCol w:w="1038"/>
        <w:gridCol w:w="36"/>
      </w:tblGrid>
      <w:tr w:rsidR="005C332D" w14:paraId="518B61EF" w14:textId="77777777">
        <w:tc>
          <w:tcPr>
            <w:tcW w:w="50" w:type="pct"/>
            <w:shd w:val="clear" w:color="auto" w:fill="auto"/>
            <w:vAlign w:val="bottom"/>
          </w:tcPr>
          <w:p w14:paraId="518B61DA" w14:textId="77777777" w:rsidR="005C332D" w:rsidRDefault="005C332D">
            <w:pPr>
              <w:rPr>
                <w:rFonts w:ascii="宋体"/>
              </w:rPr>
            </w:pPr>
          </w:p>
        </w:tc>
        <w:tc>
          <w:tcPr>
            <w:tcW w:w="2635" w:type="pct"/>
            <w:shd w:val="clear" w:color="auto" w:fill="auto"/>
            <w:vAlign w:val="bottom"/>
          </w:tcPr>
          <w:p w14:paraId="518B61DB" w14:textId="77777777" w:rsidR="005C332D" w:rsidRDefault="005C332D">
            <w:pPr>
              <w:rPr>
                <w:rFonts w:ascii="宋体"/>
              </w:rPr>
            </w:pPr>
          </w:p>
        </w:tc>
        <w:tc>
          <w:tcPr>
            <w:tcW w:w="5" w:type="pct"/>
            <w:shd w:val="clear" w:color="auto" w:fill="auto"/>
            <w:vAlign w:val="bottom"/>
          </w:tcPr>
          <w:p w14:paraId="518B61DC" w14:textId="77777777" w:rsidR="005C332D" w:rsidRDefault="005C332D">
            <w:pPr>
              <w:rPr>
                <w:rFonts w:ascii="宋体"/>
              </w:rPr>
            </w:pPr>
          </w:p>
        </w:tc>
        <w:tc>
          <w:tcPr>
            <w:tcW w:w="5" w:type="pct"/>
            <w:shd w:val="clear" w:color="auto" w:fill="auto"/>
            <w:vAlign w:val="bottom"/>
          </w:tcPr>
          <w:p w14:paraId="518B61DD" w14:textId="77777777" w:rsidR="005C332D" w:rsidRDefault="005C332D">
            <w:pPr>
              <w:rPr>
                <w:rFonts w:ascii="宋体"/>
              </w:rPr>
            </w:pPr>
          </w:p>
        </w:tc>
        <w:tc>
          <w:tcPr>
            <w:tcW w:w="26" w:type="pct"/>
            <w:shd w:val="clear" w:color="auto" w:fill="auto"/>
            <w:vAlign w:val="bottom"/>
          </w:tcPr>
          <w:p w14:paraId="518B61DE" w14:textId="77777777" w:rsidR="005C332D" w:rsidRDefault="005C332D">
            <w:pPr>
              <w:rPr>
                <w:rFonts w:ascii="宋体"/>
              </w:rPr>
            </w:pPr>
          </w:p>
        </w:tc>
        <w:tc>
          <w:tcPr>
            <w:tcW w:w="5" w:type="pct"/>
            <w:shd w:val="clear" w:color="auto" w:fill="auto"/>
            <w:vAlign w:val="bottom"/>
          </w:tcPr>
          <w:p w14:paraId="518B61DF" w14:textId="77777777" w:rsidR="005C332D" w:rsidRDefault="005C332D">
            <w:pPr>
              <w:rPr>
                <w:rFonts w:ascii="宋体"/>
              </w:rPr>
            </w:pPr>
          </w:p>
        </w:tc>
        <w:tc>
          <w:tcPr>
            <w:tcW w:w="50" w:type="pct"/>
            <w:shd w:val="clear" w:color="auto" w:fill="auto"/>
            <w:vAlign w:val="bottom"/>
          </w:tcPr>
          <w:p w14:paraId="518B61E0" w14:textId="77777777" w:rsidR="005C332D" w:rsidRDefault="005C332D">
            <w:pPr>
              <w:rPr>
                <w:rFonts w:ascii="宋体"/>
              </w:rPr>
            </w:pPr>
          </w:p>
        </w:tc>
        <w:tc>
          <w:tcPr>
            <w:tcW w:w="678" w:type="pct"/>
            <w:shd w:val="clear" w:color="auto" w:fill="auto"/>
            <w:vAlign w:val="bottom"/>
          </w:tcPr>
          <w:p w14:paraId="518B61E1" w14:textId="77777777" w:rsidR="005C332D" w:rsidRDefault="005C332D">
            <w:pPr>
              <w:rPr>
                <w:rFonts w:ascii="宋体"/>
              </w:rPr>
            </w:pPr>
          </w:p>
        </w:tc>
        <w:tc>
          <w:tcPr>
            <w:tcW w:w="5" w:type="pct"/>
            <w:shd w:val="clear" w:color="auto" w:fill="auto"/>
            <w:vAlign w:val="bottom"/>
          </w:tcPr>
          <w:p w14:paraId="518B61E2" w14:textId="77777777" w:rsidR="005C332D" w:rsidRDefault="005C332D">
            <w:pPr>
              <w:rPr>
                <w:rFonts w:ascii="宋体"/>
              </w:rPr>
            </w:pPr>
          </w:p>
        </w:tc>
        <w:tc>
          <w:tcPr>
            <w:tcW w:w="5" w:type="pct"/>
            <w:shd w:val="clear" w:color="auto" w:fill="auto"/>
            <w:vAlign w:val="bottom"/>
          </w:tcPr>
          <w:p w14:paraId="518B61E3" w14:textId="77777777" w:rsidR="005C332D" w:rsidRDefault="005C332D">
            <w:pPr>
              <w:rPr>
                <w:rFonts w:ascii="宋体"/>
              </w:rPr>
            </w:pPr>
          </w:p>
        </w:tc>
        <w:tc>
          <w:tcPr>
            <w:tcW w:w="26" w:type="pct"/>
            <w:shd w:val="clear" w:color="auto" w:fill="auto"/>
            <w:vAlign w:val="bottom"/>
          </w:tcPr>
          <w:p w14:paraId="518B61E4" w14:textId="77777777" w:rsidR="005C332D" w:rsidRDefault="005C332D">
            <w:pPr>
              <w:rPr>
                <w:rFonts w:ascii="宋体"/>
              </w:rPr>
            </w:pPr>
          </w:p>
        </w:tc>
        <w:tc>
          <w:tcPr>
            <w:tcW w:w="5" w:type="pct"/>
            <w:shd w:val="clear" w:color="auto" w:fill="auto"/>
            <w:vAlign w:val="bottom"/>
          </w:tcPr>
          <w:p w14:paraId="518B61E5" w14:textId="77777777" w:rsidR="005C332D" w:rsidRDefault="005C332D">
            <w:pPr>
              <w:rPr>
                <w:rFonts w:ascii="宋体"/>
              </w:rPr>
            </w:pPr>
          </w:p>
        </w:tc>
        <w:tc>
          <w:tcPr>
            <w:tcW w:w="50" w:type="pct"/>
            <w:shd w:val="clear" w:color="auto" w:fill="auto"/>
            <w:vAlign w:val="bottom"/>
          </w:tcPr>
          <w:p w14:paraId="518B61E6" w14:textId="77777777" w:rsidR="005C332D" w:rsidRDefault="005C332D">
            <w:pPr>
              <w:rPr>
                <w:rFonts w:ascii="宋体"/>
              </w:rPr>
            </w:pPr>
          </w:p>
        </w:tc>
        <w:tc>
          <w:tcPr>
            <w:tcW w:w="678" w:type="pct"/>
            <w:shd w:val="clear" w:color="auto" w:fill="auto"/>
            <w:vAlign w:val="bottom"/>
          </w:tcPr>
          <w:p w14:paraId="518B61E7" w14:textId="77777777" w:rsidR="005C332D" w:rsidRDefault="005C332D">
            <w:pPr>
              <w:rPr>
                <w:rFonts w:ascii="宋体"/>
              </w:rPr>
            </w:pPr>
          </w:p>
        </w:tc>
        <w:tc>
          <w:tcPr>
            <w:tcW w:w="5" w:type="pct"/>
            <w:shd w:val="clear" w:color="auto" w:fill="auto"/>
            <w:vAlign w:val="bottom"/>
          </w:tcPr>
          <w:p w14:paraId="518B61E8" w14:textId="77777777" w:rsidR="005C332D" w:rsidRDefault="005C332D">
            <w:pPr>
              <w:rPr>
                <w:rFonts w:ascii="宋体"/>
              </w:rPr>
            </w:pPr>
          </w:p>
        </w:tc>
        <w:tc>
          <w:tcPr>
            <w:tcW w:w="5" w:type="pct"/>
            <w:shd w:val="clear" w:color="auto" w:fill="auto"/>
            <w:vAlign w:val="bottom"/>
          </w:tcPr>
          <w:p w14:paraId="518B61E9" w14:textId="77777777" w:rsidR="005C332D" w:rsidRDefault="005C332D">
            <w:pPr>
              <w:rPr>
                <w:rFonts w:ascii="宋体"/>
              </w:rPr>
            </w:pPr>
          </w:p>
        </w:tc>
        <w:tc>
          <w:tcPr>
            <w:tcW w:w="26" w:type="pct"/>
            <w:shd w:val="clear" w:color="auto" w:fill="auto"/>
            <w:vAlign w:val="bottom"/>
          </w:tcPr>
          <w:p w14:paraId="518B61EA" w14:textId="77777777" w:rsidR="005C332D" w:rsidRDefault="005C332D">
            <w:pPr>
              <w:rPr>
                <w:rFonts w:ascii="宋体"/>
              </w:rPr>
            </w:pPr>
          </w:p>
        </w:tc>
        <w:tc>
          <w:tcPr>
            <w:tcW w:w="5" w:type="pct"/>
            <w:shd w:val="clear" w:color="auto" w:fill="auto"/>
            <w:vAlign w:val="bottom"/>
          </w:tcPr>
          <w:p w14:paraId="518B61EB" w14:textId="77777777" w:rsidR="005C332D" w:rsidRDefault="005C332D">
            <w:pPr>
              <w:rPr>
                <w:rFonts w:ascii="宋体"/>
              </w:rPr>
            </w:pPr>
          </w:p>
        </w:tc>
        <w:tc>
          <w:tcPr>
            <w:tcW w:w="50" w:type="pct"/>
            <w:shd w:val="clear" w:color="auto" w:fill="auto"/>
            <w:vAlign w:val="bottom"/>
          </w:tcPr>
          <w:p w14:paraId="518B61EC" w14:textId="77777777" w:rsidR="005C332D" w:rsidRDefault="005C332D">
            <w:pPr>
              <w:rPr>
                <w:rFonts w:ascii="宋体"/>
              </w:rPr>
            </w:pPr>
          </w:p>
        </w:tc>
        <w:tc>
          <w:tcPr>
            <w:tcW w:w="678" w:type="pct"/>
            <w:shd w:val="clear" w:color="auto" w:fill="auto"/>
            <w:vAlign w:val="bottom"/>
          </w:tcPr>
          <w:p w14:paraId="518B61ED" w14:textId="77777777" w:rsidR="005C332D" w:rsidRDefault="005C332D">
            <w:pPr>
              <w:rPr>
                <w:rFonts w:ascii="宋体"/>
              </w:rPr>
            </w:pPr>
          </w:p>
        </w:tc>
        <w:tc>
          <w:tcPr>
            <w:tcW w:w="5" w:type="pct"/>
            <w:shd w:val="clear" w:color="auto" w:fill="auto"/>
            <w:vAlign w:val="bottom"/>
          </w:tcPr>
          <w:p w14:paraId="518B61EE" w14:textId="77777777" w:rsidR="005C332D" w:rsidRDefault="005C332D">
            <w:pPr>
              <w:rPr>
                <w:rFonts w:ascii="宋体"/>
              </w:rPr>
            </w:pPr>
          </w:p>
        </w:tc>
      </w:tr>
      <w:tr w:rsidR="005C332D" w14:paraId="518B61F7" w14:textId="77777777">
        <w:tc>
          <w:tcPr>
            <w:tcW w:w="0" w:type="auto"/>
            <w:gridSpan w:val="3"/>
            <w:shd w:val="clear" w:color="auto" w:fill="auto"/>
            <w:tcMar>
              <w:top w:w="40" w:type="dxa"/>
              <w:left w:w="20" w:type="dxa"/>
              <w:bottom w:w="40" w:type="dxa"/>
              <w:right w:w="20" w:type="dxa"/>
            </w:tcMar>
            <w:vAlign w:val="bottom"/>
          </w:tcPr>
          <w:p w14:paraId="518B61F0" w14:textId="77777777" w:rsidR="005C332D" w:rsidRDefault="00B93EAE">
            <w:pPr>
              <w:textAlignment w:val="bottom"/>
            </w:pPr>
            <w:r>
              <w:rPr>
                <w:rFonts w:ascii="Times New Roman" w:eastAsia="宋体" w:hAnsi="Times New Roman"/>
                <w:b/>
                <w:bCs/>
                <w:color w:val="000000"/>
                <w:sz w:val="18"/>
                <w:szCs w:val="18"/>
                <w:u w:val="single"/>
              </w:rPr>
              <w:t>July 30</w:t>
            </w:r>
            <w:r>
              <w:rPr>
                <w:rFonts w:ascii="Times New Roman" w:eastAsia="宋体" w:hAnsi="Times New Roman"/>
                <w:b/>
                <w:bCs/>
                <w:color w:val="000000"/>
                <w:sz w:val="18"/>
                <w:szCs w:val="18"/>
                <w:u w:val="single"/>
              </w:rPr>
              <w:t>, 2022</w:t>
            </w:r>
          </w:p>
        </w:tc>
        <w:tc>
          <w:tcPr>
            <w:tcW w:w="0" w:type="auto"/>
            <w:gridSpan w:val="3"/>
            <w:shd w:val="clear" w:color="auto" w:fill="auto"/>
            <w:tcMar>
              <w:top w:w="0" w:type="dxa"/>
              <w:left w:w="20" w:type="dxa"/>
              <w:bottom w:w="0" w:type="dxa"/>
              <w:right w:w="20" w:type="dxa"/>
            </w:tcMar>
            <w:vAlign w:val="bottom"/>
          </w:tcPr>
          <w:p w14:paraId="518B61F1"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1F2" w14:textId="77777777" w:rsidR="005C332D" w:rsidRDefault="00B93EAE">
            <w:pPr>
              <w:jc w:val="center"/>
              <w:textAlignment w:val="bottom"/>
            </w:pPr>
            <w:r>
              <w:rPr>
                <w:rFonts w:ascii="Times New Roman" w:eastAsia="宋体" w:hAnsi="Times New Roman"/>
                <w:b/>
                <w:bCs/>
                <w:color w:val="000000"/>
                <w:sz w:val="18"/>
                <w:szCs w:val="18"/>
              </w:rPr>
              <w:t>Gross</w:t>
            </w:r>
          </w:p>
        </w:tc>
        <w:tc>
          <w:tcPr>
            <w:tcW w:w="0" w:type="auto"/>
            <w:gridSpan w:val="3"/>
            <w:shd w:val="clear" w:color="auto" w:fill="auto"/>
            <w:tcMar>
              <w:top w:w="0" w:type="dxa"/>
              <w:left w:w="20" w:type="dxa"/>
              <w:bottom w:w="0" w:type="dxa"/>
              <w:right w:w="20" w:type="dxa"/>
            </w:tcMar>
            <w:vAlign w:val="bottom"/>
          </w:tcPr>
          <w:p w14:paraId="518B61F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1F4" w14:textId="77777777" w:rsidR="005C332D" w:rsidRDefault="00B93EAE">
            <w:pPr>
              <w:jc w:val="center"/>
              <w:textAlignment w:val="bottom"/>
            </w:pPr>
            <w:r>
              <w:rPr>
                <w:rFonts w:ascii="Times New Roman" w:eastAsia="宋体" w:hAnsi="Times New Roman"/>
                <w:b/>
                <w:bCs/>
                <w:color w:val="000000"/>
                <w:sz w:val="18"/>
                <w:szCs w:val="18"/>
              </w:rPr>
              <w:t>Accumulated Amortization</w:t>
            </w:r>
          </w:p>
        </w:tc>
        <w:tc>
          <w:tcPr>
            <w:tcW w:w="0" w:type="auto"/>
            <w:gridSpan w:val="3"/>
            <w:shd w:val="clear" w:color="auto" w:fill="auto"/>
            <w:tcMar>
              <w:top w:w="0" w:type="dxa"/>
              <w:left w:w="20" w:type="dxa"/>
              <w:bottom w:w="0" w:type="dxa"/>
              <w:right w:w="20" w:type="dxa"/>
            </w:tcMar>
            <w:vAlign w:val="bottom"/>
          </w:tcPr>
          <w:p w14:paraId="518B61F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1F6" w14:textId="77777777" w:rsidR="005C332D" w:rsidRDefault="00B93EAE">
            <w:pPr>
              <w:jc w:val="center"/>
              <w:textAlignment w:val="bottom"/>
            </w:pPr>
            <w:r>
              <w:rPr>
                <w:rFonts w:ascii="Times New Roman" w:eastAsia="宋体" w:hAnsi="Times New Roman"/>
                <w:b/>
                <w:bCs/>
                <w:color w:val="000000"/>
                <w:sz w:val="18"/>
                <w:szCs w:val="18"/>
              </w:rPr>
              <w:t>Net</w:t>
            </w:r>
          </w:p>
        </w:tc>
      </w:tr>
      <w:tr w:rsidR="005C332D" w14:paraId="518B61FF" w14:textId="77777777">
        <w:tc>
          <w:tcPr>
            <w:tcW w:w="0" w:type="auto"/>
            <w:gridSpan w:val="3"/>
            <w:shd w:val="clear" w:color="auto" w:fill="CCEEFF"/>
            <w:tcMar>
              <w:top w:w="40" w:type="dxa"/>
              <w:left w:w="20" w:type="dxa"/>
              <w:bottom w:w="40" w:type="dxa"/>
              <w:right w:w="20" w:type="dxa"/>
            </w:tcMar>
          </w:tcPr>
          <w:p w14:paraId="518B61F8" w14:textId="77777777" w:rsidR="005C332D" w:rsidRDefault="00B93EAE">
            <w:pPr>
              <w:textAlignment w:val="top"/>
            </w:pPr>
            <w:r>
              <w:rPr>
                <w:rFonts w:ascii="Times New Roman" w:eastAsia="宋体" w:hAnsi="Times New Roman"/>
                <w:b/>
                <w:bCs/>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vAlign w:val="bottom"/>
          </w:tcPr>
          <w:p w14:paraId="518B61F9"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1F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1FB"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1F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1FD"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1FE" w14:textId="77777777" w:rsidR="005C332D" w:rsidRDefault="005C332D">
            <w:pPr>
              <w:rPr>
                <w:rFonts w:ascii="宋体"/>
              </w:rPr>
            </w:pPr>
          </w:p>
        </w:tc>
      </w:tr>
      <w:tr w:rsidR="005C332D" w14:paraId="518B620D" w14:textId="77777777">
        <w:tc>
          <w:tcPr>
            <w:tcW w:w="0" w:type="auto"/>
            <w:gridSpan w:val="3"/>
            <w:shd w:val="clear" w:color="auto" w:fill="FFFFFF"/>
            <w:tcMar>
              <w:top w:w="40" w:type="dxa"/>
              <w:left w:w="380" w:type="dxa"/>
              <w:bottom w:w="40" w:type="dxa"/>
              <w:right w:w="20" w:type="dxa"/>
            </w:tcMar>
          </w:tcPr>
          <w:p w14:paraId="518B6200" w14:textId="77777777" w:rsidR="005C332D" w:rsidRDefault="00B93EAE">
            <w:pPr>
              <w:textAlignment w:val="top"/>
            </w:pPr>
            <w:r>
              <w:rPr>
                <w:rFonts w:ascii="Times New Roman" w:eastAsia="宋体" w:hAnsi="Times New Roman"/>
                <w:b/>
                <w:bCs/>
                <w:color w:val="000000"/>
                <w:sz w:val="20"/>
                <w:szCs w:val="20"/>
              </w:rPr>
              <w:t>Technology</w:t>
            </w:r>
          </w:p>
        </w:tc>
        <w:tc>
          <w:tcPr>
            <w:tcW w:w="0" w:type="auto"/>
            <w:gridSpan w:val="3"/>
            <w:shd w:val="clear" w:color="auto" w:fill="FFFFFF"/>
            <w:tcMar>
              <w:top w:w="0" w:type="dxa"/>
              <w:left w:w="20" w:type="dxa"/>
              <w:bottom w:w="0" w:type="dxa"/>
              <w:right w:w="20" w:type="dxa"/>
            </w:tcMar>
            <w:vAlign w:val="bottom"/>
          </w:tcPr>
          <w:p w14:paraId="518B6201"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202"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203" w14:textId="77777777" w:rsidR="005C332D" w:rsidRDefault="00B93EAE">
            <w:pPr>
              <w:jc w:val="right"/>
              <w:textAlignment w:val="bottom"/>
            </w:pPr>
            <w:r>
              <w:rPr>
                <w:rFonts w:ascii="Times New Roman" w:eastAsia="宋体" w:hAnsi="Times New Roman"/>
                <w:b/>
                <w:bCs/>
                <w:color w:val="000000"/>
                <w:sz w:val="20"/>
                <w:szCs w:val="20"/>
              </w:rPr>
              <w:t>2,631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20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05"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206"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207" w14:textId="77777777" w:rsidR="005C332D" w:rsidRDefault="00B93EAE">
            <w:pPr>
              <w:jc w:val="right"/>
              <w:textAlignment w:val="bottom"/>
            </w:pPr>
            <w:r>
              <w:rPr>
                <w:rFonts w:ascii="Times New Roman" w:eastAsia="宋体" w:hAnsi="Times New Roman"/>
                <w:b/>
                <w:bCs/>
                <w:color w:val="000000"/>
                <w:sz w:val="20"/>
                <w:szCs w:val="20"/>
              </w:rPr>
              <w:t>(1,102)</w:t>
            </w:r>
          </w:p>
        </w:tc>
        <w:tc>
          <w:tcPr>
            <w:tcW w:w="0" w:type="auto"/>
            <w:shd w:val="clear" w:color="auto" w:fill="FFFFFF"/>
            <w:tcMar>
              <w:top w:w="40" w:type="dxa"/>
              <w:left w:w="0" w:type="dxa"/>
              <w:bottom w:w="40" w:type="dxa"/>
              <w:right w:w="20" w:type="dxa"/>
            </w:tcMar>
            <w:vAlign w:val="bottom"/>
          </w:tcPr>
          <w:p w14:paraId="518B620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09"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20A"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20B" w14:textId="77777777" w:rsidR="005C332D" w:rsidRDefault="00B93EAE">
            <w:pPr>
              <w:jc w:val="right"/>
              <w:textAlignment w:val="bottom"/>
            </w:pPr>
            <w:r>
              <w:rPr>
                <w:rFonts w:ascii="Times New Roman" w:eastAsia="宋体" w:hAnsi="Times New Roman"/>
                <w:b/>
                <w:bCs/>
                <w:color w:val="000000"/>
                <w:sz w:val="20"/>
                <w:szCs w:val="20"/>
              </w:rPr>
              <w:t>1,529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20C" w14:textId="77777777" w:rsidR="005C332D" w:rsidRDefault="005C332D">
            <w:pPr>
              <w:jc w:val="right"/>
              <w:rPr>
                <w:rFonts w:ascii="宋体"/>
              </w:rPr>
            </w:pPr>
          </w:p>
        </w:tc>
      </w:tr>
      <w:tr w:rsidR="005C332D" w14:paraId="518B6218" w14:textId="77777777">
        <w:tc>
          <w:tcPr>
            <w:tcW w:w="0" w:type="auto"/>
            <w:gridSpan w:val="3"/>
            <w:shd w:val="clear" w:color="auto" w:fill="CCEEFF"/>
            <w:tcMar>
              <w:top w:w="40" w:type="dxa"/>
              <w:left w:w="380" w:type="dxa"/>
              <w:bottom w:w="40" w:type="dxa"/>
              <w:right w:w="20" w:type="dxa"/>
            </w:tcMar>
          </w:tcPr>
          <w:p w14:paraId="518B620E" w14:textId="77777777" w:rsidR="005C332D" w:rsidRDefault="00B93EAE">
            <w:pPr>
              <w:textAlignment w:val="top"/>
            </w:pPr>
            <w:r>
              <w:rPr>
                <w:rFonts w:ascii="Times New Roman" w:eastAsia="宋体" w:hAnsi="Times New Roman"/>
                <w:b/>
                <w:bCs/>
                <w:color w:val="000000"/>
                <w:sz w:val="20"/>
                <w:szCs w:val="20"/>
              </w:rPr>
              <w:t>Customer relationships</w:t>
            </w:r>
          </w:p>
        </w:tc>
        <w:tc>
          <w:tcPr>
            <w:tcW w:w="0" w:type="auto"/>
            <w:gridSpan w:val="3"/>
            <w:shd w:val="clear" w:color="auto" w:fill="CCEEFF"/>
            <w:tcMar>
              <w:top w:w="0" w:type="dxa"/>
              <w:left w:w="20" w:type="dxa"/>
              <w:bottom w:w="0" w:type="dxa"/>
              <w:right w:w="20" w:type="dxa"/>
            </w:tcMar>
            <w:vAlign w:val="bottom"/>
          </w:tcPr>
          <w:p w14:paraId="518B620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210" w14:textId="77777777" w:rsidR="005C332D" w:rsidRDefault="00B93EAE">
            <w:pPr>
              <w:jc w:val="right"/>
              <w:textAlignment w:val="bottom"/>
            </w:pPr>
            <w:r>
              <w:rPr>
                <w:rFonts w:ascii="Times New Roman" w:eastAsia="宋体" w:hAnsi="Times New Roman"/>
                <w:b/>
                <w:bCs/>
                <w:color w:val="000000"/>
                <w:sz w:val="20"/>
                <w:szCs w:val="20"/>
              </w:rPr>
              <w:t>1,354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21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1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213" w14:textId="77777777" w:rsidR="005C332D" w:rsidRDefault="00B93EAE">
            <w:pPr>
              <w:jc w:val="right"/>
              <w:textAlignment w:val="bottom"/>
            </w:pPr>
            <w:r>
              <w:rPr>
                <w:rFonts w:ascii="Times New Roman" w:eastAsia="宋体" w:hAnsi="Times New Roman"/>
                <w:b/>
                <w:bCs/>
                <w:color w:val="000000"/>
                <w:sz w:val="20"/>
                <w:szCs w:val="20"/>
              </w:rPr>
              <w:t>(769)</w:t>
            </w:r>
          </w:p>
        </w:tc>
        <w:tc>
          <w:tcPr>
            <w:tcW w:w="0" w:type="auto"/>
            <w:shd w:val="clear" w:color="auto" w:fill="CCEEFF"/>
            <w:tcMar>
              <w:top w:w="40" w:type="dxa"/>
              <w:left w:w="0" w:type="dxa"/>
              <w:bottom w:w="40" w:type="dxa"/>
              <w:right w:w="20" w:type="dxa"/>
            </w:tcMar>
            <w:vAlign w:val="bottom"/>
          </w:tcPr>
          <w:p w14:paraId="518B621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1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216" w14:textId="77777777" w:rsidR="005C332D" w:rsidRDefault="00B93EAE">
            <w:pPr>
              <w:jc w:val="right"/>
              <w:textAlignment w:val="bottom"/>
            </w:pPr>
            <w:r>
              <w:rPr>
                <w:rFonts w:ascii="Times New Roman" w:eastAsia="宋体" w:hAnsi="Times New Roman"/>
                <w:b/>
                <w:bCs/>
                <w:color w:val="000000"/>
                <w:sz w:val="20"/>
                <w:szCs w:val="20"/>
              </w:rPr>
              <w:t>585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217" w14:textId="77777777" w:rsidR="005C332D" w:rsidRDefault="005C332D">
            <w:pPr>
              <w:jc w:val="right"/>
              <w:rPr>
                <w:rFonts w:ascii="宋体"/>
              </w:rPr>
            </w:pPr>
          </w:p>
        </w:tc>
      </w:tr>
      <w:tr w:rsidR="005C332D" w14:paraId="518B6223" w14:textId="77777777">
        <w:tc>
          <w:tcPr>
            <w:tcW w:w="0" w:type="auto"/>
            <w:gridSpan w:val="3"/>
            <w:shd w:val="clear" w:color="auto" w:fill="FFFFFF"/>
            <w:tcMar>
              <w:top w:w="40" w:type="dxa"/>
              <w:left w:w="380" w:type="dxa"/>
              <w:bottom w:w="40" w:type="dxa"/>
              <w:right w:w="20" w:type="dxa"/>
            </w:tcMar>
          </w:tcPr>
          <w:p w14:paraId="518B6219" w14:textId="77777777" w:rsidR="005C332D" w:rsidRDefault="00B93EAE">
            <w:pPr>
              <w:textAlignment w:val="top"/>
            </w:pPr>
            <w:r>
              <w:rPr>
                <w:rFonts w:ascii="Times New Roman" w:eastAsia="宋体" w:hAnsi="Times New Roman"/>
                <w:b/>
                <w:bCs/>
                <w:color w:val="000000"/>
                <w:sz w:val="20"/>
                <w:szCs w:val="20"/>
              </w:rPr>
              <w:t>Other</w:t>
            </w:r>
          </w:p>
        </w:tc>
        <w:tc>
          <w:tcPr>
            <w:tcW w:w="0" w:type="auto"/>
            <w:gridSpan w:val="3"/>
            <w:shd w:val="clear" w:color="auto" w:fill="FFFFFF"/>
            <w:tcMar>
              <w:top w:w="0" w:type="dxa"/>
              <w:left w:w="20" w:type="dxa"/>
              <w:bottom w:w="0" w:type="dxa"/>
              <w:right w:w="20" w:type="dxa"/>
            </w:tcMar>
            <w:vAlign w:val="bottom"/>
          </w:tcPr>
          <w:p w14:paraId="518B621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21B" w14:textId="77777777" w:rsidR="005C332D" w:rsidRDefault="00B93EAE">
            <w:pPr>
              <w:jc w:val="right"/>
              <w:textAlignment w:val="bottom"/>
            </w:pPr>
            <w:r>
              <w:rPr>
                <w:rFonts w:ascii="Times New Roman" w:eastAsia="宋体" w:hAnsi="Times New Roman"/>
                <w:b/>
                <w:bCs/>
                <w:color w:val="000000"/>
                <w:sz w:val="20"/>
                <w:szCs w:val="20"/>
              </w:rPr>
              <w:t>41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21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1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21E" w14:textId="77777777" w:rsidR="005C332D" w:rsidRDefault="00B93EAE">
            <w:pPr>
              <w:jc w:val="right"/>
              <w:textAlignment w:val="bottom"/>
            </w:pPr>
            <w:r>
              <w:rPr>
                <w:rFonts w:ascii="Times New Roman" w:eastAsia="宋体" w:hAnsi="Times New Roman"/>
                <w:b/>
                <w:bCs/>
                <w:color w:val="000000"/>
                <w:sz w:val="20"/>
                <w:szCs w:val="20"/>
              </w:rPr>
              <w:t>(16)</w:t>
            </w:r>
          </w:p>
        </w:tc>
        <w:tc>
          <w:tcPr>
            <w:tcW w:w="0" w:type="auto"/>
            <w:shd w:val="clear" w:color="auto" w:fill="FFFFFF"/>
            <w:tcMar>
              <w:top w:w="40" w:type="dxa"/>
              <w:left w:w="0" w:type="dxa"/>
              <w:bottom w:w="40" w:type="dxa"/>
              <w:right w:w="20" w:type="dxa"/>
            </w:tcMar>
            <w:vAlign w:val="bottom"/>
          </w:tcPr>
          <w:p w14:paraId="518B621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2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221" w14:textId="77777777" w:rsidR="005C332D" w:rsidRDefault="00B93EAE">
            <w:pPr>
              <w:jc w:val="right"/>
              <w:textAlignment w:val="bottom"/>
            </w:pPr>
            <w:r>
              <w:rPr>
                <w:rFonts w:ascii="Times New Roman" w:eastAsia="宋体" w:hAnsi="Times New Roman"/>
                <w:b/>
                <w:bCs/>
                <w:color w:val="000000"/>
                <w:sz w:val="20"/>
                <w:szCs w:val="20"/>
              </w:rPr>
              <w:t>25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222" w14:textId="77777777" w:rsidR="005C332D" w:rsidRDefault="005C332D">
            <w:pPr>
              <w:jc w:val="right"/>
              <w:rPr>
                <w:rFonts w:ascii="宋体"/>
              </w:rPr>
            </w:pPr>
          </w:p>
        </w:tc>
      </w:tr>
      <w:tr w:rsidR="005C332D" w14:paraId="518B622E" w14:textId="77777777">
        <w:tc>
          <w:tcPr>
            <w:tcW w:w="0" w:type="auto"/>
            <w:gridSpan w:val="3"/>
            <w:shd w:val="clear" w:color="auto" w:fill="CCEEFF"/>
            <w:tcMar>
              <w:top w:w="40" w:type="dxa"/>
              <w:left w:w="20" w:type="dxa"/>
              <w:bottom w:w="40" w:type="dxa"/>
              <w:right w:w="20" w:type="dxa"/>
            </w:tcMar>
          </w:tcPr>
          <w:p w14:paraId="518B6224" w14:textId="77777777" w:rsidR="005C332D" w:rsidRDefault="00B93EAE">
            <w:pPr>
              <w:textAlignment w:val="top"/>
            </w:pPr>
            <w:r>
              <w:rPr>
                <w:rFonts w:ascii="Times New Roman" w:eastAsia="宋体" w:hAnsi="Times New Roman"/>
                <w:b/>
                <w:bCs/>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vAlign w:val="bottom"/>
          </w:tcPr>
          <w:p w14:paraId="518B6225"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226" w14:textId="77777777" w:rsidR="005C332D" w:rsidRDefault="00B93EAE">
            <w:pPr>
              <w:jc w:val="right"/>
              <w:textAlignment w:val="bottom"/>
            </w:pPr>
            <w:r>
              <w:rPr>
                <w:rFonts w:ascii="Times New Roman" w:eastAsia="宋体" w:hAnsi="Times New Roman"/>
                <w:b/>
                <w:bCs/>
                <w:color w:val="000000"/>
                <w:sz w:val="20"/>
                <w:szCs w:val="20"/>
              </w:rPr>
              <w:t>4,026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22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28"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229" w14:textId="77777777" w:rsidR="005C332D" w:rsidRDefault="00B93EAE">
            <w:pPr>
              <w:jc w:val="right"/>
              <w:textAlignment w:val="bottom"/>
            </w:pPr>
            <w:r>
              <w:rPr>
                <w:rFonts w:ascii="Times New Roman" w:eastAsia="宋体" w:hAnsi="Times New Roman"/>
                <w:b/>
                <w:bCs/>
                <w:color w:val="000000"/>
                <w:sz w:val="20"/>
                <w:szCs w:val="20"/>
              </w:rPr>
              <w:t>(1,887)</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22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2B"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22C" w14:textId="77777777" w:rsidR="005C332D" w:rsidRDefault="00B93EAE">
            <w:pPr>
              <w:jc w:val="right"/>
              <w:textAlignment w:val="bottom"/>
            </w:pPr>
            <w:r>
              <w:rPr>
                <w:rFonts w:ascii="Times New Roman" w:eastAsia="宋体" w:hAnsi="Times New Roman"/>
                <w:b/>
                <w:bCs/>
                <w:color w:val="000000"/>
                <w:sz w:val="20"/>
                <w:szCs w:val="20"/>
              </w:rPr>
              <w:t>2,139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22D" w14:textId="77777777" w:rsidR="005C332D" w:rsidRDefault="005C332D">
            <w:pPr>
              <w:jc w:val="right"/>
              <w:rPr>
                <w:rFonts w:ascii="宋体"/>
              </w:rPr>
            </w:pPr>
          </w:p>
        </w:tc>
      </w:tr>
      <w:tr w:rsidR="005C332D" w14:paraId="518B6239" w14:textId="77777777">
        <w:tc>
          <w:tcPr>
            <w:tcW w:w="0" w:type="auto"/>
            <w:gridSpan w:val="3"/>
            <w:shd w:val="clear" w:color="auto" w:fill="FFFFFF"/>
            <w:tcMar>
              <w:top w:w="40" w:type="dxa"/>
              <w:left w:w="20" w:type="dxa"/>
              <w:bottom w:w="40" w:type="dxa"/>
              <w:right w:w="20" w:type="dxa"/>
            </w:tcMar>
          </w:tcPr>
          <w:p w14:paraId="518B622F" w14:textId="77777777" w:rsidR="005C332D" w:rsidRDefault="00B93EAE">
            <w:pPr>
              <w:textAlignment w:val="top"/>
            </w:pPr>
            <w:r>
              <w:rPr>
                <w:rFonts w:ascii="Times New Roman" w:eastAsia="宋体" w:hAnsi="Times New Roman"/>
                <w:b/>
                <w:bCs/>
                <w:color w:val="000000"/>
                <w:sz w:val="20"/>
                <w:szCs w:val="20"/>
              </w:rPr>
              <w:t>I</w:t>
            </w:r>
            <w:r>
              <w:rPr>
                <w:rFonts w:ascii="Times New Roman" w:eastAsia="宋体" w:hAnsi="Times New Roman"/>
                <w:b/>
                <w:bCs/>
                <w:color w:val="000000"/>
                <w:sz w:val="20"/>
                <w:szCs w:val="20"/>
              </w:rPr>
              <w:t>n-process research and development, with indefinite lives</w:t>
            </w:r>
          </w:p>
        </w:tc>
        <w:tc>
          <w:tcPr>
            <w:tcW w:w="0" w:type="auto"/>
            <w:gridSpan w:val="3"/>
            <w:shd w:val="clear" w:color="auto" w:fill="FFFFFF"/>
            <w:tcMar>
              <w:top w:w="0" w:type="dxa"/>
              <w:left w:w="20" w:type="dxa"/>
              <w:bottom w:w="0" w:type="dxa"/>
              <w:right w:w="20" w:type="dxa"/>
            </w:tcMar>
            <w:vAlign w:val="bottom"/>
          </w:tcPr>
          <w:p w14:paraId="518B623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231" w14:textId="77777777" w:rsidR="005C332D" w:rsidRDefault="00B93EAE">
            <w:pPr>
              <w:jc w:val="right"/>
              <w:textAlignment w:val="bottom"/>
            </w:pPr>
            <w:r>
              <w:rPr>
                <w:rFonts w:ascii="Times New Roman" w:eastAsia="宋体" w:hAnsi="Times New Roman"/>
                <w:b/>
                <w:bCs/>
                <w:color w:val="000000"/>
                <w:sz w:val="20"/>
                <w:szCs w:val="20"/>
              </w:rPr>
              <w:t>430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23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3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234"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23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3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237" w14:textId="77777777" w:rsidR="005C332D" w:rsidRDefault="00B93EAE">
            <w:pPr>
              <w:jc w:val="right"/>
              <w:textAlignment w:val="bottom"/>
            </w:pPr>
            <w:r>
              <w:rPr>
                <w:rFonts w:ascii="Times New Roman" w:eastAsia="宋体" w:hAnsi="Times New Roman"/>
                <w:b/>
                <w:bCs/>
                <w:color w:val="000000"/>
                <w:sz w:val="20"/>
                <w:szCs w:val="20"/>
              </w:rPr>
              <w:t>430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238" w14:textId="77777777" w:rsidR="005C332D" w:rsidRDefault="005C332D">
            <w:pPr>
              <w:jc w:val="right"/>
              <w:rPr>
                <w:rFonts w:ascii="宋体"/>
              </w:rPr>
            </w:pPr>
          </w:p>
        </w:tc>
      </w:tr>
      <w:tr w:rsidR="005C332D" w14:paraId="518B6247" w14:textId="77777777">
        <w:tc>
          <w:tcPr>
            <w:tcW w:w="0" w:type="auto"/>
            <w:gridSpan w:val="3"/>
            <w:shd w:val="clear" w:color="auto" w:fill="CCEEFF"/>
            <w:tcMar>
              <w:top w:w="40" w:type="dxa"/>
              <w:left w:w="380" w:type="dxa"/>
              <w:bottom w:w="40" w:type="dxa"/>
              <w:right w:w="20" w:type="dxa"/>
            </w:tcMar>
          </w:tcPr>
          <w:p w14:paraId="518B623A" w14:textId="77777777" w:rsidR="005C332D" w:rsidRDefault="00B93EAE">
            <w:pPr>
              <w:textAlignment w:val="top"/>
            </w:pPr>
            <w:r>
              <w:rPr>
                <w:rFonts w:ascii="Times New Roman" w:eastAsia="宋体" w:hAnsi="Times New Roman"/>
                <w:b/>
                <w:bCs/>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23B"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23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23D" w14:textId="77777777" w:rsidR="005C332D" w:rsidRDefault="00B93EAE">
            <w:pPr>
              <w:jc w:val="right"/>
              <w:textAlignment w:val="bottom"/>
            </w:pPr>
            <w:r>
              <w:rPr>
                <w:rFonts w:ascii="Times New Roman" w:eastAsia="宋体" w:hAnsi="Times New Roman"/>
                <w:b/>
                <w:bCs/>
                <w:color w:val="000000"/>
                <w:sz w:val="20"/>
                <w:szCs w:val="20"/>
              </w:rPr>
              <w:t>4,456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23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3F"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24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241" w14:textId="77777777" w:rsidR="005C332D" w:rsidRDefault="00B93EAE">
            <w:pPr>
              <w:jc w:val="right"/>
              <w:textAlignment w:val="bottom"/>
            </w:pPr>
            <w:r>
              <w:rPr>
                <w:rFonts w:ascii="Times New Roman" w:eastAsia="宋体" w:hAnsi="Times New Roman"/>
                <w:b/>
                <w:bCs/>
                <w:color w:val="000000"/>
                <w:sz w:val="20"/>
                <w:szCs w:val="20"/>
              </w:rPr>
              <w:t>(1,887)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24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43"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24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245" w14:textId="77777777" w:rsidR="005C332D" w:rsidRDefault="00B93EAE">
            <w:pPr>
              <w:jc w:val="right"/>
              <w:textAlignment w:val="bottom"/>
            </w:pPr>
            <w:r>
              <w:rPr>
                <w:rFonts w:ascii="Times New Roman" w:eastAsia="宋体" w:hAnsi="Times New Roman"/>
                <w:b/>
                <w:bCs/>
                <w:color w:val="000000"/>
                <w:sz w:val="20"/>
                <w:szCs w:val="20"/>
              </w:rPr>
              <w:t>2,569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246" w14:textId="77777777" w:rsidR="005C332D" w:rsidRDefault="005C332D">
            <w:pPr>
              <w:jc w:val="right"/>
              <w:rPr>
                <w:rFonts w:ascii="宋体"/>
              </w:rPr>
            </w:pPr>
          </w:p>
        </w:tc>
      </w:tr>
    </w:tbl>
    <w:p w14:paraId="518B6248" w14:textId="77777777" w:rsidR="005C332D" w:rsidRDefault="005C332D">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1036"/>
        <w:gridCol w:w="36"/>
        <w:gridCol w:w="36"/>
        <w:gridCol w:w="36"/>
        <w:gridCol w:w="36"/>
        <w:gridCol w:w="121"/>
        <w:gridCol w:w="1037"/>
        <w:gridCol w:w="36"/>
        <w:gridCol w:w="36"/>
        <w:gridCol w:w="36"/>
        <w:gridCol w:w="36"/>
        <w:gridCol w:w="120"/>
        <w:gridCol w:w="1038"/>
        <w:gridCol w:w="36"/>
      </w:tblGrid>
      <w:tr w:rsidR="005C332D" w14:paraId="518B625E" w14:textId="77777777">
        <w:tc>
          <w:tcPr>
            <w:tcW w:w="50" w:type="pct"/>
            <w:shd w:val="clear" w:color="auto" w:fill="auto"/>
            <w:vAlign w:val="bottom"/>
          </w:tcPr>
          <w:p w14:paraId="518B6249" w14:textId="77777777" w:rsidR="005C332D" w:rsidRDefault="005C332D">
            <w:pPr>
              <w:rPr>
                <w:rFonts w:ascii="宋体"/>
              </w:rPr>
            </w:pPr>
          </w:p>
        </w:tc>
        <w:tc>
          <w:tcPr>
            <w:tcW w:w="2635" w:type="pct"/>
            <w:shd w:val="clear" w:color="auto" w:fill="auto"/>
            <w:vAlign w:val="bottom"/>
          </w:tcPr>
          <w:p w14:paraId="518B624A" w14:textId="77777777" w:rsidR="005C332D" w:rsidRDefault="005C332D">
            <w:pPr>
              <w:rPr>
                <w:rFonts w:ascii="宋体"/>
              </w:rPr>
            </w:pPr>
          </w:p>
        </w:tc>
        <w:tc>
          <w:tcPr>
            <w:tcW w:w="5" w:type="pct"/>
            <w:shd w:val="clear" w:color="auto" w:fill="auto"/>
            <w:vAlign w:val="bottom"/>
          </w:tcPr>
          <w:p w14:paraId="518B624B" w14:textId="77777777" w:rsidR="005C332D" w:rsidRDefault="005C332D">
            <w:pPr>
              <w:rPr>
                <w:rFonts w:ascii="宋体"/>
              </w:rPr>
            </w:pPr>
          </w:p>
        </w:tc>
        <w:tc>
          <w:tcPr>
            <w:tcW w:w="5" w:type="pct"/>
            <w:shd w:val="clear" w:color="auto" w:fill="auto"/>
            <w:vAlign w:val="bottom"/>
          </w:tcPr>
          <w:p w14:paraId="518B624C" w14:textId="77777777" w:rsidR="005C332D" w:rsidRDefault="005C332D">
            <w:pPr>
              <w:rPr>
                <w:rFonts w:ascii="宋体"/>
              </w:rPr>
            </w:pPr>
          </w:p>
        </w:tc>
        <w:tc>
          <w:tcPr>
            <w:tcW w:w="26" w:type="pct"/>
            <w:shd w:val="clear" w:color="auto" w:fill="auto"/>
            <w:vAlign w:val="bottom"/>
          </w:tcPr>
          <w:p w14:paraId="518B624D" w14:textId="77777777" w:rsidR="005C332D" w:rsidRDefault="005C332D">
            <w:pPr>
              <w:rPr>
                <w:rFonts w:ascii="宋体"/>
              </w:rPr>
            </w:pPr>
          </w:p>
        </w:tc>
        <w:tc>
          <w:tcPr>
            <w:tcW w:w="5" w:type="pct"/>
            <w:shd w:val="clear" w:color="auto" w:fill="auto"/>
            <w:vAlign w:val="bottom"/>
          </w:tcPr>
          <w:p w14:paraId="518B624E" w14:textId="77777777" w:rsidR="005C332D" w:rsidRDefault="005C332D">
            <w:pPr>
              <w:rPr>
                <w:rFonts w:ascii="宋体"/>
              </w:rPr>
            </w:pPr>
          </w:p>
        </w:tc>
        <w:tc>
          <w:tcPr>
            <w:tcW w:w="50" w:type="pct"/>
            <w:shd w:val="clear" w:color="auto" w:fill="auto"/>
            <w:vAlign w:val="bottom"/>
          </w:tcPr>
          <w:p w14:paraId="518B624F" w14:textId="77777777" w:rsidR="005C332D" w:rsidRDefault="005C332D">
            <w:pPr>
              <w:rPr>
                <w:rFonts w:ascii="宋体"/>
              </w:rPr>
            </w:pPr>
          </w:p>
        </w:tc>
        <w:tc>
          <w:tcPr>
            <w:tcW w:w="678" w:type="pct"/>
            <w:shd w:val="clear" w:color="auto" w:fill="auto"/>
            <w:vAlign w:val="bottom"/>
          </w:tcPr>
          <w:p w14:paraId="518B6250" w14:textId="77777777" w:rsidR="005C332D" w:rsidRDefault="005C332D">
            <w:pPr>
              <w:rPr>
                <w:rFonts w:ascii="宋体"/>
              </w:rPr>
            </w:pPr>
          </w:p>
        </w:tc>
        <w:tc>
          <w:tcPr>
            <w:tcW w:w="5" w:type="pct"/>
            <w:shd w:val="clear" w:color="auto" w:fill="auto"/>
            <w:vAlign w:val="bottom"/>
          </w:tcPr>
          <w:p w14:paraId="518B6251" w14:textId="77777777" w:rsidR="005C332D" w:rsidRDefault="005C332D">
            <w:pPr>
              <w:rPr>
                <w:rFonts w:ascii="宋体"/>
              </w:rPr>
            </w:pPr>
          </w:p>
        </w:tc>
        <w:tc>
          <w:tcPr>
            <w:tcW w:w="5" w:type="pct"/>
            <w:shd w:val="clear" w:color="auto" w:fill="auto"/>
            <w:vAlign w:val="bottom"/>
          </w:tcPr>
          <w:p w14:paraId="518B6252" w14:textId="77777777" w:rsidR="005C332D" w:rsidRDefault="005C332D">
            <w:pPr>
              <w:rPr>
                <w:rFonts w:ascii="宋体"/>
              </w:rPr>
            </w:pPr>
          </w:p>
        </w:tc>
        <w:tc>
          <w:tcPr>
            <w:tcW w:w="26" w:type="pct"/>
            <w:shd w:val="clear" w:color="auto" w:fill="auto"/>
            <w:vAlign w:val="bottom"/>
          </w:tcPr>
          <w:p w14:paraId="518B6253" w14:textId="77777777" w:rsidR="005C332D" w:rsidRDefault="005C332D">
            <w:pPr>
              <w:rPr>
                <w:rFonts w:ascii="宋体"/>
              </w:rPr>
            </w:pPr>
          </w:p>
        </w:tc>
        <w:tc>
          <w:tcPr>
            <w:tcW w:w="5" w:type="pct"/>
            <w:shd w:val="clear" w:color="auto" w:fill="auto"/>
            <w:vAlign w:val="bottom"/>
          </w:tcPr>
          <w:p w14:paraId="518B6254" w14:textId="77777777" w:rsidR="005C332D" w:rsidRDefault="005C332D">
            <w:pPr>
              <w:rPr>
                <w:rFonts w:ascii="宋体"/>
              </w:rPr>
            </w:pPr>
          </w:p>
        </w:tc>
        <w:tc>
          <w:tcPr>
            <w:tcW w:w="50" w:type="pct"/>
            <w:shd w:val="clear" w:color="auto" w:fill="auto"/>
            <w:vAlign w:val="bottom"/>
          </w:tcPr>
          <w:p w14:paraId="518B6255" w14:textId="77777777" w:rsidR="005C332D" w:rsidRDefault="005C332D">
            <w:pPr>
              <w:rPr>
                <w:rFonts w:ascii="宋体"/>
              </w:rPr>
            </w:pPr>
          </w:p>
        </w:tc>
        <w:tc>
          <w:tcPr>
            <w:tcW w:w="678" w:type="pct"/>
            <w:shd w:val="clear" w:color="auto" w:fill="auto"/>
            <w:vAlign w:val="bottom"/>
          </w:tcPr>
          <w:p w14:paraId="518B6256" w14:textId="77777777" w:rsidR="005C332D" w:rsidRDefault="005C332D">
            <w:pPr>
              <w:rPr>
                <w:rFonts w:ascii="宋体"/>
              </w:rPr>
            </w:pPr>
          </w:p>
        </w:tc>
        <w:tc>
          <w:tcPr>
            <w:tcW w:w="5" w:type="pct"/>
            <w:shd w:val="clear" w:color="auto" w:fill="auto"/>
            <w:vAlign w:val="bottom"/>
          </w:tcPr>
          <w:p w14:paraId="518B6257" w14:textId="77777777" w:rsidR="005C332D" w:rsidRDefault="005C332D">
            <w:pPr>
              <w:rPr>
                <w:rFonts w:ascii="宋体"/>
              </w:rPr>
            </w:pPr>
          </w:p>
        </w:tc>
        <w:tc>
          <w:tcPr>
            <w:tcW w:w="5" w:type="pct"/>
            <w:shd w:val="clear" w:color="auto" w:fill="auto"/>
            <w:vAlign w:val="bottom"/>
          </w:tcPr>
          <w:p w14:paraId="518B6258" w14:textId="77777777" w:rsidR="005C332D" w:rsidRDefault="005C332D">
            <w:pPr>
              <w:rPr>
                <w:rFonts w:ascii="宋体"/>
              </w:rPr>
            </w:pPr>
          </w:p>
        </w:tc>
        <w:tc>
          <w:tcPr>
            <w:tcW w:w="26" w:type="pct"/>
            <w:shd w:val="clear" w:color="auto" w:fill="auto"/>
            <w:vAlign w:val="bottom"/>
          </w:tcPr>
          <w:p w14:paraId="518B6259" w14:textId="77777777" w:rsidR="005C332D" w:rsidRDefault="005C332D">
            <w:pPr>
              <w:rPr>
                <w:rFonts w:ascii="宋体"/>
              </w:rPr>
            </w:pPr>
          </w:p>
        </w:tc>
        <w:tc>
          <w:tcPr>
            <w:tcW w:w="5" w:type="pct"/>
            <w:shd w:val="clear" w:color="auto" w:fill="auto"/>
            <w:vAlign w:val="bottom"/>
          </w:tcPr>
          <w:p w14:paraId="518B625A" w14:textId="77777777" w:rsidR="005C332D" w:rsidRDefault="005C332D">
            <w:pPr>
              <w:rPr>
                <w:rFonts w:ascii="宋体"/>
              </w:rPr>
            </w:pPr>
          </w:p>
        </w:tc>
        <w:tc>
          <w:tcPr>
            <w:tcW w:w="50" w:type="pct"/>
            <w:shd w:val="clear" w:color="auto" w:fill="auto"/>
            <w:vAlign w:val="bottom"/>
          </w:tcPr>
          <w:p w14:paraId="518B625B" w14:textId="77777777" w:rsidR="005C332D" w:rsidRDefault="005C332D">
            <w:pPr>
              <w:rPr>
                <w:rFonts w:ascii="宋体"/>
              </w:rPr>
            </w:pPr>
          </w:p>
        </w:tc>
        <w:tc>
          <w:tcPr>
            <w:tcW w:w="678" w:type="pct"/>
            <w:shd w:val="clear" w:color="auto" w:fill="auto"/>
            <w:vAlign w:val="bottom"/>
          </w:tcPr>
          <w:p w14:paraId="518B625C" w14:textId="77777777" w:rsidR="005C332D" w:rsidRDefault="005C332D">
            <w:pPr>
              <w:rPr>
                <w:rFonts w:ascii="宋体"/>
              </w:rPr>
            </w:pPr>
          </w:p>
        </w:tc>
        <w:tc>
          <w:tcPr>
            <w:tcW w:w="5" w:type="pct"/>
            <w:shd w:val="clear" w:color="auto" w:fill="auto"/>
            <w:vAlign w:val="bottom"/>
          </w:tcPr>
          <w:p w14:paraId="518B625D" w14:textId="77777777" w:rsidR="005C332D" w:rsidRDefault="005C332D">
            <w:pPr>
              <w:rPr>
                <w:rFonts w:ascii="宋体"/>
              </w:rPr>
            </w:pPr>
          </w:p>
        </w:tc>
      </w:tr>
      <w:tr w:rsidR="005C332D" w14:paraId="518B6266" w14:textId="77777777">
        <w:tc>
          <w:tcPr>
            <w:tcW w:w="0" w:type="auto"/>
            <w:gridSpan w:val="3"/>
            <w:shd w:val="clear" w:color="auto" w:fill="auto"/>
            <w:tcMar>
              <w:top w:w="40" w:type="dxa"/>
              <w:left w:w="20" w:type="dxa"/>
              <w:bottom w:w="40" w:type="dxa"/>
              <w:right w:w="20" w:type="dxa"/>
            </w:tcMar>
            <w:vAlign w:val="bottom"/>
          </w:tcPr>
          <w:p w14:paraId="518B625F" w14:textId="77777777" w:rsidR="005C332D" w:rsidRDefault="00B93EAE">
            <w:pPr>
              <w:textAlignment w:val="bottom"/>
            </w:pPr>
            <w:r>
              <w:rPr>
                <w:rFonts w:ascii="Times New Roman" w:eastAsia="宋体" w:hAnsi="Times New Roman"/>
                <w:color w:val="000000"/>
                <w:sz w:val="18"/>
                <w:szCs w:val="18"/>
                <w:u w:val="single"/>
              </w:rPr>
              <w:t>July 31</w:t>
            </w:r>
            <w:r>
              <w:rPr>
                <w:rFonts w:ascii="Times New Roman" w:eastAsia="宋体" w:hAnsi="Times New Roman"/>
                <w:color w:val="000000"/>
                <w:sz w:val="18"/>
                <w:szCs w:val="18"/>
                <w:u w:val="single"/>
              </w:rPr>
              <w:t>, 2021</w:t>
            </w:r>
          </w:p>
        </w:tc>
        <w:tc>
          <w:tcPr>
            <w:tcW w:w="0" w:type="auto"/>
            <w:gridSpan w:val="3"/>
            <w:shd w:val="clear" w:color="auto" w:fill="auto"/>
            <w:tcMar>
              <w:top w:w="0" w:type="dxa"/>
              <w:left w:w="20" w:type="dxa"/>
              <w:bottom w:w="0" w:type="dxa"/>
              <w:right w:w="20" w:type="dxa"/>
            </w:tcMar>
            <w:vAlign w:val="bottom"/>
          </w:tcPr>
          <w:p w14:paraId="518B626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261" w14:textId="77777777" w:rsidR="005C332D" w:rsidRDefault="00B93EAE">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vAlign w:val="bottom"/>
          </w:tcPr>
          <w:p w14:paraId="518B626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263" w14:textId="77777777" w:rsidR="005C332D" w:rsidRDefault="00B93EAE">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vAlign w:val="bottom"/>
          </w:tcPr>
          <w:p w14:paraId="518B626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265" w14:textId="77777777" w:rsidR="005C332D" w:rsidRDefault="00B93EAE">
            <w:pPr>
              <w:jc w:val="center"/>
              <w:textAlignment w:val="bottom"/>
            </w:pPr>
            <w:r>
              <w:rPr>
                <w:rFonts w:ascii="Times New Roman" w:eastAsia="宋体" w:hAnsi="Times New Roman"/>
                <w:color w:val="000000"/>
                <w:sz w:val="18"/>
                <w:szCs w:val="18"/>
              </w:rPr>
              <w:t>Net</w:t>
            </w:r>
          </w:p>
        </w:tc>
      </w:tr>
      <w:tr w:rsidR="005C332D" w14:paraId="518B626E" w14:textId="77777777">
        <w:tc>
          <w:tcPr>
            <w:tcW w:w="0" w:type="auto"/>
            <w:gridSpan w:val="3"/>
            <w:shd w:val="clear" w:color="auto" w:fill="CCEEFF"/>
            <w:tcMar>
              <w:top w:w="40" w:type="dxa"/>
              <w:left w:w="20" w:type="dxa"/>
              <w:bottom w:w="40" w:type="dxa"/>
              <w:right w:w="20" w:type="dxa"/>
            </w:tcMar>
          </w:tcPr>
          <w:p w14:paraId="518B6267" w14:textId="77777777" w:rsidR="005C332D" w:rsidRDefault="00B93EAE">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vAlign w:val="bottom"/>
          </w:tcPr>
          <w:p w14:paraId="518B6268"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26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26A"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26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26C"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26D" w14:textId="77777777" w:rsidR="005C332D" w:rsidRDefault="005C332D">
            <w:pPr>
              <w:rPr>
                <w:rFonts w:ascii="宋体"/>
              </w:rPr>
            </w:pPr>
          </w:p>
        </w:tc>
      </w:tr>
      <w:tr w:rsidR="005C332D" w14:paraId="518B627C" w14:textId="77777777">
        <w:tc>
          <w:tcPr>
            <w:tcW w:w="0" w:type="auto"/>
            <w:gridSpan w:val="3"/>
            <w:shd w:val="clear" w:color="auto" w:fill="auto"/>
            <w:tcMar>
              <w:top w:w="40" w:type="dxa"/>
              <w:left w:w="380" w:type="dxa"/>
              <w:bottom w:w="40" w:type="dxa"/>
              <w:right w:w="20" w:type="dxa"/>
            </w:tcMar>
          </w:tcPr>
          <w:p w14:paraId="518B626F" w14:textId="77777777" w:rsidR="005C332D" w:rsidRDefault="00B93EAE">
            <w:pPr>
              <w:textAlignment w:val="top"/>
            </w:pPr>
            <w:r>
              <w:rPr>
                <w:rFonts w:ascii="Times New Roman" w:eastAsia="宋体" w:hAnsi="Times New Roman"/>
                <w:color w:val="000000"/>
                <w:sz w:val="20"/>
                <w:szCs w:val="20"/>
              </w:rPr>
              <w:t>Technology</w:t>
            </w:r>
          </w:p>
        </w:tc>
        <w:tc>
          <w:tcPr>
            <w:tcW w:w="0" w:type="auto"/>
            <w:gridSpan w:val="3"/>
            <w:shd w:val="clear" w:color="auto" w:fill="auto"/>
            <w:tcMar>
              <w:top w:w="0" w:type="dxa"/>
              <w:left w:w="20" w:type="dxa"/>
              <w:bottom w:w="0" w:type="dxa"/>
              <w:right w:w="20" w:type="dxa"/>
            </w:tcMar>
            <w:vAlign w:val="bottom"/>
          </w:tcPr>
          <w:p w14:paraId="518B6270"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627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6272" w14:textId="77777777" w:rsidR="005C332D" w:rsidRDefault="00B93EAE">
            <w:pPr>
              <w:jc w:val="right"/>
              <w:textAlignment w:val="bottom"/>
            </w:pPr>
            <w:r>
              <w:rPr>
                <w:rFonts w:ascii="Times New Roman" w:eastAsia="宋体" w:hAnsi="Times New Roman"/>
                <w:color w:val="000000"/>
                <w:sz w:val="20"/>
                <w:szCs w:val="20"/>
              </w:rPr>
              <w:t>3,629 </w:t>
            </w:r>
          </w:p>
        </w:tc>
        <w:tc>
          <w:tcPr>
            <w:tcW w:w="0" w:type="auto"/>
            <w:shd w:val="clear" w:color="auto" w:fill="auto"/>
            <w:tcMar>
              <w:top w:w="40" w:type="dxa"/>
              <w:left w:w="0" w:type="dxa"/>
              <w:bottom w:w="40" w:type="dxa"/>
              <w:right w:w="20" w:type="dxa"/>
            </w:tcMar>
            <w:vAlign w:val="bottom"/>
          </w:tcPr>
          <w:p w14:paraId="518B6273"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274"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6275"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6276" w14:textId="77777777" w:rsidR="005C332D" w:rsidRDefault="00B93EAE">
            <w:pPr>
              <w:jc w:val="right"/>
              <w:textAlignment w:val="bottom"/>
            </w:pPr>
            <w:r>
              <w:rPr>
                <w:rFonts w:ascii="Times New Roman" w:eastAsia="宋体" w:hAnsi="Times New Roman"/>
                <w:color w:val="000000"/>
                <w:sz w:val="20"/>
                <w:szCs w:val="20"/>
              </w:rPr>
              <w:t>(1,437)</w:t>
            </w:r>
          </w:p>
        </w:tc>
        <w:tc>
          <w:tcPr>
            <w:tcW w:w="0" w:type="auto"/>
            <w:shd w:val="clear" w:color="auto" w:fill="auto"/>
            <w:tcMar>
              <w:top w:w="40" w:type="dxa"/>
              <w:left w:w="0" w:type="dxa"/>
              <w:bottom w:w="40" w:type="dxa"/>
              <w:right w:w="20" w:type="dxa"/>
            </w:tcMar>
            <w:vAlign w:val="bottom"/>
          </w:tcPr>
          <w:p w14:paraId="518B6277"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278"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627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627A" w14:textId="77777777" w:rsidR="005C332D" w:rsidRDefault="00B93EAE">
            <w:pPr>
              <w:jc w:val="right"/>
              <w:textAlignment w:val="bottom"/>
            </w:pPr>
            <w:r>
              <w:rPr>
                <w:rFonts w:ascii="Times New Roman" w:eastAsia="宋体" w:hAnsi="Times New Roman"/>
                <w:color w:val="000000"/>
                <w:sz w:val="20"/>
                <w:szCs w:val="20"/>
              </w:rPr>
              <w:t>2,192 </w:t>
            </w:r>
          </w:p>
        </w:tc>
        <w:tc>
          <w:tcPr>
            <w:tcW w:w="0" w:type="auto"/>
            <w:shd w:val="clear" w:color="auto" w:fill="auto"/>
            <w:tcMar>
              <w:top w:w="40" w:type="dxa"/>
              <w:left w:w="0" w:type="dxa"/>
              <w:bottom w:w="40" w:type="dxa"/>
              <w:right w:w="20" w:type="dxa"/>
            </w:tcMar>
            <w:vAlign w:val="bottom"/>
          </w:tcPr>
          <w:p w14:paraId="518B627B" w14:textId="77777777" w:rsidR="005C332D" w:rsidRDefault="005C332D">
            <w:pPr>
              <w:jc w:val="right"/>
              <w:rPr>
                <w:rFonts w:ascii="宋体"/>
              </w:rPr>
            </w:pPr>
          </w:p>
        </w:tc>
      </w:tr>
      <w:tr w:rsidR="005C332D" w14:paraId="518B6287" w14:textId="77777777">
        <w:tc>
          <w:tcPr>
            <w:tcW w:w="0" w:type="auto"/>
            <w:gridSpan w:val="3"/>
            <w:shd w:val="clear" w:color="auto" w:fill="CCEEFF"/>
            <w:tcMar>
              <w:top w:w="40" w:type="dxa"/>
              <w:left w:w="380" w:type="dxa"/>
              <w:bottom w:w="40" w:type="dxa"/>
              <w:right w:w="20" w:type="dxa"/>
            </w:tcMar>
          </w:tcPr>
          <w:p w14:paraId="518B627D" w14:textId="77777777" w:rsidR="005C332D" w:rsidRDefault="00B93EAE">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bottom"/>
          </w:tcPr>
          <w:p w14:paraId="518B627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27F" w14:textId="77777777" w:rsidR="005C332D" w:rsidRDefault="00B93EAE">
            <w:pPr>
              <w:jc w:val="right"/>
              <w:textAlignment w:val="bottom"/>
            </w:pPr>
            <w:r>
              <w:rPr>
                <w:rFonts w:ascii="Times New Roman" w:eastAsia="宋体" w:hAnsi="Times New Roman"/>
                <w:color w:val="000000"/>
                <w:sz w:val="20"/>
                <w:szCs w:val="20"/>
              </w:rPr>
              <w:t>1,387 </w:t>
            </w:r>
          </w:p>
        </w:tc>
        <w:tc>
          <w:tcPr>
            <w:tcW w:w="0" w:type="auto"/>
            <w:shd w:val="clear" w:color="auto" w:fill="CCEEFF"/>
            <w:tcMar>
              <w:top w:w="40" w:type="dxa"/>
              <w:left w:w="0" w:type="dxa"/>
              <w:bottom w:w="40" w:type="dxa"/>
              <w:right w:w="20" w:type="dxa"/>
            </w:tcMar>
            <w:vAlign w:val="bottom"/>
          </w:tcPr>
          <w:p w14:paraId="518B628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8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282" w14:textId="77777777" w:rsidR="005C332D" w:rsidRDefault="00B93EAE">
            <w:pPr>
              <w:jc w:val="right"/>
              <w:textAlignment w:val="bottom"/>
            </w:pPr>
            <w:r>
              <w:rPr>
                <w:rFonts w:ascii="Times New Roman" w:eastAsia="宋体" w:hAnsi="Times New Roman"/>
                <w:color w:val="000000"/>
                <w:sz w:val="20"/>
                <w:szCs w:val="20"/>
              </w:rPr>
              <w:t>(523)</w:t>
            </w:r>
          </w:p>
        </w:tc>
        <w:tc>
          <w:tcPr>
            <w:tcW w:w="0" w:type="auto"/>
            <w:shd w:val="clear" w:color="auto" w:fill="CCEEFF"/>
            <w:tcMar>
              <w:top w:w="40" w:type="dxa"/>
              <w:left w:w="0" w:type="dxa"/>
              <w:bottom w:w="40" w:type="dxa"/>
              <w:right w:w="20" w:type="dxa"/>
            </w:tcMar>
            <w:vAlign w:val="bottom"/>
          </w:tcPr>
          <w:p w14:paraId="518B628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8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285" w14:textId="77777777" w:rsidR="005C332D" w:rsidRDefault="00B93EAE">
            <w:pPr>
              <w:jc w:val="right"/>
              <w:textAlignment w:val="bottom"/>
            </w:pPr>
            <w:r>
              <w:rPr>
                <w:rFonts w:ascii="Times New Roman" w:eastAsia="宋体" w:hAnsi="Times New Roman"/>
                <w:color w:val="000000"/>
                <w:sz w:val="20"/>
                <w:szCs w:val="20"/>
              </w:rPr>
              <w:t>864 </w:t>
            </w:r>
          </w:p>
        </w:tc>
        <w:tc>
          <w:tcPr>
            <w:tcW w:w="0" w:type="auto"/>
            <w:shd w:val="clear" w:color="auto" w:fill="CCEEFF"/>
            <w:tcMar>
              <w:top w:w="40" w:type="dxa"/>
              <w:left w:w="0" w:type="dxa"/>
              <w:bottom w:w="40" w:type="dxa"/>
              <w:right w:w="20" w:type="dxa"/>
            </w:tcMar>
            <w:vAlign w:val="bottom"/>
          </w:tcPr>
          <w:p w14:paraId="518B6286" w14:textId="77777777" w:rsidR="005C332D" w:rsidRDefault="005C332D">
            <w:pPr>
              <w:jc w:val="right"/>
              <w:rPr>
                <w:rFonts w:ascii="宋体"/>
              </w:rPr>
            </w:pPr>
          </w:p>
        </w:tc>
      </w:tr>
      <w:tr w:rsidR="005C332D" w14:paraId="518B6292" w14:textId="77777777">
        <w:tc>
          <w:tcPr>
            <w:tcW w:w="0" w:type="auto"/>
            <w:gridSpan w:val="3"/>
            <w:shd w:val="clear" w:color="auto" w:fill="auto"/>
            <w:tcMar>
              <w:top w:w="40" w:type="dxa"/>
              <w:left w:w="380" w:type="dxa"/>
              <w:bottom w:w="40" w:type="dxa"/>
              <w:right w:w="20" w:type="dxa"/>
            </w:tcMar>
          </w:tcPr>
          <w:p w14:paraId="518B6288" w14:textId="77777777" w:rsidR="005C332D" w:rsidRDefault="00B93EAE">
            <w:pPr>
              <w:textAlignment w:val="top"/>
            </w:pPr>
            <w:r>
              <w:rPr>
                <w:rFonts w:ascii="Times New Roman" w:eastAsia="宋体" w:hAnsi="Times New Roman"/>
                <w:color w:val="000000"/>
                <w:sz w:val="20"/>
                <w:szCs w:val="20"/>
              </w:rPr>
              <w:t>Other</w:t>
            </w:r>
          </w:p>
        </w:tc>
        <w:tc>
          <w:tcPr>
            <w:tcW w:w="0" w:type="auto"/>
            <w:gridSpan w:val="3"/>
            <w:shd w:val="clear" w:color="auto" w:fill="auto"/>
            <w:tcMar>
              <w:top w:w="0" w:type="dxa"/>
              <w:left w:w="20" w:type="dxa"/>
              <w:bottom w:w="0" w:type="dxa"/>
              <w:right w:w="20" w:type="dxa"/>
            </w:tcMar>
            <w:vAlign w:val="bottom"/>
          </w:tcPr>
          <w:p w14:paraId="518B6289"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28A" w14:textId="77777777" w:rsidR="005C332D" w:rsidRDefault="00B93EAE">
            <w:pPr>
              <w:jc w:val="right"/>
              <w:textAlignment w:val="bottom"/>
            </w:pPr>
            <w:r>
              <w:rPr>
                <w:rFonts w:ascii="Times New Roman" w:eastAsia="宋体" w:hAnsi="Times New Roman"/>
                <w:color w:val="000000"/>
                <w:sz w:val="20"/>
                <w:szCs w:val="20"/>
              </w:rPr>
              <w:t>71 </w:t>
            </w:r>
          </w:p>
        </w:tc>
        <w:tc>
          <w:tcPr>
            <w:tcW w:w="0" w:type="auto"/>
            <w:shd w:val="clear" w:color="auto" w:fill="auto"/>
            <w:tcMar>
              <w:top w:w="40" w:type="dxa"/>
              <w:left w:w="0" w:type="dxa"/>
              <w:bottom w:w="40" w:type="dxa"/>
              <w:right w:w="20" w:type="dxa"/>
            </w:tcMar>
            <w:vAlign w:val="bottom"/>
          </w:tcPr>
          <w:p w14:paraId="518B628B"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28C"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28D" w14:textId="77777777" w:rsidR="005C332D" w:rsidRDefault="00B93EAE">
            <w:pPr>
              <w:jc w:val="right"/>
              <w:textAlignment w:val="bottom"/>
            </w:pPr>
            <w:r>
              <w:rPr>
                <w:rFonts w:ascii="Times New Roman" w:eastAsia="宋体" w:hAnsi="Times New Roman"/>
                <w:color w:val="000000"/>
                <w:sz w:val="20"/>
                <w:szCs w:val="20"/>
              </w:rPr>
              <w:t>(13)</w:t>
            </w:r>
          </w:p>
        </w:tc>
        <w:tc>
          <w:tcPr>
            <w:tcW w:w="0" w:type="auto"/>
            <w:shd w:val="clear" w:color="auto" w:fill="auto"/>
            <w:tcMar>
              <w:top w:w="40" w:type="dxa"/>
              <w:left w:w="0" w:type="dxa"/>
              <w:bottom w:w="40" w:type="dxa"/>
              <w:right w:w="20" w:type="dxa"/>
            </w:tcMar>
            <w:vAlign w:val="bottom"/>
          </w:tcPr>
          <w:p w14:paraId="518B628E"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28F"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290" w14:textId="77777777" w:rsidR="005C332D" w:rsidRDefault="00B93EAE">
            <w:pPr>
              <w:jc w:val="right"/>
              <w:textAlignment w:val="bottom"/>
            </w:pPr>
            <w:r>
              <w:rPr>
                <w:rFonts w:ascii="Times New Roman" w:eastAsia="宋体" w:hAnsi="Times New Roman"/>
                <w:color w:val="000000"/>
                <w:sz w:val="20"/>
                <w:szCs w:val="20"/>
              </w:rPr>
              <w:t>58 </w:t>
            </w:r>
          </w:p>
        </w:tc>
        <w:tc>
          <w:tcPr>
            <w:tcW w:w="0" w:type="auto"/>
            <w:shd w:val="clear" w:color="auto" w:fill="auto"/>
            <w:tcMar>
              <w:top w:w="40" w:type="dxa"/>
              <w:left w:w="0" w:type="dxa"/>
              <w:bottom w:w="40" w:type="dxa"/>
              <w:right w:w="20" w:type="dxa"/>
            </w:tcMar>
            <w:vAlign w:val="bottom"/>
          </w:tcPr>
          <w:p w14:paraId="518B6291" w14:textId="77777777" w:rsidR="005C332D" w:rsidRDefault="005C332D">
            <w:pPr>
              <w:jc w:val="right"/>
              <w:rPr>
                <w:rFonts w:ascii="宋体"/>
              </w:rPr>
            </w:pPr>
          </w:p>
        </w:tc>
      </w:tr>
      <w:tr w:rsidR="005C332D" w14:paraId="518B629D" w14:textId="77777777">
        <w:tc>
          <w:tcPr>
            <w:tcW w:w="0" w:type="auto"/>
            <w:gridSpan w:val="3"/>
            <w:shd w:val="clear" w:color="auto" w:fill="CCEEFF"/>
            <w:tcMar>
              <w:top w:w="40" w:type="dxa"/>
              <w:left w:w="20" w:type="dxa"/>
              <w:bottom w:w="40" w:type="dxa"/>
              <w:right w:w="20" w:type="dxa"/>
            </w:tcMar>
          </w:tcPr>
          <w:p w14:paraId="518B6293" w14:textId="77777777" w:rsidR="005C332D" w:rsidRDefault="00B93EAE">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vAlign w:val="bottom"/>
          </w:tcPr>
          <w:p w14:paraId="518B6294"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295" w14:textId="77777777" w:rsidR="005C332D" w:rsidRDefault="00B93EAE">
            <w:pPr>
              <w:jc w:val="right"/>
              <w:textAlignment w:val="bottom"/>
            </w:pPr>
            <w:r>
              <w:rPr>
                <w:rFonts w:ascii="Times New Roman" w:eastAsia="宋体" w:hAnsi="Times New Roman"/>
                <w:color w:val="000000"/>
                <w:sz w:val="20"/>
                <w:szCs w:val="20"/>
              </w:rPr>
              <w:t>5,087 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29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97"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298" w14:textId="77777777" w:rsidR="005C332D" w:rsidRDefault="00B93EAE">
            <w:pPr>
              <w:jc w:val="right"/>
              <w:textAlignment w:val="bottom"/>
            </w:pPr>
            <w:r>
              <w:rPr>
                <w:rFonts w:ascii="Times New Roman" w:eastAsia="宋体" w:hAnsi="Times New Roman"/>
                <w:color w:val="000000"/>
                <w:sz w:val="20"/>
                <w:szCs w:val="20"/>
              </w:rPr>
              <w:t>(1,973)</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29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9A"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29B" w14:textId="77777777" w:rsidR="005C332D" w:rsidRDefault="00B93EAE">
            <w:pPr>
              <w:jc w:val="right"/>
              <w:textAlignment w:val="bottom"/>
            </w:pPr>
            <w:r>
              <w:rPr>
                <w:rFonts w:ascii="Times New Roman" w:eastAsia="宋体" w:hAnsi="Times New Roman"/>
                <w:color w:val="000000"/>
                <w:sz w:val="20"/>
                <w:szCs w:val="20"/>
              </w:rPr>
              <w:t>3,114 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29C" w14:textId="77777777" w:rsidR="005C332D" w:rsidRDefault="005C332D">
            <w:pPr>
              <w:jc w:val="right"/>
              <w:rPr>
                <w:rFonts w:ascii="宋体"/>
              </w:rPr>
            </w:pPr>
          </w:p>
        </w:tc>
      </w:tr>
      <w:tr w:rsidR="005C332D" w14:paraId="518B62A8" w14:textId="77777777">
        <w:tc>
          <w:tcPr>
            <w:tcW w:w="0" w:type="auto"/>
            <w:gridSpan w:val="3"/>
            <w:shd w:val="clear" w:color="auto" w:fill="FFFFFF"/>
            <w:tcMar>
              <w:top w:w="40" w:type="dxa"/>
              <w:left w:w="20" w:type="dxa"/>
              <w:bottom w:w="40" w:type="dxa"/>
              <w:right w:w="20" w:type="dxa"/>
            </w:tcMar>
          </w:tcPr>
          <w:p w14:paraId="518B629E" w14:textId="77777777" w:rsidR="005C332D" w:rsidRDefault="00B93EAE">
            <w:pPr>
              <w:textAlignment w:val="top"/>
            </w:pPr>
            <w:r>
              <w:rPr>
                <w:rFonts w:ascii="Times New Roman" w:eastAsia="宋体" w:hAnsi="Times New Roman"/>
                <w:color w:val="000000"/>
                <w:sz w:val="20"/>
                <w:szCs w:val="20"/>
              </w:rPr>
              <w:t>I</w:t>
            </w:r>
            <w:r>
              <w:rPr>
                <w:rFonts w:ascii="Times New Roman" w:eastAsia="宋体" w:hAnsi="Times New Roman"/>
                <w:color w:val="000000"/>
                <w:sz w:val="20"/>
                <w:szCs w:val="20"/>
              </w:rPr>
              <w:t>n-process research and development, with indefinite lives</w:t>
            </w:r>
          </w:p>
        </w:tc>
        <w:tc>
          <w:tcPr>
            <w:tcW w:w="0" w:type="auto"/>
            <w:gridSpan w:val="3"/>
            <w:shd w:val="clear" w:color="auto" w:fill="FFFFFF"/>
            <w:tcMar>
              <w:top w:w="0" w:type="dxa"/>
              <w:left w:w="20" w:type="dxa"/>
              <w:bottom w:w="0" w:type="dxa"/>
              <w:right w:w="20" w:type="dxa"/>
            </w:tcMar>
            <w:vAlign w:val="bottom"/>
          </w:tcPr>
          <w:p w14:paraId="518B629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2A0" w14:textId="77777777" w:rsidR="005C332D" w:rsidRDefault="00B93EAE">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518B62A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A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2A3"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2A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A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2A6" w14:textId="77777777" w:rsidR="005C332D" w:rsidRDefault="00B93EAE">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518B62A7" w14:textId="77777777" w:rsidR="005C332D" w:rsidRDefault="005C332D">
            <w:pPr>
              <w:jc w:val="right"/>
              <w:rPr>
                <w:rFonts w:ascii="宋体"/>
              </w:rPr>
            </w:pPr>
          </w:p>
        </w:tc>
      </w:tr>
      <w:tr w:rsidR="005C332D" w14:paraId="518B62B6" w14:textId="77777777">
        <w:tc>
          <w:tcPr>
            <w:tcW w:w="0" w:type="auto"/>
            <w:gridSpan w:val="3"/>
            <w:shd w:val="clear" w:color="auto" w:fill="CCEEFF"/>
            <w:tcMar>
              <w:top w:w="40" w:type="dxa"/>
              <w:left w:w="515" w:type="dxa"/>
              <w:bottom w:w="40" w:type="dxa"/>
              <w:right w:w="20" w:type="dxa"/>
            </w:tcMar>
          </w:tcPr>
          <w:p w14:paraId="518B62A9"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2AA"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2A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2AC" w14:textId="77777777" w:rsidR="005C332D" w:rsidRDefault="00B93EAE">
            <w:pPr>
              <w:jc w:val="right"/>
              <w:textAlignment w:val="bottom"/>
            </w:pPr>
            <w:r>
              <w:rPr>
                <w:rFonts w:ascii="Times New Roman" w:eastAsia="宋体" w:hAnsi="Times New Roman"/>
                <w:color w:val="000000"/>
                <w:sz w:val="20"/>
                <w:szCs w:val="20"/>
              </w:rPr>
              <w:t>5,592 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2A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AE"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2A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2B0" w14:textId="77777777" w:rsidR="005C332D" w:rsidRDefault="00B93EAE">
            <w:pPr>
              <w:jc w:val="right"/>
              <w:textAlignment w:val="bottom"/>
            </w:pPr>
            <w:r>
              <w:rPr>
                <w:rFonts w:ascii="Times New Roman" w:eastAsia="宋体" w:hAnsi="Times New Roman"/>
                <w:color w:val="000000"/>
                <w:sz w:val="20"/>
                <w:szCs w:val="20"/>
              </w:rPr>
              <w:t>(1,973)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2B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B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2B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2B4" w14:textId="77777777" w:rsidR="005C332D" w:rsidRDefault="00B93EAE">
            <w:pPr>
              <w:jc w:val="right"/>
              <w:textAlignment w:val="bottom"/>
            </w:pPr>
            <w:r>
              <w:rPr>
                <w:rFonts w:ascii="Times New Roman" w:eastAsia="宋体" w:hAnsi="Times New Roman"/>
                <w:color w:val="000000"/>
                <w:sz w:val="20"/>
                <w:szCs w:val="20"/>
              </w:rPr>
              <w:t>3,619 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2B5" w14:textId="77777777" w:rsidR="005C332D" w:rsidRDefault="005C332D">
            <w:pPr>
              <w:jc w:val="right"/>
              <w:rPr>
                <w:rFonts w:ascii="宋体"/>
              </w:rPr>
            </w:pPr>
          </w:p>
        </w:tc>
      </w:tr>
    </w:tbl>
    <w:p w14:paraId="518B62B7" w14:textId="77777777" w:rsidR="005C332D" w:rsidRDefault="00B93EAE">
      <w:pPr>
        <w:spacing w:before="120"/>
        <w:jc w:val="both"/>
      </w:pPr>
      <w:r>
        <w:rPr>
          <w:rFonts w:ascii="Times New Roman" w:eastAsia="宋体" w:hAnsi="Times New Roman"/>
          <w:color w:val="000000"/>
          <w:sz w:val="20"/>
          <w:szCs w:val="20"/>
        </w:rPr>
        <w:t>Purchased intangible assets include intangible assets acquired through acquisitions as well as through direct purchases or licenses.</w:t>
      </w:r>
    </w:p>
    <w:p w14:paraId="518B62B8" w14:textId="77777777" w:rsidR="005C332D" w:rsidRDefault="00B93EAE">
      <w:pPr>
        <w:spacing w:before="120"/>
        <w:jc w:val="both"/>
      </w:pPr>
      <w:r>
        <w:rPr>
          <w:rFonts w:ascii="Times New Roman" w:eastAsia="宋体" w:hAnsi="Times New Roman"/>
          <w:color w:val="000000"/>
          <w:sz w:val="20"/>
          <w:szCs w:val="20"/>
        </w:rPr>
        <w:t>Impairment charges related to purchased intangi</w:t>
      </w:r>
      <w:r>
        <w:rPr>
          <w:rFonts w:ascii="Times New Roman" w:eastAsia="宋体" w:hAnsi="Times New Roman"/>
          <w:color w:val="000000"/>
          <w:sz w:val="20"/>
          <w:szCs w:val="20"/>
        </w:rPr>
        <w:t>ble assets were $15 million for fiscal 2022, and were included in research and development expenses. Impairment charges are primarily a result of declines in estimated fair values of certain purchased intangible assets resulting from the reduction or elimi</w:t>
      </w:r>
      <w:r>
        <w:rPr>
          <w:rFonts w:ascii="Times New Roman" w:eastAsia="宋体" w:hAnsi="Times New Roman"/>
          <w:color w:val="000000"/>
          <w:sz w:val="20"/>
          <w:szCs w:val="20"/>
        </w:rPr>
        <w:t>nation of expected future cash flows associated with certain of our technology and IPR&amp;D intangible assets.</w:t>
      </w:r>
    </w:p>
    <w:p w14:paraId="518B62B9" w14:textId="77777777" w:rsidR="005C332D" w:rsidRDefault="00B93EAE">
      <w:pPr>
        <w:spacing w:before="120"/>
      </w:pPr>
      <w:r>
        <w:rPr>
          <w:rFonts w:ascii="Times New Roman" w:eastAsia="宋体" w:hAnsi="Times New Roman"/>
          <w:color w:val="000000"/>
          <w:sz w:val="20"/>
          <w:szCs w:val="20"/>
        </w:rPr>
        <w:t>The following table presents the amortization of purchased intangible assets, including impairment charges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329"/>
        <w:gridCol w:w="37"/>
        <w:gridCol w:w="36"/>
        <w:gridCol w:w="36"/>
        <w:gridCol w:w="36"/>
        <w:gridCol w:w="120"/>
        <w:gridCol w:w="1038"/>
        <w:gridCol w:w="36"/>
        <w:gridCol w:w="36"/>
        <w:gridCol w:w="36"/>
        <w:gridCol w:w="36"/>
        <w:gridCol w:w="120"/>
        <w:gridCol w:w="1038"/>
        <w:gridCol w:w="36"/>
        <w:gridCol w:w="36"/>
        <w:gridCol w:w="36"/>
        <w:gridCol w:w="36"/>
        <w:gridCol w:w="120"/>
        <w:gridCol w:w="1038"/>
        <w:gridCol w:w="36"/>
      </w:tblGrid>
      <w:tr w:rsidR="005C332D" w14:paraId="518B62CF" w14:textId="77777777">
        <w:tc>
          <w:tcPr>
            <w:tcW w:w="50" w:type="pct"/>
            <w:shd w:val="clear" w:color="auto" w:fill="auto"/>
            <w:vAlign w:val="bottom"/>
          </w:tcPr>
          <w:p w14:paraId="518B62BA" w14:textId="77777777" w:rsidR="005C332D" w:rsidRDefault="005C332D">
            <w:pPr>
              <w:rPr>
                <w:rFonts w:ascii="宋体"/>
              </w:rPr>
            </w:pPr>
          </w:p>
        </w:tc>
        <w:tc>
          <w:tcPr>
            <w:tcW w:w="2635" w:type="pct"/>
            <w:shd w:val="clear" w:color="auto" w:fill="auto"/>
            <w:vAlign w:val="bottom"/>
          </w:tcPr>
          <w:p w14:paraId="518B62BB" w14:textId="77777777" w:rsidR="005C332D" w:rsidRDefault="005C332D">
            <w:pPr>
              <w:rPr>
                <w:rFonts w:ascii="宋体"/>
              </w:rPr>
            </w:pPr>
          </w:p>
        </w:tc>
        <w:tc>
          <w:tcPr>
            <w:tcW w:w="5" w:type="pct"/>
            <w:shd w:val="clear" w:color="auto" w:fill="auto"/>
            <w:vAlign w:val="bottom"/>
          </w:tcPr>
          <w:p w14:paraId="518B62BC" w14:textId="77777777" w:rsidR="005C332D" w:rsidRDefault="005C332D">
            <w:pPr>
              <w:rPr>
                <w:rFonts w:ascii="宋体"/>
              </w:rPr>
            </w:pPr>
          </w:p>
        </w:tc>
        <w:tc>
          <w:tcPr>
            <w:tcW w:w="5" w:type="pct"/>
            <w:shd w:val="clear" w:color="auto" w:fill="auto"/>
            <w:vAlign w:val="bottom"/>
          </w:tcPr>
          <w:p w14:paraId="518B62BD" w14:textId="77777777" w:rsidR="005C332D" w:rsidRDefault="005C332D">
            <w:pPr>
              <w:rPr>
                <w:rFonts w:ascii="宋体"/>
              </w:rPr>
            </w:pPr>
          </w:p>
        </w:tc>
        <w:tc>
          <w:tcPr>
            <w:tcW w:w="26" w:type="pct"/>
            <w:shd w:val="clear" w:color="auto" w:fill="auto"/>
            <w:vAlign w:val="bottom"/>
          </w:tcPr>
          <w:p w14:paraId="518B62BE" w14:textId="77777777" w:rsidR="005C332D" w:rsidRDefault="005C332D">
            <w:pPr>
              <w:rPr>
                <w:rFonts w:ascii="宋体"/>
              </w:rPr>
            </w:pPr>
          </w:p>
        </w:tc>
        <w:tc>
          <w:tcPr>
            <w:tcW w:w="5" w:type="pct"/>
            <w:shd w:val="clear" w:color="auto" w:fill="auto"/>
            <w:vAlign w:val="bottom"/>
          </w:tcPr>
          <w:p w14:paraId="518B62BF" w14:textId="77777777" w:rsidR="005C332D" w:rsidRDefault="005C332D">
            <w:pPr>
              <w:rPr>
                <w:rFonts w:ascii="宋体"/>
              </w:rPr>
            </w:pPr>
          </w:p>
        </w:tc>
        <w:tc>
          <w:tcPr>
            <w:tcW w:w="50" w:type="pct"/>
            <w:shd w:val="clear" w:color="auto" w:fill="auto"/>
            <w:vAlign w:val="bottom"/>
          </w:tcPr>
          <w:p w14:paraId="518B62C0" w14:textId="77777777" w:rsidR="005C332D" w:rsidRDefault="005C332D">
            <w:pPr>
              <w:rPr>
                <w:rFonts w:ascii="宋体"/>
              </w:rPr>
            </w:pPr>
          </w:p>
        </w:tc>
        <w:tc>
          <w:tcPr>
            <w:tcW w:w="678" w:type="pct"/>
            <w:shd w:val="clear" w:color="auto" w:fill="auto"/>
            <w:vAlign w:val="bottom"/>
          </w:tcPr>
          <w:p w14:paraId="518B62C1" w14:textId="77777777" w:rsidR="005C332D" w:rsidRDefault="005C332D">
            <w:pPr>
              <w:rPr>
                <w:rFonts w:ascii="宋体"/>
              </w:rPr>
            </w:pPr>
          </w:p>
        </w:tc>
        <w:tc>
          <w:tcPr>
            <w:tcW w:w="5" w:type="pct"/>
            <w:shd w:val="clear" w:color="auto" w:fill="auto"/>
            <w:vAlign w:val="bottom"/>
          </w:tcPr>
          <w:p w14:paraId="518B62C2" w14:textId="77777777" w:rsidR="005C332D" w:rsidRDefault="005C332D">
            <w:pPr>
              <w:rPr>
                <w:rFonts w:ascii="宋体"/>
              </w:rPr>
            </w:pPr>
          </w:p>
        </w:tc>
        <w:tc>
          <w:tcPr>
            <w:tcW w:w="5" w:type="pct"/>
            <w:shd w:val="clear" w:color="auto" w:fill="auto"/>
            <w:vAlign w:val="bottom"/>
          </w:tcPr>
          <w:p w14:paraId="518B62C3" w14:textId="77777777" w:rsidR="005C332D" w:rsidRDefault="005C332D">
            <w:pPr>
              <w:rPr>
                <w:rFonts w:ascii="宋体"/>
              </w:rPr>
            </w:pPr>
          </w:p>
        </w:tc>
        <w:tc>
          <w:tcPr>
            <w:tcW w:w="26" w:type="pct"/>
            <w:shd w:val="clear" w:color="auto" w:fill="auto"/>
            <w:vAlign w:val="bottom"/>
          </w:tcPr>
          <w:p w14:paraId="518B62C4" w14:textId="77777777" w:rsidR="005C332D" w:rsidRDefault="005C332D">
            <w:pPr>
              <w:rPr>
                <w:rFonts w:ascii="宋体"/>
              </w:rPr>
            </w:pPr>
          </w:p>
        </w:tc>
        <w:tc>
          <w:tcPr>
            <w:tcW w:w="5" w:type="pct"/>
            <w:shd w:val="clear" w:color="auto" w:fill="auto"/>
            <w:vAlign w:val="bottom"/>
          </w:tcPr>
          <w:p w14:paraId="518B62C5" w14:textId="77777777" w:rsidR="005C332D" w:rsidRDefault="005C332D">
            <w:pPr>
              <w:rPr>
                <w:rFonts w:ascii="宋体"/>
              </w:rPr>
            </w:pPr>
          </w:p>
        </w:tc>
        <w:tc>
          <w:tcPr>
            <w:tcW w:w="50" w:type="pct"/>
            <w:shd w:val="clear" w:color="auto" w:fill="auto"/>
            <w:vAlign w:val="bottom"/>
          </w:tcPr>
          <w:p w14:paraId="518B62C6" w14:textId="77777777" w:rsidR="005C332D" w:rsidRDefault="005C332D">
            <w:pPr>
              <w:rPr>
                <w:rFonts w:ascii="宋体"/>
              </w:rPr>
            </w:pPr>
          </w:p>
        </w:tc>
        <w:tc>
          <w:tcPr>
            <w:tcW w:w="678" w:type="pct"/>
            <w:shd w:val="clear" w:color="auto" w:fill="auto"/>
            <w:vAlign w:val="bottom"/>
          </w:tcPr>
          <w:p w14:paraId="518B62C7" w14:textId="77777777" w:rsidR="005C332D" w:rsidRDefault="005C332D">
            <w:pPr>
              <w:rPr>
                <w:rFonts w:ascii="宋体"/>
              </w:rPr>
            </w:pPr>
          </w:p>
        </w:tc>
        <w:tc>
          <w:tcPr>
            <w:tcW w:w="5" w:type="pct"/>
            <w:shd w:val="clear" w:color="auto" w:fill="auto"/>
            <w:vAlign w:val="bottom"/>
          </w:tcPr>
          <w:p w14:paraId="518B62C8" w14:textId="77777777" w:rsidR="005C332D" w:rsidRDefault="005C332D">
            <w:pPr>
              <w:rPr>
                <w:rFonts w:ascii="宋体"/>
              </w:rPr>
            </w:pPr>
          </w:p>
        </w:tc>
        <w:tc>
          <w:tcPr>
            <w:tcW w:w="5" w:type="pct"/>
            <w:shd w:val="clear" w:color="auto" w:fill="auto"/>
            <w:vAlign w:val="bottom"/>
          </w:tcPr>
          <w:p w14:paraId="518B62C9" w14:textId="77777777" w:rsidR="005C332D" w:rsidRDefault="005C332D">
            <w:pPr>
              <w:rPr>
                <w:rFonts w:ascii="宋体"/>
              </w:rPr>
            </w:pPr>
          </w:p>
        </w:tc>
        <w:tc>
          <w:tcPr>
            <w:tcW w:w="26" w:type="pct"/>
            <w:shd w:val="clear" w:color="auto" w:fill="auto"/>
            <w:vAlign w:val="bottom"/>
          </w:tcPr>
          <w:p w14:paraId="518B62CA" w14:textId="77777777" w:rsidR="005C332D" w:rsidRDefault="005C332D">
            <w:pPr>
              <w:rPr>
                <w:rFonts w:ascii="宋体"/>
              </w:rPr>
            </w:pPr>
          </w:p>
        </w:tc>
        <w:tc>
          <w:tcPr>
            <w:tcW w:w="5" w:type="pct"/>
            <w:shd w:val="clear" w:color="auto" w:fill="auto"/>
            <w:vAlign w:val="bottom"/>
          </w:tcPr>
          <w:p w14:paraId="518B62CB" w14:textId="77777777" w:rsidR="005C332D" w:rsidRDefault="005C332D">
            <w:pPr>
              <w:rPr>
                <w:rFonts w:ascii="宋体"/>
              </w:rPr>
            </w:pPr>
          </w:p>
        </w:tc>
        <w:tc>
          <w:tcPr>
            <w:tcW w:w="50" w:type="pct"/>
            <w:shd w:val="clear" w:color="auto" w:fill="auto"/>
            <w:vAlign w:val="bottom"/>
          </w:tcPr>
          <w:p w14:paraId="518B62CC" w14:textId="77777777" w:rsidR="005C332D" w:rsidRDefault="005C332D">
            <w:pPr>
              <w:rPr>
                <w:rFonts w:ascii="宋体"/>
              </w:rPr>
            </w:pPr>
          </w:p>
        </w:tc>
        <w:tc>
          <w:tcPr>
            <w:tcW w:w="678" w:type="pct"/>
            <w:shd w:val="clear" w:color="auto" w:fill="auto"/>
            <w:vAlign w:val="bottom"/>
          </w:tcPr>
          <w:p w14:paraId="518B62CD" w14:textId="77777777" w:rsidR="005C332D" w:rsidRDefault="005C332D">
            <w:pPr>
              <w:rPr>
                <w:rFonts w:ascii="宋体"/>
              </w:rPr>
            </w:pPr>
          </w:p>
        </w:tc>
        <w:tc>
          <w:tcPr>
            <w:tcW w:w="5" w:type="pct"/>
            <w:shd w:val="clear" w:color="auto" w:fill="auto"/>
            <w:vAlign w:val="bottom"/>
          </w:tcPr>
          <w:p w14:paraId="518B62CE" w14:textId="77777777" w:rsidR="005C332D" w:rsidRDefault="005C332D">
            <w:pPr>
              <w:rPr>
                <w:rFonts w:ascii="宋体"/>
              </w:rPr>
            </w:pPr>
          </w:p>
        </w:tc>
      </w:tr>
      <w:tr w:rsidR="005C332D" w14:paraId="518B62D7" w14:textId="77777777">
        <w:tc>
          <w:tcPr>
            <w:tcW w:w="0" w:type="auto"/>
            <w:gridSpan w:val="3"/>
            <w:shd w:val="clear" w:color="auto" w:fill="auto"/>
            <w:tcMar>
              <w:top w:w="40" w:type="dxa"/>
              <w:left w:w="20" w:type="dxa"/>
              <w:bottom w:w="40" w:type="dxa"/>
              <w:right w:w="20" w:type="dxa"/>
            </w:tcMar>
            <w:vAlign w:val="bottom"/>
          </w:tcPr>
          <w:p w14:paraId="518B62D0" w14:textId="77777777" w:rsidR="005C332D" w:rsidRDefault="00B93EAE">
            <w:pPr>
              <w:textAlignment w:val="bottom"/>
            </w:pPr>
            <w:r>
              <w:rPr>
                <w:rFonts w:ascii="Times New Roman" w:eastAsia="宋体" w:hAnsi="Times New Roman"/>
                <w:color w:val="000000"/>
                <w:sz w:val="18"/>
                <w:szCs w:val="18"/>
                <w:u w:val="single"/>
              </w:rPr>
              <w:t>Years E</w:t>
            </w:r>
            <w:r>
              <w:rPr>
                <w:rFonts w:ascii="Times New Roman" w:eastAsia="宋体" w:hAnsi="Times New Roman"/>
                <w:color w:val="000000"/>
                <w:sz w:val="18"/>
                <w:szCs w:val="18"/>
                <w:u w:val="single"/>
              </w:rPr>
              <w:t>nded</w:t>
            </w:r>
          </w:p>
        </w:tc>
        <w:tc>
          <w:tcPr>
            <w:tcW w:w="0" w:type="auto"/>
            <w:gridSpan w:val="3"/>
            <w:shd w:val="clear" w:color="auto" w:fill="auto"/>
            <w:tcMar>
              <w:top w:w="0" w:type="dxa"/>
              <w:left w:w="20" w:type="dxa"/>
              <w:bottom w:w="0" w:type="dxa"/>
              <w:right w:w="20" w:type="dxa"/>
            </w:tcMar>
            <w:vAlign w:val="bottom"/>
          </w:tcPr>
          <w:p w14:paraId="518B62D1"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2D2"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2D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2D4"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62D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2D6"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62DF" w14:textId="77777777">
        <w:tc>
          <w:tcPr>
            <w:tcW w:w="0" w:type="auto"/>
            <w:gridSpan w:val="3"/>
            <w:shd w:val="clear" w:color="auto" w:fill="CCEEFF"/>
            <w:tcMar>
              <w:top w:w="40" w:type="dxa"/>
              <w:left w:w="20" w:type="dxa"/>
              <w:bottom w:w="40" w:type="dxa"/>
              <w:right w:w="20" w:type="dxa"/>
            </w:tcMar>
          </w:tcPr>
          <w:p w14:paraId="518B62D8" w14:textId="77777777" w:rsidR="005C332D" w:rsidRDefault="00B93EAE">
            <w:pPr>
              <w:textAlignment w:val="top"/>
            </w:pPr>
            <w:r>
              <w:rPr>
                <w:rFonts w:ascii="Times New Roman" w:eastAsia="宋体" w:hAnsi="Times New Roman"/>
                <w:color w:val="000000"/>
                <w:sz w:val="20"/>
                <w:szCs w:val="20"/>
              </w:rPr>
              <w:t>Amortization of purchased intangible assets:</w:t>
            </w:r>
          </w:p>
        </w:tc>
        <w:tc>
          <w:tcPr>
            <w:tcW w:w="0" w:type="auto"/>
            <w:gridSpan w:val="3"/>
            <w:shd w:val="clear" w:color="auto" w:fill="CCEEFF"/>
            <w:tcMar>
              <w:top w:w="0" w:type="dxa"/>
              <w:left w:w="20" w:type="dxa"/>
              <w:bottom w:w="0" w:type="dxa"/>
              <w:right w:w="20" w:type="dxa"/>
            </w:tcMar>
            <w:vAlign w:val="bottom"/>
          </w:tcPr>
          <w:p w14:paraId="518B62D9"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2D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2DB"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2D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2DD"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2DE" w14:textId="77777777" w:rsidR="005C332D" w:rsidRDefault="005C332D">
            <w:pPr>
              <w:rPr>
                <w:rFonts w:ascii="宋体"/>
              </w:rPr>
            </w:pPr>
          </w:p>
        </w:tc>
      </w:tr>
      <w:tr w:rsidR="005C332D" w14:paraId="518B62ED" w14:textId="77777777">
        <w:tc>
          <w:tcPr>
            <w:tcW w:w="0" w:type="auto"/>
            <w:gridSpan w:val="3"/>
            <w:shd w:val="clear" w:color="auto" w:fill="FFFFFF"/>
            <w:tcMar>
              <w:top w:w="40" w:type="dxa"/>
              <w:left w:w="380" w:type="dxa"/>
              <w:bottom w:w="40" w:type="dxa"/>
              <w:right w:w="20" w:type="dxa"/>
            </w:tcMar>
          </w:tcPr>
          <w:p w14:paraId="518B62E0" w14:textId="77777777" w:rsidR="005C332D" w:rsidRDefault="00B93EAE">
            <w:pPr>
              <w:textAlignment w:val="top"/>
            </w:pPr>
            <w:r>
              <w:rPr>
                <w:rFonts w:ascii="Times New Roman" w:eastAsia="宋体" w:hAnsi="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bottom"/>
          </w:tcPr>
          <w:p w14:paraId="518B62E1"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2E2"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2E3" w14:textId="77777777" w:rsidR="005C332D" w:rsidRDefault="00B93EAE">
            <w:pPr>
              <w:jc w:val="right"/>
              <w:textAlignment w:val="bottom"/>
            </w:pPr>
            <w:r>
              <w:rPr>
                <w:rFonts w:ascii="Times New Roman" w:eastAsia="宋体" w:hAnsi="Times New Roman"/>
                <w:b/>
                <w:bCs/>
                <w:color w:val="000000"/>
                <w:sz w:val="20"/>
                <w:szCs w:val="20"/>
              </w:rPr>
              <w:t>749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2E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E5"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2E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2E7" w14:textId="77777777" w:rsidR="005C332D" w:rsidRDefault="00B93EAE">
            <w:pPr>
              <w:jc w:val="right"/>
              <w:textAlignment w:val="bottom"/>
            </w:pPr>
            <w:r>
              <w:rPr>
                <w:rFonts w:ascii="Times New Roman" w:eastAsia="宋体" w:hAnsi="Times New Roman"/>
                <w:color w:val="000000"/>
                <w:sz w:val="20"/>
                <w:szCs w:val="20"/>
              </w:rPr>
              <w:t>716 </w:t>
            </w:r>
          </w:p>
        </w:tc>
        <w:tc>
          <w:tcPr>
            <w:tcW w:w="0" w:type="auto"/>
            <w:shd w:val="clear" w:color="auto" w:fill="FFFFFF"/>
            <w:tcMar>
              <w:top w:w="40" w:type="dxa"/>
              <w:left w:w="0" w:type="dxa"/>
              <w:bottom w:w="40" w:type="dxa"/>
              <w:right w:w="20" w:type="dxa"/>
            </w:tcMar>
            <w:vAlign w:val="bottom"/>
          </w:tcPr>
          <w:p w14:paraId="518B62E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E9"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2E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2EB" w14:textId="77777777" w:rsidR="005C332D" w:rsidRDefault="00B93EAE">
            <w:pPr>
              <w:jc w:val="right"/>
              <w:textAlignment w:val="bottom"/>
            </w:pPr>
            <w:r>
              <w:rPr>
                <w:rFonts w:ascii="Times New Roman" w:eastAsia="宋体" w:hAnsi="Times New Roman"/>
                <w:color w:val="000000"/>
                <w:sz w:val="20"/>
                <w:szCs w:val="20"/>
              </w:rPr>
              <w:t>659 </w:t>
            </w:r>
          </w:p>
        </w:tc>
        <w:tc>
          <w:tcPr>
            <w:tcW w:w="0" w:type="auto"/>
            <w:shd w:val="clear" w:color="auto" w:fill="FFFFFF"/>
            <w:tcMar>
              <w:top w:w="40" w:type="dxa"/>
              <w:left w:w="0" w:type="dxa"/>
              <w:bottom w:w="40" w:type="dxa"/>
              <w:right w:w="20" w:type="dxa"/>
            </w:tcMar>
            <w:vAlign w:val="bottom"/>
          </w:tcPr>
          <w:p w14:paraId="518B62EC" w14:textId="77777777" w:rsidR="005C332D" w:rsidRDefault="005C332D">
            <w:pPr>
              <w:jc w:val="right"/>
              <w:rPr>
                <w:rFonts w:ascii="宋体"/>
              </w:rPr>
            </w:pPr>
          </w:p>
        </w:tc>
      </w:tr>
      <w:tr w:rsidR="005C332D" w14:paraId="518B62F8" w14:textId="77777777">
        <w:tc>
          <w:tcPr>
            <w:tcW w:w="0" w:type="auto"/>
            <w:gridSpan w:val="3"/>
            <w:shd w:val="clear" w:color="auto" w:fill="CCEEFF"/>
            <w:tcMar>
              <w:top w:w="40" w:type="dxa"/>
              <w:left w:w="380" w:type="dxa"/>
              <w:bottom w:w="40" w:type="dxa"/>
              <w:right w:w="20" w:type="dxa"/>
            </w:tcMar>
          </w:tcPr>
          <w:p w14:paraId="518B62EE" w14:textId="77777777" w:rsidR="005C332D" w:rsidRDefault="00B93EAE">
            <w:pPr>
              <w:textAlignment w:val="top"/>
            </w:pPr>
            <w:r>
              <w:rPr>
                <w:rFonts w:ascii="Times New Roman" w:eastAsia="宋体" w:hAnsi="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bottom"/>
          </w:tcPr>
          <w:p w14:paraId="518B62E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2F0" w14:textId="77777777" w:rsidR="005C332D" w:rsidRDefault="00B93EAE">
            <w:pPr>
              <w:jc w:val="right"/>
              <w:textAlignment w:val="bottom"/>
            </w:pPr>
            <w:r>
              <w:rPr>
                <w:rFonts w:ascii="Times New Roman" w:eastAsia="宋体" w:hAnsi="Times New Roman"/>
                <w:b/>
                <w:bCs/>
                <w:color w:val="000000"/>
                <w:sz w:val="20"/>
                <w:szCs w:val="20"/>
              </w:rPr>
              <w:t>328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2F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F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2F3" w14:textId="77777777" w:rsidR="005C332D" w:rsidRDefault="00B93EAE">
            <w:pPr>
              <w:jc w:val="right"/>
              <w:textAlignment w:val="bottom"/>
            </w:pPr>
            <w:r>
              <w:rPr>
                <w:rFonts w:ascii="Times New Roman" w:eastAsia="宋体" w:hAnsi="Times New Roman"/>
                <w:color w:val="000000"/>
                <w:sz w:val="20"/>
                <w:szCs w:val="20"/>
              </w:rPr>
              <w:t>215 </w:t>
            </w:r>
          </w:p>
        </w:tc>
        <w:tc>
          <w:tcPr>
            <w:tcW w:w="0" w:type="auto"/>
            <w:shd w:val="clear" w:color="auto" w:fill="CCEEFF"/>
            <w:tcMar>
              <w:top w:w="40" w:type="dxa"/>
              <w:left w:w="0" w:type="dxa"/>
              <w:bottom w:w="40" w:type="dxa"/>
              <w:right w:w="20" w:type="dxa"/>
            </w:tcMar>
            <w:vAlign w:val="bottom"/>
          </w:tcPr>
          <w:p w14:paraId="518B62F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2F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2F6" w14:textId="77777777" w:rsidR="005C332D" w:rsidRDefault="00B93EAE">
            <w:pPr>
              <w:jc w:val="right"/>
              <w:textAlignment w:val="bottom"/>
            </w:pPr>
            <w:r>
              <w:rPr>
                <w:rFonts w:ascii="Times New Roman" w:eastAsia="宋体" w:hAnsi="Times New Roman"/>
                <w:color w:val="000000"/>
                <w:sz w:val="20"/>
                <w:szCs w:val="20"/>
              </w:rPr>
              <w:t>141 </w:t>
            </w:r>
          </w:p>
        </w:tc>
        <w:tc>
          <w:tcPr>
            <w:tcW w:w="0" w:type="auto"/>
            <w:shd w:val="clear" w:color="auto" w:fill="CCEEFF"/>
            <w:tcMar>
              <w:top w:w="40" w:type="dxa"/>
              <w:left w:w="0" w:type="dxa"/>
              <w:bottom w:w="40" w:type="dxa"/>
              <w:right w:w="20" w:type="dxa"/>
            </w:tcMar>
            <w:vAlign w:val="bottom"/>
          </w:tcPr>
          <w:p w14:paraId="518B62F7" w14:textId="77777777" w:rsidR="005C332D" w:rsidRDefault="005C332D">
            <w:pPr>
              <w:jc w:val="right"/>
              <w:rPr>
                <w:rFonts w:ascii="宋体"/>
              </w:rPr>
            </w:pPr>
          </w:p>
        </w:tc>
      </w:tr>
      <w:tr w:rsidR="005C332D" w14:paraId="518B6306" w14:textId="77777777">
        <w:tc>
          <w:tcPr>
            <w:tcW w:w="0" w:type="auto"/>
            <w:gridSpan w:val="3"/>
            <w:shd w:val="clear" w:color="auto" w:fill="FFFFFF"/>
            <w:tcMar>
              <w:top w:w="40" w:type="dxa"/>
              <w:left w:w="740" w:type="dxa"/>
              <w:bottom w:w="40" w:type="dxa"/>
              <w:right w:w="20" w:type="dxa"/>
            </w:tcMar>
          </w:tcPr>
          <w:p w14:paraId="518B62F9"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518B62FA"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2F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2FC" w14:textId="77777777" w:rsidR="005C332D" w:rsidRDefault="00B93EAE">
            <w:pPr>
              <w:jc w:val="right"/>
              <w:textAlignment w:val="bottom"/>
            </w:pPr>
            <w:r>
              <w:rPr>
                <w:rFonts w:ascii="Times New Roman" w:eastAsia="宋体" w:hAnsi="Times New Roman"/>
                <w:b/>
                <w:bCs/>
                <w:color w:val="000000"/>
                <w:sz w:val="20"/>
                <w:szCs w:val="20"/>
              </w:rPr>
              <w:t>1,077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2F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2FE"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2F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300" w14:textId="77777777" w:rsidR="005C332D" w:rsidRDefault="00B93EAE">
            <w:pPr>
              <w:jc w:val="right"/>
              <w:textAlignment w:val="bottom"/>
            </w:pPr>
            <w:r>
              <w:rPr>
                <w:rFonts w:ascii="Times New Roman" w:eastAsia="宋体" w:hAnsi="Times New Roman"/>
                <w:color w:val="000000"/>
                <w:sz w:val="20"/>
                <w:szCs w:val="20"/>
              </w:rPr>
              <w:t>931 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30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02"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30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304" w14:textId="77777777" w:rsidR="005C332D" w:rsidRDefault="00B93EAE">
            <w:pPr>
              <w:jc w:val="right"/>
              <w:textAlignment w:val="bottom"/>
            </w:pPr>
            <w:r>
              <w:rPr>
                <w:rFonts w:ascii="Times New Roman" w:eastAsia="宋体" w:hAnsi="Times New Roman"/>
                <w:color w:val="000000"/>
                <w:sz w:val="20"/>
                <w:szCs w:val="20"/>
              </w:rPr>
              <w:t>800 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305" w14:textId="77777777" w:rsidR="005C332D" w:rsidRDefault="005C332D">
            <w:pPr>
              <w:jc w:val="right"/>
              <w:rPr>
                <w:rFonts w:ascii="宋体"/>
              </w:rPr>
            </w:pPr>
          </w:p>
        </w:tc>
      </w:tr>
    </w:tbl>
    <w:p w14:paraId="518B6307" w14:textId="77777777" w:rsidR="005C332D" w:rsidRDefault="00B93EAE">
      <w:pPr>
        <w:spacing w:before="120"/>
        <w:jc w:val="both"/>
      </w:pPr>
      <w:r>
        <w:rPr>
          <w:rFonts w:ascii="Times New Roman" w:eastAsia="宋体" w:hAnsi="Times New Roman"/>
          <w:color w:val="000000"/>
          <w:sz w:val="20"/>
          <w:szCs w:val="20"/>
        </w:rPr>
        <w:t>The estimated future amortization expense of purchased intangible assets with finite lives as of July 30, 2022 is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52"/>
        <w:gridCol w:w="6983"/>
        <w:gridCol w:w="36"/>
        <w:gridCol w:w="121"/>
        <w:gridCol w:w="1096"/>
        <w:gridCol w:w="36"/>
      </w:tblGrid>
      <w:tr w:rsidR="005C332D" w14:paraId="518B630E" w14:textId="77777777">
        <w:tc>
          <w:tcPr>
            <w:tcW w:w="50" w:type="pct"/>
            <w:shd w:val="clear" w:color="auto" w:fill="auto"/>
            <w:vAlign w:val="bottom"/>
          </w:tcPr>
          <w:p w14:paraId="518B6308" w14:textId="77777777" w:rsidR="005C332D" w:rsidRDefault="005C332D">
            <w:pPr>
              <w:rPr>
                <w:rFonts w:ascii="宋体"/>
              </w:rPr>
            </w:pPr>
          </w:p>
        </w:tc>
        <w:tc>
          <w:tcPr>
            <w:tcW w:w="4212" w:type="pct"/>
            <w:shd w:val="clear" w:color="auto" w:fill="auto"/>
            <w:vAlign w:val="bottom"/>
          </w:tcPr>
          <w:p w14:paraId="518B6309" w14:textId="77777777" w:rsidR="005C332D" w:rsidRDefault="005C332D">
            <w:pPr>
              <w:rPr>
                <w:rFonts w:ascii="宋体"/>
              </w:rPr>
            </w:pPr>
          </w:p>
        </w:tc>
        <w:tc>
          <w:tcPr>
            <w:tcW w:w="5" w:type="pct"/>
            <w:shd w:val="clear" w:color="auto" w:fill="auto"/>
            <w:vAlign w:val="bottom"/>
          </w:tcPr>
          <w:p w14:paraId="518B630A" w14:textId="77777777" w:rsidR="005C332D" w:rsidRDefault="005C332D">
            <w:pPr>
              <w:rPr>
                <w:rFonts w:ascii="宋体"/>
              </w:rPr>
            </w:pPr>
          </w:p>
        </w:tc>
        <w:tc>
          <w:tcPr>
            <w:tcW w:w="50" w:type="pct"/>
            <w:shd w:val="clear" w:color="auto" w:fill="auto"/>
            <w:vAlign w:val="bottom"/>
          </w:tcPr>
          <w:p w14:paraId="518B630B" w14:textId="77777777" w:rsidR="005C332D" w:rsidRDefault="005C332D">
            <w:pPr>
              <w:rPr>
                <w:rFonts w:ascii="宋体"/>
              </w:rPr>
            </w:pPr>
          </w:p>
        </w:tc>
        <w:tc>
          <w:tcPr>
            <w:tcW w:w="677" w:type="pct"/>
            <w:shd w:val="clear" w:color="auto" w:fill="auto"/>
            <w:vAlign w:val="bottom"/>
          </w:tcPr>
          <w:p w14:paraId="518B630C" w14:textId="77777777" w:rsidR="005C332D" w:rsidRDefault="005C332D">
            <w:pPr>
              <w:rPr>
                <w:rFonts w:ascii="宋体"/>
              </w:rPr>
            </w:pPr>
          </w:p>
        </w:tc>
        <w:tc>
          <w:tcPr>
            <w:tcW w:w="5" w:type="pct"/>
            <w:shd w:val="clear" w:color="auto" w:fill="auto"/>
            <w:vAlign w:val="bottom"/>
          </w:tcPr>
          <w:p w14:paraId="518B630D" w14:textId="77777777" w:rsidR="005C332D" w:rsidRDefault="005C332D">
            <w:pPr>
              <w:rPr>
                <w:rFonts w:ascii="宋体"/>
              </w:rPr>
            </w:pPr>
          </w:p>
        </w:tc>
      </w:tr>
      <w:tr w:rsidR="005C332D" w14:paraId="518B6311" w14:textId="77777777">
        <w:tc>
          <w:tcPr>
            <w:tcW w:w="0" w:type="auto"/>
            <w:gridSpan w:val="3"/>
            <w:shd w:val="clear" w:color="auto" w:fill="auto"/>
            <w:tcMar>
              <w:top w:w="40" w:type="dxa"/>
              <w:left w:w="20" w:type="dxa"/>
              <w:bottom w:w="40" w:type="dxa"/>
              <w:right w:w="20" w:type="dxa"/>
            </w:tcMar>
            <w:vAlign w:val="bottom"/>
          </w:tcPr>
          <w:p w14:paraId="518B630F" w14:textId="77777777" w:rsidR="005C332D" w:rsidRDefault="00B93EAE">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518B6310" w14:textId="77777777" w:rsidR="005C332D" w:rsidRDefault="00B93EAE">
            <w:pPr>
              <w:jc w:val="center"/>
              <w:textAlignment w:val="bottom"/>
            </w:pPr>
            <w:r>
              <w:rPr>
                <w:rFonts w:ascii="Times New Roman" w:eastAsia="宋体" w:hAnsi="Times New Roman"/>
                <w:color w:val="000000"/>
                <w:sz w:val="18"/>
                <w:szCs w:val="18"/>
              </w:rPr>
              <w:t>Amount</w:t>
            </w:r>
          </w:p>
        </w:tc>
      </w:tr>
      <w:tr w:rsidR="005C332D" w14:paraId="518B6316" w14:textId="77777777">
        <w:tc>
          <w:tcPr>
            <w:tcW w:w="0" w:type="auto"/>
            <w:gridSpan w:val="3"/>
            <w:shd w:val="clear" w:color="auto" w:fill="CCEEFF"/>
            <w:tcMar>
              <w:top w:w="40" w:type="dxa"/>
              <w:left w:w="20" w:type="dxa"/>
              <w:bottom w:w="40" w:type="dxa"/>
              <w:right w:w="20" w:type="dxa"/>
            </w:tcMar>
          </w:tcPr>
          <w:p w14:paraId="518B6312" w14:textId="77777777" w:rsidR="005C332D" w:rsidRDefault="00B93EAE">
            <w:pPr>
              <w:textAlignment w:val="top"/>
            </w:pPr>
            <w:r>
              <w:rPr>
                <w:rFonts w:ascii="Times New Roman" w:eastAsia="宋体" w:hAnsi="Times New Roman"/>
                <w:color w:val="000000"/>
                <w:sz w:val="20"/>
                <w:szCs w:val="20"/>
              </w:rPr>
              <w:t>2023</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31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314" w14:textId="77777777" w:rsidR="005C332D" w:rsidRDefault="00B93EAE">
            <w:pPr>
              <w:jc w:val="right"/>
              <w:textAlignment w:val="bottom"/>
            </w:pPr>
            <w:r>
              <w:rPr>
                <w:rFonts w:ascii="Times New Roman" w:eastAsia="宋体" w:hAnsi="Times New Roman"/>
                <w:color w:val="000000"/>
                <w:sz w:val="20"/>
                <w:szCs w:val="20"/>
              </w:rPr>
              <w:t>900 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15" w14:textId="77777777" w:rsidR="005C332D" w:rsidRDefault="005C332D">
            <w:pPr>
              <w:jc w:val="right"/>
              <w:rPr>
                <w:rFonts w:ascii="宋体"/>
              </w:rPr>
            </w:pPr>
          </w:p>
        </w:tc>
      </w:tr>
      <w:tr w:rsidR="005C332D" w14:paraId="518B631B" w14:textId="77777777">
        <w:tc>
          <w:tcPr>
            <w:tcW w:w="0" w:type="auto"/>
            <w:gridSpan w:val="3"/>
            <w:shd w:val="clear" w:color="auto" w:fill="FFFFFF"/>
            <w:tcMar>
              <w:top w:w="40" w:type="dxa"/>
              <w:left w:w="20" w:type="dxa"/>
              <w:bottom w:w="40" w:type="dxa"/>
              <w:right w:w="20" w:type="dxa"/>
            </w:tcMar>
          </w:tcPr>
          <w:p w14:paraId="518B6317" w14:textId="77777777" w:rsidR="005C332D" w:rsidRDefault="00B93EAE">
            <w:pPr>
              <w:textAlignment w:val="top"/>
            </w:pPr>
            <w:r>
              <w:rPr>
                <w:rFonts w:ascii="Times New Roman" w:eastAsia="宋体" w:hAnsi="Times New Roman"/>
                <w:color w:val="000000"/>
                <w:sz w:val="20"/>
                <w:szCs w:val="20"/>
              </w:rPr>
              <w:t>2024</w:t>
            </w:r>
          </w:p>
        </w:tc>
        <w:tc>
          <w:tcPr>
            <w:tcW w:w="0" w:type="auto"/>
            <w:shd w:val="clear" w:color="auto" w:fill="FFFFFF"/>
            <w:tcMar>
              <w:top w:w="40" w:type="dxa"/>
              <w:left w:w="20" w:type="dxa"/>
              <w:bottom w:w="40" w:type="dxa"/>
              <w:right w:w="0" w:type="dxa"/>
            </w:tcMar>
            <w:vAlign w:val="bottom"/>
          </w:tcPr>
          <w:p w14:paraId="518B6318"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319" w14:textId="77777777" w:rsidR="005C332D" w:rsidRDefault="00B93EAE">
            <w:pPr>
              <w:jc w:val="right"/>
              <w:textAlignment w:val="bottom"/>
            </w:pPr>
            <w:r>
              <w:rPr>
                <w:rFonts w:ascii="Times New Roman" w:eastAsia="宋体" w:hAnsi="Times New Roman"/>
                <w:color w:val="000000"/>
                <w:sz w:val="20"/>
                <w:szCs w:val="20"/>
              </w:rPr>
              <w:t>773 </w:t>
            </w:r>
          </w:p>
        </w:tc>
        <w:tc>
          <w:tcPr>
            <w:tcW w:w="0" w:type="auto"/>
            <w:shd w:val="clear" w:color="auto" w:fill="FFFFFF"/>
            <w:tcMar>
              <w:top w:w="40" w:type="dxa"/>
              <w:left w:w="0" w:type="dxa"/>
              <w:bottom w:w="40" w:type="dxa"/>
              <w:right w:w="20" w:type="dxa"/>
            </w:tcMar>
            <w:vAlign w:val="bottom"/>
          </w:tcPr>
          <w:p w14:paraId="518B631A" w14:textId="77777777" w:rsidR="005C332D" w:rsidRDefault="005C332D">
            <w:pPr>
              <w:jc w:val="right"/>
              <w:rPr>
                <w:rFonts w:ascii="宋体"/>
              </w:rPr>
            </w:pPr>
          </w:p>
        </w:tc>
      </w:tr>
      <w:tr w:rsidR="005C332D" w14:paraId="518B6320" w14:textId="77777777">
        <w:tc>
          <w:tcPr>
            <w:tcW w:w="0" w:type="auto"/>
            <w:gridSpan w:val="3"/>
            <w:shd w:val="clear" w:color="auto" w:fill="CCEEFF"/>
            <w:tcMar>
              <w:top w:w="40" w:type="dxa"/>
              <w:left w:w="20" w:type="dxa"/>
              <w:bottom w:w="40" w:type="dxa"/>
              <w:right w:w="20" w:type="dxa"/>
            </w:tcMar>
          </w:tcPr>
          <w:p w14:paraId="518B631C" w14:textId="77777777" w:rsidR="005C332D" w:rsidRDefault="00B93EAE">
            <w:pPr>
              <w:textAlignment w:val="top"/>
            </w:pPr>
            <w:r>
              <w:rPr>
                <w:rFonts w:ascii="Times New Roman" w:eastAsia="宋体" w:hAnsi="Times New Roman"/>
                <w:color w:val="000000"/>
                <w:sz w:val="20"/>
                <w:szCs w:val="20"/>
              </w:rPr>
              <w:t>2025</w:t>
            </w:r>
          </w:p>
        </w:tc>
        <w:tc>
          <w:tcPr>
            <w:tcW w:w="0" w:type="auto"/>
            <w:shd w:val="clear" w:color="auto" w:fill="CCEEFF"/>
            <w:tcMar>
              <w:top w:w="40" w:type="dxa"/>
              <w:left w:w="20" w:type="dxa"/>
              <w:bottom w:w="40" w:type="dxa"/>
              <w:right w:w="0" w:type="dxa"/>
            </w:tcMar>
            <w:vAlign w:val="bottom"/>
          </w:tcPr>
          <w:p w14:paraId="518B631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31E" w14:textId="77777777" w:rsidR="005C332D" w:rsidRDefault="00B93EAE">
            <w:pPr>
              <w:jc w:val="right"/>
              <w:textAlignment w:val="bottom"/>
            </w:pPr>
            <w:r>
              <w:rPr>
                <w:rFonts w:ascii="Times New Roman" w:eastAsia="宋体" w:hAnsi="Times New Roman"/>
                <w:color w:val="000000"/>
                <w:sz w:val="20"/>
                <w:szCs w:val="20"/>
              </w:rPr>
              <w:t>403 </w:t>
            </w:r>
          </w:p>
        </w:tc>
        <w:tc>
          <w:tcPr>
            <w:tcW w:w="0" w:type="auto"/>
            <w:shd w:val="clear" w:color="auto" w:fill="CCEEFF"/>
            <w:tcMar>
              <w:top w:w="40" w:type="dxa"/>
              <w:left w:w="0" w:type="dxa"/>
              <w:bottom w:w="40" w:type="dxa"/>
              <w:right w:w="20" w:type="dxa"/>
            </w:tcMar>
            <w:vAlign w:val="bottom"/>
          </w:tcPr>
          <w:p w14:paraId="518B631F" w14:textId="77777777" w:rsidR="005C332D" w:rsidRDefault="005C332D">
            <w:pPr>
              <w:jc w:val="right"/>
              <w:rPr>
                <w:rFonts w:ascii="宋体"/>
              </w:rPr>
            </w:pPr>
          </w:p>
        </w:tc>
      </w:tr>
      <w:tr w:rsidR="005C332D" w14:paraId="518B6325" w14:textId="77777777">
        <w:tc>
          <w:tcPr>
            <w:tcW w:w="0" w:type="auto"/>
            <w:gridSpan w:val="3"/>
            <w:shd w:val="clear" w:color="auto" w:fill="FFFFFF"/>
            <w:tcMar>
              <w:top w:w="40" w:type="dxa"/>
              <w:left w:w="20" w:type="dxa"/>
              <w:bottom w:w="40" w:type="dxa"/>
              <w:right w:w="20" w:type="dxa"/>
            </w:tcMar>
          </w:tcPr>
          <w:p w14:paraId="518B6321" w14:textId="77777777" w:rsidR="005C332D" w:rsidRDefault="00B93EAE">
            <w:pPr>
              <w:textAlignment w:val="top"/>
            </w:pPr>
            <w:r>
              <w:rPr>
                <w:rFonts w:ascii="Times New Roman" w:eastAsia="宋体" w:hAnsi="Times New Roman"/>
                <w:color w:val="000000"/>
                <w:sz w:val="20"/>
                <w:szCs w:val="20"/>
              </w:rPr>
              <w:t>2026</w:t>
            </w:r>
          </w:p>
        </w:tc>
        <w:tc>
          <w:tcPr>
            <w:tcW w:w="0" w:type="auto"/>
            <w:shd w:val="clear" w:color="auto" w:fill="FFFFFF"/>
            <w:tcMar>
              <w:top w:w="40" w:type="dxa"/>
              <w:left w:w="20" w:type="dxa"/>
              <w:bottom w:w="40" w:type="dxa"/>
              <w:right w:w="0" w:type="dxa"/>
            </w:tcMar>
            <w:vAlign w:val="bottom"/>
          </w:tcPr>
          <w:p w14:paraId="518B632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323" w14:textId="77777777" w:rsidR="005C332D" w:rsidRDefault="00B93EAE">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518B6324" w14:textId="77777777" w:rsidR="005C332D" w:rsidRDefault="005C332D">
            <w:pPr>
              <w:jc w:val="right"/>
              <w:rPr>
                <w:rFonts w:ascii="宋体"/>
              </w:rPr>
            </w:pPr>
          </w:p>
        </w:tc>
      </w:tr>
      <w:tr w:rsidR="005C332D" w14:paraId="518B632A" w14:textId="77777777">
        <w:tc>
          <w:tcPr>
            <w:tcW w:w="0" w:type="auto"/>
            <w:gridSpan w:val="3"/>
            <w:shd w:val="clear" w:color="auto" w:fill="CCEEFF"/>
            <w:tcMar>
              <w:top w:w="40" w:type="dxa"/>
              <w:left w:w="20" w:type="dxa"/>
              <w:bottom w:w="40" w:type="dxa"/>
              <w:right w:w="20" w:type="dxa"/>
            </w:tcMar>
          </w:tcPr>
          <w:p w14:paraId="518B6326" w14:textId="77777777" w:rsidR="005C332D" w:rsidRDefault="00B93EAE">
            <w:pPr>
              <w:textAlignment w:val="top"/>
            </w:pPr>
            <w:r>
              <w:rPr>
                <w:rFonts w:ascii="Times New Roman" w:eastAsia="宋体" w:hAnsi="Times New Roman"/>
                <w:color w:val="000000"/>
                <w:sz w:val="20"/>
                <w:szCs w:val="20"/>
              </w:rPr>
              <w:t>2027</w:t>
            </w:r>
          </w:p>
        </w:tc>
        <w:tc>
          <w:tcPr>
            <w:tcW w:w="0" w:type="auto"/>
            <w:shd w:val="clear" w:color="auto" w:fill="CCEEFF"/>
            <w:tcMar>
              <w:top w:w="40" w:type="dxa"/>
              <w:left w:w="20" w:type="dxa"/>
              <w:bottom w:w="40" w:type="dxa"/>
              <w:right w:w="0" w:type="dxa"/>
            </w:tcMar>
            <w:vAlign w:val="bottom"/>
          </w:tcPr>
          <w:p w14:paraId="518B632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328" w14:textId="77777777" w:rsidR="005C332D" w:rsidRDefault="00B93EAE">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518B6329" w14:textId="77777777" w:rsidR="005C332D" w:rsidRDefault="005C332D">
            <w:pPr>
              <w:jc w:val="right"/>
              <w:rPr>
                <w:rFonts w:ascii="宋体"/>
              </w:rPr>
            </w:pPr>
          </w:p>
        </w:tc>
      </w:tr>
    </w:tbl>
    <w:p w14:paraId="518B632B" w14:textId="77777777" w:rsidR="005C332D" w:rsidRDefault="005C332D"/>
    <w:p w14:paraId="518B632C" w14:textId="77777777" w:rsidR="005C332D" w:rsidRDefault="00B93EAE">
      <w:pPr>
        <w:ind w:hanging="360"/>
      </w:pPr>
      <w:r>
        <w:rPr>
          <w:rFonts w:ascii="Times New Roman" w:eastAsia="宋体" w:hAnsi="Times New Roman"/>
          <w:b/>
          <w:bCs/>
          <w:color w:val="000000"/>
          <w:sz w:val="20"/>
          <w:szCs w:val="20"/>
        </w:rPr>
        <w:t>6.Restructuring and Other Charges</w:t>
      </w:r>
    </w:p>
    <w:p w14:paraId="518B632D" w14:textId="77777777" w:rsidR="005C332D" w:rsidRDefault="00B93EAE">
      <w:pPr>
        <w:spacing w:before="120"/>
        <w:jc w:val="both"/>
      </w:pPr>
      <w:r>
        <w:rPr>
          <w:rFonts w:ascii="Times New Roman" w:eastAsia="宋体" w:hAnsi="Times New Roman"/>
          <w:color w:val="000000"/>
          <w:sz w:val="20"/>
          <w:szCs w:val="20"/>
        </w:rPr>
        <w:t xml:space="preserve">We initiated a restructuring plan in fiscal 2021 (the “Fiscal 2021 Plan”), which included a voluntary early retirement program, in order to realign the </w:t>
      </w:r>
      <w:r>
        <w:rPr>
          <w:rFonts w:ascii="Times New Roman" w:eastAsia="宋体" w:hAnsi="Times New Roman"/>
          <w:color w:val="000000"/>
          <w:sz w:val="20"/>
          <w:szCs w:val="20"/>
        </w:rPr>
        <w:t>organization and enable further investment in key priority areas. The total pretax charges were estimated to be approximately $900 million. In connection with the Fiscal 2021 Plan, we incurred cumulative charges of $892 million and completed the Fiscal 202</w:t>
      </w:r>
      <w:r>
        <w:rPr>
          <w:rFonts w:ascii="Times New Roman" w:eastAsia="宋体" w:hAnsi="Times New Roman"/>
          <w:color w:val="000000"/>
          <w:sz w:val="20"/>
          <w:szCs w:val="20"/>
        </w:rPr>
        <w:t>1 Plan in fiscal 2022.</w:t>
      </w:r>
    </w:p>
    <w:p w14:paraId="518B632E" w14:textId="77777777" w:rsidR="005C332D" w:rsidRDefault="00B93EAE">
      <w:pPr>
        <w:spacing w:before="120"/>
        <w:jc w:val="both"/>
      </w:pPr>
      <w:r>
        <w:rPr>
          <w:rFonts w:ascii="Times New Roman" w:eastAsia="宋体" w:hAnsi="Times New Roman"/>
          <w:color w:val="000000"/>
          <w:sz w:val="20"/>
          <w:szCs w:val="20"/>
        </w:rPr>
        <w:t>We initiated a restructuring plan in fiscal 2020 (the “Fiscal 2020 Plan”) in order to realign the organization and enable further investment in key priority areas. In connection with the Fiscal 2020 Plan, we incurred cumulative charg</w:t>
      </w:r>
      <w:r>
        <w:rPr>
          <w:rFonts w:ascii="Times New Roman" w:eastAsia="宋体" w:hAnsi="Times New Roman"/>
          <w:color w:val="000000"/>
          <w:sz w:val="20"/>
          <w:szCs w:val="20"/>
        </w:rPr>
        <w:t>es of $254 million. We completed the Fiscal 2020 Plan in fiscal 2021.</w:t>
      </w:r>
    </w:p>
    <w:p w14:paraId="518B632F" w14:textId="77777777" w:rsidR="005C332D" w:rsidRDefault="00B93EAE">
      <w:pPr>
        <w:jc w:val="center"/>
      </w:pPr>
      <w:r>
        <w:rPr>
          <w:rFonts w:ascii="Times New Roman" w:eastAsia="宋体" w:hAnsi="Times New Roman"/>
          <w:color w:val="000000"/>
          <w:sz w:val="20"/>
          <w:szCs w:val="20"/>
        </w:rPr>
        <w:t>74</w:t>
      </w:r>
    </w:p>
    <w:p w14:paraId="518B6330" w14:textId="77777777" w:rsidR="005C332D" w:rsidRDefault="00B93EAE">
      <w:r>
        <w:pict w14:anchorId="518B875F">
          <v:rect id="_x0000_i1100" style="width:415.3pt;height:1.5pt" o:hralign="center" o:hrstd="t" o:hr="t" fillcolor="#a0a0a0" stroked="f"/>
        </w:pict>
      </w:r>
    </w:p>
    <w:p w14:paraId="518B6331" w14:textId="77777777" w:rsidR="005C332D" w:rsidRDefault="005C332D"/>
    <w:p w14:paraId="518B6332" w14:textId="77777777" w:rsidR="005C332D" w:rsidRDefault="00B93EAE">
      <w:pPr>
        <w:spacing w:before="120"/>
        <w:jc w:val="both"/>
      </w:pPr>
      <w:r>
        <w:rPr>
          <w:rFonts w:ascii="Times New Roman" w:eastAsia="宋体" w:hAnsi="Times New Roman"/>
          <w:color w:val="000000"/>
          <w:sz w:val="20"/>
          <w:szCs w:val="20"/>
        </w:rPr>
        <w:t>The aggregate pretax charges related to these plans are primarily cash-based and consist of severance and other one-time termination benefits, and other costs.</w:t>
      </w:r>
    </w:p>
    <w:p w14:paraId="518B6333" w14:textId="77777777" w:rsidR="005C332D" w:rsidRDefault="00B93EAE">
      <w:pPr>
        <w:spacing w:before="120"/>
        <w:jc w:val="both"/>
      </w:pPr>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summarizes the activities related to the restructuring and other charges, as discussed above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3589"/>
        <w:gridCol w:w="39"/>
        <w:gridCol w:w="36"/>
        <w:gridCol w:w="36"/>
        <w:gridCol w:w="36"/>
        <w:gridCol w:w="121"/>
        <w:gridCol w:w="697"/>
        <w:gridCol w:w="36"/>
        <w:gridCol w:w="36"/>
        <w:gridCol w:w="36"/>
        <w:gridCol w:w="36"/>
        <w:gridCol w:w="121"/>
        <w:gridCol w:w="630"/>
        <w:gridCol w:w="37"/>
        <w:gridCol w:w="36"/>
        <w:gridCol w:w="36"/>
        <w:gridCol w:w="36"/>
        <w:gridCol w:w="121"/>
        <w:gridCol w:w="695"/>
        <w:gridCol w:w="36"/>
        <w:gridCol w:w="36"/>
        <w:gridCol w:w="36"/>
        <w:gridCol w:w="36"/>
        <w:gridCol w:w="121"/>
        <w:gridCol w:w="632"/>
        <w:gridCol w:w="37"/>
        <w:gridCol w:w="36"/>
        <w:gridCol w:w="36"/>
        <w:gridCol w:w="36"/>
        <w:gridCol w:w="121"/>
        <w:gridCol w:w="675"/>
        <w:gridCol w:w="36"/>
      </w:tblGrid>
      <w:tr w:rsidR="005C332D" w14:paraId="518B6355" w14:textId="77777777">
        <w:trPr>
          <w:jc w:val="center"/>
        </w:trPr>
        <w:tc>
          <w:tcPr>
            <w:tcW w:w="50" w:type="pct"/>
            <w:shd w:val="clear" w:color="auto" w:fill="auto"/>
            <w:vAlign w:val="bottom"/>
          </w:tcPr>
          <w:p w14:paraId="518B6334" w14:textId="77777777" w:rsidR="005C332D" w:rsidRDefault="005C332D">
            <w:pPr>
              <w:rPr>
                <w:rFonts w:ascii="宋体"/>
              </w:rPr>
            </w:pPr>
          </w:p>
        </w:tc>
        <w:tc>
          <w:tcPr>
            <w:tcW w:w="2192" w:type="pct"/>
            <w:shd w:val="clear" w:color="auto" w:fill="auto"/>
            <w:vAlign w:val="bottom"/>
          </w:tcPr>
          <w:p w14:paraId="518B6335" w14:textId="77777777" w:rsidR="005C332D" w:rsidRDefault="005C332D">
            <w:pPr>
              <w:rPr>
                <w:rFonts w:ascii="宋体"/>
              </w:rPr>
            </w:pPr>
          </w:p>
        </w:tc>
        <w:tc>
          <w:tcPr>
            <w:tcW w:w="5" w:type="pct"/>
            <w:shd w:val="clear" w:color="auto" w:fill="auto"/>
            <w:vAlign w:val="bottom"/>
          </w:tcPr>
          <w:p w14:paraId="518B6336" w14:textId="77777777" w:rsidR="005C332D" w:rsidRDefault="005C332D">
            <w:pPr>
              <w:rPr>
                <w:rFonts w:ascii="宋体"/>
              </w:rPr>
            </w:pPr>
          </w:p>
        </w:tc>
        <w:tc>
          <w:tcPr>
            <w:tcW w:w="5" w:type="pct"/>
            <w:shd w:val="clear" w:color="auto" w:fill="auto"/>
            <w:vAlign w:val="bottom"/>
          </w:tcPr>
          <w:p w14:paraId="518B6337" w14:textId="77777777" w:rsidR="005C332D" w:rsidRDefault="005C332D">
            <w:pPr>
              <w:rPr>
                <w:rFonts w:ascii="宋体"/>
              </w:rPr>
            </w:pPr>
          </w:p>
        </w:tc>
        <w:tc>
          <w:tcPr>
            <w:tcW w:w="26" w:type="pct"/>
            <w:shd w:val="clear" w:color="auto" w:fill="auto"/>
            <w:vAlign w:val="bottom"/>
          </w:tcPr>
          <w:p w14:paraId="518B6338" w14:textId="77777777" w:rsidR="005C332D" w:rsidRDefault="005C332D">
            <w:pPr>
              <w:rPr>
                <w:rFonts w:ascii="宋体"/>
              </w:rPr>
            </w:pPr>
          </w:p>
        </w:tc>
        <w:tc>
          <w:tcPr>
            <w:tcW w:w="5" w:type="pct"/>
            <w:shd w:val="clear" w:color="auto" w:fill="auto"/>
            <w:vAlign w:val="bottom"/>
          </w:tcPr>
          <w:p w14:paraId="518B6339" w14:textId="77777777" w:rsidR="005C332D" w:rsidRDefault="005C332D">
            <w:pPr>
              <w:rPr>
                <w:rFonts w:ascii="宋体"/>
              </w:rPr>
            </w:pPr>
          </w:p>
        </w:tc>
        <w:tc>
          <w:tcPr>
            <w:tcW w:w="50" w:type="pct"/>
            <w:shd w:val="clear" w:color="auto" w:fill="auto"/>
            <w:vAlign w:val="bottom"/>
          </w:tcPr>
          <w:p w14:paraId="518B633A" w14:textId="77777777" w:rsidR="005C332D" w:rsidRDefault="005C332D">
            <w:pPr>
              <w:rPr>
                <w:rFonts w:ascii="宋体"/>
              </w:rPr>
            </w:pPr>
          </w:p>
        </w:tc>
        <w:tc>
          <w:tcPr>
            <w:tcW w:w="464" w:type="pct"/>
            <w:shd w:val="clear" w:color="auto" w:fill="auto"/>
            <w:vAlign w:val="bottom"/>
          </w:tcPr>
          <w:p w14:paraId="518B633B" w14:textId="77777777" w:rsidR="005C332D" w:rsidRDefault="005C332D">
            <w:pPr>
              <w:rPr>
                <w:rFonts w:ascii="宋体"/>
              </w:rPr>
            </w:pPr>
          </w:p>
        </w:tc>
        <w:tc>
          <w:tcPr>
            <w:tcW w:w="5" w:type="pct"/>
            <w:shd w:val="clear" w:color="auto" w:fill="auto"/>
            <w:vAlign w:val="bottom"/>
          </w:tcPr>
          <w:p w14:paraId="518B633C" w14:textId="77777777" w:rsidR="005C332D" w:rsidRDefault="005C332D">
            <w:pPr>
              <w:rPr>
                <w:rFonts w:ascii="宋体"/>
              </w:rPr>
            </w:pPr>
          </w:p>
        </w:tc>
        <w:tc>
          <w:tcPr>
            <w:tcW w:w="5" w:type="pct"/>
            <w:shd w:val="clear" w:color="auto" w:fill="auto"/>
            <w:vAlign w:val="bottom"/>
          </w:tcPr>
          <w:p w14:paraId="518B633D" w14:textId="77777777" w:rsidR="005C332D" w:rsidRDefault="005C332D">
            <w:pPr>
              <w:rPr>
                <w:rFonts w:ascii="宋体"/>
              </w:rPr>
            </w:pPr>
          </w:p>
        </w:tc>
        <w:tc>
          <w:tcPr>
            <w:tcW w:w="26" w:type="pct"/>
            <w:shd w:val="clear" w:color="auto" w:fill="auto"/>
            <w:vAlign w:val="bottom"/>
          </w:tcPr>
          <w:p w14:paraId="518B633E" w14:textId="77777777" w:rsidR="005C332D" w:rsidRDefault="005C332D">
            <w:pPr>
              <w:rPr>
                <w:rFonts w:ascii="宋体"/>
              </w:rPr>
            </w:pPr>
          </w:p>
        </w:tc>
        <w:tc>
          <w:tcPr>
            <w:tcW w:w="5" w:type="pct"/>
            <w:shd w:val="clear" w:color="auto" w:fill="auto"/>
            <w:vAlign w:val="bottom"/>
          </w:tcPr>
          <w:p w14:paraId="518B633F" w14:textId="77777777" w:rsidR="005C332D" w:rsidRDefault="005C332D">
            <w:pPr>
              <w:rPr>
                <w:rFonts w:ascii="宋体"/>
              </w:rPr>
            </w:pPr>
          </w:p>
        </w:tc>
        <w:tc>
          <w:tcPr>
            <w:tcW w:w="50" w:type="pct"/>
            <w:shd w:val="clear" w:color="auto" w:fill="auto"/>
            <w:vAlign w:val="bottom"/>
          </w:tcPr>
          <w:p w14:paraId="518B6340" w14:textId="77777777" w:rsidR="005C332D" w:rsidRDefault="005C332D">
            <w:pPr>
              <w:rPr>
                <w:rFonts w:ascii="宋体"/>
              </w:rPr>
            </w:pPr>
          </w:p>
        </w:tc>
        <w:tc>
          <w:tcPr>
            <w:tcW w:w="450" w:type="pct"/>
            <w:shd w:val="clear" w:color="auto" w:fill="auto"/>
            <w:vAlign w:val="bottom"/>
          </w:tcPr>
          <w:p w14:paraId="518B6341" w14:textId="77777777" w:rsidR="005C332D" w:rsidRDefault="005C332D">
            <w:pPr>
              <w:rPr>
                <w:rFonts w:ascii="宋体"/>
              </w:rPr>
            </w:pPr>
          </w:p>
        </w:tc>
        <w:tc>
          <w:tcPr>
            <w:tcW w:w="5" w:type="pct"/>
            <w:shd w:val="clear" w:color="auto" w:fill="auto"/>
            <w:vAlign w:val="bottom"/>
          </w:tcPr>
          <w:p w14:paraId="518B6342" w14:textId="77777777" w:rsidR="005C332D" w:rsidRDefault="005C332D">
            <w:pPr>
              <w:rPr>
                <w:rFonts w:ascii="宋体"/>
              </w:rPr>
            </w:pPr>
          </w:p>
        </w:tc>
        <w:tc>
          <w:tcPr>
            <w:tcW w:w="5" w:type="pct"/>
            <w:shd w:val="clear" w:color="auto" w:fill="auto"/>
            <w:vAlign w:val="bottom"/>
          </w:tcPr>
          <w:p w14:paraId="518B6343" w14:textId="77777777" w:rsidR="005C332D" w:rsidRDefault="005C332D">
            <w:pPr>
              <w:rPr>
                <w:rFonts w:ascii="宋体"/>
              </w:rPr>
            </w:pPr>
          </w:p>
        </w:tc>
        <w:tc>
          <w:tcPr>
            <w:tcW w:w="26" w:type="pct"/>
            <w:shd w:val="clear" w:color="auto" w:fill="auto"/>
            <w:vAlign w:val="bottom"/>
          </w:tcPr>
          <w:p w14:paraId="518B6344" w14:textId="77777777" w:rsidR="005C332D" w:rsidRDefault="005C332D">
            <w:pPr>
              <w:rPr>
                <w:rFonts w:ascii="宋体"/>
              </w:rPr>
            </w:pPr>
          </w:p>
        </w:tc>
        <w:tc>
          <w:tcPr>
            <w:tcW w:w="5" w:type="pct"/>
            <w:shd w:val="clear" w:color="auto" w:fill="auto"/>
            <w:vAlign w:val="bottom"/>
          </w:tcPr>
          <w:p w14:paraId="518B6345" w14:textId="77777777" w:rsidR="005C332D" w:rsidRDefault="005C332D">
            <w:pPr>
              <w:rPr>
                <w:rFonts w:ascii="宋体"/>
              </w:rPr>
            </w:pPr>
          </w:p>
        </w:tc>
        <w:tc>
          <w:tcPr>
            <w:tcW w:w="50" w:type="pct"/>
            <w:shd w:val="clear" w:color="auto" w:fill="auto"/>
            <w:vAlign w:val="bottom"/>
          </w:tcPr>
          <w:p w14:paraId="518B6346" w14:textId="77777777" w:rsidR="005C332D" w:rsidRDefault="005C332D">
            <w:pPr>
              <w:rPr>
                <w:rFonts w:ascii="宋体"/>
              </w:rPr>
            </w:pPr>
          </w:p>
        </w:tc>
        <w:tc>
          <w:tcPr>
            <w:tcW w:w="450" w:type="pct"/>
            <w:shd w:val="clear" w:color="auto" w:fill="auto"/>
            <w:vAlign w:val="bottom"/>
          </w:tcPr>
          <w:p w14:paraId="518B6347" w14:textId="77777777" w:rsidR="005C332D" w:rsidRDefault="005C332D">
            <w:pPr>
              <w:rPr>
                <w:rFonts w:ascii="宋体"/>
              </w:rPr>
            </w:pPr>
          </w:p>
        </w:tc>
        <w:tc>
          <w:tcPr>
            <w:tcW w:w="5" w:type="pct"/>
            <w:shd w:val="clear" w:color="auto" w:fill="auto"/>
            <w:vAlign w:val="bottom"/>
          </w:tcPr>
          <w:p w14:paraId="518B6348" w14:textId="77777777" w:rsidR="005C332D" w:rsidRDefault="005C332D">
            <w:pPr>
              <w:rPr>
                <w:rFonts w:ascii="宋体"/>
              </w:rPr>
            </w:pPr>
          </w:p>
        </w:tc>
        <w:tc>
          <w:tcPr>
            <w:tcW w:w="5" w:type="pct"/>
            <w:shd w:val="clear" w:color="auto" w:fill="auto"/>
            <w:vAlign w:val="bottom"/>
          </w:tcPr>
          <w:p w14:paraId="518B6349" w14:textId="77777777" w:rsidR="005C332D" w:rsidRDefault="005C332D">
            <w:pPr>
              <w:rPr>
                <w:rFonts w:ascii="宋体"/>
              </w:rPr>
            </w:pPr>
          </w:p>
        </w:tc>
        <w:tc>
          <w:tcPr>
            <w:tcW w:w="26" w:type="pct"/>
            <w:shd w:val="clear" w:color="auto" w:fill="auto"/>
            <w:vAlign w:val="bottom"/>
          </w:tcPr>
          <w:p w14:paraId="518B634A" w14:textId="77777777" w:rsidR="005C332D" w:rsidRDefault="005C332D">
            <w:pPr>
              <w:rPr>
                <w:rFonts w:ascii="宋体"/>
              </w:rPr>
            </w:pPr>
          </w:p>
        </w:tc>
        <w:tc>
          <w:tcPr>
            <w:tcW w:w="5" w:type="pct"/>
            <w:shd w:val="clear" w:color="auto" w:fill="auto"/>
            <w:vAlign w:val="bottom"/>
          </w:tcPr>
          <w:p w14:paraId="518B634B" w14:textId="77777777" w:rsidR="005C332D" w:rsidRDefault="005C332D">
            <w:pPr>
              <w:rPr>
                <w:rFonts w:ascii="宋体"/>
              </w:rPr>
            </w:pPr>
          </w:p>
        </w:tc>
        <w:tc>
          <w:tcPr>
            <w:tcW w:w="50" w:type="pct"/>
            <w:shd w:val="clear" w:color="auto" w:fill="auto"/>
            <w:vAlign w:val="bottom"/>
          </w:tcPr>
          <w:p w14:paraId="518B634C" w14:textId="77777777" w:rsidR="005C332D" w:rsidRDefault="005C332D">
            <w:pPr>
              <w:rPr>
                <w:rFonts w:ascii="宋体"/>
              </w:rPr>
            </w:pPr>
          </w:p>
        </w:tc>
        <w:tc>
          <w:tcPr>
            <w:tcW w:w="464" w:type="pct"/>
            <w:shd w:val="clear" w:color="auto" w:fill="auto"/>
            <w:vAlign w:val="bottom"/>
          </w:tcPr>
          <w:p w14:paraId="518B634D" w14:textId="77777777" w:rsidR="005C332D" w:rsidRDefault="005C332D">
            <w:pPr>
              <w:rPr>
                <w:rFonts w:ascii="宋体"/>
              </w:rPr>
            </w:pPr>
          </w:p>
        </w:tc>
        <w:tc>
          <w:tcPr>
            <w:tcW w:w="5" w:type="pct"/>
            <w:shd w:val="clear" w:color="auto" w:fill="auto"/>
            <w:vAlign w:val="bottom"/>
          </w:tcPr>
          <w:p w14:paraId="518B634E" w14:textId="77777777" w:rsidR="005C332D" w:rsidRDefault="005C332D">
            <w:pPr>
              <w:rPr>
                <w:rFonts w:ascii="宋体"/>
              </w:rPr>
            </w:pPr>
          </w:p>
        </w:tc>
        <w:tc>
          <w:tcPr>
            <w:tcW w:w="5" w:type="pct"/>
            <w:shd w:val="clear" w:color="auto" w:fill="auto"/>
            <w:vAlign w:val="bottom"/>
          </w:tcPr>
          <w:p w14:paraId="518B634F" w14:textId="77777777" w:rsidR="005C332D" w:rsidRDefault="005C332D">
            <w:pPr>
              <w:rPr>
                <w:rFonts w:ascii="宋体"/>
              </w:rPr>
            </w:pPr>
          </w:p>
        </w:tc>
        <w:tc>
          <w:tcPr>
            <w:tcW w:w="26" w:type="pct"/>
            <w:shd w:val="clear" w:color="auto" w:fill="auto"/>
            <w:vAlign w:val="bottom"/>
          </w:tcPr>
          <w:p w14:paraId="518B6350" w14:textId="77777777" w:rsidR="005C332D" w:rsidRDefault="005C332D">
            <w:pPr>
              <w:rPr>
                <w:rFonts w:ascii="宋体"/>
              </w:rPr>
            </w:pPr>
          </w:p>
        </w:tc>
        <w:tc>
          <w:tcPr>
            <w:tcW w:w="5" w:type="pct"/>
            <w:shd w:val="clear" w:color="auto" w:fill="auto"/>
            <w:vAlign w:val="bottom"/>
          </w:tcPr>
          <w:p w14:paraId="518B6351" w14:textId="77777777" w:rsidR="005C332D" w:rsidRDefault="005C332D">
            <w:pPr>
              <w:rPr>
                <w:rFonts w:ascii="宋体"/>
              </w:rPr>
            </w:pPr>
          </w:p>
        </w:tc>
        <w:tc>
          <w:tcPr>
            <w:tcW w:w="50" w:type="pct"/>
            <w:shd w:val="clear" w:color="auto" w:fill="auto"/>
            <w:vAlign w:val="bottom"/>
          </w:tcPr>
          <w:p w14:paraId="518B6352" w14:textId="77777777" w:rsidR="005C332D" w:rsidRDefault="005C332D">
            <w:pPr>
              <w:rPr>
                <w:rFonts w:ascii="宋体"/>
              </w:rPr>
            </w:pPr>
          </w:p>
        </w:tc>
        <w:tc>
          <w:tcPr>
            <w:tcW w:w="464" w:type="pct"/>
            <w:shd w:val="clear" w:color="auto" w:fill="auto"/>
            <w:vAlign w:val="bottom"/>
          </w:tcPr>
          <w:p w14:paraId="518B6353" w14:textId="77777777" w:rsidR="005C332D" w:rsidRDefault="005C332D">
            <w:pPr>
              <w:rPr>
                <w:rFonts w:ascii="宋体"/>
              </w:rPr>
            </w:pPr>
          </w:p>
        </w:tc>
        <w:tc>
          <w:tcPr>
            <w:tcW w:w="5" w:type="pct"/>
            <w:shd w:val="clear" w:color="auto" w:fill="auto"/>
            <w:vAlign w:val="bottom"/>
          </w:tcPr>
          <w:p w14:paraId="518B6354" w14:textId="77777777" w:rsidR="005C332D" w:rsidRDefault="005C332D">
            <w:pPr>
              <w:rPr>
                <w:rFonts w:ascii="宋体"/>
              </w:rPr>
            </w:pPr>
          </w:p>
        </w:tc>
      </w:tr>
      <w:tr w:rsidR="005C332D" w14:paraId="518B635D" w14:textId="77777777">
        <w:trPr>
          <w:jc w:val="center"/>
        </w:trPr>
        <w:tc>
          <w:tcPr>
            <w:tcW w:w="0" w:type="auto"/>
            <w:gridSpan w:val="3"/>
            <w:shd w:val="clear" w:color="auto" w:fill="auto"/>
            <w:tcMar>
              <w:top w:w="0" w:type="dxa"/>
              <w:left w:w="20" w:type="dxa"/>
              <w:bottom w:w="0" w:type="dxa"/>
              <w:right w:w="20" w:type="dxa"/>
            </w:tcMar>
            <w:vAlign w:val="bottom"/>
          </w:tcPr>
          <w:p w14:paraId="518B6356"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357"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6358" w14:textId="77777777" w:rsidR="005C332D" w:rsidRDefault="00B93EAE">
            <w:pPr>
              <w:jc w:val="center"/>
              <w:textAlignment w:val="bottom"/>
            </w:pPr>
            <w:r>
              <w:rPr>
                <w:rFonts w:ascii="Times New Roman" w:eastAsia="宋体" w:hAnsi="Times New Roman"/>
                <w:color w:val="000000"/>
                <w:sz w:val="18"/>
                <w:szCs w:val="18"/>
              </w:rPr>
              <w:t xml:space="preserve">FISCAL 2020 AND </w:t>
            </w:r>
            <w:r>
              <w:rPr>
                <w:rFonts w:ascii="Times New Roman" w:eastAsia="宋体" w:hAnsi="Times New Roman"/>
                <w:color w:val="000000"/>
                <w:sz w:val="18"/>
                <w:szCs w:val="18"/>
              </w:rPr>
              <w:br/>
              <w:t>PRIOR PLANS</w:t>
            </w:r>
          </w:p>
        </w:tc>
        <w:tc>
          <w:tcPr>
            <w:tcW w:w="0" w:type="auto"/>
            <w:gridSpan w:val="3"/>
            <w:shd w:val="clear" w:color="auto" w:fill="auto"/>
            <w:tcMar>
              <w:top w:w="0" w:type="dxa"/>
              <w:left w:w="20" w:type="dxa"/>
              <w:bottom w:w="0" w:type="dxa"/>
              <w:right w:w="20" w:type="dxa"/>
            </w:tcMar>
            <w:vAlign w:val="bottom"/>
          </w:tcPr>
          <w:p w14:paraId="518B6359"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635A" w14:textId="77777777" w:rsidR="005C332D" w:rsidRDefault="00B93EAE">
            <w:pPr>
              <w:jc w:val="center"/>
              <w:textAlignment w:val="bottom"/>
            </w:pPr>
            <w:r>
              <w:rPr>
                <w:rFonts w:ascii="Times New Roman" w:eastAsia="宋体" w:hAnsi="Times New Roman"/>
                <w:color w:val="000000"/>
                <w:sz w:val="18"/>
                <w:szCs w:val="18"/>
              </w:rPr>
              <w:t>FISCAL 2021 PLAN</w:t>
            </w:r>
          </w:p>
        </w:tc>
        <w:tc>
          <w:tcPr>
            <w:tcW w:w="0" w:type="auto"/>
            <w:gridSpan w:val="3"/>
            <w:shd w:val="clear" w:color="auto" w:fill="auto"/>
            <w:tcMar>
              <w:top w:w="0" w:type="dxa"/>
              <w:left w:w="20" w:type="dxa"/>
              <w:bottom w:w="0" w:type="dxa"/>
              <w:right w:w="20" w:type="dxa"/>
            </w:tcMar>
            <w:vAlign w:val="bottom"/>
          </w:tcPr>
          <w:p w14:paraId="518B635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35C" w14:textId="77777777" w:rsidR="005C332D" w:rsidRDefault="005C332D">
            <w:pPr>
              <w:rPr>
                <w:rFonts w:ascii="宋体"/>
              </w:rPr>
            </w:pPr>
          </w:p>
        </w:tc>
      </w:tr>
      <w:tr w:rsidR="005C332D" w14:paraId="518B6369" w14:textId="77777777">
        <w:trPr>
          <w:jc w:val="center"/>
        </w:trPr>
        <w:tc>
          <w:tcPr>
            <w:tcW w:w="0" w:type="auto"/>
            <w:gridSpan w:val="3"/>
            <w:shd w:val="clear" w:color="auto" w:fill="auto"/>
            <w:tcMar>
              <w:top w:w="0" w:type="dxa"/>
              <w:left w:w="20" w:type="dxa"/>
              <w:bottom w:w="0" w:type="dxa"/>
              <w:right w:w="20" w:type="dxa"/>
            </w:tcMar>
            <w:vAlign w:val="bottom"/>
          </w:tcPr>
          <w:p w14:paraId="518B635E"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35F"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360" w14:textId="77777777" w:rsidR="005C332D" w:rsidRDefault="00B93EAE">
            <w:pPr>
              <w:jc w:val="center"/>
              <w:textAlignment w:val="bottom"/>
            </w:pPr>
            <w:r>
              <w:rPr>
                <w:rFonts w:ascii="Times New Roman" w:eastAsia="宋体" w:hAnsi="Times New Roman"/>
                <w:color w:val="000000"/>
                <w:sz w:val="18"/>
                <w:szCs w:val="18"/>
              </w:rPr>
              <w:t>Employee</w:t>
            </w:r>
            <w:r>
              <w:rPr>
                <w:rFonts w:ascii="Times New Roman" w:eastAsia="宋体" w:hAnsi="Times New Roman"/>
                <w:color w:val="000000"/>
                <w:sz w:val="18"/>
                <w:szCs w:val="18"/>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361"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362" w14:textId="77777777" w:rsidR="005C332D" w:rsidRDefault="00B93EAE">
            <w:pPr>
              <w:jc w:val="center"/>
              <w:textAlignment w:val="bottom"/>
            </w:pPr>
            <w:r>
              <w:rPr>
                <w:rFonts w:ascii="Times New Roman" w:eastAsia="宋体" w:hAnsi="Times New Roman"/>
                <w:color w:val="000000"/>
                <w:sz w:val="18"/>
                <w:szCs w:val="18"/>
              </w:rPr>
              <w:t>Other</w:t>
            </w:r>
          </w:p>
        </w:tc>
        <w:tc>
          <w:tcPr>
            <w:tcW w:w="0" w:type="auto"/>
            <w:gridSpan w:val="3"/>
            <w:shd w:val="clear" w:color="auto" w:fill="auto"/>
            <w:tcMar>
              <w:top w:w="0" w:type="dxa"/>
              <w:left w:w="20" w:type="dxa"/>
              <w:bottom w:w="0" w:type="dxa"/>
              <w:right w:w="20" w:type="dxa"/>
            </w:tcMar>
            <w:vAlign w:val="bottom"/>
          </w:tcPr>
          <w:p w14:paraId="518B6363"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364" w14:textId="77777777" w:rsidR="005C332D" w:rsidRDefault="00B93EAE">
            <w:pPr>
              <w:jc w:val="center"/>
              <w:textAlignment w:val="bottom"/>
            </w:pPr>
            <w:r>
              <w:rPr>
                <w:rFonts w:ascii="Times New Roman" w:eastAsia="宋体" w:hAnsi="Times New Roman"/>
                <w:color w:val="000000"/>
                <w:sz w:val="18"/>
                <w:szCs w:val="18"/>
              </w:rPr>
              <w:t>Employee</w:t>
            </w:r>
            <w:r>
              <w:rPr>
                <w:rFonts w:ascii="Times New Roman" w:eastAsia="宋体" w:hAnsi="Times New Roman"/>
                <w:color w:val="000000"/>
                <w:sz w:val="18"/>
                <w:szCs w:val="18"/>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365"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366" w14:textId="77777777" w:rsidR="005C332D" w:rsidRDefault="00B93EAE">
            <w:pPr>
              <w:jc w:val="center"/>
              <w:textAlignment w:val="bottom"/>
            </w:pPr>
            <w:r>
              <w:rPr>
                <w:rFonts w:ascii="Times New Roman" w:eastAsia="宋体" w:hAnsi="Times New Roman"/>
                <w:color w:val="000000"/>
                <w:sz w:val="18"/>
                <w:szCs w:val="18"/>
              </w:rPr>
              <w:t>Other</w:t>
            </w:r>
          </w:p>
        </w:tc>
        <w:tc>
          <w:tcPr>
            <w:tcW w:w="0" w:type="auto"/>
            <w:gridSpan w:val="3"/>
            <w:shd w:val="clear" w:color="auto" w:fill="auto"/>
            <w:tcMar>
              <w:top w:w="0" w:type="dxa"/>
              <w:left w:w="20" w:type="dxa"/>
              <w:bottom w:w="0" w:type="dxa"/>
              <w:right w:w="20" w:type="dxa"/>
            </w:tcMar>
            <w:vAlign w:val="bottom"/>
          </w:tcPr>
          <w:p w14:paraId="518B636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368" w14:textId="77777777" w:rsidR="005C332D" w:rsidRDefault="00B93EAE">
            <w:pPr>
              <w:jc w:val="center"/>
              <w:textAlignment w:val="bottom"/>
            </w:pPr>
            <w:r>
              <w:rPr>
                <w:rFonts w:ascii="Times New Roman" w:eastAsia="宋体" w:hAnsi="Times New Roman"/>
                <w:color w:val="000000"/>
                <w:sz w:val="18"/>
                <w:szCs w:val="18"/>
              </w:rPr>
              <w:t>Total</w:t>
            </w:r>
          </w:p>
        </w:tc>
      </w:tr>
      <w:tr w:rsidR="005C332D" w14:paraId="518B637F" w14:textId="77777777">
        <w:trPr>
          <w:jc w:val="center"/>
        </w:trPr>
        <w:tc>
          <w:tcPr>
            <w:tcW w:w="0" w:type="auto"/>
            <w:gridSpan w:val="3"/>
            <w:shd w:val="clear" w:color="auto" w:fill="CCEEFF"/>
            <w:tcMar>
              <w:top w:w="40" w:type="dxa"/>
              <w:left w:w="20" w:type="dxa"/>
              <w:bottom w:w="40" w:type="dxa"/>
              <w:right w:w="20" w:type="dxa"/>
            </w:tcMar>
            <w:vAlign w:val="bottom"/>
          </w:tcPr>
          <w:p w14:paraId="518B636A" w14:textId="77777777" w:rsidR="005C332D" w:rsidRDefault="00B93EAE">
            <w:pPr>
              <w:textAlignment w:val="bottom"/>
            </w:pPr>
            <w:r>
              <w:rPr>
                <w:rFonts w:ascii="Times New Roman" w:eastAsia="宋体" w:hAnsi="Times New Roman"/>
                <w:color w:val="000000"/>
                <w:sz w:val="20"/>
                <w:szCs w:val="20"/>
              </w:rPr>
              <w:t xml:space="preserve">Liability as of July 27, </w:t>
            </w:r>
            <w:r>
              <w:rPr>
                <w:rFonts w:ascii="Times New Roman" w:eastAsia="宋体" w:hAnsi="Times New Roman"/>
                <w:color w:val="000000"/>
                <w:sz w:val="20"/>
                <w:szCs w:val="20"/>
              </w:rPr>
              <w:t>2019</w:t>
            </w:r>
          </w:p>
        </w:tc>
        <w:tc>
          <w:tcPr>
            <w:tcW w:w="0" w:type="auto"/>
            <w:gridSpan w:val="3"/>
            <w:shd w:val="clear" w:color="auto" w:fill="CCEEFF"/>
            <w:tcMar>
              <w:top w:w="0" w:type="dxa"/>
              <w:left w:w="20" w:type="dxa"/>
              <w:bottom w:w="0" w:type="dxa"/>
              <w:right w:w="20" w:type="dxa"/>
            </w:tcMar>
            <w:vAlign w:val="bottom"/>
          </w:tcPr>
          <w:p w14:paraId="518B636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36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36D" w14:textId="77777777" w:rsidR="005C332D" w:rsidRDefault="00B93EAE">
            <w:pPr>
              <w:jc w:val="right"/>
              <w:textAlignment w:val="bottom"/>
            </w:pPr>
            <w:r>
              <w:rPr>
                <w:rFonts w:ascii="Times New Roman" w:eastAsia="宋体" w:hAnsi="Times New Roman"/>
                <w:color w:val="000000"/>
                <w:sz w:val="20"/>
                <w:szCs w:val="20"/>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6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6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37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371" w14:textId="77777777" w:rsidR="005C332D" w:rsidRDefault="00B93EAE">
            <w:pPr>
              <w:jc w:val="right"/>
              <w:textAlignment w:val="bottom"/>
            </w:pPr>
            <w:r>
              <w:rPr>
                <w:rFonts w:ascii="Times New Roman" w:eastAsia="宋体" w:hAnsi="Times New Roman"/>
                <w:color w:val="000000"/>
                <w:sz w:val="20"/>
                <w:szCs w:val="20"/>
              </w:rPr>
              <w:t>11 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7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7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37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375"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7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7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37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379"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7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7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37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37D" w14:textId="77777777" w:rsidR="005C332D" w:rsidRDefault="00B93EAE">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7E" w14:textId="77777777" w:rsidR="005C332D" w:rsidRDefault="005C332D">
            <w:pPr>
              <w:jc w:val="right"/>
              <w:rPr>
                <w:rFonts w:ascii="宋体"/>
              </w:rPr>
            </w:pPr>
          </w:p>
        </w:tc>
      </w:tr>
      <w:tr w:rsidR="005C332D" w14:paraId="518B6390" w14:textId="77777777">
        <w:trPr>
          <w:jc w:val="center"/>
        </w:trPr>
        <w:tc>
          <w:tcPr>
            <w:tcW w:w="0" w:type="auto"/>
            <w:gridSpan w:val="3"/>
            <w:shd w:val="clear" w:color="auto" w:fill="FFFFFF"/>
            <w:tcMar>
              <w:top w:w="40" w:type="dxa"/>
              <w:left w:w="155" w:type="dxa"/>
              <w:bottom w:w="40" w:type="dxa"/>
              <w:right w:w="20" w:type="dxa"/>
            </w:tcMar>
            <w:vAlign w:val="bottom"/>
          </w:tcPr>
          <w:p w14:paraId="518B6380" w14:textId="77777777" w:rsidR="005C332D" w:rsidRDefault="00B93EAE">
            <w:pPr>
              <w:textAlignment w:val="bottom"/>
            </w:pPr>
            <w:r>
              <w:rPr>
                <w:rFonts w:ascii="Times New Roman" w:eastAsia="宋体" w:hAnsi="Times New Roman"/>
                <w:color w:val="000000"/>
                <w:sz w:val="20"/>
                <w:szCs w:val="20"/>
              </w:rPr>
              <w:t xml:space="preserve">Charges </w:t>
            </w:r>
          </w:p>
        </w:tc>
        <w:tc>
          <w:tcPr>
            <w:tcW w:w="0" w:type="auto"/>
            <w:gridSpan w:val="3"/>
            <w:shd w:val="clear" w:color="auto" w:fill="FFFFFF"/>
            <w:tcMar>
              <w:top w:w="0" w:type="dxa"/>
              <w:left w:w="20" w:type="dxa"/>
              <w:bottom w:w="0" w:type="dxa"/>
              <w:right w:w="20" w:type="dxa"/>
            </w:tcMar>
            <w:vAlign w:val="bottom"/>
          </w:tcPr>
          <w:p w14:paraId="518B638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82" w14:textId="77777777" w:rsidR="005C332D" w:rsidRDefault="00B93EAE">
            <w:pPr>
              <w:jc w:val="right"/>
              <w:textAlignment w:val="bottom"/>
            </w:pPr>
            <w:r>
              <w:rPr>
                <w:rFonts w:ascii="Times New Roman" w:eastAsia="宋体" w:hAnsi="Times New Roman"/>
                <w:color w:val="000000"/>
                <w:sz w:val="20"/>
                <w:szCs w:val="20"/>
              </w:rPr>
              <w:t>353 </w:t>
            </w:r>
          </w:p>
        </w:tc>
        <w:tc>
          <w:tcPr>
            <w:tcW w:w="0" w:type="auto"/>
            <w:shd w:val="clear" w:color="auto" w:fill="FFFFFF"/>
            <w:tcMar>
              <w:top w:w="40" w:type="dxa"/>
              <w:left w:w="0" w:type="dxa"/>
              <w:bottom w:w="40" w:type="dxa"/>
              <w:right w:w="20" w:type="dxa"/>
            </w:tcMar>
            <w:vAlign w:val="bottom"/>
          </w:tcPr>
          <w:p w14:paraId="518B638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8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85" w14:textId="77777777" w:rsidR="005C332D" w:rsidRDefault="00B93EAE">
            <w:pPr>
              <w:jc w:val="right"/>
              <w:textAlignment w:val="bottom"/>
            </w:pPr>
            <w:r>
              <w:rPr>
                <w:rFonts w:ascii="Times New Roman" w:eastAsia="宋体" w:hAnsi="Times New Roman"/>
                <w:color w:val="000000"/>
                <w:sz w:val="20"/>
                <w:szCs w:val="20"/>
              </w:rPr>
              <w:t>128 </w:t>
            </w:r>
          </w:p>
        </w:tc>
        <w:tc>
          <w:tcPr>
            <w:tcW w:w="0" w:type="auto"/>
            <w:shd w:val="clear" w:color="auto" w:fill="FFFFFF"/>
            <w:tcMar>
              <w:top w:w="40" w:type="dxa"/>
              <w:left w:w="0" w:type="dxa"/>
              <w:bottom w:w="40" w:type="dxa"/>
              <w:right w:w="20" w:type="dxa"/>
            </w:tcMar>
            <w:vAlign w:val="bottom"/>
          </w:tcPr>
          <w:p w14:paraId="518B638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8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88"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38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8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8B"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38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8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8E" w14:textId="77777777" w:rsidR="005C332D" w:rsidRDefault="00B93EAE">
            <w:pPr>
              <w:jc w:val="right"/>
              <w:textAlignment w:val="bottom"/>
            </w:pPr>
            <w:r>
              <w:rPr>
                <w:rFonts w:ascii="Times New Roman" w:eastAsia="宋体" w:hAnsi="Times New Roman"/>
                <w:color w:val="000000"/>
                <w:sz w:val="20"/>
                <w:szCs w:val="20"/>
              </w:rPr>
              <w:t>481 </w:t>
            </w:r>
          </w:p>
        </w:tc>
        <w:tc>
          <w:tcPr>
            <w:tcW w:w="0" w:type="auto"/>
            <w:shd w:val="clear" w:color="auto" w:fill="FFFFFF"/>
            <w:tcMar>
              <w:top w:w="40" w:type="dxa"/>
              <w:left w:w="0" w:type="dxa"/>
              <w:bottom w:w="40" w:type="dxa"/>
              <w:right w:w="20" w:type="dxa"/>
            </w:tcMar>
            <w:vAlign w:val="bottom"/>
          </w:tcPr>
          <w:p w14:paraId="518B638F" w14:textId="77777777" w:rsidR="005C332D" w:rsidRDefault="005C332D">
            <w:pPr>
              <w:jc w:val="right"/>
              <w:rPr>
                <w:rFonts w:ascii="宋体"/>
              </w:rPr>
            </w:pPr>
          </w:p>
        </w:tc>
      </w:tr>
      <w:tr w:rsidR="005C332D" w14:paraId="518B63A1" w14:textId="77777777">
        <w:trPr>
          <w:jc w:val="center"/>
        </w:trPr>
        <w:tc>
          <w:tcPr>
            <w:tcW w:w="0" w:type="auto"/>
            <w:gridSpan w:val="3"/>
            <w:shd w:val="clear" w:color="auto" w:fill="CCEEFF"/>
            <w:tcMar>
              <w:top w:w="40" w:type="dxa"/>
              <w:left w:w="155" w:type="dxa"/>
              <w:bottom w:w="40" w:type="dxa"/>
              <w:right w:w="20" w:type="dxa"/>
            </w:tcMar>
            <w:vAlign w:val="bottom"/>
          </w:tcPr>
          <w:p w14:paraId="518B6391" w14:textId="77777777" w:rsidR="005C332D" w:rsidRDefault="00B93EAE">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vAlign w:val="bottom"/>
          </w:tcPr>
          <w:p w14:paraId="518B639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393" w14:textId="77777777" w:rsidR="005C332D" w:rsidRDefault="00B93EAE">
            <w:pPr>
              <w:jc w:val="right"/>
              <w:textAlignment w:val="bottom"/>
            </w:pPr>
            <w:r>
              <w:rPr>
                <w:rFonts w:ascii="Times New Roman" w:eastAsia="宋体" w:hAnsi="Times New Roman"/>
                <w:color w:val="000000"/>
                <w:sz w:val="20"/>
                <w:szCs w:val="20"/>
              </w:rPr>
              <w:t>(317)</w:t>
            </w:r>
          </w:p>
        </w:tc>
        <w:tc>
          <w:tcPr>
            <w:tcW w:w="0" w:type="auto"/>
            <w:shd w:val="clear" w:color="auto" w:fill="CCEEFF"/>
            <w:tcMar>
              <w:top w:w="40" w:type="dxa"/>
              <w:left w:w="0" w:type="dxa"/>
              <w:bottom w:w="40" w:type="dxa"/>
              <w:right w:w="20" w:type="dxa"/>
            </w:tcMar>
            <w:vAlign w:val="bottom"/>
          </w:tcPr>
          <w:p w14:paraId="518B639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9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396" w14:textId="77777777" w:rsidR="005C332D" w:rsidRDefault="00B93EAE">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518B639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9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399"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39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9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39C"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39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9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39F" w14:textId="77777777" w:rsidR="005C332D" w:rsidRDefault="00B93EAE">
            <w:pPr>
              <w:jc w:val="right"/>
              <w:textAlignment w:val="bottom"/>
            </w:pPr>
            <w:r>
              <w:rPr>
                <w:rFonts w:ascii="Times New Roman" w:eastAsia="宋体" w:hAnsi="Times New Roman"/>
                <w:color w:val="000000"/>
                <w:sz w:val="20"/>
                <w:szCs w:val="20"/>
              </w:rPr>
              <w:t>(327)</w:t>
            </w:r>
          </w:p>
        </w:tc>
        <w:tc>
          <w:tcPr>
            <w:tcW w:w="0" w:type="auto"/>
            <w:shd w:val="clear" w:color="auto" w:fill="CCEEFF"/>
            <w:tcMar>
              <w:top w:w="40" w:type="dxa"/>
              <w:left w:w="0" w:type="dxa"/>
              <w:bottom w:w="40" w:type="dxa"/>
              <w:right w:w="20" w:type="dxa"/>
            </w:tcMar>
            <w:vAlign w:val="bottom"/>
          </w:tcPr>
          <w:p w14:paraId="518B63A0" w14:textId="77777777" w:rsidR="005C332D" w:rsidRDefault="005C332D">
            <w:pPr>
              <w:jc w:val="right"/>
              <w:rPr>
                <w:rFonts w:ascii="宋体"/>
              </w:rPr>
            </w:pPr>
          </w:p>
        </w:tc>
      </w:tr>
      <w:tr w:rsidR="005C332D" w14:paraId="518B63B2" w14:textId="77777777">
        <w:trPr>
          <w:jc w:val="center"/>
        </w:trPr>
        <w:tc>
          <w:tcPr>
            <w:tcW w:w="0" w:type="auto"/>
            <w:gridSpan w:val="3"/>
            <w:shd w:val="clear" w:color="auto" w:fill="FFFFFF"/>
            <w:tcMar>
              <w:top w:w="40" w:type="dxa"/>
              <w:left w:w="155" w:type="dxa"/>
              <w:bottom w:w="40" w:type="dxa"/>
              <w:right w:w="20" w:type="dxa"/>
            </w:tcMar>
            <w:vAlign w:val="bottom"/>
          </w:tcPr>
          <w:p w14:paraId="518B63A2" w14:textId="77777777" w:rsidR="005C332D" w:rsidRDefault="00B93EAE">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vAlign w:val="bottom"/>
          </w:tcPr>
          <w:p w14:paraId="518B63A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A4"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3A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A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A7" w14:textId="77777777" w:rsidR="005C332D" w:rsidRDefault="00B93EAE">
            <w:pPr>
              <w:jc w:val="right"/>
              <w:textAlignment w:val="bottom"/>
            </w:pPr>
            <w:r>
              <w:rPr>
                <w:rFonts w:ascii="Times New Roman" w:eastAsia="宋体" w:hAnsi="Times New Roman"/>
                <w:color w:val="000000"/>
                <w:sz w:val="20"/>
                <w:szCs w:val="20"/>
              </w:rPr>
              <w:t>(115)</w:t>
            </w:r>
          </w:p>
        </w:tc>
        <w:tc>
          <w:tcPr>
            <w:tcW w:w="0" w:type="auto"/>
            <w:shd w:val="clear" w:color="auto" w:fill="FFFFFF"/>
            <w:tcMar>
              <w:top w:w="40" w:type="dxa"/>
              <w:left w:w="0" w:type="dxa"/>
              <w:bottom w:w="40" w:type="dxa"/>
              <w:right w:w="20" w:type="dxa"/>
            </w:tcMar>
            <w:vAlign w:val="bottom"/>
          </w:tcPr>
          <w:p w14:paraId="518B63A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A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AA"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3A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A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AD"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3A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A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B0" w14:textId="77777777" w:rsidR="005C332D" w:rsidRDefault="00B93EAE">
            <w:pPr>
              <w:jc w:val="right"/>
              <w:textAlignment w:val="bottom"/>
            </w:pPr>
            <w:r>
              <w:rPr>
                <w:rFonts w:ascii="Times New Roman" w:eastAsia="宋体" w:hAnsi="Times New Roman"/>
                <w:color w:val="000000"/>
                <w:sz w:val="20"/>
                <w:szCs w:val="20"/>
              </w:rPr>
              <w:t>(115)</w:t>
            </w:r>
          </w:p>
        </w:tc>
        <w:tc>
          <w:tcPr>
            <w:tcW w:w="0" w:type="auto"/>
            <w:shd w:val="clear" w:color="auto" w:fill="FFFFFF"/>
            <w:tcMar>
              <w:top w:w="40" w:type="dxa"/>
              <w:left w:w="0" w:type="dxa"/>
              <w:bottom w:w="40" w:type="dxa"/>
              <w:right w:w="20" w:type="dxa"/>
            </w:tcMar>
            <w:vAlign w:val="bottom"/>
          </w:tcPr>
          <w:p w14:paraId="518B63B1" w14:textId="77777777" w:rsidR="005C332D" w:rsidRDefault="005C332D">
            <w:pPr>
              <w:jc w:val="right"/>
              <w:rPr>
                <w:rFonts w:ascii="宋体"/>
              </w:rPr>
            </w:pPr>
          </w:p>
        </w:tc>
      </w:tr>
      <w:tr w:rsidR="005C332D" w14:paraId="518B63C3" w14:textId="77777777">
        <w:trPr>
          <w:jc w:val="center"/>
        </w:trPr>
        <w:tc>
          <w:tcPr>
            <w:tcW w:w="0" w:type="auto"/>
            <w:gridSpan w:val="3"/>
            <w:shd w:val="clear" w:color="auto" w:fill="CCEEFF"/>
            <w:tcMar>
              <w:top w:w="40" w:type="dxa"/>
              <w:left w:w="20" w:type="dxa"/>
              <w:bottom w:w="40" w:type="dxa"/>
              <w:right w:w="20" w:type="dxa"/>
            </w:tcMar>
            <w:vAlign w:val="bottom"/>
          </w:tcPr>
          <w:p w14:paraId="518B63B3" w14:textId="77777777" w:rsidR="005C332D" w:rsidRDefault="00B93EAE">
            <w:pPr>
              <w:textAlignment w:val="bottom"/>
            </w:pPr>
            <w:r>
              <w:rPr>
                <w:rFonts w:ascii="Times New Roman" w:eastAsia="宋体" w:hAnsi="Times New Roman"/>
                <w:color w:val="000000"/>
                <w:sz w:val="20"/>
                <w:szCs w:val="20"/>
              </w:rPr>
              <w:t>Liability as of July 25, 2020</w:t>
            </w:r>
          </w:p>
        </w:tc>
        <w:tc>
          <w:tcPr>
            <w:tcW w:w="0" w:type="auto"/>
            <w:gridSpan w:val="3"/>
            <w:shd w:val="clear" w:color="auto" w:fill="CCEEFF"/>
            <w:tcMar>
              <w:top w:w="0" w:type="dxa"/>
              <w:left w:w="20" w:type="dxa"/>
              <w:bottom w:w="0" w:type="dxa"/>
              <w:right w:w="20" w:type="dxa"/>
            </w:tcMar>
            <w:vAlign w:val="bottom"/>
          </w:tcPr>
          <w:p w14:paraId="518B63B4"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3B5" w14:textId="77777777" w:rsidR="005C332D" w:rsidRDefault="00B93EAE">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B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B7"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3B8" w14:textId="77777777" w:rsidR="005C332D" w:rsidRDefault="00B93EAE">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B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BA"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3BB"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B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BD"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3BE"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B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C0"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3C1" w14:textId="77777777" w:rsidR="005C332D" w:rsidRDefault="00B93EAE">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C2" w14:textId="77777777" w:rsidR="005C332D" w:rsidRDefault="005C332D">
            <w:pPr>
              <w:jc w:val="right"/>
              <w:rPr>
                <w:rFonts w:ascii="宋体"/>
              </w:rPr>
            </w:pPr>
          </w:p>
        </w:tc>
      </w:tr>
      <w:tr w:rsidR="005C332D" w14:paraId="518B63D4" w14:textId="77777777">
        <w:trPr>
          <w:jc w:val="center"/>
        </w:trPr>
        <w:tc>
          <w:tcPr>
            <w:tcW w:w="0" w:type="auto"/>
            <w:gridSpan w:val="3"/>
            <w:shd w:val="clear" w:color="auto" w:fill="FFFFFF"/>
            <w:tcMar>
              <w:top w:w="40" w:type="dxa"/>
              <w:left w:w="155" w:type="dxa"/>
              <w:bottom w:w="40" w:type="dxa"/>
              <w:right w:w="20" w:type="dxa"/>
            </w:tcMar>
            <w:vAlign w:val="bottom"/>
          </w:tcPr>
          <w:p w14:paraId="518B63C4" w14:textId="77777777" w:rsidR="005C332D" w:rsidRDefault="00B93EAE">
            <w:pPr>
              <w:textAlignment w:val="bottom"/>
            </w:pPr>
            <w:r>
              <w:rPr>
                <w:rFonts w:ascii="Times New Roman" w:eastAsia="宋体" w:hAnsi="Times New Roman"/>
                <w:color w:val="000000"/>
                <w:sz w:val="20"/>
                <w:szCs w:val="20"/>
              </w:rPr>
              <w:t xml:space="preserve">Charges </w:t>
            </w:r>
          </w:p>
        </w:tc>
        <w:tc>
          <w:tcPr>
            <w:tcW w:w="0" w:type="auto"/>
            <w:gridSpan w:val="3"/>
            <w:shd w:val="clear" w:color="auto" w:fill="FFFFFF"/>
            <w:tcMar>
              <w:top w:w="0" w:type="dxa"/>
              <w:left w:w="20" w:type="dxa"/>
              <w:bottom w:w="0" w:type="dxa"/>
              <w:right w:w="20" w:type="dxa"/>
            </w:tcMar>
            <w:vAlign w:val="bottom"/>
          </w:tcPr>
          <w:p w14:paraId="518B63C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C6"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3C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C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C9" w14:textId="77777777" w:rsidR="005C332D" w:rsidRDefault="00B93EAE">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518B63C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C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CC" w14:textId="77777777" w:rsidR="005C332D" w:rsidRDefault="00B93EAE">
            <w:pPr>
              <w:jc w:val="right"/>
              <w:textAlignment w:val="bottom"/>
            </w:pPr>
            <w:r>
              <w:rPr>
                <w:rFonts w:ascii="Times New Roman" w:eastAsia="宋体" w:hAnsi="Times New Roman"/>
                <w:color w:val="000000"/>
                <w:sz w:val="20"/>
                <w:szCs w:val="20"/>
              </w:rPr>
              <w:t>836 </w:t>
            </w:r>
          </w:p>
        </w:tc>
        <w:tc>
          <w:tcPr>
            <w:tcW w:w="0" w:type="auto"/>
            <w:shd w:val="clear" w:color="auto" w:fill="FFFFFF"/>
            <w:tcMar>
              <w:top w:w="40" w:type="dxa"/>
              <w:left w:w="0" w:type="dxa"/>
              <w:bottom w:w="40" w:type="dxa"/>
              <w:right w:w="20" w:type="dxa"/>
            </w:tcMar>
            <w:vAlign w:val="bottom"/>
          </w:tcPr>
          <w:p w14:paraId="518B63C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C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CF" w14:textId="77777777" w:rsidR="005C332D" w:rsidRDefault="00B93EAE">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518B63D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D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D2" w14:textId="77777777" w:rsidR="005C332D" w:rsidRDefault="00B93EAE">
            <w:pPr>
              <w:jc w:val="right"/>
              <w:textAlignment w:val="bottom"/>
            </w:pPr>
            <w:r>
              <w:rPr>
                <w:rFonts w:ascii="Times New Roman" w:eastAsia="宋体" w:hAnsi="Times New Roman"/>
                <w:color w:val="000000"/>
                <w:sz w:val="20"/>
                <w:szCs w:val="20"/>
              </w:rPr>
              <w:t>886 </w:t>
            </w:r>
          </w:p>
        </w:tc>
        <w:tc>
          <w:tcPr>
            <w:tcW w:w="0" w:type="auto"/>
            <w:shd w:val="clear" w:color="auto" w:fill="FFFFFF"/>
            <w:tcMar>
              <w:top w:w="40" w:type="dxa"/>
              <w:left w:w="0" w:type="dxa"/>
              <w:bottom w:w="40" w:type="dxa"/>
              <w:right w:w="20" w:type="dxa"/>
            </w:tcMar>
            <w:vAlign w:val="bottom"/>
          </w:tcPr>
          <w:p w14:paraId="518B63D3" w14:textId="77777777" w:rsidR="005C332D" w:rsidRDefault="005C332D">
            <w:pPr>
              <w:jc w:val="right"/>
              <w:rPr>
                <w:rFonts w:ascii="宋体"/>
              </w:rPr>
            </w:pPr>
          </w:p>
        </w:tc>
      </w:tr>
      <w:tr w:rsidR="005C332D" w14:paraId="518B63E5" w14:textId="77777777">
        <w:trPr>
          <w:jc w:val="center"/>
        </w:trPr>
        <w:tc>
          <w:tcPr>
            <w:tcW w:w="0" w:type="auto"/>
            <w:gridSpan w:val="3"/>
            <w:shd w:val="clear" w:color="auto" w:fill="CCEEFF"/>
            <w:tcMar>
              <w:top w:w="40" w:type="dxa"/>
              <w:left w:w="155" w:type="dxa"/>
              <w:bottom w:w="40" w:type="dxa"/>
              <w:right w:w="20" w:type="dxa"/>
            </w:tcMar>
            <w:vAlign w:val="bottom"/>
          </w:tcPr>
          <w:p w14:paraId="518B63D5" w14:textId="77777777" w:rsidR="005C332D" w:rsidRDefault="00B93EAE">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vAlign w:val="bottom"/>
          </w:tcPr>
          <w:p w14:paraId="518B63D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3D7" w14:textId="77777777" w:rsidR="005C332D" w:rsidRDefault="00B93EAE">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518B63D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D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3DA" w14:textId="77777777" w:rsidR="005C332D" w:rsidRDefault="00B93EAE">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518B63D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D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3DD" w14:textId="77777777" w:rsidR="005C332D" w:rsidRDefault="00B93EAE">
            <w:pPr>
              <w:jc w:val="right"/>
              <w:textAlignment w:val="bottom"/>
            </w:pPr>
            <w:r>
              <w:rPr>
                <w:rFonts w:ascii="Times New Roman" w:eastAsia="宋体" w:hAnsi="Times New Roman"/>
                <w:color w:val="000000"/>
                <w:sz w:val="20"/>
                <w:szCs w:val="20"/>
              </w:rPr>
              <w:t>(821)</w:t>
            </w:r>
          </w:p>
        </w:tc>
        <w:tc>
          <w:tcPr>
            <w:tcW w:w="0" w:type="auto"/>
            <w:shd w:val="clear" w:color="auto" w:fill="CCEEFF"/>
            <w:tcMar>
              <w:top w:w="40" w:type="dxa"/>
              <w:left w:w="0" w:type="dxa"/>
              <w:bottom w:w="40" w:type="dxa"/>
              <w:right w:w="20" w:type="dxa"/>
            </w:tcMar>
            <w:vAlign w:val="bottom"/>
          </w:tcPr>
          <w:p w14:paraId="518B63D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D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3E0" w14:textId="77777777" w:rsidR="005C332D" w:rsidRDefault="00B93EAE">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518B63E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E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3E3" w14:textId="77777777" w:rsidR="005C332D" w:rsidRDefault="00B93EAE">
            <w:pPr>
              <w:jc w:val="right"/>
              <w:textAlignment w:val="bottom"/>
            </w:pPr>
            <w:r>
              <w:rPr>
                <w:rFonts w:ascii="Times New Roman" w:eastAsia="宋体" w:hAnsi="Times New Roman"/>
                <w:color w:val="000000"/>
                <w:sz w:val="20"/>
                <w:szCs w:val="20"/>
              </w:rPr>
              <w:t>(890)</w:t>
            </w:r>
          </w:p>
        </w:tc>
        <w:tc>
          <w:tcPr>
            <w:tcW w:w="0" w:type="auto"/>
            <w:shd w:val="clear" w:color="auto" w:fill="CCEEFF"/>
            <w:tcMar>
              <w:top w:w="40" w:type="dxa"/>
              <w:left w:w="0" w:type="dxa"/>
              <w:bottom w:w="40" w:type="dxa"/>
              <w:right w:w="20" w:type="dxa"/>
            </w:tcMar>
            <w:vAlign w:val="bottom"/>
          </w:tcPr>
          <w:p w14:paraId="518B63E4" w14:textId="77777777" w:rsidR="005C332D" w:rsidRDefault="005C332D">
            <w:pPr>
              <w:jc w:val="right"/>
              <w:rPr>
                <w:rFonts w:ascii="宋体"/>
              </w:rPr>
            </w:pPr>
          </w:p>
        </w:tc>
      </w:tr>
      <w:tr w:rsidR="005C332D" w14:paraId="518B63F6" w14:textId="77777777">
        <w:trPr>
          <w:jc w:val="center"/>
        </w:trPr>
        <w:tc>
          <w:tcPr>
            <w:tcW w:w="0" w:type="auto"/>
            <w:gridSpan w:val="3"/>
            <w:shd w:val="clear" w:color="auto" w:fill="FFFFFF"/>
            <w:tcMar>
              <w:top w:w="40" w:type="dxa"/>
              <w:left w:w="155" w:type="dxa"/>
              <w:bottom w:w="40" w:type="dxa"/>
              <w:right w:w="20" w:type="dxa"/>
            </w:tcMar>
            <w:vAlign w:val="bottom"/>
          </w:tcPr>
          <w:p w14:paraId="518B63E6" w14:textId="77777777" w:rsidR="005C332D" w:rsidRDefault="00B93EAE">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vAlign w:val="bottom"/>
          </w:tcPr>
          <w:p w14:paraId="518B63E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E8"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3E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E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EB" w14:textId="77777777" w:rsidR="005C332D" w:rsidRDefault="00B93EAE">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518B63E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E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EE"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518B63E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F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F1" w14:textId="77777777" w:rsidR="005C332D" w:rsidRDefault="00B93EAE">
            <w:pPr>
              <w:jc w:val="right"/>
              <w:textAlignment w:val="bottom"/>
            </w:pPr>
            <w:r>
              <w:rPr>
                <w:rFonts w:ascii="Times New Roman" w:eastAsia="宋体" w:hAnsi="Times New Roman"/>
                <w:color w:val="000000"/>
                <w:sz w:val="20"/>
                <w:szCs w:val="20"/>
              </w:rPr>
              <w:t>(32)</w:t>
            </w:r>
          </w:p>
        </w:tc>
        <w:tc>
          <w:tcPr>
            <w:tcW w:w="0" w:type="auto"/>
            <w:shd w:val="clear" w:color="auto" w:fill="FFFFFF"/>
            <w:tcMar>
              <w:top w:w="40" w:type="dxa"/>
              <w:left w:w="0" w:type="dxa"/>
              <w:bottom w:w="40" w:type="dxa"/>
              <w:right w:w="20" w:type="dxa"/>
            </w:tcMar>
            <w:vAlign w:val="bottom"/>
          </w:tcPr>
          <w:p w14:paraId="518B63F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3F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3F4" w14:textId="77777777" w:rsidR="005C332D" w:rsidRDefault="00B93EAE">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left w:w="0" w:type="dxa"/>
              <w:bottom w:w="40" w:type="dxa"/>
              <w:right w:w="20" w:type="dxa"/>
            </w:tcMar>
            <w:vAlign w:val="bottom"/>
          </w:tcPr>
          <w:p w14:paraId="518B63F5" w14:textId="77777777" w:rsidR="005C332D" w:rsidRDefault="005C332D">
            <w:pPr>
              <w:jc w:val="right"/>
              <w:rPr>
                <w:rFonts w:ascii="宋体"/>
              </w:rPr>
            </w:pPr>
          </w:p>
        </w:tc>
      </w:tr>
      <w:tr w:rsidR="005C332D" w14:paraId="518B6407" w14:textId="77777777">
        <w:trPr>
          <w:jc w:val="center"/>
        </w:trPr>
        <w:tc>
          <w:tcPr>
            <w:tcW w:w="0" w:type="auto"/>
            <w:gridSpan w:val="3"/>
            <w:shd w:val="clear" w:color="auto" w:fill="CCEEFF"/>
            <w:tcMar>
              <w:top w:w="40" w:type="dxa"/>
              <w:left w:w="20" w:type="dxa"/>
              <w:bottom w:w="40" w:type="dxa"/>
              <w:right w:w="20" w:type="dxa"/>
            </w:tcMar>
            <w:vAlign w:val="bottom"/>
          </w:tcPr>
          <w:p w14:paraId="518B63F7" w14:textId="77777777" w:rsidR="005C332D" w:rsidRDefault="00B93EAE">
            <w:pPr>
              <w:textAlignment w:val="bottom"/>
            </w:pPr>
            <w:r>
              <w:rPr>
                <w:rFonts w:ascii="Times New Roman" w:eastAsia="宋体" w:hAnsi="Times New Roman"/>
                <w:b/>
                <w:bCs/>
                <w:color w:val="000000"/>
                <w:sz w:val="20"/>
                <w:szCs w:val="20"/>
              </w:rPr>
              <w:t>Liability as of July 31, 2021</w:t>
            </w:r>
          </w:p>
        </w:tc>
        <w:tc>
          <w:tcPr>
            <w:tcW w:w="0" w:type="auto"/>
            <w:gridSpan w:val="3"/>
            <w:shd w:val="clear" w:color="auto" w:fill="CCEEFF"/>
            <w:tcMar>
              <w:top w:w="0" w:type="dxa"/>
              <w:left w:w="20" w:type="dxa"/>
              <w:bottom w:w="0" w:type="dxa"/>
              <w:right w:w="20" w:type="dxa"/>
            </w:tcMar>
            <w:vAlign w:val="bottom"/>
          </w:tcPr>
          <w:p w14:paraId="518B63F8"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3F9"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F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FB"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3FC"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3F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3FE"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3FF" w14:textId="77777777" w:rsidR="005C332D" w:rsidRDefault="00B93EAE">
            <w:pPr>
              <w:jc w:val="right"/>
              <w:textAlignment w:val="bottom"/>
            </w:pPr>
            <w:r>
              <w:rPr>
                <w:rFonts w:ascii="Times New Roman" w:eastAsia="宋体" w:hAnsi="Times New Roman"/>
                <w:b/>
                <w:bCs/>
                <w:color w:val="000000"/>
                <w:sz w:val="20"/>
                <w:szCs w:val="20"/>
              </w:rPr>
              <w:t>16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40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01"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402" w14:textId="77777777" w:rsidR="005C332D" w:rsidRDefault="00B93EAE">
            <w:pPr>
              <w:jc w:val="right"/>
              <w:textAlignment w:val="bottom"/>
            </w:pPr>
            <w:r>
              <w:rPr>
                <w:rFonts w:ascii="Times New Roman" w:eastAsia="宋体" w:hAnsi="Times New Roman"/>
                <w:b/>
                <w:bCs/>
                <w:color w:val="000000"/>
                <w:sz w:val="20"/>
                <w:szCs w:val="20"/>
              </w:rPr>
              <w:t>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40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04"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405" w14:textId="77777777" w:rsidR="005C332D" w:rsidRDefault="00B93EAE">
            <w:pPr>
              <w:jc w:val="right"/>
              <w:textAlignment w:val="bottom"/>
            </w:pPr>
            <w:r>
              <w:rPr>
                <w:rFonts w:ascii="Times New Roman" w:eastAsia="宋体" w:hAnsi="Times New Roman"/>
                <w:b/>
                <w:bCs/>
                <w:color w:val="000000"/>
                <w:sz w:val="20"/>
                <w:szCs w:val="20"/>
              </w:rPr>
              <w:t>34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406" w14:textId="77777777" w:rsidR="005C332D" w:rsidRDefault="005C332D">
            <w:pPr>
              <w:jc w:val="right"/>
              <w:rPr>
                <w:rFonts w:ascii="宋体"/>
              </w:rPr>
            </w:pPr>
          </w:p>
        </w:tc>
      </w:tr>
      <w:tr w:rsidR="005C332D" w14:paraId="518B6418" w14:textId="77777777">
        <w:trPr>
          <w:jc w:val="center"/>
        </w:trPr>
        <w:tc>
          <w:tcPr>
            <w:tcW w:w="0" w:type="auto"/>
            <w:gridSpan w:val="3"/>
            <w:shd w:val="clear" w:color="auto" w:fill="FFFFFF"/>
            <w:tcMar>
              <w:top w:w="40" w:type="dxa"/>
              <w:left w:w="155" w:type="dxa"/>
              <w:bottom w:w="40" w:type="dxa"/>
              <w:right w:w="20" w:type="dxa"/>
            </w:tcMar>
            <w:vAlign w:val="bottom"/>
          </w:tcPr>
          <w:p w14:paraId="518B6408" w14:textId="77777777" w:rsidR="005C332D" w:rsidRDefault="00B93EAE">
            <w:pPr>
              <w:textAlignment w:val="bottom"/>
            </w:pPr>
            <w:r>
              <w:rPr>
                <w:rFonts w:ascii="Times New Roman" w:eastAsia="宋体" w:hAnsi="Times New Roman"/>
                <w:b/>
                <w:bCs/>
                <w:color w:val="000000"/>
                <w:sz w:val="20"/>
                <w:szCs w:val="20"/>
              </w:rPr>
              <w:t>Charges</w:t>
            </w:r>
          </w:p>
        </w:tc>
        <w:tc>
          <w:tcPr>
            <w:tcW w:w="0" w:type="auto"/>
            <w:gridSpan w:val="3"/>
            <w:shd w:val="clear" w:color="auto" w:fill="FFFFFF"/>
            <w:tcMar>
              <w:top w:w="0" w:type="dxa"/>
              <w:left w:w="20" w:type="dxa"/>
              <w:bottom w:w="0" w:type="dxa"/>
              <w:right w:w="20" w:type="dxa"/>
            </w:tcMar>
            <w:vAlign w:val="bottom"/>
          </w:tcPr>
          <w:p w14:paraId="518B640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0A"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0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0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0D" w14:textId="77777777" w:rsidR="005C332D" w:rsidRDefault="00B93EAE">
            <w:pPr>
              <w:jc w:val="right"/>
              <w:textAlignment w:val="bottom"/>
            </w:pPr>
            <w:r>
              <w:rPr>
                <w:rFonts w:ascii="Times New Roman" w:eastAsia="宋体" w:hAnsi="Times New Roman"/>
                <w:b/>
                <w:bCs/>
                <w:color w:val="000000"/>
                <w:sz w:val="20"/>
                <w:szCs w:val="20"/>
              </w:rPr>
              <w:t>(6)</w:t>
            </w:r>
          </w:p>
        </w:tc>
        <w:tc>
          <w:tcPr>
            <w:tcW w:w="0" w:type="auto"/>
            <w:shd w:val="clear" w:color="auto" w:fill="FFFFFF"/>
            <w:tcMar>
              <w:top w:w="40" w:type="dxa"/>
              <w:left w:w="0" w:type="dxa"/>
              <w:bottom w:w="40" w:type="dxa"/>
              <w:right w:w="20" w:type="dxa"/>
            </w:tcMar>
            <w:vAlign w:val="bottom"/>
          </w:tcPr>
          <w:p w14:paraId="518B640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0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10" w14:textId="77777777" w:rsidR="005C332D" w:rsidRDefault="00B93EAE">
            <w:pPr>
              <w:jc w:val="right"/>
              <w:textAlignment w:val="bottom"/>
            </w:pPr>
            <w:r>
              <w:rPr>
                <w:rFonts w:ascii="Times New Roman" w:eastAsia="宋体" w:hAnsi="Times New Roman"/>
                <w:b/>
                <w:bCs/>
                <w:color w:val="000000"/>
                <w:sz w:val="20"/>
                <w:szCs w:val="20"/>
              </w:rPr>
              <w:t>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1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1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13" w14:textId="77777777" w:rsidR="005C332D" w:rsidRDefault="00B93EAE">
            <w:pPr>
              <w:jc w:val="right"/>
              <w:textAlignment w:val="bottom"/>
            </w:pPr>
            <w:r>
              <w:rPr>
                <w:rFonts w:ascii="Times New Roman" w:eastAsia="宋体" w:hAnsi="Times New Roman"/>
                <w:b/>
                <w:bCs/>
                <w:color w:val="000000"/>
                <w:sz w:val="20"/>
                <w:szCs w:val="20"/>
              </w:rPr>
              <w:t>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1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1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16" w14:textId="77777777" w:rsidR="005C332D" w:rsidRDefault="00B93EAE">
            <w:pPr>
              <w:jc w:val="right"/>
              <w:textAlignment w:val="bottom"/>
            </w:pPr>
            <w:r>
              <w:rPr>
                <w:rFonts w:ascii="Times New Roman" w:eastAsia="宋体" w:hAnsi="Times New Roman"/>
                <w:b/>
                <w:bCs/>
                <w:color w:val="000000"/>
                <w:sz w:val="20"/>
                <w:szCs w:val="20"/>
              </w:rPr>
              <w:t>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17" w14:textId="77777777" w:rsidR="005C332D" w:rsidRDefault="005C332D">
            <w:pPr>
              <w:jc w:val="right"/>
              <w:rPr>
                <w:rFonts w:ascii="宋体"/>
              </w:rPr>
            </w:pPr>
          </w:p>
        </w:tc>
      </w:tr>
      <w:tr w:rsidR="005C332D" w14:paraId="518B6429" w14:textId="77777777">
        <w:trPr>
          <w:jc w:val="center"/>
        </w:trPr>
        <w:tc>
          <w:tcPr>
            <w:tcW w:w="0" w:type="auto"/>
            <w:gridSpan w:val="3"/>
            <w:shd w:val="clear" w:color="auto" w:fill="CCEEFF"/>
            <w:tcMar>
              <w:top w:w="40" w:type="dxa"/>
              <w:left w:w="155" w:type="dxa"/>
              <w:bottom w:w="40" w:type="dxa"/>
              <w:right w:w="20" w:type="dxa"/>
            </w:tcMar>
            <w:vAlign w:val="bottom"/>
          </w:tcPr>
          <w:p w14:paraId="518B6419" w14:textId="77777777" w:rsidR="005C332D" w:rsidRDefault="00B93EAE">
            <w:pPr>
              <w:textAlignment w:val="bottom"/>
            </w:pPr>
            <w:r>
              <w:rPr>
                <w:rFonts w:ascii="Times New Roman" w:eastAsia="宋体" w:hAnsi="Times New Roman"/>
                <w:b/>
                <w:bCs/>
                <w:color w:val="000000"/>
                <w:sz w:val="20"/>
                <w:szCs w:val="20"/>
              </w:rPr>
              <w:t>Cash payments</w:t>
            </w:r>
          </w:p>
        </w:tc>
        <w:tc>
          <w:tcPr>
            <w:tcW w:w="0" w:type="auto"/>
            <w:gridSpan w:val="3"/>
            <w:shd w:val="clear" w:color="auto" w:fill="CCEEFF"/>
            <w:tcMar>
              <w:top w:w="0" w:type="dxa"/>
              <w:left w:w="20" w:type="dxa"/>
              <w:bottom w:w="0" w:type="dxa"/>
              <w:right w:w="20" w:type="dxa"/>
            </w:tcMar>
            <w:vAlign w:val="bottom"/>
          </w:tcPr>
          <w:p w14:paraId="518B641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41B"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41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1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41E" w14:textId="77777777" w:rsidR="005C332D" w:rsidRDefault="00B93EAE">
            <w:pPr>
              <w:jc w:val="right"/>
              <w:textAlignment w:val="bottom"/>
            </w:pPr>
            <w:r>
              <w:rPr>
                <w:rFonts w:ascii="Times New Roman" w:eastAsia="宋体" w:hAnsi="Times New Roman"/>
                <w:b/>
                <w:bCs/>
                <w:color w:val="000000"/>
                <w:sz w:val="20"/>
                <w:szCs w:val="20"/>
              </w:rPr>
              <w:t>(1)</w:t>
            </w:r>
          </w:p>
        </w:tc>
        <w:tc>
          <w:tcPr>
            <w:tcW w:w="0" w:type="auto"/>
            <w:shd w:val="clear" w:color="auto" w:fill="CCEEFF"/>
            <w:tcMar>
              <w:top w:w="40" w:type="dxa"/>
              <w:left w:w="0" w:type="dxa"/>
              <w:bottom w:w="40" w:type="dxa"/>
              <w:right w:w="20" w:type="dxa"/>
            </w:tcMar>
            <w:vAlign w:val="bottom"/>
          </w:tcPr>
          <w:p w14:paraId="518B641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2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421" w14:textId="77777777" w:rsidR="005C332D" w:rsidRDefault="00B93EAE">
            <w:pPr>
              <w:jc w:val="right"/>
              <w:textAlignment w:val="bottom"/>
            </w:pPr>
            <w:r>
              <w:rPr>
                <w:rFonts w:ascii="Times New Roman" w:eastAsia="宋体" w:hAnsi="Times New Roman"/>
                <w:b/>
                <w:bCs/>
                <w:color w:val="000000"/>
                <w:sz w:val="20"/>
                <w:szCs w:val="20"/>
              </w:rPr>
              <w:t>(23)</w:t>
            </w:r>
          </w:p>
        </w:tc>
        <w:tc>
          <w:tcPr>
            <w:tcW w:w="0" w:type="auto"/>
            <w:shd w:val="clear" w:color="auto" w:fill="CCEEFF"/>
            <w:tcMar>
              <w:top w:w="40" w:type="dxa"/>
              <w:left w:w="0" w:type="dxa"/>
              <w:bottom w:w="40" w:type="dxa"/>
              <w:right w:w="20" w:type="dxa"/>
            </w:tcMar>
            <w:vAlign w:val="bottom"/>
          </w:tcPr>
          <w:p w14:paraId="518B642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2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424" w14:textId="77777777" w:rsidR="005C332D" w:rsidRDefault="00B93EAE">
            <w:pPr>
              <w:jc w:val="right"/>
              <w:textAlignment w:val="bottom"/>
            </w:pPr>
            <w:r>
              <w:rPr>
                <w:rFonts w:ascii="Times New Roman" w:eastAsia="宋体" w:hAnsi="Times New Roman"/>
                <w:b/>
                <w:bCs/>
                <w:color w:val="000000"/>
                <w:sz w:val="20"/>
                <w:szCs w:val="20"/>
              </w:rPr>
              <w:t>(1)</w:t>
            </w:r>
          </w:p>
        </w:tc>
        <w:tc>
          <w:tcPr>
            <w:tcW w:w="0" w:type="auto"/>
            <w:shd w:val="clear" w:color="auto" w:fill="CCEEFF"/>
            <w:tcMar>
              <w:top w:w="40" w:type="dxa"/>
              <w:left w:w="0" w:type="dxa"/>
              <w:bottom w:w="40" w:type="dxa"/>
              <w:right w:w="20" w:type="dxa"/>
            </w:tcMar>
            <w:vAlign w:val="bottom"/>
          </w:tcPr>
          <w:p w14:paraId="518B642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2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427" w14:textId="77777777" w:rsidR="005C332D" w:rsidRDefault="00B93EAE">
            <w:pPr>
              <w:jc w:val="right"/>
              <w:textAlignment w:val="bottom"/>
            </w:pPr>
            <w:r>
              <w:rPr>
                <w:rFonts w:ascii="Times New Roman" w:eastAsia="宋体" w:hAnsi="Times New Roman"/>
                <w:b/>
                <w:bCs/>
                <w:color w:val="000000"/>
                <w:sz w:val="20"/>
                <w:szCs w:val="20"/>
              </w:rPr>
              <w:t>(25)</w:t>
            </w:r>
          </w:p>
        </w:tc>
        <w:tc>
          <w:tcPr>
            <w:tcW w:w="0" w:type="auto"/>
            <w:shd w:val="clear" w:color="auto" w:fill="CCEEFF"/>
            <w:tcMar>
              <w:top w:w="40" w:type="dxa"/>
              <w:left w:w="0" w:type="dxa"/>
              <w:bottom w:w="40" w:type="dxa"/>
              <w:right w:w="20" w:type="dxa"/>
            </w:tcMar>
            <w:vAlign w:val="bottom"/>
          </w:tcPr>
          <w:p w14:paraId="518B6428" w14:textId="77777777" w:rsidR="005C332D" w:rsidRDefault="005C332D">
            <w:pPr>
              <w:jc w:val="right"/>
              <w:rPr>
                <w:rFonts w:ascii="宋体"/>
              </w:rPr>
            </w:pPr>
          </w:p>
        </w:tc>
      </w:tr>
      <w:tr w:rsidR="005C332D" w14:paraId="518B643A" w14:textId="77777777">
        <w:trPr>
          <w:jc w:val="center"/>
        </w:trPr>
        <w:tc>
          <w:tcPr>
            <w:tcW w:w="0" w:type="auto"/>
            <w:gridSpan w:val="3"/>
            <w:shd w:val="clear" w:color="auto" w:fill="FFFFFF"/>
            <w:tcMar>
              <w:top w:w="40" w:type="dxa"/>
              <w:left w:w="155" w:type="dxa"/>
              <w:bottom w:w="40" w:type="dxa"/>
              <w:right w:w="20" w:type="dxa"/>
            </w:tcMar>
            <w:vAlign w:val="bottom"/>
          </w:tcPr>
          <w:p w14:paraId="518B642A" w14:textId="77777777" w:rsidR="005C332D" w:rsidRDefault="00B93EAE">
            <w:pPr>
              <w:textAlignment w:val="bottom"/>
            </w:pPr>
            <w:r>
              <w:rPr>
                <w:rFonts w:ascii="Times New Roman" w:eastAsia="宋体" w:hAnsi="Times New Roman"/>
                <w:b/>
                <w:bCs/>
                <w:color w:val="000000"/>
                <w:sz w:val="20"/>
                <w:szCs w:val="20"/>
              </w:rPr>
              <w:t>Non-cash items</w:t>
            </w:r>
          </w:p>
        </w:tc>
        <w:tc>
          <w:tcPr>
            <w:tcW w:w="0" w:type="auto"/>
            <w:gridSpan w:val="3"/>
            <w:shd w:val="clear" w:color="auto" w:fill="FFFFFF"/>
            <w:tcMar>
              <w:top w:w="0" w:type="dxa"/>
              <w:left w:w="20" w:type="dxa"/>
              <w:bottom w:w="0" w:type="dxa"/>
              <w:right w:w="20" w:type="dxa"/>
            </w:tcMar>
            <w:vAlign w:val="bottom"/>
          </w:tcPr>
          <w:p w14:paraId="518B642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2C"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2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2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2F"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3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3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32"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3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3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35" w14:textId="77777777" w:rsidR="005C332D" w:rsidRDefault="00B93EAE">
            <w:pPr>
              <w:jc w:val="right"/>
              <w:textAlignment w:val="bottom"/>
            </w:pPr>
            <w:r>
              <w:rPr>
                <w:rFonts w:ascii="Times New Roman" w:eastAsia="宋体" w:hAnsi="Times New Roman"/>
                <w:b/>
                <w:bCs/>
                <w:color w:val="000000"/>
                <w:sz w:val="20"/>
                <w:szCs w:val="20"/>
              </w:rPr>
              <w:t>(6)</w:t>
            </w:r>
          </w:p>
        </w:tc>
        <w:tc>
          <w:tcPr>
            <w:tcW w:w="0" w:type="auto"/>
            <w:shd w:val="clear" w:color="auto" w:fill="FFFFFF"/>
            <w:tcMar>
              <w:top w:w="40" w:type="dxa"/>
              <w:left w:w="0" w:type="dxa"/>
              <w:bottom w:w="40" w:type="dxa"/>
              <w:right w:w="20" w:type="dxa"/>
            </w:tcMar>
            <w:vAlign w:val="bottom"/>
          </w:tcPr>
          <w:p w14:paraId="518B643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3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38" w14:textId="77777777" w:rsidR="005C332D" w:rsidRDefault="00B93EAE">
            <w:pPr>
              <w:jc w:val="right"/>
              <w:textAlignment w:val="bottom"/>
            </w:pPr>
            <w:r>
              <w:rPr>
                <w:rFonts w:ascii="Times New Roman" w:eastAsia="宋体" w:hAnsi="Times New Roman"/>
                <w:b/>
                <w:bCs/>
                <w:color w:val="000000"/>
                <w:sz w:val="20"/>
                <w:szCs w:val="20"/>
              </w:rPr>
              <w:t>(6)</w:t>
            </w:r>
          </w:p>
        </w:tc>
        <w:tc>
          <w:tcPr>
            <w:tcW w:w="0" w:type="auto"/>
            <w:shd w:val="clear" w:color="auto" w:fill="FFFFFF"/>
            <w:tcMar>
              <w:top w:w="40" w:type="dxa"/>
              <w:left w:w="0" w:type="dxa"/>
              <w:bottom w:w="40" w:type="dxa"/>
              <w:right w:w="20" w:type="dxa"/>
            </w:tcMar>
            <w:vAlign w:val="bottom"/>
          </w:tcPr>
          <w:p w14:paraId="518B6439" w14:textId="77777777" w:rsidR="005C332D" w:rsidRDefault="005C332D">
            <w:pPr>
              <w:jc w:val="right"/>
              <w:rPr>
                <w:rFonts w:ascii="宋体"/>
              </w:rPr>
            </w:pPr>
          </w:p>
        </w:tc>
      </w:tr>
      <w:tr w:rsidR="005C332D" w14:paraId="518B6450" w14:textId="77777777">
        <w:trPr>
          <w:jc w:val="center"/>
        </w:trPr>
        <w:tc>
          <w:tcPr>
            <w:tcW w:w="0" w:type="auto"/>
            <w:gridSpan w:val="3"/>
            <w:shd w:val="clear" w:color="auto" w:fill="CCEEFF"/>
            <w:tcMar>
              <w:top w:w="40" w:type="dxa"/>
              <w:left w:w="20" w:type="dxa"/>
              <w:bottom w:w="40" w:type="dxa"/>
              <w:right w:w="20" w:type="dxa"/>
            </w:tcMar>
            <w:vAlign w:val="bottom"/>
          </w:tcPr>
          <w:p w14:paraId="518B643B" w14:textId="77777777" w:rsidR="005C332D" w:rsidRDefault="00B93EAE">
            <w:pPr>
              <w:textAlignment w:val="bottom"/>
            </w:pPr>
            <w:r>
              <w:rPr>
                <w:rFonts w:ascii="Times New Roman" w:eastAsia="宋体" w:hAnsi="Times New Roman"/>
                <w:b/>
                <w:bCs/>
                <w:color w:val="000000"/>
                <w:sz w:val="20"/>
                <w:szCs w:val="20"/>
              </w:rPr>
              <w:t>Liability as of July 30, 2022</w:t>
            </w:r>
          </w:p>
        </w:tc>
        <w:tc>
          <w:tcPr>
            <w:tcW w:w="0" w:type="auto"/>
            <w:gridSpan w:val="3"/>
            <w:shd w:val="clear" w:color="auto" w:fill="CCEEFF"/>
            <w:tcMar>
              <w:top w:w="0" w:type="dxa"/>
              <w:left w:w="20" w:type="dxa"/>
              <w:bottom w:w="0" w:type="dxa"/>
              <w:right w:w="20" w:type="dxa"/>
            </w:tcMar>
            <w:vAlign w:val="bottom"/>
          </w:tcPr>
          <w:p w14:paraId="518B643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43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43E"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43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40"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44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442" w14:textId="77777777" w:rsidR="005C332D" w:rsidRDefault="00B93EAE">
            <w:pPr>
              <w:jc w:val="right"/>
              <w:textAlignment w:val="bottom"/>
            </w:pPr>
            <w:r>
              <w:rPr>
                <w:rFonts w:ascii="Times New Roman" w:eastAsia="宋体" w:hAnsi="Times New Roman"/>
                <w:b/>
                <w:bCs/>
                <w:color w:val="000000"/>
                <w:sz w:val="20"/>
                <w:szCs w:val="20"/>
              </w:rPr>
              <w:t>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44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44"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44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446" w14:textId="77777777" w:rsidR="005C332D" w:rsidRDefault="00B93EAE">
            <w:pPr>
              <w:jc w:val="right"/>
              <w:textAlignment w:val="bottom"/>
            </w:pPr>
            <w:r>
              <w:rPr>
                <w:rFonts w:ascii="Times New Roman" w:eastAsia="宋体" w:hAnsi="Times New Roman"/>
                <w:b/>
                <w:bCs/>
                <w:color w:val="000000"/>
                <w:sz w:val="20"/>
                <w:szCs w:val="20"/>
              </w:rPr>
              <w:t>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44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48"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44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44A" w14:textId="77777777" w:rsidR="005C332D" w:rsidRDefault="00B93EAE">
            <w:pPr>
              <w:jc w:val="right"/>
              <w:textAlignment w:val="bottom"/>
            </w:pPr>
            <w:r>
              <w:rPr>
                <w:rFonts w:ascii="Times New Roman" w:eastAsia="宋体" w:hAnsi="Times New Roman"/>
                <w:b/>
                <w:bCs/>
                <w:color w:val="000000"/>
                <w:sz w:val="20"/>
                <w:szCs w:val="20"/>
              </w:rPr>
              <w:t>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44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4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44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44E" w14:textId="77777777" w:rsidR="005C332D" w:rsidRDefault="00B93EAE">
            <w:pPr>
              <w:jc w:val="right"/>
              <w:textAlignment w:val="bottom"/>
            </w:pPr>
            <w:r>
              <w:rPr>
                <w:rFonts w:ascii="Times New Roman" w:eastAsia="宋体" w:hAnsi="Times New Roman"/>
                <w:b/>
                <w:bCs/>
                <w:color w:val="000000"/>
                <w:sz w:val="20"/>
                <w:szCs w:val="20"/>
              </w:rPr>
              <w:t>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44F" w14:textId="77777777" w:rsidR="005C332D" w:rsidRDefault="005C332D">
            <w:pPr>
              <w:jc w:val="right"/>
              <w:rPr>
                <w:rFonts w:ascii="宋体"/>
              </w:rPr>
            </w:pPr>
          </w:p>
        </w:tc>
      </w:tr>
    </w:tbl>
    <w:p w14:paraId="518B6451" w14:textId="77777777" w:rsidR="005C332D" w:rsidRDefault="005C332D">
      <w:pPr>
        <w:jc w:val="center"/>
      </w:pPr>
    </w:p>
    <w:p w14:paraId="518B6452" w14:textId="77777777" w:rsidR="005C332D" w:rsidRDefault="00B93EAE">
      <w:pPr>
        <w:ind w:hanging="360"/>
      </w:pPr>
      <w:r>
        <w:rPr>
          <w:rFonts w:ascii="Times New Roman" w:eastAsia="宋体" w:hAnsi="Times New Roman"/>
          <w:b/>
          <w:bCs/>
          <w:color w:val="000000"/>
          <w:sz w:val="20"/>
          <w:szCs w:val="20"/>
        </w:rPr>
        <w:t xml:space="preserve">7.Balance Sheet and Other Details </w:t>
      </w:r>
    </w:p>
    <w:p w14:paraId="518B6453" w14:textId="77777777" w:rsidR="005C332D" w:rsidRDefault="00B93EAE">
      <w:pPr>
        <w:spacing w:before="120"/>
      </w:pPr>
      <w:r>
        <w:rPr>
          <w:rFonts w:ascii="Times New Roman" w:eastAsia="宋体" w:hAnsi="Times New Roman"/>
          <w:color w:val="000000"/>
          <w:sz w:val="20"/>
          <w:szCs w:val="20"/>
        </w:rPr>
        <w:t>The following tables provide details of selected balance sheet and other items (in millions):</w:t>
      </w:r>
    </w:p>
    <w:p w14:paraId="518B6454" w14:textId="77777777" w:rsidR="005C332D" w:rsidRDefault="00B93EAE">
      <w:pPr>
        <w:spacing w:before="120"/>
      </w:pPr>
      <w:r>
        <w:rPr>
          <w:rFonts w:ascii="Times New Roman" w:eastAsia="宋体" w:hAnsi="Times New Roman"/>
          <w:i/>
          <w:iCs/>
          <w:color w:val="000000"/>
          <w:sz w:val="20"/>
          <w:szCs w:val="20"/>
        </w:rPr>
        <w:t>Cash, Cash Equivalents, Restricted Cash and Restricted Cash Equivalents</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5581"/>
        <w:gridCol w:w="37"/>
        <w:gridCol w:w="36"/>
        <w:gridCol w:w="36"/>
        <w:gridCol w:w="36"/>
        <w:gridCol w:w="120"/>
        <w:gridCol w:w="1044"/>
        <w:gridCol w:w="36"/>
        <w:gridCol w:w="36"/>
        <w:gridCol w:w="36"/>
        <w:gridCol w:w="36"/>
        <w:gridCol w:w="120"/>
        <w:gridCol w:w="1046"/>
        <w:gridCol w:w="36"/>
      </w:tblGrid>
      <w:tr w:rsidR="005C332D" w14:paraId="518B6464" w14:textId="77777777">
        <w:trPr>
          <w:jc w:val="center"/>
        </w:trPr>
        <w:tc>
          <w:tcPr>
            <w:tcW w:w="50" w:type="pct"/>
            <w:shd w:val="clear" w:color="auto" w:fill="auto"/>
            <w:vAlign w:val="bottom"/>
          </w:tcPr>
          <w:p w14:paraId="518B6455" w14:textId="77777777" w:rsidR="005C332D" w:rsidRDefault="005C332D">
            <w:pPr>
              <w:rPr>
                <w:rFonts w:ascii="宋体"/>
              </w:rPr>
            </w:pPr>
          </w:p>
        </w:tc>
        <w:tc>
          <w:tcPr>
            <w:tcW w:w="3398" w:type="pct"/>
            <w:shd w:val="clear" w:color="auto" w:fill="auto"/>
            <w:vAlign w:val="bottom"/>
          </w:tcPr>
          <w:p w14:paraId="518B6456" w14:textId="77777777" w:rsidR="005C332D" w:rsidRDefault="005C332D">
            <w:pPr>
              <w:rPr>
                <w:rFonts w:ascii="宋体"/>
              </w:rPr>
            </w:pPr>
          </w:p>
        </w:tc>
        <w:tc>
          <w:tcPr>
            <w:tcW w:w="5" w:type="pct"/>
            <w:shd w:val="clear" w:color="auto" w:fill="auto"/>
            <w:vAlign w:val="bottom"/>
          </w:tcPr>
          <w:p w14:paraId="518B6457" w14:textId="77777777" w:rsidR="005C332D" w:rsidRDefault="005C332D">
            <w:pPr>
              <w:rPr>
                <w:rFonts w:ascii="宋体"/>
              </w:rPr>
            </w:pPr>
          </w:p>
        </w:tc>
        <w:tc>
          <w:tcPr>
            <w:tcW w:w="5" w:type="pct"/>
            <w:shd w:val="clear" w:color="auto" w:fill="auto"/>
            <w:vAlign w:val="bottom"/>
          </w:tcPr>
          <w:p w14:paraId="518B6458" w14:textId="77777777" w:rsidR="005C332D" w:rsidRDefault="005C332D">
            <w:pPr>
              <w:rPr>
                <w:rFonts w:ascii="宋体"/>
              </w:rPr>
            </w:pPr>
          </w:p>
        </w:tc>
        <w:tc>
          <w:tcPr>
            <w:tcW w:w="26" w:type="pct"/>
            <w:shd w:val="clear" w:color="auto" w:fill="auto"/>
            <w:vAlign w:val="bottom"/>
          </w:tcPr>
          <w:p w14:paraId="518B6459" w14:textId="77777777" w:rsidR="005C332D" w:rsidRDefault="005C332D">
            <w:pPr>
              <w:rPr>
                <w:rFonts w:ascii="宋体"/>
              </w:rPr>
            </w:pPr>
          </w:p>
        </w:tc>
        <w:tc>
          <w:tcPr>
            <w:tcW w:w="5" w:type="pct"/>
            <w:shd w:val="clear" w:color="auto" w:fill="auto"/>
            <w:vAlign w:val="bottom"/>
          </w:tcPr>
          <w:p w14:paraId="518B645A" w14:textId="77777777" w:rsidR="005C332D" w:rsidRDefault="005C332D">
            <w:pPr>
              <w:rPr>
                <w:rFonts w:ascii="宋体"/>
              </w:rPr>
            </w:pPr>
          </w:p>
        </w:tc>
        <w:tc>
          <w:tcPr>
            <w:tcW w:w="50" w:type="pct"/>
            <w:shd w:val="clear" w:color="auto" w:fill="auto"/>
            <w:vAlign w:val="bottom"/>
          </w:tcPr>
          <w:p w14:paraId="518B645B" w14:textId="77777777" w:rsidR="005C332D" w:rsidRDefault="005C332D">
            <w:pPr>
              <w:rPr>
                <w:rFonts w:ascii="宋体"/>
              </w:rPr>
            </w:pPr>
          </w:p>
        </w:tc>
        <w:tc>
          <w:tcPr>
            <w:tcW w:w="681" w:type="pct"/>
            <w:shd w:val="clear" w:color="auto" w:fill="auto"/>
            <w:vAlign w:val="bottom"/>
          </w:tcPr>
          <w:p w14:paraId="518B645C" w14:textId="77777777" w:rsidR="005C332D" w:rsidRDefault="005C332D">
            <w:pPr>
              <w:rPr>
                <w:rFonts w:ascii="宋体"/>
              </w:rPr>
            </w:pPr>
          </w:p>
        </w:tc>
        <w:tc>
          <w:tcPr>
            <w:tcW w:w="5" w:type="pct"/>
            <w:shd w:val="clear" w:color="auto" w:fill="auto"/>
            <w:vAlign w:val="bottom"/>
          </w:tcPr>
          <w:p w14:paraId="518B645D" w14:textId="77777777" w:rsidR="005C332D" w:rsidRDefault="005C332D">
            <w:pPr>
              <w:rPr>
                <w:rFonts w:ascii="宋体"/>
              </w:rPr>
            </w:pPr>
          </w:p>
        </w:tc>
        <w:tc>
          <w:tcPr>
            <w:tcW w:w="5" w:type="pct"/>
            <w:shd w:val="clear" w:color="auto" w:fill="auto"/>
            <w:vAlign w:val="bottom"/>
          </w:tcPr>
          <w:p w14:paraId="518B645E" w14:textId="77777777" w:rsidR="005C332D" w:rsidRDefault="005C332D">
            <w:pPr>
              <w:rPr>
                <w:rFonts w:ascii="宋体"/>
              </w:rPr>
            </w:pPr>
          </w:p>
        </w:tc>
        <w:tc>
          <w:tcPr>
            <w:tcW w:w="26" w:type="pct"/>
            <w:shd w:val="clear" w:color="auto" w:fill="auto"/>
            <w:vAlign w:val="bottom"/>
          </w:tcPr>
          <w:p w14:paraId="518B645F" w14:textId="77777777" w:rsidR="005C332D" w:rsidRDefault="005C332D">
            <w:pPr>
              <w:rPr>
                <w:rFonts w:ascii="宋体"/>
              </w:rPr>
            </w:pPr>
          </w:p>
        </w:tc>
        <w:tc>
          <w:tcPr>
            <w:tcW w:w="5" w:type="pct"/>
            <w:shd w:val="clear" w:color="auto" w:fill="auto"/>
            <w:vAlign w:val="bottom"/>
          </w:tcPr>
          <w:p w14:paraId="518B6460" w14:textId="77777777" w:rsidR="005C332D" w:rsidRDefault="005C332D">
            <w:pPr>
              <w:rPr>
                <w:rFonts w:ascii="宋体"/>
              </w:rPr>
            </w:pPr>
          </w:p>
        </w:tc>
        <w:tc>
          <w:tcPr>
            <w:tcW w:w="50" w:type="pct"/>
            <w:shd w:val="clear" w:color="auto" w:fill="auto"/>
            <w:vAlign w:val="bottom"/>
          </w:tcPr>
          <w:p w14:paraId="518B6461" w14:textId="77777777" w:rsidR="005C332D" w:rsidRDefault="005C332D">
            <w:pPr>
              <w:rPr>
                <w:rFonts w:ascii="宋体"/>
              </w:rPr>
            </w:pPr>
          </w:p>
        </w:tc>
        <w:tc>
          <w:tcPr>
            <w:tcW w:w="681" w:type="pct"/>
            <w:shd w:val="clear" w:color="auto" w:fill="auto"/>
            <w:vAlign w:val="bottom"/>
          </w:tcPr>
          <w:p w14:paraId="518B6462" w14:textId="77777777" w:rsidR="005C332D" w:rsidRDefault="005C332D">
            <w:pPr>
              <w:rPr>
                <w:rFonts w:ascii="宋体"/>
              </w:rPr>
            </w:pPr>
          </w:p>
        </w:tc>
        <w:tc>
          <w:tcPr>
            <w:tcW w:w="5" w:type="pct"/>
            <w:shd w:val="clear" w:color="auto" w:fill="auto"/>
            <w:vAlign w:val="bottom"/>
          </w:tcPr>
          <w:p w14:paraId="518B6463" w14:textId="77777777" w:rsidR="005C332D" w:rsidRDefault="005C332D">
            <w:pPr>
              <w:rPr>
                <w:rFonts w:ascii="宋体"/>
              </w:rPr>
            </w:pPr>
          </w:p>
        </w:tc>
      </w:tr>
      <w:tr w:rsidR="005C332D" w14:paraId="518B646A" w14:textId="77777777">
        <w:trPr>
          <w:jc w:val="center"/>
        </w:trPr>
        <w:tc>
          <w:tcPr>
            <w:tcW w:w="0" w:type="auto"/>
            <w:gridSpan w:val="3"/>
            <w:shd w:val="clear" w:color="auto" w:fill="auto"/>
            <w:tcMar>
              <w:top w:w="0" w:type="dxa"/>
              <w:left w:w="20" w:type="dxa"/>
              <w:bottom w:w="0" w:type="dxa"/>
              <w:right w:w="20" w:type="dxa"/>
            </w:tcMar>
            <w:vAlign w:val="bottom"/>
          </w:tcPr>
          <w:p w14:paraId="518B6465"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46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467"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46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469"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6474" w14:textId="77777777">
        <w:trPr>
          <w:jc w:val="center"/>
        </w:trPr>
        <w:tc>
          <w:tcPr>
            <w:tcW w:w="0" w:type="auto"/>
            <w:gridSpan w:val="3"/>
            <w:shd w:val="clear" w:color="auto" w:fill="CCEEFF"/>
            <w:tcMar>
              <w:top w:w="40" w:type="dxa"/>
              <w:left w:w="20" w:type="dxa"/>
              <w:bottom w:w="40" w:type="dxa"/>
              <w:right w:w="20" w:type="dxa"/>
            </w:tcMar>
          </w:tcPr>
          <w:p w14:paraId="518B646B" w14:textId="77777777" w:rsidR="005C332D" w:rsidRDefault="00B93EAE">
            <w:pPr>
              <w:textAlignment w:val="top"/>
            </w:pPr>
            <w:r>
              <w:rPr>
                <w:rFonts w:ascii="Times New Roman" w:eastAsia="宋体" w:hAnsi="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bottom"/>
          </w:tcPr>
          <w:p w14:paraId="518B646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46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46E" w14:textId="77777777" w:rsidR="005C332D" w:rsidRDefault="00B93EAE">
            <w:pPr>
              <w:jc w:val="right"/>
              <w:textAlignment w:val="bottom"/>
            </w:pPr>
            <w:r>
              <w:rPr>
                <w:rFonts w:ascii="Times New Roman" w:eastAsia="宋体" w:hAnsi="Times New Roman"/>
                <w:b/>
                <w:bCs/>
                <w:color w:val="000000"/>
                <w:sz w:val="20"/>
                <w:szCs w:val="20"/>
              </w:rPr>
              <w:t>7,079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46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70"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47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472" w14:textId="77777777" w:rsidR="005C332D" w:rsidRDefault="00B93EAE">
            <w:pPr>
              <w:jc w:val="right"/>
              <w:textAlignment w:val="bottom"/>
            </w:pPr>
            <w:r>
              <w:rPr>
                <w:rFonts w:ascii="Times New Roman" w:eastAsia="宋体" w:hAnsi="Times New Roman"/>
                <w:color w:val="000000"/>
                <w:sz w:val="20"/>
                <w:szCs w:val="20"/>
              </w:rPr>
              <w:t>9,175 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473" w14:textId="77777777" w:rsidR="005C332D" w:rsidRDefault="005C332D">
            <w:pPr>
              <w:jc w:val="right"/>
              <w:rPr>
                <w:rFonts w:ascii="宋体"/>
              </w:rPr>
            </w:pPr>
          </w:p>
        </w:tc>
      </w:tr>
      <w:tr w:rsidR="005C332D" w14:paraId="518B647C" w14:textId="77777777">
        <w:trPr>
          <w:jc w:val="center"/>
        </w:trPr>
        <w:tc>
          <w:tcPr>
            <w:tcW w:w="0" w:type="auto"/>
            <w:gridSpan w:val="3"/>
            <w:shd w:val="clear" w:color="auto" w:fill="FFFFFF"/>
            <w:tcMar>
              <w:top w:w="40" w:type="dxa"/>
              <w:left w:w="20" w:type="dxa"/>
              <w:bottom w:w="40" w:type="dxa"/>
              <w:right w:w="20" w:type="dxa"/>
            </w:tcMar>
          </w:tcPr>
          <w:p w14:paraId="518B6475" w14:textId="77777777" w:rsidR="005C332D" w:rsidRDefault="00B93EAE">
            <w:pPr>
              <w:textAlignment w:val="top"/>
            </w:pPr>
            <w:r>
              <w:rPr>
                <w:rFonts w:ascii="Times New Roman" w:eastAsia="宋体" w:hAnsi="Times New Roman"/>
                <w:color w:val="000000"/>
                <w:sz w:val="20"/>
                <w:szCs w:val="20"/>
              </w:rPr>
              <w:t>Restricted cash and restricted cash equivalents included in other current assets</w:t>
            </w:r>
          </w:p>
        </w:tc>
        <w:tc>
          <w:tcPr>
            <w:tcW w:w="0" w:type="auto"/>
            <w:gridSpan w:val="3"/>
            <w:shd w:val="clear" w:color="auto" w:fill="FFFFFF"/>
            <w:tcMar>
              <w:top w:w="0" w:type="dxa"/>
              <w:left w:w="20" w:type="dxa"/>
              <w:bottom w:w="0" w:type="dxa"/>
              <w:right w:w="20" w:type="dxa"/>
            </w:tcMar>
            <w:vAlign w:val="bottom"/>
          </w:tcPr>
          <w:p w14:paraId="518B647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77"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7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7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7A" w14:textId="77777777" w:rsidR="005C332D" w:rsidRDefault="00B93EAE">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518B647B" w14:textId="77777777" w:rsidR="005C332D" w:rsidRDefault="005C332D">
            <w:pPr>
              <w:jc w:val="right"/>
              <w:rPr>
                <w:rFonts w:ascii="宋体"/>
              </w:rPr>
            </w:pPr>
          </w:p>
        </w:tc>
      </w:tr>
      <w:tr w:rsidR="005C332D" w14:paraId="518B6484" w14:textId="77777777">
        <w:trPr>
          <w:jc w:val="center"/>
        </w:trPr>
        <w:tc>
          <w:tcPr>
            <w:tcW w:w="0" w:type="auto"/>
            <w:gridSpan w:val="3"/>
            <w:shd w:val="clear" w:color="auto" w:fill="CCEEFF"/>
            <w:tcMar>
              <w:top w:w="40" w:type="dxa"/>
              <w:left w:w="20" w:type="dxa"/>
              <w:bottom w:w="40" w:type="dxa"/>
              <w:right w:w="20" w:type="dxa"/>
            </w:tcMar>
          </w:tcPr>
          <w:p w14:paraId="518B647D" w14:textId="77777777" w:rsidR="005C332D" w:rsidRDefault="00B93EAE">
            <w:pPr>
              <w:textAlignment w:val="top"/>
            </w:pPr>
            <w:r>
              <w:rPr>
                <w:rFonts w:ascii="Times New Roman" w:eastAsia="宋体" w:hAnsi="Times New Roman"/>
                <w:color w:val="000000"/>
                <w:sz w:val="20"/>
                <w:szCs w:val="20"/>
              </w:rPr>
              <w:t>Restricted cash and restricted cash equivalents included in other assets</w:t>
            </w:r>
          </w:p>
        </w:tc>
        <w:tc>
          <w:tcPr>
            <w:tcW w:w="0" w:type="auto"/>
            <w:gridSpan w:val="3"/>
            <w:shd w:val="clear" w:color="auto" w:fill="CCEEFF"/>
            <w:tcMar>
              <w:top w:w="0" w:type="dxa"/>
              <w:left w:w="20" w:type="dxa"/>
              <w:bottom w:w="0" w:type="dxa"/>
              <w:right w:w="20" w:type="dxa"/>
            </w:tcMar>
            <w:vAlign w:val="bottom"/>
          </w:tcPr>
          <w:p w14:paraId="518B647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47F" w14:textId="77777777" w:rsidR="005C332D" w:rsidRDefault="00B93EAE">
            <w:pPr>
              <w:jc w:val="right"/>
              <w:textAlignment w:val="bottom"/>
            </w:pPr>
            <w:r>
              <w:rPr>
                <w:rFonts w:ascii="Times New Roman" w:eastAsia="宋体" w:hAnsi="Times New Roman"/>
                <w:b/>
                <w:bCs/>
                <w:color w:val="000000"/>
                <w:sz w:val="20"/>
                <w:szCs w:val="20"/>
              </w:rPr>
              <w:t>1,500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48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8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482" w14:textId="77777777" w:rsidR="005C332D" w:rsidRDefault="00B93EAE">
            <w:pPr>
              <w:jc w:val="right"/>
              <w:textAlignment w:val="bottom"/>
            </w:pPr>
            <w:r>
              <w:rPr>
                <w:rFonts w:ascii="Times New Roman" w:eastAsia="宋体" w:hAnsi="Times New Roman"/>
                <w:color w:val="000000"/>
                <w:sz w:val="20"/>
                <w:szCs w:val="20"/>
              </w:rPr>
              <w:t>753 </w:t>
            </w:r>
          </w:p>
        </w:tc>
        <w:tc>
          <w:tcPr>
            <w:tcW w:w="0" w:type="auto"/>
            <w:shd w:val="clear" w:color="auto" w:fill="CCEEFF"/>
            <w:tcMar>
              <w:top w:w="40" w:type="dxa"/>
              <w:left w:w="0" w:type="dxa"/>
              <w:bottom w:w="40" w:type="dxa"/>
              <w:right w:w="20" w:type="dxa"/>
            </w:tcMar>
            <w:vAlign w:val="bottom"/>
          </w:tcPr>
          <w:p w14:paraId="518B6483" w14:textId="77777777" w:rsidR="005C332D" w:rsidRDefault="005C332D">
            <w:pPr>
              <w:jc w:val="right"/>
              <w:rPr>
                <w:rFonts w:ascii="宋体"/>
              </w:rPr>
            </w:pPr>
          </w:p>
        </w:tc>
      </w:tr>
      <w:tr w:rsidR="005C332D" w14:paraId="518B648E" w14:textId="77777777">
        <w:trPr>
          <w:jc w:val="center"/>
        </w:trPr>
        <w:tc>
          <w:tcPr>
            <w:tcW w:w="0" w:type="auto"/>
            <w:gridSpan w:val="3"/>
            <w:shd w:val="clear" w:color="auto" w:fill="FFFFFF"/>
            <w:tcMar>
              <w:top w:w="40" w:type="dxa"/>
              <w:left w:w="1235" w:type="dxa"/>
              <w:bottom w:w="40" w:type="dxa"/>
              <w:right w:w="20" w:type="dxa"/>
            </w:tcMar>
          </w:tcPr>
          <w:p w14:paraId="518B6485"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518B6486"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48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488" w14:textId="77777777" w:rsidR="005C332D" w:rsidRDefault="00B93EAE">
            <w:pPr>
              <w:jc w:val="right"/>
              <w:textAlignment w:val="bottom"/>
            </w:pPr>
            <w:r>
              <w:rPr>
                <w:rFonts w:ascii="Times New Roman" w:eastAsia="宋体" w:hAnsi="Times New Roman"/>
                <w:b/>
                <w:bCs/>
                <w:color w:val="000000"/>
                <w:sz w:val="20"/>
                <w:szCs w:val="20"/>
              </w:rPr>
              <w:t>8,579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48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8A"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48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48C" w14:textId="77777777" w:rsidR="005C332D" w:rsidRDefault="00B93EAE">
            <w:pPr>
              <w:jc w:val="right"/>
              <w:textAlignment w:val="bottom"/>
            </w:pPr>
            <w:r>
              <w:rPr>
                <w:rFonts w:ascii="Times New Roman" w:eastAsia="宋体" w:hAnsi="Times New Roman"/>
                <w:color w:val="000000"/>
                <w:sz w:val="20"/>
                <w:szCs w:val="20"/>
              </w:rPr>
              <w:t>9,942 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48D" w14:textId="77777777" w:rsidR="005C332D" w:rsidRDefault="005C332D">
            <w:pPr>
              <w:jc w:val="right"/>
              <w:rPr>
                <w:rFonts w:ascii="宋体"/>
              </w:rPr>
            </w:pPr>
          </w:p>
        </w:tc>
      </w:tr>
    </w:tbl>
    <w:p w14:paraId="518B648F" w14:textId="77777777" w:rsidR="005C332D" w:rsidRDefault="00B93EAE">
      <w:pPr>
        <w:spacing w:before="160"/>
        <w:jc w:val="both"/>
      </w:pPr>
      <w:r>
        <w:rPr>
          <w:rFonts w:ascii="Times New Roman" w:eastAsia="宋体" w:hAnsi="Times New Roman"/>
          <w:color w:val="000000"/>
          <w:sz w:val="20"/>
          <w:szCs w:val="20"/>
        </w:rPr>
        <w:t>Our restricted cash equivalents are funds primarily related to contractual obligations with suppliers.</w:t>
      </w:r>
    </w:p>
    <w:p w14:paraId="518B6490" w14:textId="77777777" w:rsidR="005C332D" w:rsidRDefault="00B93EAE">
      <w:pPr>
        <w:spacing w:before="120"/>
      </w:pPr>
      <w:r>
        <w:rPr>
          <w:rFonts w:ascii="Times New Roman" w:eastAsia="宋体" w:hAnsi="Times New Roman"/>
          <w:i/>
          <w:iCs/>
          <w:color w:val="000000"/>
          <w:sz w:val="20"/>
          <w:szCs w:val="20"/>
        </w:rPr>
        <w:t>Inventories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8"/>
        <w:gridCol w:w="36"/>
        <w:gridCol w:w="36"/>
        <w:gridCol w:w="36"/>
        <w:gridCol w:w="120"/>
        <w:gridCol w:w="1045"/>
        <w:gridCol w:w="36"/>
        <w:gridCol w:w="36"/>
        <w:gridCol w:w="36"/>
        <w:gridCol w:w="36"/>
        <w:gridCol w:w="120"/>
        <w:gridCol w:w="1046"/>
        <w:gridCol w:w="36"/>
      </w:tblGrid>
      <w:tr w:rsidR="005C332D" w14:paraId="518B64A0" w14:textId="77777777">
        <w:trPr>
          <w:jc w:val="center"/>
        </w:trPr>
        <w:tc>
          <w:tcPr>
            <w:tcW w:w="50" w:type="pct"/>
            <w:shd w:val="clear" w:color="auto" w:fill="auto"/>
            <w:vAlign w:val="bottom"/>
          </w:tcPr>
          <w:p w14:paraId="518B6491" w14:textId="77777777" w:rsidR="005C332D" w:rsidRDefault="005C332D">
            <w:pPr>
              <w:rPr>
                <w:rFonts w:ascii="宋体"/>
              </w:rPr>
            </w:pPr>
          </w:p>
        </w:tc>
        <w:tc>
          <w:tcPr>
            <w:tcW w:w="3405" w:type="pct"/>
            <w:shd w:val="clear" w:color="auto" w:fill="auto"/>
            <w:vAlign w:val="bottom"/>
          </w:tcPr>
          <w:p w14:paraId="518B6492" w14:textId="77777777" w:rsidR="005C332D" w:rsidRDefault="005C332D">
            <w:pPr>
              <w:rPr>
                <w:rFonts w:ascii="宋体"/>
              </w:rPr>
            </w:pPr>
          </w:p>
        </w:tc>
        <w:tc>
          <w:tcPr>
            <w:tcW w:w="5" w:type="pct"/>
            <w:shd w:val="clear" w:color="auto" w:fill="auto"/>
            <w:vAlign w:val="bottom"/>
          </w:tcPr>
          <w:p w14:paraId="518B6493" w14:textId="77777777" w:rsidR="005C332D" w:rsidRDefault="005C332D">
            <w:pPr>
              <w:rPr>
                <w:rFonts w:ascii="宋体"/>
              </w:rPr>
            </w:pPr>
          </w:p>
        </w:tc>
        <w:tc>
          <w:tcPr>
            <w:tcW w:w="5" w:type="pct"/>
            <w:shd w:val="clear" w:color="auto" w:fill="auto"/>
            <w:vAlign w:val="bottom"/>
          </w:tcPr>
          <w:p w14:paraId="518B6494" w14:textId="77777777" w:rsidR="005C332D" w:rsidRDefault="005C332D">
            <w:pPr>
              <w:rPr>
                <w:rFonts w:ascii="宋体"/>
              </w:rPr>
            </w:pPr>
          </w:p>
        </w:tc>
        <w:tc>
          <w:tcPr>
            <w:tcW w:w="26" w:type="pct"/>
            <w:shd w:val="clear" w:color="auto" w:fill="auto"/>
            <w:vAlign w:val="bottom"/>
          </w:tcPr>
          <w:p w14:paraId="518B6495" w14:textId="77777777" w:rsidR="005C332D" w:rsidRDefault="005C332D">
            <w:pPr>
              <w:rPr>
                <w:rFonts w:ascii="宋体"/>
              </w:rPr>
            </w:pPr>
          </w:p>
        </w:tc>
        <w:tc>
          <w:tcPr>
            <w:tcW w:w="5" w:type="pct"/>
            <w:shd w:val="clear" w:color="auto" w:fill="auto"/>
            <w:vAlign w:val="bottom"/>
          </w:tcPr>
          <w:p w14:paraId="518B6496" w14:textId="77777777" w:rsidR="005C332D" w:rsidRDefault="005C332D">
            <w:pPr>
              <w:rPr>
                <w:rFonts w:ascii="宋体"/>
              </w:rPr>
            </w:pPr>
          </w:p>
        </w:tc>
        <w:tc>
          <w:tcPr>
            <w:tcW w:w="50" w:type="pct"/>
            <w:shd w:val="clear" w:color="auto" w:fill="auto"/>
            <w:vAlign w:val="bottom"/>
          </w:tcPr>
          <w:p w14:paraId="518B6497" w14:textId="77777777" w:rsidR="005C332D" w:rsidRDefault="005C332D">
            <w:pPr>
              <w:rPr>
                <w:rFonts w:ascii="宋体"/>
              </w:rPr>
            </w:pPr>
          </w:p>
        </w:tc>
        <w:tc>
          <w:tcPr>
            <w:tcW w:w="678" w:type="pct"/>
            <w:shd w:val="clear" w:color="auto" w:fill="auto"/>
            <w:vAlign w:val="bottom"/>
          </w:tcPr>
          <w:p w14:paraId="518B6498" w14:textId="77777777" w:rsidR="005C332D" w:rsidRDefault="005C332D">
            <w:pPr>
              <w:rPr>
                <w:rFonts w:ascii="宋体"/>
              </w:rPr>
            </w:pPr>
          </w:p>
        </w:tc>
        <w:tc>
          <w:tcPr>
            <w:tcW w:w="5" w:type="pct"/>
            <w:shd w:val="clear" w:color="auto" w:fill="auto"/>
            <w:vAlign w:val="bottom"/>
          </w:tcPr>
          <w:p w14:paraId="518B6499" w14:textId="77777777" w:rsidR="005C332D" w:rsidRDefault="005C332D">
            <w:pPr>
              <w:rPr>
                <w:rFonts w:ascii="宋体"/>
              </w:rPr>
            </w:pPr>
          </w:p>
        </w:tc>
        <w:tc>
          <w:tcPr>
            <w:tcW w:w="5" w:type="pct"/>
            <w:shd w:val="clear" w:color="auto" w:fill="auto"/>
            <w:vAlign w:val="bottom"/>
          </w:tcPr>
          <w:p w14:paraId="518B649A" w14:textId="77777777" w:rsidR="005C332D" w:rsidRDefault="005C332D">
            <w:pPr>
              <w:rPr>
                <w:rFonts w:ascii="宋体"/>
              </w:rPr>
            </w:pPr>
          </w:p>
        </w:tc>
        <w:tc>
          <w:tcPr>
            <w:tcW w:w="26" w:type="pct"/>
            <w:shd w:val="clear" w:color="auto" w:fill="auto"/>
            <w:vAlign w:val="bottom"/>
          </w:tcPr>
          <w:p w14:paraId="518B649B" w14:textId="77777777" w:rsidR="005C332D" w:rsidRDefault="005C332D">
            <w:pPr>
              <w:rPr>
                <w:rFonts w:ascii="宋体"/>
              </w:rPr>
            </w:pPr>
          </w:p>
        </w:tc>
        <w:tc>
          <w:tcPr>
            <w:tcW w:w="5" w:type="pct"/>
            <w:shd w:val="clear" w:color="auto" w:fill="auto"/>
            <w:vAlign w:val="bottom"/>
          </w:tcPr>
          <w:p w14:paraId="518B649C" w14:textId="77777777" w:rsidR="005C332D" w:rsidRDefault="005C332D">
            <w:pPr>
              <w:rPr>
                <w:rFonts w:ascii="宋体"/>
              </w:rPr>
            </w:pPr>
          </w:p>
        </w:tc>
        <w:tc>
          <w:tcPr>
            <w:tcW w:w="50" w:type="pct"/>
            <w:shd w:val="clear" w:color="auto" w:fill="auto"/>
            <w:vAlign w:val="bottom"/>
          </w:tcPr>
          <w:p w14:paraId="518B649D" w14:textId="77777777" w:rsidR="005C332D" w:rsidRDefault="005C332D">
            <w:pPr>
              <w:rPr>
                <w:rFonts w:ascii="宋体"/>
              </w:rPr>
            </w:pPr>
          </w:p>
        </w:tc>
        <w:tc>
          <w:tcPr>
            <w:tcW w:w="678" w:type="pct"/>
            <w:shd w:val="clear" w:color="auto" w:fill="auto"/>
            <w:vAlign w:val="bottom"/>
          </w:tcPr>
          <w:p w14:paraId="518B649E" w14:textId="77777777" w:rsidR="005C332D" w:rsidRDefault="005C332D">
            <w:pPr>
              <w:rPr>
                <w:rFonts w:ascii="宋体"/>
              </w:rPr>
            </w:pPr>
          </w:p>
        </w:tc>
        <w:tc>
          <w:tcPr>
            <w:tcW w:w="5" w:type="pct"/>
            <w:shd w:val="clear" w:color="auto" w:fill="auto"/>
            <w:vAlign w:val="bottom"/>
          </w:tcPr>
          <w:p w14:paraId="518B649F" w14:textId="77777777" w:rsidR="005C332D" w:rsidRDefault="005C332D">
            <w:pPr>
              <w:rPr>
                <w:rFonts w:ascii="宋体"/>
              </w:rPr>
            </w:pPr>
          </w:p>
        </w:tc>
      </w:tr>
      <w:tr w:rsidR="005C332D" w14:paraId="518B64A6" w14:textId="77777777">
        <w:trPr>
          <w:jc w:val="center"/>
        </w:trPr>
        <w:tc>
          <w:tcPr>
            <w:tcW w:w="0" w:type="auto"/>
            <w:gridSpan w:val="3"/>
            <w:shd w:val="clear" w:color="auto" w:fill="auto"/>
            <w:tcMar>
              <w:top w:w="0" w:type="dxa"/>
              <w:left w:w="20" w:type="dxa"/>
              <w:bottom w:w="0" w:type="dxa"/>
              <w:right w:w="20" w:type="dxa"/>
            </w:tcMar>
            <w:vAlign w:val="bottom"/>
          </w:tcPr>
          <w:p w14:paraId="518B64A1"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4A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4A3"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4A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4A5"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64B0" w14:textId="77777777">
        <w:trPr>
          <w:jc w:val="center"/>
        </w:trPr>
        <w:tc>
          <w:tcPr>
            <w:tcW w:w="0" w:type="auto"/>
            <w:gridSpan w:val="3"/>
            <w:shd w:val="clear" w:color="auto" w:fill="CCEEFF"/>
            <w:tcMar>
              <w:top w:w="40" w:type="dxa"/>
              <w:left w:w="380" w:type="dxa"/>
              <w:bottom w:w="40" w:type="dxa"/>
              <w:right w:w="20" w:type="dxa"/>
            </w:tcMar>
          </w:tcPr>
          <w:p w14:paraId="518B64A7" w14:textId="77777777" w:rsidR="005C332D" w:rsidRDefault="00B93EAE">
            <w:pPr>
              <w:textAlignment w:val="top"/>
            </w:pPr>
            <w:r>
              <w:rPr>
                <w:rFonts w:ascii="Times New Roman" w:eastAsia="宋体" w:hAnsi="Times New Roman"/>
                <w:color w:val="000000"/>
                <w:sz w:val="20"/>
                <w:szCs w:val="20"/>
              </w:rPr>
              <w:t>Raw materials</w:t>
            </w:r>
          </w:p>
        </w:tc>
        <w:tc>
          <w:tcPr>
            <w:tcW w:w="0" w:type="auto"/>
            <w:gridSpan w:val="3"/>
            <w:shd w:val="clear" w:color="auto" w:fill="CCEEFF"/>
            <w:tcMar>
              <w:top w:w="0" w:type="dxa"/>
              <w:left w:w="20" w:type="dxa"/>
              <w:bottom w:w="0" w:type="dxa"/>
              <w:right w:w="20" w:type="dxa"/>
            </w:tcMar>
            <w:vAlign w:val="bottom"/>
          </w:tcPr>
          <w:p w14:paraId="518B64A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4A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4AA" w14:textId="77777777" w:rsidR="005C332D" w:rsidRDefault="00B93EAE">
            <w:pPr>
              <w:jc w:val="right"/>
              <w:textAlignment w:val="bottom"/>
            </w:pPr>
            <w:r>
              <w:rPr>
                <w:rFonts w:ascii="Times New Roman" w:eastAsia="宋体" w:hAnsi="Times New Roman"/>
                <w:b/>
                <w:bCs/>
                <w:color w:val="000000"/>
                <w:sz w:val="20"/>
                <w:szCs w:val="20"/>
              </w:rPr>
              <w:t>1,601</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4A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A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4A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4AE" w14:textId="77777777" w:rsidR="005C332D" w:rsidRDefault="00B93EAE">
            <w:pPr>
              <w:jc w:val="right"/>
              <w:textAlignment w:val="bottom"/>
            </w:pPr>
            <w:r>
              <w:rPr>
                <w:rFonts w:ascii="Times New Roman" w:eastAsia="宋体" w:hAnsi="Times New Roman"/>
                <w:color w:val="000000"/>
                <w:sz w:val="20"/>
                <w:szCs w:val="20"/>
              </w:rPr>
              <w:t>801 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4AF" w14:textId="77777777" w:rsidR="005C332D" w:rsidRDefault="005C332D">
            <w:pPr>
              <w:jc w:val="right"/>
              <w:rPr>
                <w:rFonts w:ascii="宋体"/>
              </w:rPr>
            </w:pPr>
          </w:p>
        </w:tc>
      </w:tr>
      <w:tr w:rsidR="005C332D" w14:paraId="518B64B8" w14:textId="77777777">
        <w:trPr>
          <w:jc w:val="center"/>
        </w:trPr>
        <w:tc>
          <w:tcPr>
            <w:tcW w:w="0" w:type="auto"/>
            <w:gridSpan w:val="3"/>
            <w:shd w:val="clear" w:color="auto" w:fill="FFFFFF"/>
            <w:tcMar>
              <w:top w:w="40" w:type="dxa"/>
              <w:left w:w="380" w:type="dxa"/>
              <w:bottom w:w="40" w:type="dxa"/>
              <w:right w:w="20" w:type="dxa"/>
            </w:tcMar>
          </w:tcPr>
          <w:p w14:paraId="518B64B1" w14:textId="77777777" w:rsidR="005C332D" w:rsidRDefault="00B93EAE">
            <w:pPr>
              <w:textAlignment w:val="top"/>
            </w:pPr>
            <w:r>
              <w:rPr>
                <w:rFonts w:ascii="Times New Roman" w:eastAsia="宋体" w:hAnsi="Times New Roman"/>
                <w:color w:val="000000"/>
                <w:sz w:val="20"/>
                <w:szCs w:val="20"/>
              </w:rPr>
              <w:t>Work in process</w:t>
            </w:r>
          </w:p>
        </w:tc>
        <w:tc>
          <w:tcPr>
            <w:tcW w:w="0" w:type="auto"/>
            <w:gridSpan w:val="3"/>
            <w:shd w:val="clear" w:color="auto" w:fill="FFFFFF"/>
            <w:tcMar>
              <w:top w:w="0" w:type="dxa"/>
              <w:left w:w="20" w:type="dxa"/>
              <w:bottom w:w="0" w:type="dxa"/>
              <w:right w:w="20" w:type="dxa"/>
            </w:tcMar>
            <w:vAlign w:val="bottom"/>
          </w:tcPr>
          <w:p w14:paraId="518B64B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B3" w14:textId="77777777" w:rsidR="005C332D" w:rsidRDefault="00B93EAE">
            <w:pPr>
              <w:jc w:val="right"/>
              <w:textAlignment w:val="bottom"/>
            </w:pPr>
            <w:r>
              <w:rPr>
                <w:rFonts w:ascii="Times New Roman" w:eastAsia="宋体" w:hAnsi="Times New Roman"/>
                <w:b/>
                <w:bCs/>
                <w:color w:val="000000"/>
                <w:sz w:val="20"/>
                <w:szCs w:val="20"/>
              </w:rPr>
              <w:t>150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B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B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B6" w14:textId="77777777" w:rsidR="005C332D" w:rsidRDefault="00B93EAE">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518B64B7" w14:textId="77777777" w:rsidR="005C332D" w:rsidRDefault="005C332D">
            <w:pPr>
              <w:jc w:val="right"/>
              <w:rPr>
                <w:rFonts w:ascii="宋体"/>
              </w:rPr>
            </w:pPr>
          </w:p>
        </w:tc>
      </w:tr>
      <w:tr w:rsidR="005C332D" w14:paraId="518B64BE" w14:textId="77777777">
        <w:trPr>
          <w:jc w:val="center"/>
        </w:trPr>
        <w:tc>
          <w:tcPr>
            <w:tcW w:w="0" w:type="auto"/>
            <w:gridSpan w:val="3"/>
            <w:shd w:val="clear" w:color="auto" w:fill="CCEEFF"/>
            <w:tcMar>
              <w:top w:w="40" w:type="dxa"/>
              <w:left w:w="380" w:type="dxa"/>
              <w:bottom w:w="40" w:type="dxa"/>
              <w:right w:w="20" w:type="dxa"/>
            </w:tcMar>
          </w:tcPr>
          <w:p w14:paraId="518B64B9" w14:textId="77777777" w:rsidR="005C332D" w:rsidRDefault="00B93EAE">
            <w:pPr>
              <w:textAlignment w:val="top"/>
            </w:pPr>
            <w:r>
              <w:rPr>
                <w:rFonts w:ascii="Times New Roman" w:eastAsia="宋体" w:hAnsi="Times New Roman"/>
                <w:color w:val="000000"/>
                <w:sz w:val="20"/>
                <w:szCs w:val="20"/>
              </w:rPr>
              <w:t xml:space="preserve">Finished </w:t>
            </w:r>
            <w:r>
              <w:rPr>
                <w:rFonts w:ascii="Times New Roman" w:eastAsia="宋体" w:hAnsi="Times New Roman"/>
                <w:color w:val="000000"/>
                <w:sz w:val="20"/>
                <w:szCs w:val="20"/>
              </w:rPr>
              <w:t>goods:</w:t>
            </w:r>
          </w:p>
        </w:tc>
        <w:tc>
          <w:tcPr>
            <w:tcW w:w="0" w:type="auto"/>
            <w:gridSpan w:val="3"/>
            <w:shd w:val="clear" w:color="auto" w:fill="CCEEFF"/>
            <w:tcMar>
              <w:top w:w="0" w:type="dxa"/>
              <w:left w:w="20" w:type="dxa"/>
              <w:bottom w:w="0" w:type="dxa"/>
              <w:right w:w="20" w:type="dxa"/>
            </w:tcMar>
            <w:vAlign w:val="bottom"/>
          </w:tcPr>
          <w:p w14:paraId="518B64B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4B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4B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4BD" w14:textId="77777777" w:rsidR="005C332D" w:rsidRDefault="005C332D">
            <w:pPr>
              <w:rPr>
                <w:rFonts w:ascii="宋体"/>
              </w:rPr>
            </w:pPr>
          </w:p>
        </w:tc>
      </w:tr>
      <w:tr w:rsidR="005C332D" w14:paraId="518B64C6" w14:textId="77777777">
        <w:trPr>
          <w:jc w:val="center"/>
        </w:trPr>
        <w:tc>
          <w:tcPr>
            <w:tcW w:w="0" w:type="auto"/>
            <w:gridSpan w:val="3"/>
            <w:shd w:val="clear" w:color="auto" w:fill="FFFFFF"/>
            <w:tcMar>
              <w:top w:w="40" w:type="dxa"/>
              <w:left w:w="740" w:type="dxa"/>
              <w:bottom w:w="40" w:type="dxa"/>
              <w:right w:w="20" w:type="dxa"/>
            </w:tcMar>
          </w:tcPr>
          <w:p w14:paraId="518B64BF" w14:textId="77777777" w:rsidR="005C332D" w:rsidRDefault="00B93EAE">
            <w:pPr>
              <w:textAlignment w:val="top"/>
            </w:pPr>
            <w:r>
              <w:rPr>
                <w:rFonts w:ascii="Times New Roman" w:eastAsia="宋体" w:hAnsi="Times New Roman"/>
                <w:color w:val="000000"/>
                <w:sz w:val="20"/>
                <w:szCs w:val="20"/>
              </w:rPr>
              <w:t>Deferred cost of sales</w:t>
            </w:r>
          </w:p>
        </w:tc>
        <w:tc>
          <w:tcPr>
            <w:tcW w:w="0" w:type="auto"/>
            <w:gridSpan w:val="3"/>
            <w:shd w:val="clear" w:color="auto" w:fill="FFFFFF"/>
            <w:tcMar>
              <w:top w:w="0" w:type="dxa"/>
              <w:left w:w="20" w:type="dxa"/>
              <w:bottom w:w="0" w:type="dxa"/>
              <w:right w:w="20" w:type="dxa"/>
            </w:tcMar>
            <w:vAlign w:val="bottom"/>
          </w:tcPr>
          <w:p w14:paraId="518B64C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C1" w14:textId="77777777" w:rsidR="005C332D" w:rsidRDefault="00B93EAE">
            <w:pPr>
              <w:jc w:val="right"/>
              <w:textAlignment w:val="bottom"/>
            </w:pPr>
            <w:r>
              <w:rPr>
                <w:rFonts w:ascii="Times New Roman" w:eastAsia="宋体" w:hAnsi="Times New Roman"/>
                <w:b/>
                <w:bCs/>
                <w:color w:val="000000"/>
                <w:sz w:val="20"/>
                <w:szCs w:val="20"/>
              </w:rPr>
              <w:t>86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C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C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C4" w14:textId="77777777" w:rsidR="005C332D" w:rsidRDefault="00B93EAE">
            <w:pPr>
              <w:jc w:val="right"/>
              <w:textAlignment w:val="bottom"/>
            </w:pPr>
            <w:r>
              <w:rPr>
                <w:rFonts w:ascii="Times New Roman" w:eastAsia="宋体" w:hAnsi="Times New Roman"/>
                <w:color w:val="000000"/>
                <w:sz w:val="20"/>
                <w:szCs w:val="20"/>
              </w:rPr>
              <w:t>97 </w:t>
            </w:r>
          </w:p>
        </w:tc>
        <w:tc>
          <w:tcPr>
            <w:tcW w:w="0" w:type="auto"/>
            <w:shd w:val="clear" w:color="auto" w:fill="FFFFFF"/>
            <w:tcMar>
              <w:top w:w="40" w:type="dxa"/>
              <w:left w:w="0" w:type="dxa"/>
              <w:bottom w:w="40" w:type="dxa"/>
              <w:right w:w="20" w:type="dxa"/>
            </w:tcMar>
            <w:vAlign w:val="bottom"/>
          </w:tcPr>
          <w:p w14:paraId="518B64C5" w14:textId="77777777" w:rsidR="005C332D" w:rsidRDefault="005C332D">
            <w:pPr>
              <w:jc w:val="right"/>
              <w:rPr>
                <w:rFonts w:ascii="宋体"/>
              </w:rPr>
            </w:pPr>
          </w:p>
        </w:tc>
      </w:tr>
      <w:tr w:rsidR="005C332D" w14:paraId="518B64CE" w14:textId="77777777">
        <w:trPr>
          <w:jc w:val="center"/>
        </w:trPr>
        <w:tc>
          <w:tcPr>
            <w:tcW w:w="0" w:type="auto"/>
            <w:gridSpan w:val="3"/>
            <w:shd w:val="clear" w:color="auto" w:fill="CCEEFF"/>
            <w:tcMar>
              <w:top w:w="40" w:type="dxa"/>
              <w:left w:w="740" w:type="dxa"/>
              <w:bottom w:w="40" w:type="dxa"/>
              <w:right w:w="20" w:type="dxa"/>
            </w:tcMar>
          </w:tcPr>
          <w:p w14:paraId="518B64C7" w14:textId="77777777" w:rsidR="005C332D" w:rsidRDefault="00B93EAE">
            <w:pPr>
              <w:textAlignment w:val="top"/>
            </w:pPr>
            <w:r>
              <w:rPr>
                <w:rFonts w:ascii="Times New Roman" w:eastAsia="宋体" w:hAnsi="Times New Roman"/>
                <w:color w:val="000000"/>
                <w:sz w:val="20"/>
                <w:szCs w:val="20"/>
              </w:rPr>
              <w:t>Manufactured finished goods</w:t>
            </w:r>
          </w:p>
        </w:tc>
        <w:tc>
          <w:tcPr>
            <w:tcW w:w="0" w:type="auto"/>
            <w:gridSpan w:val="3"/>
            <w:shd w:val="clear" w:color="auto" w:fill="CCEEFF"/>
            <w:tcMar>
              <w:top w:w="0" w:type="dxa"/>
              <w:left w:w="20" w:type="dxa"/>
              <w:bottom w:w="0" w:type="dxa"/>
              <w:right w:w="20" w:type="dxa"/>
            </w:tcMar>
            <w:vAlign w:val="bottom"/>
          </w:tcPr>
          <w:p w14:paraId="518B64C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4C9" w14:textId="77777777" w:rsidR="005C332D" w:rsidRDefault="00B93EAE">
            <w:pPr>
              <w:jc w:val="right"/>
              <w:textAlignment w:val="bottom"/>
            </w:pPr>
            <w:r>
              <w:rPr>
                <w:rFonts w:ascii="Times New Roman" w:eastAsia="宋体" w:hAnsi="Times New Roman"/>
                <w:b/>
                <w:bCs/>
                <w:color w:val="000000"/>
                <w:sz w:val="20"/>
                <w:szCs w:val="20"/>
              </w:rPr>
              <w:t>631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4C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C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4CC" w14:textId="77777777" w:rsidR="005C332D" w:rsidRDefault="00B93EAE">
            <w:pPr>
              <w:jc w:val="right"/>
              <w:textAlignment w:val="bottom"/>
            </w:pPr>
            <w:r>
              <w:rPr>
                <w:rFonts w:ascii="Times New Roman" w:eastAsia="宋体" w:hAnsi="Times New Roman"/>
                <w:color w:val="000000"/>
                <w:sz w:val="20"/>
                <w:szCs w:val="20"/>
              </w:rPr>
              <w:t>422 </w:t>
            </w:r>
          </w:p>
        </w:tc>
        <w:tc>
          <w:tcPr>
            <w:tcW w:w="0" w:type="auto"/>
            <w:shd w:val="clear" w:color="auto" w:fill="CCEEFF"/>
            <w:tcMar>
              <w:top w:w="40" w:type="dxa"/>
              <w:left w:w="0" w:type="dxa"/>
              <w:bottom w:w="40" w:type="dxa"/>
              <w:right w:w="20" w:type="dxa"/>
            </w:tcMar>
            <w:vAlign w:val="bottom"/>
          </w:tcPr>
          <w:p w14:paraId="518B64CD" w14:textId="77777777" w:rsidR="005C332D" w:rsidRDefault="005C332D">
            <w:pPr>
              <w:jc w:val="right"/>
              <w:rPr>
                <w:rFonts w:ascii="宋体"/>
              </w:rPr>
            </w:pPr>
          </w:p>
        </w:tc>
      </w:tr>
      <w:tr w:rsidR="005C332D" w14:paraId="518B64D6" w14:textId="77777777">
        <w:trPr>
          <w:jc w:val="center"/>
        </w:trPr>
        <w:tc>
          <w:tcPr>
            <w:tcW w:w="0" w:type="auto"/>
            <w:gridSpan w:val="3"/>
            <w:shd w:val="clear" w:color="auto" w:fill="FFFFFF"/>
            <w:tcMar>
              <w:top w:w="40" w:type="dxa"/>
              <w:left w:w="740" w:type="dxa"/>
              <w:bottom w:w="40" w:type="dxa"/>
              <w:right w:w="20" w:type="dxa"/>
            </w:tcMar>
          </w:tcPr>
          <w:p w14:paraId="518B64CF" w14:textId="77777777" w:rsidR="005C332D" w:rsidRDefault="00B93EAE">
            <w:pPr>
              <w:textAlignment w:val="top"/>
            </w:pPr>
            <w:r>
              <w:rPr>
                <w:rFonts w:ascii="Times New Roman" w:eastAsia="宋体" w:hAnsi="Times New Roman"/>
                <w:color w:val="000000"/>
                <w:sz w:val="20"/>
                <w:szCs w:val="20"/>
              </w:rPr>
              <w:t>Total finished goods</w:t>
            </w:r>
          </w:p>
        </w:tc>
        <w:tc>
          <w:tcPr>
            <w:tcW w:w="0" w:type="auto"/>
            <w:gridSpan w:val="3"/>
            <w:shd w:val="clear" w:color="auto" w:fill="FFFFFF"/>
            <w:tcMar>
              <w:top w:w="0" w:type="dxa"/>
              <w:left w:w="20" w:type="dxa"/>
              <w:bottom w:w="0" w:type="dxa"/>
              <w:right w:w="20" w:type="dxa"/>
            </w:tcMar>
            <w:vAlign w:val="bottom"/>
          </w:tcPr>
          <w:p w14:paraId="518B64D0"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64D1" w14:textId="77777777" w:rsidR="005C332D" w:rsidRDefault="00B93EAE">
            <w:pPr>
              <w:jc w:val="right"/>
              <w:textAlignment w:val="bottom"/>
            </w:pPr>
            <w:r>
              <w:rPr>
                <w:rFonts w:ascii="Times New Roman" w:eastAsia="宋体" w:hAnsi="Times New Roman"/>
                <w:b/>
                <w:bCs/>
                <w:color w:val="000000"/>
                <w:sz w:val="20"/>
                <w:szCs w:val="20"/>
              </w:rPr>
              <w:t>717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4D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D3"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64D4" w14:textId="77777777" w:rsidR="005C332D" w:rsidRDefault="00B93EAE">
            <w:pPr>
              <w:jc w:val="right"/>
              <w:textAlignment w:val="bottom"/>
            </w:pPr>
            <w:r>
              <w:rPr>
                <w:rFonts w:ascii="Times New Roman" w:eastAsia="宋体" w:hAnsi="Times New Roman"/>
                <w:color w:val="000000"/>
                <w:sz w:val="20"/>
                <w:szCs w:val="20"/>
              </w:rPr>
              <w:t>519 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4D5" w14:textId="77777777" w:rsidR="005C332D" w:rsidRDefault="005C332D">
            <w:pPr>
              <w:jc w:val="right"/>
              <w:rPr>
                <w:rFonts w:ascii="宋体"/>
              </w:rPr>
            </w:pPr>
          </w:p>
        </w:tc>
      </w:tr>
      <w:tr w:rsidR="005C332D" w14:paraId="518B64DE" w14:textId="77777777">
        <w:trPr>
          <w:jc w:val="center"/>
        </w:trPr>
        <w:tc>
          <w:tcPr>
            <w:tcW w:w="0" w:type="auto"/>
            <w:gridSpan w:val="3"/>
            <w:shd w:val="clear" w:color="auto" w:fill="CCEEFF"/>
            <w:tcMar>
              <w:top w:w="40" w:type="dxa"/>
              <w:left w:w="380" w:type="dxa"/>
              <w:bottom w:w="40" w:type="dxa"/>
              <w:right w:w="20" w:type="dxa"/>
            </w:tcMar>
          </w:tcPr>
          <w:p w14:paraId="518B64D7" w14:textId="77777777" w:rsidR="005C332D" w:rsidRDefault="00B93EAE">
            <w:pPr>
              <w:textAlignment w:val="top"/>
            </w:pPr>
            <w:r>
              <w:rPr>
                <w:rFonts w:ascii="Times New Roman" w:eastAsia="宋体" w:hAnsi="Times New Roman"/>
                <w:color w:val="000000"/>
                <w:sz w:val="20"/>
                <w:szCs w:val="20"/>
              </w:rPr>
              <w:t>Service-related spares</w:t>
            </w:r>
          </w:p>
        </w:tc>
        <w:tc>
          <w:tcPr>
            <w:tcW w:w="0" w:type="auto"/>
            <w:gridSpan w:val="3"/>
            <w:shd w:val="clear" w:color="auto" w:fill="CCEEFF"/>
            <w:tcMar>
              <w:top w:w="0" w:type="dxa"/>
              <w:left w:w="20" w:type="dxa"/>
              <w:bottom w:w="0" w:type="dxa"/>
              <w:right w:w="20" w:type="dxa"/>
            </w:tcMar>
            <w:vAlign w:val="bottom"/>
          </w:tcPr>
          <w:p w14:paraId="518B64D8"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4D9" w14:textId="77777777" w:rsidR="005C332D" w:rsidRDefault="00B93EAE">
            <w:pPr>
              <w:jc w:val="right"/>
              <w:textAlignment w:val="bottom"/>
            </w:pPr>
            <w:r>
              <w:rPr>
                <w:rFonts w:ascii="Times New Roman" w:eastAsia="宋体" w:hAnsi="Times New Roman"/>
                <w:b/>
                <w:bCs/>
                <w:color w:val="000000"/>
                <w:sz w:val="20"/>
                <w:szCs w:val="20"/>
              </w:rPr>
              <w:t>90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4D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DB"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4DC" w14:textId="77777777" w:rsidR="005C332D" w:rsidRDefault="00B93EAE">
            <w:pPr>
              <w:jc w:val="right"/>
              <w:textAlignment w:val="bottom"/>
            </w:pPr>
            <w:r>
              <w:rPr>
                <w:rFonts w:ascii="Times New Roman" w:eastAsia="宋体" w:hAnsi="Times New Roman"/>
                <w:color w:val="000000"/>
                <w:sz w:val="20"/>
                <w:szCs w:val="20"/>
              </w:rPr>
              <w:t>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4DD" w14:textId="77777777" w:rsidR="005C332D" w:rsidRDefault="005C332D">
            <w:pPr>
              <w:jc w:val="right"/>
              <w:rPr>
                <w:rFonts w:ascii="宋体"/>
              </w:rPr>
            </w:pPr>
          </w:p>
        </w:tc>
      </w:tr>
      <w:tr w:rsidR="005C332D" w14:paraId="518B64E6" w14:textId="77777777">
        <w:trPr>
          <w:jc w:val="center"/>
        </w:trPr>
        <w:tc>
          <w:tcPr>
            <w:tcW w:w="0" w:type="auto"/>
            <w:gridSpan w:val="3"/>
            <w:shd w:val="clear" w:color="auto" w:fill="FFFFFF"/>
            <w:tcMar>
              <w:top w:w="40" w:type="dxa"/>
              <w:left w:w="380" w:type="dxa"/>
              <w:bottom w:w="40" w:type="dxa"/>
              <w:right w:w="20" w:type="dxa"/>
            </w:tcMar>
          </w:tcPr>
          <w:p w14:paraId="518B64DF" w14:textId="77777777" w:rsidR="005C332D" w:rsidRDefault="00B93EAE">
            <w:pPr>
              <w:textAlignment w:val="top"/>
            </w:pPr>
            <w:r>
              <w:rPr>
                <w:rFonts w:ascii="Times New Roman" w:eastAsia="宋体" w:hAnsi="Times New Roman"/>
                <w:color w:val="000000"/>
                <w:sz w:val="20"/>
                <w:szCs w:val="20"/>
              </w:rPr>
              <w:t>Demonstration systems</w:t>
            </w:r>
          </w:p>
        </w:tc>
        <w:tc>
          <w:tcPr>
            <w:tcW w:w="0" w:type="auto"/>
            <w:gridSpan w:val="3"/>
            <w:shd w:val="clear" w:color="auto" w:fill="FFFFFF"/>
            <w:tcMar>
              <w:top w:w="0" w:type="dxa"/>
              <w:left w:w="20" w:type="dxa"/>
              <w:bottom w:w="0" w:type="dxa"/>
              <w:right w:w="20" w:type="dxa"/>
            </w:tcMar>
            <w:vAlign w:val="bottom"/>
          </w:tcPr>
          <w:p w14:paraId="518B64E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E1"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4E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4E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4E4" w14:textId="77777777" w:rsidR="005C332D" w:rsidRDefault="00B93EAE">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518B64E5" w14:textId="77777777" w:rsidR="005C332D" w:rsidRDefault="005C332D">
            <w:pPr>
              <w:jc w:val="right"/>
              <w:rPr>
                <w:rFonts w:ascii="宋体"/>
              </w:rPr>
            </w:pPr>
          </w:p>
        </w:tc>
      </w:tr>
      <w:tr w:rsidR="005C332D" w14:paraId="518B64F0" w14:textId="77777777">
        <w:trPr>
          <w:jc w:val="center"/>
        </w:trPr>
        <w:tc>
          <w:tcPr>
            <w:tcW w:w="0" w:type="auto"/>
            <w:gridSpan w:val="3"/>
            <w:shd w:val="clear" w:color="auto" w:fill="CCEEFF"/>
            <w:tcMar>
              <w:top w:w="40" w:type="dxa"/>
              <w:left w:w="1235" w:type="dxa"/>
              <w:bottom w:w="40" w:type="dxa"/>
              <w:right w:w="20" w:type="dxa"/>
            </w:tcMar>
          </w:tcPr>
          <w:p w14:paraId="518B64E7"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4E8"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4E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4EA" w14:textId="77777777" w:rsidR="005C332D" w:rsidRDefault="00B93EAE">
            <w:pPr>
              <w:jc w:val="right"/>
              <w:textAlignment w:val="bottom"/>
            </w:pPr>
            <w:r>
              <w:rPr>
                <w:rFonts w:ascii="Times New Roman" w:eastAsia="宋体" w:hAnsi="Times New Roman"/>
                <w:b/>
                <w:bCs/>
                <w:color w:val="000000"/>
                <w:sz w:val="20"/>
                <w:szCs w:val="20"/>
              </w:rPr>
              <w:t>2,568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4E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4E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4E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4EE" w14:textId="77777777" w:rsidR="005C332D" w:rsidRDefault="00B93EAE">
            <w:pPr>
              <w:jc w:val="right"/>
              <w:textAlignment w:val="bottom"/>
            </w:pPr>
            <w:r>
              <w:rPr>
                <w:rFonts w:ascii="Times New Roman" w:eastAsia="宋体" w:hAnsi="Times New Roman"/>
                <w:color w:val="000000"/>
                <w:sz w:val="20"/>
                <w:szCs w:val="20"/>
              </w:rPr>
              <w:t>1,559 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4EF" w14:textId="77777777" w:rsidR="005C332D" w:rsidRDefault="005C332D">
            <w:pPr>
              <w:jc w:val="right"/>
              <w:rPr>
                <w:rFonts w:ascii="宋体"/>
              </w:rPr>
            </w:pPr>
          </w:p>
        </w:tc>
      </w:tr>
    </w:tbl>
    <w:p w14:paraId="518B64F1" w14:textId="77777777" w:rsidR="005C332D" w:rsidRDefault="005C332D">
      <w:pPr>
        <w:spacing w:before="120"/>
      </w:pPr>
    </w:p>
    <w:p w14:paraId="518B64F2" w14:textId="77777777" w:rsidR="005C332D" w:rsidRDefault="00B93EAE">
      <w:pPr>
        <w:jc w:val="center"/>
      </w:pPr>
      <w:r>
        <w:rPr>
          <w:rFonts w:ascii="Times New Roman" w:eastAsia="宋体" w:hAnsi="Times New Roman"/>
          <w:color w:val="000000"/>
          <w:sz w:val="20"/>
          <w:szCs w:val="20"/>
        </w:rPr>
        <w:t>75</w:t>
      </w:r>
    </w:p>
    <w:p w14:paraId="518B64F3" w14:textId="77777777" w:rsidR="005C332D" w:rsidRDefault="00B93EAE">
      <w:r>
        <w:pict w14:anchorId="518B8760">
          <v:rect id="_x0000_i1101" style="width:415.3pt;height:1.5pt" o:hralign="center" o:hrstd="t" o:hr="t" fillcolor="#a0a0a0" stroked="f"/>
        </w:pict>
      </w:r>
    </w:p>
    <w:p w14:paraId="518B64F4" w14:textId="77777777" w:rsidR="005C332D" w:rsidRDefault="005C332D"/>
    <w:p w14:paraId="518B64F5" w14:textId="77777777" w:rsidR="005C332D" w:rsidRDefault="00B93EAE">
      <w:pPr>
        <w:spacing w:before="120"/>
      </w:pPr>
      <w:r>
        <w:rPr>
          <w:rFonts w:ascii="Times New Roman" w:eastAsia="宋体" w:hAnsi="Times New Roman"/>
          <w:i/>
          <w:iCs/>
          <w:color w:val="000000"/>
          <w:sz w:val="20"/>
          <w:szCs w:val="20"/>
        </w:rPr>
        <w:t xml:space="preserve">Property and </w:t>
      </w:r>
      <w:r>
        <w:rPr>
          <w:rFonts w:ascii="Times New Roman" w:eastAsia="宋体" w:hAnsi="Times New Roman"/>
          <w:i/>
          <w:iCs/>
          <w:color w:val="000000"/>
          <w:sz w:val="20"/>
          <w:szCs w:val="20"/>
        </w:rPr>
        <w:t>Equipment, Net</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5C332D" w14:paraId="518B6505" w14:textId="77777777">
        <w:trPr>
          <w:jc w:val="center"/>
        </w:trPr>
        <w:tc>
          <w:tcPr>
            <w:tcW w:w="50" w:type="pct"/>
            <w:shd w:val="clear" w:color="auto" w:fill="auto"/>
            <w:vAlign w:val="bottom"/>
          </w:tcPr>
          <w:p w14:paraId="518B64F6" w14:textId="77777777" w:rsidR="005C332D" w:rsidRDefault="005C332D">
            <w:pPr>
              <w:rPr>
                <w:rFonts w:ascii="宋体"/>
              </w:rPr>
            </w:pPr>
          </w:p>
        </w:tc>
        <w:tc>
          <w:tcPr>
            <w:tcW w:w="3405" w:type="pct"/>
            <w:shd w:val="clear" w:color="auto" w:fill="auto"/>
            <w:vAlign w:val="bottom"/>
          </w:tcPr>
          <w:p w14:paraId="518B64F7" w14:textId="77777777" w:rsidR="005C332D" w:rsidRDefault="005C332D">
            <w:pPr>
              <w:rPr>
                <w:rFonts w:ascii="宋体"/>
              </w:rPr>
            </w:pPr>
          </w:p>
        </w:tc>
        <w:tc>
          <w:tcPr>
            <w:tcW w:w="5" w:type="pct"/>
            <w:shd w:val="clear" w:color="auto" w:fill="auto"/>
            <w:vAlign w:val="bottom"/>
          </w:tcPr>
          <w:p w14:paraId="518B64F8" w14:textId="77777777" w:rsidR="005C332D" w:rsidRDefault="005C332D">
            <w:pPr>
              <w:rPr>
                <w:rFonts w:ascii="宋体"/>
              </w:rPr>
            </w:pPr>
          </w:p>
        </w:tc>
        <w:tc>
          <w:tcPr>
            <w:tcW w:w="5" w:type="pct"/>
            <w:shd w:val="clear" w:color="auto" w:fill="auto"/>
            <w:vAlign w:val="bottom"/>
          </w:tcPr>
          <w:p w14:paraId="518B64F9" w14:textId="77777777" w:rsidR="005C332D" w:rsidRDefault="005C332D">
            <w:pPr>
              <w:rPr>
                <w:rFonts w:ascii="宋体"/>
              </w:rPr>
            </w:pPr>
          </w:p>
        </w:tc>
        <w:tc>
          <w:tcPr>
            <w:tcW w:w="26" w:type="pct"/>
            <w:shd w:val="clear" w:color="auto" w:fill="auto"/>
            <w:vAlign w:val="bottom"/>
          </w:tcPr>
          <w:p w14:paraId="518B64FA" w14:textId="77777777" w:rsidR="005C332D" w:rsidRDefault="005C332D">
            <w:pPr>
              <w:rPr>
                <w:rFonts w:ascii="宋体"/>
              </w:rPr>
            </w:pPr>
          </w:p>
        </w:tc>
        <w:tc>
          <w:tcPr>
            <w:tcW w:w="5" w:type="pct"/>
            <w:shd w:val="clear" w:color="auto" w:fill="auto"/>
            <w:vAlign w:val="bottom"/>
          </w:tcPr>
          <w:p w14:paraId="518B64FB" w14:textId="77777777" w:rsidR="005C332D" w:rsidRDefault="005C332D">
            <w:pPr>
              <w:rPr>
                <w:rFonts w:ascii="宋体"/>
              </w:rPr>
            </w:pPr>
          </w:p>
        </w:tc>
        <w:tc>
          <w:tcPr>
            <w:tcW w:w="50" w:type="pct"/>
            <w:shd w:val="clear" w:color="auto" w:fill="auto"/>
            <w:vAlign w:val="bottom"/>
          </w:tcPr>
          <w:p w14:paraId="518B64FC" w14:textId="77777777" w:rsidR="005C332D" w:rsidRDefault="005C332D">
            <w:pPr>
              <w:rPr>
                <w:rFonts w:ascii="宋体"/>
              </w:rPr>
            </w:pPr>
          </w:p>
        </w:tc>
        <w:tc>
          <w:tcPr>
            <w:tcW w:w="678" w:type="pct"/>
            <w:shd w:val="clear" w:color="auto" w:fill="auto"/>
            <w:vAlign w:val="bottom"/>
          </w:tcPr>
          <w:p w14:paraId="518B64FD" w14:textId="77777777" w:rsidR="005C332D" w:rsidRDefault="005C332D">
            <w:pPr>
              <w:rPr>
                <w:rFonts w:ascii="宋体"/>
              </w:rPr>
            </w:pPr>
          </w:p>
        </w:tc>
        <w:tc>
          <w:tcPr>
            <w:tcW w:w="5" w:type="pct"/>
            <w:shd w:val="clear" w:color="auto" w:fill="auto"/>
            <w:vAlign w:val="bottom"/>
          </w:tcPr>
          <w:p w14:paraId="518B64FE" w14:textId="77777777" w:rsidR="005C332D" w:rsidRDefault="005C332D">
            <w:pPr>
              <w:rPr>
                <w:rFonts w:ascii="宋体"/>
              </w:rPr>
            </w:pPr>
          </w:p>
        </w:tc>
        <w:tc>
          <w:tcPr>
            <w:tcW w:w="5" w:type="pct"/>
            <w:shd w:val="clear" w:color="auto" w:fill="auto"/>
            <w:vAlign w:val="bottom"/>
          </w:tcPr>
          <w:p w14:paraId="518B64FF" w14:textId="77777777" w:rsidR="005C332D" w:rsidRDefault="005C332D">
            <w:pPr>
              <w:rPr>
                <w:rFonts w:ascii="宋体"/>
              </w:rPr>
            </w:pPr>
          </w:p>
        </w:tc>
        <w:tc>
          <w:tcPr>
            <w:tcW w:w="26" w:type="pct"/>
            <w:shd w:val="clear" w:color="auto" w:fill="auto"/>
            <w:vAlign w:val="bottom"/>
          </w:tcPr>
          <w:p w14:paraId="518B6500" w14:textId="77777777" w:rsidR="005C332D" w:rsidRDefault="005C332D">
            <w:pPr>
              <w:rPr>
                <w:rFonts w:ascii="宋体"/>
              </w:rPr>
            </w:pPr>
          </w:p>
        </w:tc>
        <w:tc>
          <w:tcPr>
            <w:tcW w:w="5" w:type="pct"/>
            <w:shd w:val="clear" w:color="auto" w:fill="auto"/>
            <w:vAlign w:val="bottom"/>
          </w:tcPr>
          <w:p w14:paraId="518B6501" w14:textId="77777777" w:rsidR="005C332D" w:rsidRDefault="005C332D">
            <w:pPr>
              <w:rPr>
                <w:rFonts w:ascii="宋体"/>
              </w:rPr>
            </w:pPr>
          </w:p>
        </w:tc>
        <w:tc>
          <w:tcPr>
            <w:tcW w:w="50" w:type="pct"/>
            <w:shd w:val="clear" w:color="auto" w:fill="auto"/>
            <w:vAlign w:val="bottom"/>
          </w:tcPr>
          <w:p w14:paraId="518B6502" w14:textId="77777777" w:rsidR="005C332D" w:rsidRDefault="005C332D">
            <w:pPr>
              <w:rPr>
                <w:rFonts w:ascii="宋体"/>
              </w:rPr>
            </w:pPr>
          </w:p>
        </w:tc>
        <w:tc>
          <w:tcPr>
            <w:tcW w:w="678" w:type="pct"/>
            <w:shd w:val="clear" w:color="auto" w:fill="auto"/>
            <w:vAlign w:val="bottom"/>
          </w:tcPr>
          <w:p w14:paraId="518B6503" w14:textId="77777777" w:rsidR="005C332D" w:rsidRDefault="005C332D">
            <w:pPr>
              <w:rPr>
                <w:rFonts w:ascii="宋体"/>
              </w:rPr>
            </w:pPr>
          </w:p>
        </w:tc>
        <w:tc>
          <w:tcPr>
            <w:tcW w:w="5" w:type="pct"/>
            <w:shd w:val="clear" w:color="auto" w:fill="auto"/>
            <w:vAlign w:val="bottom"/>
          </w:tcPr>
          <w:p w14:paraId="518B6504" w14:textId="77777777" w:rsidR="005C332D" w:rsidRDefault="005C332D">
            <w:pPr>
              <w:rPr>
                <w:rFonts w:ascii="宋体"/>
              </w:rPr>
            </w:pPr>
          </w:p>
        </w:tc>
      </w:tr>
      <w:tr w:rsidR="005C332D" w14:paraId="518B650B" w14:textId="77777777">
        <w:trPr>
          <w:jc w:val="center"/>
        </w:trPr>
        <w:tc>
          <w:tcPr>
            <w:tcW w:w="0" w:type="auto"/>
            <w:gridSpan w:val="3"/>
            <w:shd w:val="clear" w:color="auto" w:fill="auto"/>
            <w:tcMar>
              <w:top w:w="0" w:type="dxa"/>
              <w:left w:w="20" w:type="dxa"/>
              <w:bottom w:w="0" w:type="dxa"/>
              <w:right w:w="20" w:type="dxa"/>
            </w:tcMar>
            <w:vAlign w:val="bottom"/>
          </w:tcPr>
          <w:p w14:paraId="518B6506"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50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508"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50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50A"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6511" w14:textId="77777777">
        <w:trPr>
          <w:jc w:val="center"/>
        </w:trPr>
        <w:tc>
          <w:tcPr>
            <w:tcW w:w="0" w:type="auto"/>
            <w:gridSpan w:val="3"/>
            <w:shd w:val="clear" w:color="auto" w:fill="CCEEFF"/>
            <w:tcMar>
              <w:top w:w="40" w:type="dxa"/>
              <w:left w:w="380" w:type="dxa"/>
              <w:bottom w:w="40" w:type="dxa"/>
              <w:right w:w="20" w:type="dxa"/>
            </w:tcMar>
            <w:vAlign w:val="center"/>
          </w:tcPr>
          <w:p w14:paraId="518B650C" w14:textId="77777777" w:rsidR="005C332D" w:rsidRDefault="00B93EAE">
            <w:pPr>
              <w:textAlignment w:val="center"/>
            </w:pPr>
            <w:r>
              <w:rPr>
                <w:rFonts w:ascii="Times New Roman" w:eastAsia="宋体" w:hAnsi="Times New Roman"/>
                <w:color w:val="000000"/>
                <w:sz w:val="20"/>
                <w:szCs w:val="20"/>
              </w:rPr>
              <w:t>Gross property and equipment:</w:t>
            </w:r>
          </w:p>
        </w:tc>
        <w:tc>
          <w:tcPr>
            <w:tcW w:w="0" w:type="auto"/>
            <w:gridSpan w:val="3"/>
            <w:shd w:val="clear" w:color="auto" w:fill="CCEEFF"/>
            <w:tcMar>
              <w:top w:w="0" w:type="dxa"/>
              <w:left w:w="20" w:type="dxa"/>
              <w:bottom w:w="0" w:type="dxa"/>
              <w:right w:w="20" w:type="dxa"/>
            </w:tcMar>
            <w:vAlign w:val="bottom"/>
          </w:tcPr>
          <w:p w14:paraId="518B650D"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50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50F"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510" w14:textId="77777777" w:rsidR="005C332D" w:rsidRDefault="005C332D">
            <w:pPr>
              <w:rPr>
                <w:rFonts w:ascii="宋体"/>
              </w:rPr>
            </w:pPr>
          </w:p>
        </w:tc>
      </w:tr>
      <w:tr w:rsidR="005C332D" w14:paraId="518B651B" w14:textId="77777777">
        <w:trPr>
          <w:jc w:val="center"/>
        </w:trPr>
        <w:tc>
          <w:tcPr>
            <w:tcW w:w="0" w:type="auto"/>
            <w:gridSpan w:val="3"/>
            <w:shd w:val="clear" w:color="auto" w:fill="FFFFFF"/>
            <w:tcMar>
              <w:top w:w="40" w:type="dxa"/>
              <w:left w:w="740" w:type="dxa"/>
              <w:bottom w:w="40" w:type="dxa"/>
              <w:right w:w="20" w:type="dxa"/>
            </w:tcMar>
            <w:vAlign w:val="center"/>
          </w:tcPr>
          <w:p w14:paraId="518B6512" w14:textId="77777777" w:rsidR="005C332D" w:rsidRDefault="00B93EAE">
            <w:pPr>
              <w:textAlignment w:val="center"/>
            </w:pPr>
            <w:r>
              <w:rPr>
                <w:rFonts w:ascii="Times New Roman" w:eastAsia="宋体" w:hAnsi="Times New Roman"/>
                <w:color w:val="000000"/>
                <w:sz w:val="20"/>
                <w:szCs w:val="20"/>
              </w:rPr>
              <w:t>Land, buildings, and building and leasehold improvements</w:t>
            </w:r>
          </w:p>
        </w:tc>
        <w:tc>
          <w:tcPr>
            <w:tcW w:w="0" w:type="auto"/>
            <w:gridSpan w:val="3"/>
            <w:shd w:val="clear" w:color="auto" w:fill="FFFFFF"/>
            <w:tcMar>
              <w:top w:w="0" w:type="dxa"/>
              <w:left w:w="20" w:type="dxa"/>
              <w:bottom w:w="0" w:type="dxa"/>
              <w:right w:w="20" w:type="dxa"/>
            </w:tcMar>
            <w:vAlign w:val="bottom"/>
          </w:tcPr>
          <w:p w14:paraId="518B6513"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514"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515" w14:textId="77777777" w:rsidR="005C332D" w:rsidRDefault="00B93EAE">
            <w:pPr>
              <w:jc w:val="right"/>
              <w:textAlignment w:val="bottom"/>
            </w:pPr>
            <w:r>
              <w:rPr>
                <w:rFonts w:ascii="Times New Roman" w:eastAsia="宋体" w:hAnsi="Times New Roman"/>
                <w:b/>
                <w:bCs/>
                <w:color w:val="000000"/>
                <w:sz w:val="20"/>
                <w:szCs w:val="20"/>
              </w:rPr>
              <w:t>4,219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51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517"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518"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519" w14:textId="77777777" w:rsidR="005C332D" w:rsidRDefault="00B93EAE">
            <w:pPr>
              <w:jc w:val="right"/>
              <w:textAlignment w:val="bottom"/>
            </w:pPr>
            <w:r>
              <w:rPr>
                <w:rFonts w:ascii="Times New Roman" w:eastAsia="宋体" w:hAnsi="Times New Roman"/>
                <w:color w:val="000000"/>
                <w:sz w:val="20"/>
                <w:szCs w:val="20"/>
              </w:rPr>
              <w:t>4,304 </w:t>
            </w:r>
          </w:p>
        </w:tc>
        <w:tc>
          <w:tcPr>
            <w:tcW w:w="0" w:type="auto"/>
            <w:shd w:val="clear" w:color="auto" w:fill="FFFFFF"/>
            <w:tcMar>
              <w:top w:w="40" w:type="dxa"/>
              <w:left w:w="0" w:type="dxa"/>
              <w:bottom w:w="40" w:type="dxa"/>
              <w:right w:w="20" w:type="dxa"/>
            </w:tcMar>
            <w:vAlign w:val="bottom"/>
          </w:tcPr>
          <w:p w14:paraId="518B651A" w14:textId="77777777" w:rsidR="005C332D" w:rsidRDefault="005C332D">
            <w:pPr>
              <w:jc w:val="right"/>
              <w:rPr>
                <w:rFonts w:ascii="宋体"/>
              </w:rPr>
            </w:pPr>
          </w:p>
        </w:tc>
      </w:tr>
      <w:tr w:rsidR="005C332D" w14:paraId="518B6523" w14:textId="77777777">
        <w:trPr>
          <w:jc w:val="center"/>
        </w:trPr>
        <w:tc>
          <w:tcPr>
            <w:tcW w:w="0" w:type="auto"/>
            <w:gridSpan w:val="3"/>
            <w:shd w:val="clear" w:color="auto" w:fill="CCEEFF"/>
            <w:tcMar>
              <w:top w:w="40" w:type="dxa"/>
              <w:left w:w="740" w:type="dxa"/>
              <w:bottom w:w="40" w:type="dxa"/>
              <w:right w:w="20" w:type="dxa"/>
            </w:tcMar>
            <w:vAlign w:val="center"/>
          </w:tcPr>
          <w:p w14:paraId="518B651C" w14:textId="77777777" w:rsidR="005C332D" w:rsidRDefault="00B93EAE">
            <w:pPr>
              <w:textAlignment w:val="center"/>
            </w:pPr>
            <w:r>
              <w:rPr>
                <w:rFonts w:ascii="Times New Roman" w:eastAsia="宋体" w:hAnsi="Times New Roman"/>
                <w:color w:val="000000"/>
                <w:sz w:val="20"/>
                <w:szCs w:val="20"/>
              </w:rPr>
              <w:t>Computer equipment and related software</w:t>
            </w:r>
          </w:p>
        </w:tc>
        <w:tc>
          <w:tcPr>
            <w:tcW w:w="0" w:type="auto"/>
            <w:gridSpan w:val="3"/>
            <w:shd w:val="clear" w:color="auto" w:fill="CCEEFF"/>
            <w:tcMar>
              <w:top w:w="0" w:type="dxa"/>
              <w:left w:w="20" w:type="dxa"/>
              <w:bottom w:w="0" w:type="dxa"/>
              <w:right w:w="20" w:type="dxa"/>
            </w:tcMar>
            <w:vAlign w:val="bottom"/>
          </w:tcPr>
          <w:p w14:paraId="518B651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51E" w14:textId="77777777" w:rsidR="005C332D" w:rsidRDefault="00B93EAE">
            <w:pPr>
              <w:jc w:val="right"/>
              <w:textAlignment w:val="bottom"/>
            </w:pPr>
            <w:r>
              <w:rPr>
                <w:rFonts w:ascii="Times New Roman" w:eastAsia="宋体" w:hAnsi="Times New Roman"/>
                <w:b/>
                <w:bCs/>
                <w:color w:val="000000"/>
                <w:sz w:val="20"/>
                <w:szCs w:val="20"/>
              </w:rPr>
              <w:t>779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51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2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521" w14:textId="77777777" w:rsidR="005C332D" w:rsidRDefault="00B93EAE">
            <w:pPr>
              <w:jc w:val="right"/>
              <w:textAlignment w:val="bottom"/>
            </w:pPr>
            <w:r>
              <w:rPr>
                <w:rFonts w:ascii="Times New Roman" w:eastAsia="宋体" w:hAnsi="Times New Roman"/>
                <w:color w:val="000000"/>
                <w:sz w:val="20"/>
                <w:szCs w:val="20"/>
              </w:rPr>
              <w:t>858 </w:t>
            </w:r>
          </w:p>
        </w:tc>
        <w:tc>
          <w:tcPr>
            <w:tcW w:w="0" w:type="auto"/>
            <w:shd w:val="clear" w:color="auto" w:fill="CCEEFF"/>
            <w:tcMar>
              <w:top w:w="40" w:type="dxa"/>
              <w:left w:w="0" w:type="dxa"/>
              <w:bottom w:w="40" w:type="dxa"/>
              <w:right w:w="20" w:type="dxa"/>
            </w:tcMar>
            <w:vAlign w:val="bottom"/>
          </w:tcPr>
          <w:p w14:paraId="518B6522" w14:textId="77777777" w:rsidR="005C332D" w:rsidRDefault="005C332D">
            <w:pPr>
              <w:jc w:val="right"/>
              <w:rPr>
                <w:rFonts w:ascii="宋体"/>
              </w:rPr>
            </w:pPr>
          </w:p>
        </w:tc>
      </w:tr>
      <w:tr w:rsidR="005C332D" w14:paraId="518B652B" w14:textId="77777777">
        <w:trPr>
          <w:jc w:val="center"/>
        </w:trPr>
        <w:tc>
          <w:tcPr>
            <w:tcW w:w="0" w:type="auto"/>
            <w:gridSpan w:val="3"/>
            <w:shd w:val="clear" w:color="auto" w:fill="FFFFFF"/>
            <w:tcMar>
              <w:top w:w="40" w:type="dxa"/>
              <w:left w:w="740" w:type="dxa"/>
              <w:bottom w:w="40" w:type="dxa"/>
              <w:right w:w="20" w:type="dxa"/>
            </w:tcMar>
            <w:vAlign w:val="center"/>
          </w:tcPr>
          <w:p w14:paraId="518B6524" w14:textId="77777777" w:rsidR="005C332D" w:rsidRDefault="00B93EAE">
            <w:pPr>
              <w:textAlignment w:val="center"/>
            </w:pPr>
            <w:r>
              <w:rPr>
                <w:rFonts w:ascii="Times New Roman" w:eastAsia="宋体" w:hAnsi="Times New Roman"/>
                <w:color w:val="000000"/>
                <w:sz w:val="20"/>
                <w:szCs w:val="20"/>
              </w:rPr>
              <w:t xml:space="preserve">Production, </w:t>
            </w:r>
            <w:r>
              <w:rPr>
                <w:rFonts w:ascii="Times New Roman" w:eastAsia="宋体" w:hAnsi="Times New Roman"/>
                <w:color w:val="000000"/>
                <w:sz w:val="20"/>
                <w:szCs w:val="20"/>
              </w:rPr>
              <w:t>engineering, and other equipment</w:t>
            </w:r>
          </w:p>
        </w:tc>
        <w:tc>
          <w:tcPr>
            <w:tcW w:w="0" w:type="auto"/>
            <w:gridSpan w:val="3"/>
            <w:shd w:val="clear" w:color="auto" w:fill="FFFFFF"/>
            <w:tcMar>
              <w:top w:w="0" w:type="dxa"/>
              <w:left w:w="20" w:type="dxa"/>
              <w:bottom w:w="0" w:type="dxa"/>
              <w:right w:w="20" w:type="dxa"/>
            </w:tcMar>
            <w:vAlign w:val="bottom"/>
          </w:tcPr>
          <w:p w14:paraId="518B652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26" w14:textId="77777777" w:rsidR="005C332D" w:rsidRDefault="00B93EAE">
            <w:pPr>
              <w:jc w:val="right"/>
              <w:textAlignment w:val="bottom"/>
            </w:pPr>
            <w:r>
              <w:rPr>
                <w:rFonts w:ascii="Times New Roman" w:eastAsia="宋体" w:hAnsi="Times New Roman"/>
                <w:b/>
                <w:bCs/>
                <w:color w:val="000000"/>
                <w:sz w:val="20"/>
                <w:szCs w:val="20"/>
              </w:rPr>
              <w:t>4,647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52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52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29" w14:textId="77777777" w:rsidR="005C332D" w:rsidRDefault="00B93EAE">
            <w:pPr>
              <w:jc w:val="right"/>
              <w:textAlignment w:val="bottom"/>
            </w:pPr>
            <w:r>
              <w:rPr>
                <w:rFonts w:ascii="Times New Roman" w:eastAsia="宋体" w:hAnsi="Times New Roman"/>
                <w:color w:val="000000"/>
                <w:sz w:val="20"/>
                <w:szCs w:val="20"/>
              </w:rPr>
              <w:t>5,106 </w:t>
            </w:r>
          </w:p>
        </w:tc>
        <w:tc>
          <w:tcPr>
            <w:tcW w:w="0" w:type="auto"/>
            <w:shd w:val="clear" w:color="auto" w:fill="FFFFFF"/>
            <w:tcMar>
              <w:top w:w="40" w:type="dxa"/>
              <w:left w:w="0" w:type="dxa"/>
              <w:bottom w:w="40" w:type="dxa"/>
              <w:right w:w="20" w:type="dxa"/>
            </w:tcMar>
            <w:vAlign w:val="bottom"/>
          </w:tcPr>
          <w:p w14:paraId="518B652A" w14:textId="77777777" w:rsidR="005C332D" w:rsidRDefault="005C332D">
            <w:pPr>
              <w:jc w:val="right"/>
              <w:rPr>
                <w:rFonts w:ascii="宋体"/>
              </w:rPr>
            </w:pPr>
          </w:p>
        </w:tc>
      </w:tr>
      <w:tr w:rsidR="005C332D" w14:paraId="518B6533" w14:textId="77777777">
        <w:trPr>
          <w:jc w:val="center"/>
        </w:trPr>
        <w:tc>
          <w:tcPr>
            <w:tcW w:w="0" w:type="auto"/>
            <w:gridSpan w:val="3"/>
            <w:shd w:val="clear" w:color="auto" w:fill="CCEEFF"/>
            <w:tcMar>
              <w:top w:w="40" w:type="dxa"/>
              <w:left w:w="740" w:type="dxa"/>
              <w:bottom w:w="40" w:type="dxa"/>
              <w:right w:w="20" w:type="dxa"/>
            </w:tcMar>
            <w:vAlign w:val="center"/>
          </w:tcPr>
          <w:p w14:paraId="518B652C" w14:textId="77777777" w:rsidR="005C332D" w:rsidRDefault="00B93EAE">
            <w:pPr>
              <w:textAlignment w:val="center"/>
            </w:pPr>
            <w:r>
              <w:rPr>
                <w:rFonts w:ascii="Times New Roman" w:eastAsia="宋体" w:hAnsi="Times New Roman"/>
                <w:color w:val="000000"/>
                <w:sz w:val="20"/>
                <w:szCs w:val="20"/>
              </w:rPr>
              <w:t>Operating lease assets</w:t>
            </w:r>
          </w:p>
        </w:tc>
        <w:tc>
          <w:tcPr>
            <w:tcW w:w="0" w:type="auto"/>
            <w:gridSpan w:val="3"/>
            <w:shd w:val="clear" w:color="auto" w:fill="CCEEFF"/>
            <w:tcMar>
              <w:top w:w="0" w:type="dxa"/>
              <w:left w:w="20" w:type="dxa"/>
              <w:bottom w:w="0" w:type="dxa"/>
              <w:right w:w="20" w:type="dxa"/>
            </w:tcMar>
            <w:vAlign w:val="bottom"/>
          </w:tcPr>
          <w:p w14:paraId="518B652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52E" w14:textId="77777777" w:rsidR="005C332D" w:rsidRDefault="00B93EAE">
            <w:pPr>
              <w:jc w:val="right"/>
              <w:textAlignment w:val="bottom"/>
            </w:pPr>
            <w:r>
              <w:rPr>
                <w:rFonts w:ascii="Times New Roman" w:eastAsia="宋体" w:hAnsi="Times New Roman"/>
                <w:b/>
                <w:bCs/>
                <w:color w:val="000000"/>
                <w:sz w:val="20"/>
                <w:szCs w:val="20"/>
              </w:rPr>
              <w:t>185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52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3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531" w14:textId="77777777" w:rsidR="005C332D" w:rsidRDefault="00B93EAE">
            <w:pPr>
              <w:jc w:val="right"/>
              <w:textAlignment w:val="bottom"/>
            </w:pPr>
            <w:r>
              <w:rPr>
                <w:rFonts w:ascii="Times New Roman" w:eastAsia="宋体" w:hAnsi="Times New Roman"/>
                <w:color w:val="000000"/>
                <w:sz w:val="20"/>
                <w:szCs w:val="20"/>
              </w:rPr>
              <w:t>273 </w:t>
            </w:r>
          </w:p>
        </w:tc>
        <w:tc>
          <w:tcPr>
            <w:tcW w:w="0" w:type="auto"/>
            <w:shd w:val="clear" w:color="auto" w:fill="CCEEFF"/>
            <w:tcMar>
              <w:top w:w="40" w:type="dxa"/>
              <w:left w:w="0" w:type="dxa"/>
              <w:bottom w:w="40" w:type="dxa"/>
              <w:right w:w="20" w:type="dxa"/>
            </w:tcMar>
            <w:vAlign w:val="bottom"/>
          </w:tcPr>
          <w:p w14:paraId="518B6532" w14:textId="77777777" w:rsidR="005C332D" w:rsidRDefault="005C332D">
            <w:pPr>
              <w:jc w:val="right"/>
              <w:rPr>
                <w:rFonts w:ascii="宋体"/>
              </w:rPr>
            </w:pPr>
          </w:p>
        </w:tc>
      </w:tr>
      <w:tr w:rsidR="005C332D" w14:paraId="518B653B" w14:textId="77777777">
        <w:trPr>
          <w:jc w:val="center"/>
        </w:trPr>
        <w:tc>
          <w:tcPr>
            <w:tcW w:w="0" w:type="auto"/>
            <w:gridSpan w:val="3"/>
            <w:shd w:val="clear" w:color="auto" w:fill="FFFFFF"/>
            <w:tcMar>
              <w:top w:w="40" w:type="dxa"/>
              <w:left w:w="740" w:type="dxa"/>
              <w:bottom w:w="40" w:type="dxa"/>
              <w:right w:w="20" w:type="dxa"/>
            </w:tcMar>
            <w:vAlign w:val="center"/>
          </w:tcPr>
          <w:p w14:paraId="518B6534" w14:textId="77777777" w:rsidR="005C332D" w:rsidRDefault="00B93EAE">
            <w:pPr>
              <w:textAlignment w:val="center"/>
            </w:pPr>
            <w:r>
              <w:rPr>
                <w:rFonts w:ascii="Times New Roman" w:eastAsia="宋体" w:hAnsi="Times New Roman"/>
                <w:color w:val="000000"/>
                <w:sz w:val="20"/>
                <w:szCs w:val="20"/>
              </w:rPr>
              <w:t>Furniture, fixtures and other</w:t>
            </w:r>
          </w:p>
        </w:tc>
        <w:tc>
          <w:tcPr>
            <w:tcW w:w="0" w:type="auto"/>
            <w:gridSpan w:val="3"/>
            <w:shd w:val="clear" w:color="auto" w:fill="FFFFFF"/>
            <w:tcMar>
              <w:top w:w="0" w:type="dxa"/>
              <w:left w:w="20" w:type="dxa"/>
              <w:bottom w:w="0" w:type="dxa"/>
              <w:right w:w="20" w:type="dxa"/>
            </w:tcMar>
            <w:vAlign w:val="bottom"/>
          </w:tcPr>
          <w:p w14:paraId="518B653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36" w14:textId="77777777" w:rsidR="005C332D" w:rsidRDefault="00B93EAE">
            <w:pPr>
              <w:jc w:val="right"/>
              <w:textAlignment w:val="bottom"/>
            </w:pPr>
            <w:r>
              <w:rPr>
                <w:rFonts w:ascii="Times New Roman" w:eastAsia="宋体" w:hAnsi="Times New Roman"/>
                <w:b/>
                <w:bCs/>
                <w:color w:val="000000"/>
                <w:sz w:val="20"/>
                <w:szCs w:val="20"/>
              </w:rPr>
              <w:t>335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53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53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39" w14:textId="77777777" w:rsidR="005C332D" w:rsidRDefault="00B93EAE">
            <w:pPr>
              <w:jc w:val="right"/>
              <w:textAlignment w:val="bottom"/>
            </w:pPr>
            <w:r>
              <w:rPr>
                <w:rFonts w:ascii="Times New Roman" w:eastAsia="宋体" w:hAnsi="Times New Roman"/>
                <w:color w:val="000000"/>
                <w:sz w:val="20"/>
                <w:szCs w:val="20"/>
              </w:rPr>
              <w:t>377 </w:t>
            </w:r>
          </w:p>
        </w:tc>
        <w:tc>
          <w:tcPr>
            <w:tcW w:w="0" w:type="auto"/>
            <w:shd w:val="clear" w:color="auto" w:fill="FFFFFF"/>
            <w:tcMar>
              <w:top w:w="40" w:type="dxa"/>
              <w:left w:w="0" w:type="dxa"/>
              <w:bottom w:w="40" w:type="dxa"/>
              <w:right w:w="20" w:type="dxa"/>
            </w:tcMar>
            <w:vAlign w:val="bottom"/>
          </w:tcPr>
          <w:p w14:paraId="518B653A" w14:textId="77777777" w:rsidR="005C332D" w:rsidRDefault="005C332D">
            <w:pPr>
              <w:jc w:val="right"/>
              <w:rPr>
                <w:rFonts w:ascii="宋体"/>
              </w:rPr>
            </w:pPr>
          </w:p>
        </w:tc>
      </w:tr>
      <w:tr w:rsidR="005C332D" w14:paraId="518B6543" w14:textId="77777777">
        <w:trPr>
          <w:jc w:val="center"/>
        </w:trPr>
        <w:tc>
          <w:tcPr>
            <w:tcW w:w="0" w:type="auto"/>
            <w:gridSpan w:val="3"/>
            <w:shd w:val="clear" w:color="auto" w:fill="CCEEFF"/>
            <w:tcMar>
              <w:top w:w="40" w:type="dxa"/>
              <w:left w:w="980" w:type="dxa"/>
              <w:bottom w:w="40" w:type="dxa"/>
              <w:right w:w="20" w:type="dxa"/>
            </w:tcMar>
            <w:vAlign w:val="center"/>
          </w:tcPr>
          <w:p w14:paraId="518B653C" w14:textId="77777777" w:rsidR="005C332D" w:rsidRDefault="00B93EAE">
            <w:pPr>
              <w:textAlignment w:val="center"/>
            </w:pPr>
            <w:r>
              <w:rPr>
                <w:rFonts w:ascii="Times New Roman" w:eastAsia="宋体" w:hAnsi="Times New Roman"/>
                <w:color w:val="000000"/>
                <w:sz w:val="20"/>
                <w:szCs w:val="20"/>
              </w:rPr>
              <w:t>Total gross property and equipment</w:t>
            </w:r>
          </w:p>
        </w:tc>
        <w:tc>
          <w:tcPr>
            <w:tcW w:w="0" w:type="auto"/>
            <w:gridSpan w:val="3"/>
            <w:shd w:val="clear" w:color="auto" w:fill="CCEEFF"/>
            <w:tcMar>
              <w:top w:w="0" w:type="dxa"/>
              <w:left w:w="20" w:type="dxa"/>
              <w:bottom w:w="0" w:type="dxa"/>
              <w:right w:w="20" w:type="dxa"/>
            </w:tcMar>
            <w:vAlign w:val="bottom"/>
          </w:tcPr>
          <w:p w14:paraId="518B653D"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53E" w14:textId="77777777" w:rsidR="005C332D" w:rsidRDefault="00B93EAE">
            <w:pPr>
              <w:jc w:val="right"/>
              <w:textAlignment w:val="bottom"/>
            </w:pPr>
            <w:r>
              <w:rPr>
                <w:rFonts w:ascii="Times New Roman" w:eastAsia="宋体" w:hAnsi="Times New Roman"/>
                <w:b/>
                <w:bCs/>
                <w:color w:val="000000"/>
                <w:sz w:val="20"/>
                <w:szCs w:val="20"/>
              </w:rPr>
              <w:t>10,165</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53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40"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541" w14:textId="77777777" w:rsidR="005C332D" w:rsidRDefault="00B93EAE">
            <w:pPr>
              <w:jc w:val="right"/>
              <w:textAlignment w:val="bottom"/>
            </w:pPr>
            <w:r>
              <w:rPr>
                <w:rFonts w:ascii="Times New Roman" w:eastAsia="宋体" w:hAnsi="Times New Roman"/>
                <w:color w:val="000000"/>
                <w:sz w:val="20"/>
                <w:szCs w:val="20"/>
              </w:rPr>
              <w:t>10,918 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542" w14:textId="77777777" w:rsidR="005C332D" w:rsidRDefault="005C332D">
            <w:pPr>
              <w:jc w:val="right"/>
              <w:rPr>
                <w:rFonts w:ascii="宋体"/>
              </w:rPr>
            </w:pPr>
          </w:p>
        </w:tc>
      </w:tr>
      <w:tr w:rsidR="005C332D" w14:paraId="518B654B" w14:textId="77777777">
        <w:trPr>
          <w:jc w:val="center"/>
        </w:trPr>
        <w:tc>
          <w:tcPr>
            <w:tcW w:w="0" w:type="auto"/>
            <w:gridSpan w:val="3"/>
            <w:shd w:val="clear" w:color="auto" w:fill="FFFFFF"/>
            <w:tcMar>
              <w:top w:w="40" w:type="dxa"/>
              <w:left w:w="380" w:type="dxa"/>
              <w:bottom w:w="40" w:type="dxa"/>
              <w:right w:w="20" w:type="dxa"/>
            </w:tcMar>
            <w:vAlign w:val="center"/>
          </w:tcPr>
          <w:p w14:paraId="518B6544" w14:textId="77777777" w:rsidR="005C332D" w:rsidRDefault="00B93EAE">
            <w:pPr>
              <w:textAlignment w:val="center"/>
            </w:pPr>
            <w:r>
              <w:rPr>
                <w:rFonts w:ascii="Times New Roman" w:eastAsia="宋体" w:hAnsi="Times New Roman"/>
                <w:color w:val="000000"/>
                <w:sz w:val="20"/>
                <w:szCs w:val="20"/>
              </w:rPr>
              <w:t>Less: accumulated depreciation and amortization</w:t>
            </w:r>
          </w:p>
        </w:tc>
        <w:tc>
          <w:tcPr>
            <w:tcW w:w="0" w:type="auto"/>
            <w:gridSpan w:val="3"/>
            <w:shd w:val="clear" w:color="auto" w:fill="FFFFFF"/>
            <w:tcMar>
              <w:top w:w="0" w:type="dxa"/>
              <w:left w:w="20" w:type="dxa"/>
              <w:bottom w:w="0" w:type="dxa"/>
              <w:right w:w="20" w:type="dxa"/>
            </w:tcMar>
            <w:vAlign w:val="bottom"/>
          </w:tcPr>
          <w:p w14:paraId="518B654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46" w14:textId="77777777" w:rsidR="005C332D" w:rsidRDefault="00B93EAE">
            <w:pPr>
              <w:jc w:val="right"/>
              <w:textAlignment w:val="bottom"/>
            </w:pPr>
            <w:r>
              <w:rPr>
                <w:rFonts w:ascii="Times New Roman" w:eastAsia="宋体" w:hAnsi="Times New Roman"/>
                <w:b/>
                <w:bCs/>
                <w:color w:val="000000"/>
                <w:sz w:val="20"/>
                <w:szCs w:val="20"/>
              </w:rPr>
              <w:t>(8,168)</w:t>
            </w:r>
          </w:p>
        </w:tc>
        <w:tc>
          <w:tcPr>
            <w:tcW w:w="0" w:type="auto"/>
            <w:shd w:val="clear" w:color="auto" w:fill="FFFFFF"/>
            <w:tcMar>
              <w:top w:w="40" w:type="dxa"/>
              <w:left w:w="0" w:type="dxa"/>
              <w:bottom w:w="40" w:type="dxa"/>
              <w:right w:w="20" w:type="dxa"/>
            </w:tcMar>
            <w:vAlign w:val="bottom"/>
          </w:tcPr>
          <w:p w14:paraId="518B654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54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49" w14:textId="77777777" w:rsidR="005C332D" w:rsidRDefault="00B93EAE">
            <w:pPr>
              <w:jc w:val="right"/>
              <w:textAlignment w:val="bottom"/>
            </w:pPr>
            <w:r>
              <w:rPr>
                <w:rFonts w:ascii="Times New Roman" w:eastAsia="宋体" w:hAnsi="Times New Roman"/>
                <w:color w:val="000000"/>
                <w:sz w:val="20"/>
                <w:szCs w:val="20"/>
              </w:rPr>
              <w:t>(8,580)</w:t>
            </w:r>
          </w:p>
        </w:tc>
        <w:tc>
          <w:tcPr>
            <w:tcW w:w="0" w:type="auto"/>
            <w:shd w:val="clear" w:color="auto" w:fill="FFFFFF"/>
            <w:tcMar>
              <w:top w:w="40" w:type="dxa"/>
              <w:left w:w="0" w:type="dxa"/>
              <w:bottom w:w="40" w:type="dxa"/>
              <w:right w:w="20" w:type="dxa"/>
            </w:tcMar>
            <w:vAlign w:val="bottom"/>
          </w:tcPr>
          <w:p w14:paraId="518B654A" w14:textId="77777777" w:rsidR="005C332D" w:rsidRDefault="005C332D">
            <w:pPr>
              <w:jc w:val="right"/>
              <w:rPr>
                <w:rFonts w:ascii="宋体"/>
              </w:rPr>
            </w:pPr>
          </w:p>
        </w:tc>
      </w:tr>
      <w:tr w:rsidR="005C332D" w14:paraId="518B6555" w14:textId="77777777">
        <w:trPr>
          <w:jc w:val="center"/>
        </w:trPr>
        <w:tc>
          <w:tcPr>
            <w:tcW w:w="0" w:type="auto"/>
            <w:gridSpan w:val="3"/>
            <w:shd w:val="clear" w:color="auto" w:fill="CCEEFF"/>
            <w:tcMar>
              <w:top w:w="40" w:type="dxa"/>
              <w:left w:w="1235" w:type="dxa"/>
              <w:bottom w:w="40" w:type="dxa"/>
              <w:right w:w="20" w:type="dxa"/>
            </w:tcMar>
            <w:vAlign w:val="center"/>
          </w:tcPr>
          <w:p w14:paraId="518B654C" w14:textId="77777777" w:rsidR="005C332D" w:rsidRDefault="00B93EAE">
            <w:pPr>
              <w:textAlignment w:val="center"/>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54D"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54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54F" w14:textId="77777777" w:rsidR="005C332D" w:rsidRDefault="00B93EAE">
            <w:pPr>
              <w:jc w:val="right"/>
              <w:textAlignment w:val="bottom"/>
            </w:pPr>
            <w:r>
              <w:rPr>
                <w:rFonts w:ascii="Times New Roman" w:eastAsia="宋体" w:hAnsi="Times New Roman"/>
                <w:b/>
                <w:bCs/>
                <w:color w:val="000000"/>
                <w:sz w:val="20"/>
                <w:szCs w:val="20"/>
              </w:rPr>
              <w:t>1,997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55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51"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55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553" w14:textId="77777777" w:rsidR="005C332D" w:rsidRDefault="00B93EAE">
            <w:pPr>
              <w:jc w:val="right"/>
              <w:textAlignment w:val="bottom"/>
            </w:pPr>
            <w:r>
              <w:rPr>
                <w:rFonts w:ascii="Times New Roman" w:eastAsia="宋体" w:hAnsi="Times New Roman"/>
                <w:color w:val="000000"/>
                <w:sz w:val="20"/>
                <w:szCs w:val="20"/>
              </w:rPr>
              <w:t>2,338 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554" w14:textId="77777777" w:rsidR="005C332D" w:rsidRDefault="005C332D">
            <w:pPr>
              <w:jc w:val="right"/>
              <w:rPr>
                <w:rFonts w:ascii="宋体"/>
              </w:rPr>
            </w:pPr>
          </w:p>
        </w:tc>
      </w:tr>
    </w:tbl>
    <w:p w14:paraId="518B6556" w14:textId="77777777" w:rsidR="005C332D" w:rsidRDefault="00B93EAE">
      <w:pPr>
        <w:spacing w:before="120"/>
      </w:pPr>
      <w:r>
        <w:rPr>
          <w:rFonts w:ascii="Times New Roman" w:eastAsia="宋体" w:hAnsi="Times New Roman"/>
          <w:i/>
          <w:iCs/>
          <w:color w:val="000000"/>
          <w:sz w:val="20"/>
          <w:szCs w:val="20"/>
        </w:rPr>
        <w:t xml:space="preserve">Remaining </w:t>
      </w:r>
      <w:r>
        <w:rPr>
          <w:rFonts w:ascii="Times New Roman" w:eastAsia="宋体" w:hAnsi="Times New Roman"/>
          <w:i/>
          <w:iCs/>
          <w:color w:val="000000"/>
          <w:sz w:val="20"/>
          <w:szCs w:val="20"/>
        </w:rPr>
        <w:t>Performance Obligations (RPO)</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532"/>
        <w:gridCol w:w="36"/>
        <w:gridCol w:w="36"/>
        <w:gridCol w:w="36"/>
        <w:gridCol w:w="36"/>
        <w:gridCol w:w="120"/>
        <w:gridCol w:w="932"/>
        <w:gridCol w:w="220"/>
        <w:gridCol w:w="36"/>
        <w:gridCol w:w="36"/>
        <w:gridCol w:w="36"/>
        <w:gridCol w:w="120"/>
        <w:gridCol w:w="935"/>
        <w:gridCol w:w="187"/>
      </w:tblGrid>
      <w:tr w:rsidR="005C332D" w14:paraId="518B6566" w14:textId="77777777">
        <w:trPr>
          <w:jc w:val="center"/>
        </w:trPr>
        <w:tc>
          <w:tcPr>
            <w:tcW w:w="50" w:type="pct"/>
            <w:shd w:val="clear" w:color="auto" w:fill="auto"/>
            <w:vAlign w:val="bottom"/>
          </w:tcPr>
          <w:p w14:paraId="518B6557" w14:textId="77777777" w:rsidR="005C332D" w:rsidRDefault="005C332D">
            <w:pPr>
              <w:rPr>
                <w:rFonts w:ascii="宋体"/>
              </w:rPr>
            </w:pPr>
          </w:p>
        </w:tc>
        <w:tc>
          <w:tcPr>
            <w:tcW w:w="3409" w:type="pct"/>
            <w:shd w:val="clear" w:color="auto" w:fill="auto"/>
            <w:vAlign w:val="bottom"/>
          </w:tcPr>
          <w:p w14:paraId="518B6558" w14:textId="77777777" w:rsidR="005C332D" w:rsidRDefault="005C332D">
            <w:pPr>
              <w:rPr>
                <w:rFonts w:ascii="宋体"/>
              </w:rPr>
            </w:pPr>
          </w:p>
        </w:tc>
        <w:tc>
          <w:tcPr>
            <w:tcW w:w="5" w:type="pct"/>
            <w:shd w:val="clear" w:color="auto" w:fill="auto"/>
            <w:vAlign w:val="bottom"/>
          </w:tcPr>
          <w:p w14:paraId="518B6559" w14:textId="77777777" w:rsidR="005C332D" w:rsidRDefault="005C332D">
            <w:pPr>
              <w:rPr>
                <w:rFonts w:ascii="宋体"/>
              </w:rPr>
            </w:pPr>
          </w:p>
        </w:tc>
        <w:tc>
          <w:tcPr>
            <w:tcW w:w="5" w:type="pct"/>
            <w:shd w:val="clear" w:color="auto" w:fill="auto"/>
            <w:vAlign w:val="bottom"/>
          </w:tcPr>
          <w:p w14:paraId="518B655A" w14:textId="77777777" w:rsidR="005C332D" w:rsidRDefault="005C332D">
            <w:pPr>
              <w:rPr>
                <w:rFonts w:ascii="宋体"/>
              </w:rPr>
            </w:pPr>
          </w:p>
        </w:tc>
        <w:tc>
          <w:tcPr>
            <w:tcW w:w="26" w:type="pct"/>
            <w:shd w:val="clear" w:color="auto" w:fill="auto"/>
            <w:vAlign w:val="bottom"/>
          </w:tcPr>
          <w:p w14:paraId="518B655B" w14:textId="77777777" w:rsidR="005C332D" w:rsidRDefault="005C332D">
            <w:pPr>
              <w:rPr>
                <w:rFonts w:ascii="宋体"/>
              </w:rPr>
            </w:pPr>
          </w:p>
        </w:tc>
        <w:tc>
          <w:tcPr>
            <w:tcW w:w="5" w:type="pct"/>
            <w:shd w:val="clear" w:color="auto" w:fill="auto"/>
            <w:vAlign w:val="bottom"/>
          </w:tcPr>
          <w:p w14:paraId="518B655C" w14:textId="77777777" w:rsidR="005C332D" w:rsidRDefault="005C332D">
            <w:pPr>
              <w:rPr>
                <w:rFonts w:ascii="宋体"/>
              </w:rPr>
            </w:pPr>
          </w:p>
        </w:tc>
        <w:tc>
          <w:tcPr>
            <w:tcW w:w="50" w:type="pct"/>
            <w:shd w:val="clear" w:color="auto" w:fill="auto"/>
            <w:vAlign w:val="bottom"/>
          </w:tcPr>
          <w:p w14:paraId="518B655D" w14:textId="77777777" w:rsidR="005C332D" w:rsidRDefault="005C332D">
            <w:pPr>
              <w:rPr>
                <w:rFonts w:ascii="宋体"/>
              </w:rPr>
            </w:pPr>
          </w:p>
        </w:tc>
        <w:tc>
          <w:tcPr>
            <w:tcW w:w="675" w:type="pct"/>
            <w:shd w:val="clear" w:color="auto" w:fill="auto"/>
            <w:vAlign w:val="bottom"/>
          </w:tcPr>
          <w:p w14:paraId="518B655E" w14:textId="77777777" w:rsidR="005C332D" w:rsidRDefault="005C332D">
            <w:pPr>
              <w:rPr>
                <w:rFonts w:ascii="宋体"/>
              </w:rPr>
            </w:pPr>
          </w:p>
        </w:tc>
        <w:tc>
          <w:tcPr>
            <w:tcW w:w="5" w:type="pct"/>
            <w:shd w:val="clear" w:color="auto" w:fill="auto"/>
            <w:vAlign w:val="bottom"/>
          </w:tcPr>
          <w:p w14:paraId="518B655F" w14:textId="77777777" w:rsidR="005C332D" w:rsidRDefault="005C332D">
            <w:pPr>
              <w:rPr>
                <w:rFonts w:ascii="宋体"/>
              </w:rPr>
            </w:pPr>
          </w:p>
        </w:tc>
        <w:tc>
          <w:tcPr>
            <w:tcW w:w="5" w:type="pct"/>
            <w:shd w:val="clear" w:color="auto" w:fill="auto"/>
            <w:vAlign w:val="bottom"/>
          </w:tcPr>
          <w:p w14:paraId="518B6560" w14:textId="77777777" w:rsidR="005C332D" w:rsidRDefault="005C332D">
            <w:pPr>
              <w:rPr>
                <w:rFonts w:ascii="宋体"/>
              </w:rPr>
            </w:pPr>
          </w:p>
        </w:tc>
        <w:tc>
          <w:tcPr>
            <w:tcW w:w="26" w:type="pct"/>
            <w:shd w:val="clear" w:color="auto" w:fill="auto"/>
            <w:vAlign w:val="bottom"/>
          </w:tcPr>
          <w:p w14:paraId="518B6561" w14:textId="77777777" w:rsidR="005C332D" w:rsidRDefault="005C332D">
            <w:pPr>
              <w:rPr>
                <w:rFonts w:ascii="宋体"/>
              </w:rPr>
            </w:pPr>
          </w:p>
        </w:tc>
        <w:tc>
          <w:tcPr>
            <w:tcW w:w="5" w:type="pct"/>
            <w:shd w:val="clear" w:color="auto" w:fill="auto"/>
            <w:vAlign w:val="bottom"/>
          </w:tcPr>
          <w:p w14:paraId="518B6562" w14:textId="77777777" w:rsidR="005C332D" w:rsidRDefault="005C332D">
            <w:pPr>
              <w:rPr>
                <w:rFonts w:ascii="宋体"/>
              </w:rPr>
            </w:pPr>
          </w:p>
        </w:tc>
        <w:tc>
          <w:tcPr>
            <w:tcW w:w="50" w:type="pct"/>
            <w:shd w:val="clear" w:color="auto" w:fill="auto"/>
            <w:vAlign w:val="bottom"/>
          </w:tcPr>
          <w:p w14:paraId="518B6563" w14:textId="77777777" w:rsidR="005C332D" w:rsidRDefault="005C332D">
            <w:pPr>
              <w:rPr>
                <w:rFonts w:ascii="宋体"/>
              </w:rPr>
            </w:pPr>
          </w:p>
        </w:tc>
        <w:tc>
          <w:tcPr>
            <w:tcW w:w="676" w:type="pct"/>
            <w:shd w:val="clear" w:color="auto" w:fill="auto"/>
            <w:vAlign w:val="bottom"/>
          </w:tcPr>
          <w:p w14:paraId="518B6564" w14:textId="77777777" w:rsidR="005C332D" w:rsidRDefault="005C332D">
            <w:pPr>
              <w:rPr>
                <w:rFonts w:ascii="宋体"/>
              </w:rPr>
            </w:pPr>
          </w:p>
        </w:tc>
        <w:tc>
          <w:tcPr>
            <w:tcW w:w="5" w:type="pct"/>
            <w:shd w:val="clear" w:color="auto" w:fill="auto"/>
            <w:vAlign w:val="bottom"/>
          </w:tcPr>
          <w:p w14:paraId="518B6565" w14:textId="77777777" w:rsidR="005C332D" w:rsidRDefault="005C332D">
            <w:pPr>
              <w:rPr>
                <w:rFonts w:ascii="宋体"/>
              </w:rPr>
            </w:pPr>
          </w:p>
        </w:tc>
      </w:tr>
      <w:tr w:rsidR="005C332D" w14:paraId="518B656C" w14:textId="77777777">
        <w:trPr>
          <w:jc w:val="center"/>
        </w:trPr>
        <w:tc>
          <w:tcPr>
            <w:tcW w:w="0" w:type="auto"/>
            <w:gridSpan w:val="3"/>
            <w:shd w:val="clear" w:color="auto" w:fill="auto"/>
            <w:tcMar>
              <w:top w:w="0" w:type="dxa"/>
              <w:left w:w="20" w:type="dxa"/>
              <w:bottom w:w="0" w:type="dxa"/>
              <w:right w:w="20" w:type="dxa"/>
            </w:tcMar>
            <w:vAlign w:val="bottom"/>
          </w:tcPr>
          <w:p w14:paraId="518B6567"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56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569"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56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56B"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6576" w14:textId="77777777">
        <w:trPr>
          <w:jc w:val="center"/>
        </w:trPr>
        <w:tc>
          <w:tcPr>
            <w:tcW w:w="0" w:type="auto"/>
            <w:gridSpan w:val="3"/>
            <w:shd w:val="clear" w:color="auto" w:fill="CCEEFF"/>
            <w:tcMar>
              <w:top w:w="40" w:type="dxa"/>
              <w:left w:w="380" w:type="dxa"/>
              <w:bottom w:w="40" w:type="dxa"/>
              <w:right w:w="20" w:type="dxa"/>
            </w:tcMar>
          </w:tcPr>
          <w:p w14:paraId="518B656D" w14:textId="77777777" w:rsidR="005C332D" w:rsidRDefault="00B93EAE">
            <w:pPr>
              <w:textAlignment w:val="top"/>
            </w:pPr>
            <w:r>
              <w:rPr>
                <w:rFonts w:ascii="Times New Roman" w:eastAsia="宋体" w:hAnsi="Times New Roman"/>
                <w:color w:val="000000"/>
                <w:sz w:val="20"/>
                <w:szCs w:val="20"/>
              </w:rPr>
              <w:t>Product</w:t>
            </w:r>
          </w:p>
        </w:tc>
        <w:tc>
          <w:tcPr>
            <w:tcW w:w="0" w:type="auto"/>
            <w:gridSpan w:val="3"/>
            <w:shd w:val="clear" w:color="auto" w:fill="CCEEFF"/>
            <w:tcMar>
              <w:top w:w="0" w:type="dxa"/>
              <w:left w:w="20" w:type="dxa"/>
              <w:bottom w:w="0" w:type="dxa"/>
              <w:right w:w="20" w:type="dxa"/>
            </w:tcMar>
            <w:vAlign w:val="bottom"/>
          </w:tcPr>
          <w:p w14:paraId="518B656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56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570" w14:textId="77777777" w:rsidR="005C332D" w:rsidRDefault="00B93EAE">
            <w:pPr>
              <w:jc w:val="right"/>
              <w:textAlignment w:val="bottom"/>
            </w:pPr>
            <w:r>
              <w:rPr>
                <w:rFonts w:ascii="Times New Roman" w:eastAsia="宋体" w:hAnsi="Times New Roman"/>
                <w:b/>
                <w:bCs/>
                <w:color w:val="000000"/>
                <w:sz w:val="20"/>
                <w:szCs w:val="20"/>
              </w:rPr>
              <w:t>14,090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57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7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57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574" w14:textId="77777777" w:rsidR="005C332D" w:rsidRDefault="00B93EAE">
            <w:pPr>
              <w:jc w:val="right"/>
              <w:textAlignment w:val="bottom"/>
            </w:pPr>
            <w:r>
              <w:rPr>
                <w:rFonts w:ascii="Times New Roman" w:eastAsia="宋体" w:hAnsi="Times New Roman"/>
                <w:color w:val="000000"/>
                <w:sz w:val="20"/>
                <w:szCs w:val="20"/>
              </w:rPr>
              <w:t>13,270 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575" w14:textId="77777777" w:rsidR="005C332D" w:rsidRDefault="005C332D">
            <w:pPr>
              <w:jc w:val="right"/>
              <w:rPr>
                <w:rFonts w:ascii="宋体"/>
              </w:rPr>
            </w:pPr>
          </w:p>
        </w:tc>
      </w:tr>
      <w:tr w:rsidR="005C332D" w14:paraId="518B657E" w14:textId="77777777">
        <w:trPr>
          <w:jc w:val="center"/>
        </w:trPr>
        <w:tc>
          <w:tcPr>
            <w:tcW w:w="0" w:type="auto"/>
            <w:gridSpan w:val="3"/>
            <w:shd w:val="clear" w:color="auto" w:fill="FFFFFF"/>
            <w:tcMar>
              <w:top w:w="40" w:type="dxa"/>
              <w:left w:w="380" w:type="dxa"/>
              <w:bottom w:w="40" w:type="dxa"/>
              <w:right w:w="20" w:type="dxa"/>
            </w:tcMar>
          </w:tcPr>
          <w:p w14:paraId="518B6577" w14:textId="77777777" w:rsidR="005C332D" w:rsidRDefault="00B93EAE">
            <w:pPr>
              <w:textAlignment w:val="top"/>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518B657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79" w14:textId="77777777" w:rsidR="005C332D" w:rsidRDefault="00B93EAE">
            <w:pPr>
              <w:jc w:val="right"/>
              <w:textAlignment w:val="bottom"/>
            </w:pPr>
            <w:r>
              <w:rPr>
                <w:rFonts w:ascii="Times New Roman" w:eastAsia="宋体" w:hAnsi="Times New Roman"/>
                <w:b/>
                <w:bCs/>
                <w:color w:val="000000"/>
                <w:sz w:val="20"/>
                <w:szCs w:val="20"/>
              </w:rPr>
              <w:t>17,449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57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57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7C" w14:textId="77777777" w:rsidR="005C332D" w:rsidRDefault="00B93EAE">
            <w:pPr>
              <w:jc w:val="right"/>
              <w:textAlignment w:val="bottom"/>
            </w:pPr>
            <w:r>
              <w:rPr>
                <w:rFonts w:ascii="Times New Roman" w:eastAsia="宋体" w:hAnsi="Times New Roman"/>
                <w:color w:val="000000"/>
                <w:sz w:val="20"/>
                <w:szCs w:val="20"/>
              </w:rPr>
              <w:t>17,623 </w:t>
            </w:r>
          </w:p>
        </w:tc>
        <w:tc>
          <w:tcPr>
            <w:tcW w:w="0" w:type="auto"/>
            <w:shd w:val="clear" w:color="auto" w:fill="FFFFFF"/>
            <w:tcMar>
              <w:top w:w="40" w:type="dxa"/>
              <w:left w:w="0" w:type="dxa"/>
              <w:bottom w:w="40" w:type="dxa"/>
              <w:right w:w="20" w:type="dxa"/>
            </w:tcMar>
            <w:vAlign w:val="bottom"/>
          </w:tcPr>
          <w:p w14:paraId="518B657D" w14:textId="77777777" w:rsidR="005C332D" w:rsidRDefault="005C332D">
            <w:pPr>
              <w:jc w:val="right"/>
              <w:rPr>
                <w:rFonts w:ascii="宋体"/>
              </w:rPr>
            </w:pPr>
          </w:p>
        </w:tc>
      </w:tr>
      <w:tr w:rsidR="005C332D" w14:paraId="518B6588" w14:textId="77777777">
        <w:trPr>
          <w:jc w:val="center"/>
        </w:trPr>
        <w:tc>
          <w:tcPr>
            <w:tcW w:w="0" w:type="auto"/>
            <w:gridSpan w:val="3"/>
            <w:shd w:val="clear" w:color="auto" w:fill="CCEEFF"/>
            <w:tcMar>
              <w:top w:w="40" w:type="dxa"/>
              <w:left w:w="1235" w:type="dxa"/>
              <w:bottom w:w="40" w:type="dxa"/>
              <w:right w:w="20" w:type="dxa"/>
            </w:tcMar>
          </w:tcPr>
          <w:p w14:paraId="518B657F"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580"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58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582" w14:textId="77777777" w:rsidR="005C332D" w:rsidRDefault="00B93EAE">
            <w:pPr>
              <w:jc w:val="right"/>
              <w:textAlignment w:val="bottom"/>
            </w:pPr>
            <w:r>
              <w:rPr>
                <w:rFonts w:ascii="Times New Roman" w:eastAsia="宋体" w:hAnsi="Times New Roman"/>
                <w:b/>
                <w:bCs/>
                <w:color w:val="000000"/>
                <w:sz w:val="20"/>
                <w:szCs w:val="20"/>
              </w:rPr>
              <w:t>31,539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58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8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58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586" w14:textId="77777777" w:rsidR="005C332D" w:rsidRDefault="00B93EAE">
            <w:pPr>
              <w:jc w:val="right"/>
              <w:textAlignment w:val="bottom"/>
            </w:pPr>
            <w:r>
              <w:rPr>
                <w:rFonts w:ascii="Times New Roman" w:eastAsia="宋体" w:hAnsi="Times New Roman"/>
                <w:color w:val="000000"/>
                <w:sz w:val="20"/>
                <w:szCs w:val="20"/>
              </w:rPr>
              <w:t>30,893 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587" w14:textId="77777777" w:rsidR="005C332D" w:rsidRDefault="005C332D">
            <w:pPr>
              <w:jc w:val="right"/>
              <w:rPr>
                <w:rFonts w:ascii="宋体"/>
              </w:rPr>
            </w:pPr>
          </w:p>
        </w:tc>
      </w:tr>
      <w:tr w:rsidR="005C332D" w14:paraId="518B658E" w14:textId="77777777">
        <w:trPr>
          <w:trHeight w:val="240"/>
          <w:jc w:val="center"/>
        </w:trPr>
        <w:tc>
          <w:tcPr>
            <w:tcW w:w="0" w:type="auto"/>
            <w:gridSpan w:val="3"/>
            <w:shd w:val="clear" w:color="auto" w:fill="FFFFFF"/>
            <w:tcMar>
              <w:top w:w="0" w:type="dxa"/>
              <w:left w:w="20" w:type="dxa"/>
              <w:bottom w:w="0" w:type="dxa"/>
              <w:right w:w="20" w:type="dxa"/>
            </w:tcMar>
            <w:vAlign w:val="bottom"/>
          </w:tcPr>
          <w:p w14:paraId="518B658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58A"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658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58C"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658D" w14:textId="77777777" w:rsidR="005C332D" w:rsidRDefault="005C332D">
            <w:pPr>
              <w:rPr>
                <w:rFonts w:ascii="宋体"/>
              </w:rPr>
            </w:pPr>
          </w:p>
        </w:tc>
      </w:tr>
      <w:tr w:rsidR="005C332D" w14:paraId="518B6598" w14:textId="77777777">
        <w:trPr>
          <w:jc w:val="center"/>
        </w:trPr>
        <w:tc>
          <w:tcPr>
            <w:tcW w:w="0" w:type="auto"/>
            <w:gridSpan w:val="3"/>
            <w:shd w:val="clear" w:color="auto" w:fill="CCEEFF"/>
            <w:tcMar>
              <w:top w:w="40" w:type="dxa"/>
              <w:left w:w="380" w:type="dxa"/>
              <w:bottom w:w="40" w:type="dxa"/>
              <w:right w:w="20" w:type="dxa"/>
            </w:tcMar>
          </w:tcPr>
          <w:p w14:paraId="518B658F" w14:textId="77777777" w:rsidR="005C332D" w:rsidRDefault="00B93EAE">
            <w:pPr>
              <w:textAlignment w:val="top"/>
            </w:pPr>
            <w:r>
              <w:rPr>
                <w:rFonts w:ascii="Times New Roman" w:eastAsia="宋体" w:hAnsi="Times New Roman"/>
                <w:color w:val="000000"/>
                <w:sz w:val="20"/>
                <w:szCs w:val="20"/>
              </w:rPr>
              <w:t>Short-term RPO</w:t>
            </w:r>
          </w:p>
        </w:tc>
        <w:tc>
          <w:tcPr>
            <w:tcW w:w="0" w:type="auto"/>
            <w:gridSpan w:val="3"/>
            <w:shd w:val="clear" w:color="auto" w:fill="CCEEFF"/>
            <w:tcMar>
              <w:top w:w="0" w:type="dxa"/>
              <w:left w:w="20" w:type="dxa"/>
              <w:bottom w:w="0" w:type="dxa"/>
              <w:right w:w="20" w:type="dxa"/>
            </w:tcMar>
            <w:vAlign w:val="bottom"/>
          </w:tcPr>
          <w:p w14:paraId="518B6590"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591"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592" w14:textId="77777777" w:rsidR="005C332D" w:rsidRDefault="00B93EAE">
            <w:pPr>
              <w:jc w:val="right"/>
              <w:textAlignment w:val="bottom"/>
            </w:pPr>
            <w:r>
              <w:rPr>
                <w:rFonts w:ascii="Times New Roman" w:eastAsia="宋体" w:hAnsi="Times New Roman"/>
                <w:b/>
                <w:bCs/>
                <w:color w:val="000000"/>
                <w:sz w:val="20"/>
                <w:szCs w:val="20"/>
              </w:rPr>
              <w:t>16,936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59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94"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595"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596" w14:textId="77777777" w:rsidR="005C332D" w:rsidRDefault="00B93EAE">
            <w:pPr>
              <w:jc w:val="right"/>
              <w:textAlignment w:val="bottom"/>
            </w:pPr>
            <w:r>
              <w:rPr>
                <w:rFonts w:ascii="Times New Roman" w:eastAsia="宋体" w:hAnsi="Times New Roman"/>
                <w:color w:val="000000"/>
                <w:sz w:val="20"/>
                <w:szCs w:val="20"/>
              </w:rPr>
              <w:t>16,289 </w:t>
            </w:r>
          </w:p>
        </w:tc>
        <w:tc>
          <w:tcPr>
            <w:tcW w:w="0" w:type="auto"/>
            <w:shd w:val="clear" w:color="auto" w:fill="CCEEFF"/>
            <w:tcMar>
              <w:top w:w="40" w:type="dxa"/>
              <w:left w:w="0" w:type="dxa"/>
              <w:bottom w:w="40" w:type="dxa"/>
              <w:right w:w="20" w:type="dxa"/>
            </w:tcMar>
            <w:vAlign w:val="bottom"/>
          </w:tcPr>
          <w:p w14:paraId="518B6597" w14:textId="77777777" w:rsidR="005C332D" w:rsidRDefault="005C332D">
            <w:pPr>
              <w:jc w:val="right"/>
              <w:rPr>
                <w:rFonts w:ascii="宋体"/>
              </w:rPr>
            </w:pPr>
          </w:p>
        </w:tc>
      </w:tr>
      <w:tr w:rsidR="005C332D" w14:paraId="518B65A0" w14:textId="77777777">
        <w:trPr>
          <w:jc w:val="center"/>
        </w:trPr>
        <w:tc>
          <w:tcPr>
            <w:tcW w:w="0" w:type="auto"/>
            <w:gridSpan w:val="3"/>
            <w:shd w:val="clear" w:color="auto" w:fill="FFFFFF"/>
            <w:tcMar>
              <w:top w:w="40" w:type="dxa"/>
              <w:left w:w="380" w:type="dxa"/>
              <w:bottom w:w="40" w:type="dxa"/>
              <w:right w:w="20" w:type="dxa"/>
            </w:tcMar>
          </w:tcPr>
          <w:p w14:paraId="518B6599" w14:textId="77777777" w:rsidR="005C332D" w:rsidRDefault="00B93EAE">
            <w:pPr>
              <w:textAlignment w:val="top"/>
            </w:pPr>
            <w:r>
              <w:rPr>
                <w:rFonts w:ascii="Times New Roman" w:eastAsia="宋体" w:hAnsi="Times New Roman"/>
                <w:color w:val="000000"/>
                <w:sz w:val="20"/>
                <w:szCs w:val="20"/>
              </w:rPr>
              <w:t>Long-term RPO</w:t>
            </w:r>
          </w:p>
        </w:tc>
        <w:tc>
          <w:tcPr>
            <w:tcW w:w="0" w:type="auto"/>
            <w:gridSpan w:val="3"/>
            <w:shd w:val="clear" w:color="auto" w:fill="FFFFFF"/>
            <w:tcMar>
              <w:top w:w="0" w:type="dxa"/>
              <w:left w:w="20" w:type="dxa"/>
              <w:bottom w:w="0" w:type="dxa"/>
              <w:right w:w="20" w:type="dxa"/>
            </w:tcMar>
            <w:vAlign w:val="bottom"/>
          </w:tcPr>
          <w:p w14:paraId="518B659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9B" w14:textId="77777777" w:rsidR="005C332D" w:rsidRDefault="00B93EAE">
            <w:pPr>
              <w:jc w:val="right"/>
              <w:textAlignment w:val="bottom"/>
            </w:pPr>
            <w:r>
              <w:rPr>
                <w:rFonts w:ascii="Times New Roman" w:eastAsia="宋体" w:hAnsi="Times New Roman"/>
                <w:b/>
                <w:bCs/>
                <w:color w:val="000000"/>
                <w:sz w:val="20"/>
                <w:szCs w:val="20"/>
              </w:rPr>
              <w:t>14,603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59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59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9E" w14:textId="77777777" w:rsidR="005C332D" w:rsidRDefault="00B93EAE">
            <w:pPr>
              <w:jc w:val="right"/>
              <w:textAlignment w:val="bottom"/>
            </w:pPr>
            <w:r>
              <w:rPr>
                <w:rFonts w:ascii="Times New Roman" w:eastAsia="宋体" w:hAnsi="Times New Roman"/>
                <w:color w:val="000000"/>
                <w:sz w:val="20"/>
                <w:szCs w:val="20"/>
              </w:rPr>
              <w:t>14,604 </w:t>
            </w:r>
          </w:p>
        </w:tc>
        <w:tc>
          <w:tcPr>
            <w:tcW w:w="0" w:type="auto"/>
            <w:shd w:val="clear" w:color="auto" w:fill="FFFFFF"/>
            <w:tcMar>
              <w:top w:w="40" w:type="dxa"/>
              <w:left w:w="0" w:type="dxa"/>
              <w:bottom w:w="40" w:type="dxa"/>
              <w:right w:w="20" w:type="dxa"/>
            </w:tcMar>
            <w:vAlign w:val="bottom"/>
          </w:tcPr>
          <w:p w14:paraId="518B659F" w14:textId="77777777" w:rsidR="005C332D" w:rsidRDefault="005C332D">
            <w:pPr>
              <w:jc w:val="right"/>
              <w:rPr>
                <w:rFonts w:ascii="宋体"/>
              </w:rPr>
            </w:pPr>
          </w:p>
        </w:tc>
      </w:tr>
      <w:tr w:rsidR="005C332D" w14:paraId="518B65AA" w14:textId="77777777">
        <w:trPr>
          <w:jc w:val="center"/>
        </w:trPr>
        <w:tc>
          <w:tcPr>
            <w:tcW w:w="0" w:type="auto"/>
            <w:gridSpan w:val="3"/>
            <w:shd w:val="clear" w:color="auto" w:fill="CCEEFF"/>
            <w:tcMar>
              <w:top w:w="40" w:type="dxa"/>
              <w:left w:w="1235" w:type="dxa"/>
              <w:bottom w:w="40" w:type="dxa"/>
              <w:right w:w="20" w:type="dxa"/>
            </w:tcMar>
          </w:tcPr>
          <w:p w14:paraId="518B65A1"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5A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5A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5A4" w14:textId="77777777" w:rsidR="005C332D" w:rsidRDefault="00B93EAE">
            <w:pPr>
              <w:jc w:val="right"/>
              <w:textAlignment w:val="bottom"/>
            </w:pPr>
            <w:r>
              <w:rPr>
                <w:rFonts w:ascii="Times New Roman" w:eastAsia="宋体" w:hAnsi="Times New Roman"/>
                <w:b/>
                <w:bCs/>
                <w:color w:val="000000"/>
                <w:sz w:val="20"/>
                <w:szCs w:val="20"/>
              </w:rPr>
              <w:t>31,539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5A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A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5A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5A8" w14:textId="77777777" w:rsidR="005C332D" w:rsidRDefault="00B93EAE">
            <w:pPr>
              <w:jc w:val="right"/>
              <w:textAlignment w:val="bottom"/>
            </w:pPr>
            <w:r>
              <w:rPr>
                <w:rFonts w:ascii="Times New Roman" w:eastAsia="宋体" w:hAnsi="Times New Roman"/>
                <w:color w:val="000000"/>
                <w:sz w:val="20"/>
                <w:szCs w:val="20"/>
              </w:rPr>
              <w:t>30,893 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5A9" w14:textId="77777777" w:rsidR="005C332D" w:rsidRDefault="005C332D">
            <w:pPr>
              <w:jc w:val="right"/>
              <w:rPr>
                <w:rFonts w:ascii="宋体"/>
              </w:rPr>
            </w:pPr>
          </w:p>
        </w:tc>
      </w:tr>
      <w:tr w:rsidR="005C332D" w14:paraId="518B65B0" w14:textId="77777777">
        <w:trPr>
          <w:trHeight w:val="240"/>
          <w:jc w:val="center"/>
        </w:trPr>
        <w:tc>
          <w:tcPr>
            <w:tcW w:w="0" w:type="auto"/>
            <w:gridSpan w:val="3"/>
            <w:shd w:val="clear" w:color="auto" w:fill="FFFFFF"/>
            <w:tcMar>
              <w:top w:w="0" w:type="dxa"/>
              <w:left w:w="20" w:type="dxa"/>
              <w:bottom w:w="0" w:type="dxa"/>
              <w:right w:w="20" w:type="dxa"/>
            </w:tcMar>
            <w:vAlign w:val="bottom"/>
          </w:tcPr>
          <w:p w14:paraId="518B65A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5AC"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65A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5AE"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65AF" w14:textId="77777777" w:rsidR="005C332D" w:rsidRDefault="005C332D">
            <w:pPr>
              <w:rPr>
                <w:rFonts w:ascii="宋体"/>
              </w:rPr>
            </w:pPr>
          </w:p>
        </w:tc>
      </w:tr>
      <w:tr w:rsidR="005C332D" w14:paraId="518B65B8" w14:textId="77777777">
        <w:trPr>
          <w:jc w:val="center"/>
        </w:trPr>
        <w:tc>
          <w:tcPr>
            <w:tcW w:w="0" w:type="auto"/>
            <w:gridSpan w:val="3"/>
            <w:shd w:val="clear" w:color="auto" w:fill="CCEEFF"/>
            <w:tcMar>
              <w:top w:w="40" w:type="dxa"/>
              <w:left w:w="20" w:type="dxa"/>
              <w:bottom w:w="40" w:type="dxa"/>
              <w:right w:w="20" w:type="dxa"/>
            </w:tcMar>
          </w:tcPr>
          <w:p w14:paraId="518B65B1" w14:textId="77777777" w:rsidR="005C332D" w:rsidRDefault="00B93EAE">
            <w:pPr>
              <w:textAlignment w:val="top"/>
            </w:pPr>
            <w:r>
              <w:rPr>
                <w:rFonts w:ascii="Times New Roman" w:eastAsia="宋体" w:hAnsi="Times New Roman"/>
                <w:color w:val="000000"/>
                <w:sz w:val="20"/>
                <w:szCs w:val="20"/>
              </w:rPr>
              <w:t>Amount to be recognized as revenue over the next 12 months</w:t>
            </w:r>
          </w:p>
        </w:tc>
        <w:tc>
          <w:tcPr>
            <w:tcW w:w="0" w:type="auto"/>
            <w:gridSpan w:val="3"/>
            <w:shd w:val="clear" w:color="auto" w:fill="CCEEFF"/>
            <w:tcMar>
              <w:top w:w="0" w:type="dxa"/>
              <w:left w:w="20" w:type="dxa"/>
              <w:bottom w:w="0" w:type="dxa"/>
              <w:right w:w="20" w:type="dxa"/>
            </w:tcMar>
            <w:vAlign w:val="bottom"/>
          </w:tcPr>
          <w:p w14:paraId="518B65B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5B3" w14:textId="77777777" w:rsidR="005C332D" w:rsidRDefault="00B93EAE">
            <w:pPr>
              <w:jc w:val="right"/>
              <w:textAlignment w:val="bottom"/>
            </w:pPr>
            <w:r>
              <w:rPr>
                <w:rFonts w:ascii="Times New Roman" w:eastAsia="宋体" w:hAnsi="Times New Roman"/>
                <w:b/>
                <w:bCs/>
                <w:color w:val="000000"/>
                <w:sz w:val="20"/>
                <w:szCs w:val="20"/>
              </w:rPr>
              <w:t>54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5B4"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65B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5B6" w14:textId="77777777" w:rsidR="005C332D" w:rsidRDefault="00B93EAE">
            <w:pPr>
              <w:jc w:val="right"/>
              <w:textAlignment w:val="bottom"/>
            </w:pPr>
            <w:r>
              <w:rPr>
                <w:rFonts w:ascii="Times New Roman" w:eastAsia="宋体" w:hAnsi="Times New Roman"/>
                <w:color w:val="000000"/>
                <w:sz w:val="20"/>
                <w:szCs w:val="20"/>
              </w:rPr>
              <w:t>53 </w:t>
            </w:r>
          </w:p>
        </w:tc>
        <w:tc>
          <w:tcPr>
            <w:tcW w:w="0" w:type="auto"/>
            <w:shd w:val="clear" w:color="auto" w:fill="CCEEFF"/>
            <w:tcMar>
              <w:top w:w="40" w:type="dxa"/>
              <w:left w:w="0" w:type="dxa"/>
              <w:bottom w:w="40" w:type="dxa"/>
              <w:right w:w="20" w:type="dxa"/>
            </w:tcMar>
            <w:vAlign w:val="bottom"/>
          </w:tcPr>
          <w:p w14:paraId="518B65B7"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65BE" w14:textId="77777777">
        <w:trPr>
          <w:trHeight w:val="240"/>
          <w:jc w:val="center"/>
        </w:trPr>
        <w:tc>
          <w:tcPr>
            <w:tcW w:w="0" w:type="auto"/>
            <w:gridSpan w:val="3"/>
            <w:shd w:val="clear" w:color="auto" w:fill="FFFFFF"/>
            <w:tcMar>
              <w:top w:w="0" w:type="dxa"/>
              <w:left w:w="20" w:type="dxa"/>
              <w:bottom w:w="0" w:type="dxa"/>
              <w:right w:w="20" w:type="dxa"/>
            </w:tcMar>
            <w:vAlign w:val="bottom"/>
          </w:tcPr>
          <w:p w14:paraId="518B65B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5B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5B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5B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5BD" w14:textId="77777777" w:rsidR="005C332D" w:rsidRDefault="005C332D">
            <w:pPr>
              <w:rPr>
                <w:rFonts w:ascii="宋体"/>
              </w:rPr>
            </w:pPr>
          </w:p>
        </w:tc>
      </w:tr>
      <w:tr w:rsidR="005C332D" w14:paraId="518B65C8" w14:textId="77777777">
        <w:trPr>
          <w:jc w:val="center"/>
        </w:trPr>
        <w:tc>
          <w:tcPr>
            <w:tcW w:w="0" w:type="auto"/>
            <w:gridSpan w:val="3"/>
            <w:shd w:val="clear" w:color="auto" w:fill="CCEEFF"/>
            <w:tcMar>
              <w:top w:w="40" w:type="dxa"/>
              <w:left w:w="380" w:type="dxa"/>
              <w:bottom w:w="40" w:type="dxa"/>
              <w:right w:w="20" w:type="dxa"/>
            </w:tcMar>
          </w:tcPr>
          <w:p w14:paraId="518B65BF" w14:textId="77777777" w:rsidR="005C332D" w:rsidRDefault="00B93EAE">
            <w:pPr>
              <w:textAlignment w:val="top"/>
            </w:pPr>
            <w:r>
              <w:rPr>
                <w:rFonts w:ascii="Times New Roman" w:eastAsia="宋体" w:hAnsi="Times New Roman"/>
                <w:color w:val="000000"/>
                <w:sz w:val="20"/>
                <w:szCs w:val="20"/>
              </w:rPr>
              <w:t>Deferred revenue</w:t>
            </w:r>
          </w:p>
        </w:tc>
        <w:tc>
          <w:tcPr>
            <w:tcW w:w="0" w:type="auto"/>
            <w:gridSpan w:val="3"/>
            <w:shd w:val="clear" w:color="auto" w:fill="CCEEFF"/>
            <w:tcMar>
              <w:top w:w="0" w:type="dxa"/>
              <w:left w:w="20" w:type="dxa"/>
              <w:bottom w:w="0" w:type="dxa"/>
              <w:right w:w="20" w:type="dxa"/>
            </w:tcMar>
            <w:vAlign w:val="bottom"/>
          </w:tcPr>
          <w:p w14:paraId="518B65C0"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5C1"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5C2" w14:textId="77777777" w:rsidR="005C332D" w:rsidRDefault="00B93EAE">
            <w:pPr>
              <w:jc w:val="right"/>
              <w:textAlignment w:val="bottom"/>
            </w:pPr>
            <w:r>
              <w:rPr>
                <w:rFonts w:ascii="Times New Roman" w:eastAsia="宋体" w:hAnsi="Times New Roman"/>
                <w:b/>
                <w:bCs/>
                <w:color w:val="000000"/>
                <w:sz w:val="20"/>
                <w:szCs w:val="20"/>
              </w:rPr>
              <w:t>23,264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5C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C4"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5C5"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5C6" w14:textId="77777777" w:rsidR="005C332D" w:rsidRDefault="00B93EAE">
            <w:pPr>
              <w:jc w:val="right"/>
              <w:textAlignment w:val="bottom"/>
            </w:pPr>
            <w:r>
              <w:rPr>
                <w:rFonts w:ascii="Times New Roman" w:eastAsia="宋体" w:hAnsi="Times New Roman"/>
                <w:color w:val="000000"/>
                <w:sz w:val="20"/>
                <w:szCs w:val="20"/>
              </w:rPr>
              <w:t>22,164 </w:t>
            </w:r>
          </w:p>
        </w:tc>
        <w:tc>
          <w:tcPr>
            <w:tcW w:w="0" w:type="auto"/>
            <w:shd w:val="clear" w:color="auto" w:fill="CCEEFF"/>
            <w:tcMar>
              <w:top w:w="40" w:type="dxa"/>
              <w:left w:w="0" w:type="dxa"/>
              <w:bottom w:w="40" w:type="dxa"/>
              <w:right w:w="20" w:type="dxa"/>
            </w:tcMar>
            <w:vAlign w:val="bottom"/>
          </w:tcPr>
          <w:p w14:paraId="518B65C7" w14:textId="77777777" w:rsidR="005C332D" w:rsidRDefault="005C332D">
            <w:pPr>
              <w:jc w:val="right"/>
              <w:rPr>
                <w:rFonts w:ascii="宋体"/>
              </w:rPr>
            </w:pPr>
          </w:p>
        </w:tc>
      </w:tr>
      <w:tr w:rsidR="005C332D" w14:paraId="518B65D0" w14:textId="77777777">
        <w:trPr>
          <w:jc w:val="center"/>
        </w:trPr>
        <w:tc>
          <w:tcPr>
            <w:tcW w:w="0" w:type="auto"/>
            <w:gridSpan w:val="3"/>
            <w:shd w:val="clear" w:color="auto" w:fill="FFFFFF"/>
            <w:tcMar>
              <w:top w:w="40" w:type="dxa"/>
              <w:left w:w="380" w:type="dxa"/>
              <w:bottom w:w="40" w:type="dxa"/>
              <w:right w:w="20" w:type="dxa"/>
            </w:tcMar>
          </w:tcPr>
          <w:p w14:paraId="518B65C9" w14:textId="77777777" w:rsidR="005C332D" w:rsidRDefault="00B93EAE">
            <w:pPr>
              <w:textAlignment w:val="top"/>
            </w:pPr>
            <w:r>
              <w:rPr>
                <w:rFonts w:ascii="Times New Roman" w:eastAsia="宋体" w:hAnsi="Times New Roman"/>
                <w:color w:val="000000"/>
                <w:sz w:val="20"/>
                <w:szCs w:val="20"/>
              </w:rPr>
              <w:t>Unbilled contract revenue</w:t>
            </w:r>
          </w:p>
        </w:tc>
        <w:tc>
          <w:tcPr>
            <w:tcW w:w="0" w:type="auto"/>
            <w:gridSpan w:val="3"/>
            <w:shd w:val="clear" w:color="auto" w:fill="FFFFFF"/>
            <w:tcMar>
              <w:top w:w="0" w:type="dxa"/>
              <w:left w:w="20" w:type="dxa"/>
              <w:bottom w:w="0" w:type="dxa"/>
              <w:right w:w="20" w:type="dxa"/>
            </w:tcMar>
            <w:vAlign w:val="bottom"/>
          </w:tcPr>
          <w:p w14:paraId="518B65C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CB" w14:textId="77777777" w:rsidR="005C332D" w:rsidRDefault="00B93EAE">
            <w:pPr>
              <w:jc w:val="right"/>
              <w:textAlignment w:val="bottom"/>
            </w:pPr>
            <w:r>
              <w:rPr>
                <w:rFonts w:ascii="Times New Roman" w:eastAsia="宋体" w:hAnsi="Times New Roman"/>
                <w:b/>
                <w:bCs/>
                <w:color w:val="000000"/>
                <w:sz w:val="20"/>
                <w:szCs w:val="20"/>
              </w:rPr>
              <w:t>8,275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5C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5C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CE" w14:textId="77777777" w:rsidR="005C332D" w:rsidRDefault="00B93EAE">
            <w:pPr>
              <w:jc w:val="right"/>
              <w:textAlignment w:val="bottom"/>
            </w:pPr>
            <w:r>
              <w:rPr>
                <w:rFonts w:ascii="Times New Roman" w:eastAsia="宋体" w:hAnsi="Times New Roman"/>
                <w:color w:val="000000"/>
                <w:sz w:val="20"/>
                <w:szCs w:val="20"/>
              </w:rPr>
              <w:t>8,729 </w:t>
            </w:r>
          </w:p>
        </w:tc>
        <w:tc>
          <w:tcPr>
            <w:tcW w:w="0" w:type="auto"/>
            <w:shd w:val="clear" w:color="auto" w:fill="FFFFFF"/>
            <w:tcMar>
              <w:top w:w="40" w:type="dxa"/>
              <w:left w:w="0" w:type="dxa"/>
              <w:bottom w:w="40" w:type="dxa"/>
              <w:right w:w="20" w:type="dxa"/>
            </w:tcMar>
            <w:vAlign w:val="bottom"/>
          </w:tcPr>
          <w:p w14:paraId="518B65CF" w14:textId="77777777" w:rsidR="005C332D" w:rsidRDefault="005C332D">
            <w:pPr>
              <w:jc w:val="right"/>
              <w:rPr>
                <w:rFonts w:ascii="宋体"/>
              </w:rPr>
            </w:pPr>
          </w:p>
        </w:tc>
      </w:tr>
      <w:tr w:rsidR="005C332D" w14:paraId="518B65DA" w14:textId="77777777">
        <w:trPr>
          <w:jc w:val="center"/>
        </w:trPr>
        <w:tc>
          <w:tcPr>
            <w:tcW w:w="0" w:type="auto"/>
            <w:gridSpan w:val="3"/>
            <w:shd w:val="clear" w:color="auto" w:fill="CCEEFF"/>
            <w:tcMar>
              <w:top w:w="40" w:type="dxa"/>
              <w:left w:w="1235" w:type="dxa"/>
              <w:bottom w:w="40" w:type="dxa"/>
              <w:right w:w="20" w:type="dxa"/>
            </w:tcMar>
          </w:tcPr>
          <w:p w14:paraId="518B65D1"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5D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5D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5D4" w14:textId="77777777" w:rsidR="005C332D" w:rsidRDefault="00B93EAE">
            <w:pPr>
              <w:jc w:val="right"/>
              <w:textAlignment w:val="bottom"/>
            </w:pPr>
            <w:r>
              <w:rPr>
                <w:rFonts w:ascii="Times New Roman" w:eastAsia="宋体" w:hAnsi="Times New Roman"/>
                <w:b/>
                <w:bCs/>
                <w:color w:val="000000"/>
                <w:sz w:val="20"/>
                <w:szCs w:val="20"/>
              </w:rPr>
              <w:t>31,539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5D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D6"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5D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5D8" w14:textId="77777777" w:rsidR="005C332D" w:rsidRDefault="00B93EAE">
            <w:pPr>
              <w:jc w:val="right"/>
              <w:textAlignment w:val="bottom"/>
            </w:pPr>
            <w:r>
              <w:rPr>
                <w:rFonts w:ascii="Times New Roman" w:eastAsia="宋体" w:hAnsi="Times New Roman"/>
                <w:color w:val="000000"/>
                <w:sz w:val="20"/>
                <w:szCs w:val="20"/>
              </w:rPr>
              <w:t>30,893 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5D9" w14:textId="77777777" w:rsidR="005C332D" w:rsidRDefault="005C332D">
            <w:pPr>
              <w:jc w:val="right"/>
              <w:rPr>
                <w:rFonts w:ascii="宋体"/>
              </w:rPr>
            </w:pPr>
          </w:p>
        </w:tc>
      </w:tr>
    </w:tbl>
    <w:p w14:paraId="518B65DB" w14:textId="77777777" w:rsidR="005C332D" w:rsidRDefault="00B93EAE">
      <w:pPr>
        <w:spacing w:before="120"/>
        <w:jc w:val="both"/>
      </w:pPr>
      <w:r>
        <w:rPr>
          <w:rFonts w:ascii="Times New Roman" w:eastAsia="宋体" w:hAnsi="Times New Roman"/>
          <w:color w:val="000000"/>
          <w:sz w:val="20"/>
          <w:szCs w:val="20"/>
        </w:rPr>
        <w:t xml:space="preserve">Unbilled </w:t>
      </w:r>
      <w:r>
        <w:rPr>
          <w:rFonts w:ascii="Times New Roman" w:eastAsia="宋体" w:hAnsi="Times New Roman"/>
          <w:color w:val="000000"/>
          <w:sz w:val="20"/>
          <w:szCs w:val="20"/>
        </w:rPr>
        <w:t>contract revenue represents noncancelable contracts for which we have not invoiced, have an obligation to perform, and revenue has not yet been recognized in the financial statements.</w:t>
      </w:r>
    </w:p>
    <w:p w14:paraId="518B65DC" w14:textId="77777777" w:rsidR="005C332D" w:rsidRDefault="00B93EAE">
      <w:pPr>
        <w:spacing w:before="120"/>
        <w:jc w:val="both"/>
      </w:pPr>
      <w:r>
        <w:rPr>
          <w:rFonts w:ascii="Times New Roman" w:eastAsia="宋体" w:hAnsi="Times New Roman"/>
          <w:i/>
          <w:iCs/>
          <w:color w:val="000000"/>
          <w:sz w:val="20"/>
          <w:szCs w:val="20"/>
        </w:rPr>
        <w:t>Deferred Revenue</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7"/>
        <w:gridCol w:w="36"/>
        <w:gridCol w:w="36"/>
        <w:gridCol w:w="36"/>
        <w:gridCol w:w="36"/>
        <w:gridCol w:w="120"/>
        <w:gridCol w:w="1046"/>
        <w:gridCol w:w="36"/>
        <w:gridCol w:w="36"/>
        <w:gridCol w:w="36"/>
        <w:gridCol w:w="36"/>
        <w:gridCol w:w="120"/>
        <w:gridCol w:w="1046"/>
        <w:gridCol w:w="36"/>
      </w:tblGrid>
      <w:tr w:rsidR="005C332D" w14:paraId="518B65EC" w14:textId="77777777">
        <w:trPr>
          <w:jc w:val="center"/>
        </w:trPr>
        <w:tc>
          <w:tcPr>
            <w:tcW w:w="50" w:type="pct"/>
            <w:shd w:val="clear" w:color="auto" w:fill="auto"/>
            <w:vAlign w:val="bottom"/>
          </w:tcPr>
          <w:p w14:paraId="518B65DD" w14:textId="77777777" w:rsidR="005C332D" w:rsidRDefault="005C332D">
            <w:pPr>
              <w:rPr>
                <w:rFonts w:ascii="宋体"/>
              </w:rPr>
            </w:pPr>
          </w:p>
        </w:tc>
        <w:tc>
          <w:tcPr>
            <w:tcW w:w="3405" w:type="pct"/>
            <w:shd w:val="clear" w:color="auto" w:fill="auto"/>
            <w:vAlign w:val="bottom"/>
          </w:tcPr>
          <w:p w14:paraId="518B65DE" w14:textId="77777777" w:rsidR="005C332D" w:rsidRDefault="005C332D">
            <w:pPr>
              <w:rPr>
                <w:rFonts w:ascii="宋体"/>
              </w:rPr>
            </w:pPr>
          </w:p>
        </w:tc>
        <w:tc>
          <w:tcPr>
            <w:tcW w:w="5" w:type="pct"/>
            <w:shd w:val="clear" w:color="auto" w:fill="auto"/>
            <w:vAlign w:val="bottom"/>
          </w:tcPr>
          <w:p w14:paraId="518B65DF" w14:textId="77777777" w:rsidR="005C332D" w:rsidRDefault="005C332D">
            <w:pPr>
              <w:rPr>
                <w:rFonts w:ascii="宋体"/>
              </w:rPr>
            </w:pPr>
          </w:p>
        </w:tc>
        <w:tc>
          <w:tcPr>
            <w:tcW w:w="5" w:type="pct"/>
            <w:shd w:val="clear" w:color="auto" w:fill="auto"/>
            <w:vAlign w:val="bottom"/>
          </w:tcPr>
          <w:p w14:paraId="518B65E0" w14:textId="77777777" w:rsidR="005C332D" w:rsidRDefault="005C332D">
            <w:pPr>
              <w:rPr>
                <w:rFonts w:ascii="宋体"/>
              </w:rPr>
            </w:pPr>
          </w:p>
        </w:tc>
        <w:tc>
          <w:tcPr>
            <w:tcW w:w="26" w:type="pct"/>
            <w:shd w:val="clear" w:color="auto" w:fill="auto"/>
            <w:vAlign w:val="bottom"/>
          </w:tcPr>
          <w:p w14:paraId="518B65E1" w14:textId="77777777" w:rsidR="005C332D" w:rsidRDefault="005C332D">
            <w:pPr>
              <w:rPr>
                <w:rFonts w:ascii="宋体"/>
              </w:rPr>
            </w:pPr>
          </w:p>
        </w:tc>
        <w:tc>
          <w:tcPr>
            <w:tcW w:w="5" w:type="pct"/>
            <w:shd w:val="clear" w:color="auto" w:fill="auto"/>
            <w:vAlign w:val="bottom"/>
          </w:tcPr>
          <w:p w14:paraId="518B65E2" w14:textId="77777777" w:rsidR="005C332D" w:rsidRDefault="005C332D">
            <w:pPr>
              <w:rPr>
                <w:rFonts w:ascii="宋体"/>
              </w:rPr>
            </w:pPr>
          </w:p>
        </w:tc>
        <w:tc>
          <w:tcPr>
            <w:tcW w:w="50" w:type="pct"/>
            <w:shd w:val="clear" w:color="auto" w:fill="auto"/>
            <w:vAlign w:val="bottom"/>
          </w:tcPr>
          <w:p w14:paraId="518B65E3" w14:textId="77777777" w:rsidR="005C332D" w:rsidRDefault="005C332D">
            <w:pPr>
              <w:rPr>
                <w:rFonts w:ascii="宋体"/>
              </w:rPr>
            </w:pPr>
          </w:p>
        </w:tc>
        <w:tc>
          <w:tcPr>
            <w:tcW w:w="678" w:type="pct"/>
            <w:shd w:val="clear" w:color="auto" w:fill="auto"/>
            <w:vAlign w:val="bottom"/>
          </w:tcPr>
          <w:p w14:paraId="518B65E4" w14:textId="77777777" w:rsidR="005C332D" w:rsidRDefault="005C332D">
            <w:pPr>
              <w:rPr>
                <w:rFonts w:ascii="宋体"/>
              </w:rPr>
            </w:pPr>
          </w:p>
        </w:tc>
        <w:tc>
          <w:tcPr>
            <w:tcW w:w="5" w:type="pct"/>
            <w:shd w:val="clear" w:color="auto" w:fill="auto"/>
            <w:vAlign w:val="bottom"/>
          </w:tcPr>
          <w:p w14:paraId="518B65E5" w14:textId="77777777" w:rsidR="005C332D" w:rsidRDefault="005C332D">
            <w:pPr>
              <w:rPr>
                <w:rFonts w:ascii="宋体"/>
              </w:rPr>
            </w:pPr>
          </w:p>
        </w:tc>
        <w:tc>
          <w:tcPr>
            <w:tcW w:w="5" w:type="pct"/>
            <w:shd w:val="clear" w:color="auto" w:fill="auto"/>
            <w:vAlign w:val="bottom"/>
          </w:tcPr>
          <w:p w14:paraId="518B65E6" w14:textId="77777777" w:rsidR="005C332D" w:rsidRDefault="005C332D">
            <w:pPr>
              <w:rPr>
                <w:rFonts w:ascii="宋体"/>
              </w:rPr>
            </w:pPr>
          </w:p>
        </w:tc>
        <w:tc>
          <w:tcPr>
            <w:tcW w:w="26" w:type="pct"/>
            <w:shd w:val="clear" w:color="auto" w:fill="auto"/>
            <w:vAlign w:val="bottom"/>
          </w:tcPr>
          <w:p w14:paraId="518B65E7" w14:textId="77777777" w:rsidR="005C332D" w:rsidRDefault="005C332D">
            <w:pPr>
              <w:rPr>
                <w:rFonts w:ascii="宋体"/>
              </w:rPr>
            </w:pPr>
          </w:p>
        </w:tc>
        <w:tc>
          <w:tcPr>
            <w:tcW w:w="5" w:type="pct"/>
            <w:shd w:val="clear" w:color="auto" w:fill="auto"/>
            <w:vAlign w:val="bottom"/>
          </w:tcPr>
          <w:p w14:paraId="518B65E8" w14:textId="77777777" w:rsidR="005C332D" w:rsidRDefault="005C332D">
            <w:pPr>
              <w:rPr>
                <w:rFonts w:ascii="宋体"/>
              </w:rPr>
            </w:pPr>
          </w:p>
        </w:tc>
        <w:tc>
          <w:tcPr>
            <w:tcW w:w="50" w:type="pct"/>
            <w:shd w:val="clear" w:color="auto" w:fill="auto"/>
            <w:vAlign w:val="bottom"/>
          </w:tcPr>
          <w:p w14:paraId="518B65E9" w14:textId="77777777" w:rsidR="005C332D" w:rsidRDefault="005C332D">
            <w:pPr>
              <w:rPr>
                <w:rFonts w:ascii="宋体"/>
              </w:rPr>
            </w:pPr>
          </w:p>
        </w:tc>
        <w:tc>
          <w:tcPr>
            <w:tcW w:w="678" w:type="pct"/>
            <w:shd w:val="clear" w:color="auto" w:fill="auto"/>
            <w:vAlign w:val="bottom"/>
          </w:tcPr>
          <w:p w14:paraId="518B65EA" w14:textId="77777777" w:rsidR="005C332D" w:rsidRDefault="005C332D">
            <w:pPr>
              <w:rPr>
                <w:rFonts w:ascii="宋体"/>
              </w:rPr>
            </w:pPr>
          </w:p>
        </w:tc>
        <w:tc>
          <w:tcPr>
            <w:tcW w:w="5" w:type="pct"/>
            <w:shd w:val="clear" w:color="auto" w:fill="auto"/>
            <w:vAlign w:val="bottom"/>
          </w:tcPr>
          <w:p w14:paraId="518B65EB" w14:textId="77777777" w:rsidR="005C332D" w:rsidRDefault="005C332D">
            <w:pPr>
              <w:rPr>
                <w:rFonts w:ascii="宋体"/>
              </w:rPr>
            </w:pPr>
          </w:p>
        </w:tc>
      </w:tr>
      <w:tr w:rsidR="005C332D" w14:paraId="518B65F2" w14:textId="77777777">
        <w:trPr>
          <w:jc w:val="center"/>
        </w:trPr>
        <w:tc>
          <w:tcPr>
            <w:tcW w:w="0" w:type="auto"/>
            <w:gridSpan w:val="3"/>
            <w:shd w:val="clear" w:color="auto" w:fill="auto"/>
            <w:tcMar>
              <w:top w:w="0" w:type="dxa"/>
              <w:left w:w="20" w:type="dxa"/>
              <w:bottom w:w="0" w:type="dxa"/>
              <w:right w:w="20" w:type="dxa"/>
            </w:tcMar>
            <w:vAlign w:val="bottom"/>
          </w:tcPr>
          <w:p w14:paraId="518B65ED"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5E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5EF"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5F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5F1"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65FC" w14:textId="77777777">
        <w:trPr>
          <w:jc w:val="center"/>
        </w:trPr>
        <w:tc>
          <w:tcPr>
            <w:tcW w:w="0" w:type="auto"/>
            <w:gridSpan w:val="3"/>
            <w:shd w:val="clear" w:color="auto" w:fill="CCEEFF"/>
            <w:tcMar>
              <w:top w:w="40" w:type="dxa"/>
              <w:left w:w="380" w:type="dxa"/>
              <w:bottom w:w="40" w:type="dxa"/>
              <w:right w:w="20" w:type="dxa"/>
            </w:tcMar>
          </w:tcPr>
          <w:p w14:paraId="518B65F3" w14:textId="77777777" w:rsidR="005C332D" w:rsidRDefault="00B93EAE">
            <w:pPr>
              <w:textAlignment w:val="top"/>
            </w:pPr>
            <w:r>
              <w:rPr>
                <w:rFonts w:ascii="Times New Roman" w:eastAsia="宋体" w:hAnsi="Times New Roman"/>
                <w:color w:val="000000"/>
                <w:sz w:val="20"/>
                <w:szCs w:val="20"/>
              </w:rPr>
              <w:t>Product</w:t>
            </w:r>
          </w:p>
        </w:tc>
        <w:tc>
          <w:tcPr>
            <w:tcW w:w="0" w:type="auto"/>
            <w:gridSpan w:val="3"/>
            <w:shd w:val="clear" w:color="auto" w:fill="CCEEFF"/>
            <w:tcMar>
              <w:top w:w="0" w:type="dxa"/>
              <w:left w:w="20" w:type="dxa"/>
              <w:bottom w:w="0" w:type="dxa"/>
              <w:right w:w="20" w:type="dxa"/>
            </w:tcMar>
            <w:vAlign w:val="bottom"/>
          </w:tcPr>
          <w:p w14:paraId="518B65F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5F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5F6" w14:textId="77777777" w:rsidR="005C332D" w:rsidRDefault="00B93EAE">
            <w:pPr>
              <w:jc w:val="right"/>
              <w:textAlignment w:val="bottom"/>
            </w:pPr>
            <w:r>
              <w:rPr>
                <w:rFonts w:ascii="Times New Roman" w:eastAsia="宋体" w:hAnsi="Times New Roman"/>
                <w:b/>
                <w:bCs/>
                <w:color w:val="000000"/>
                <w:sz w:val="20"/>
                <w:szCs w:val="20"/>
              </w:rPr>
              <w:t>10,427</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5F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5F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5F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5FA" w14:textId="77777777" w:rsidR="005C332D" w:rsidRDefault="00B93EAE">
            <w:pPr>
              <w:jc w:val="right"/>
              <w:textAlignment w:val="bottom"/>
            </w:pPr>
            <w:r>
              <w:rPr>
                <w:rFonts w:ascii="Times New Roman" w:eastAsia="宋体" w:hAnsi="Times New Roman"/>
                <w:color w:val="000000"/>
                <w:sz w:val="20"/>
                <w:szCs w:val="20"/>
              </w:rPr>
              <w:t>9,416 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5FB" w14:textId="77777777" w:rsidR="005C332D" w:rsidRDefault="005C332D">
            <w:pPr>
              <w:jc w:val="right"/>
              <w:rPr>
                <w:rFonts w:ascii="宋体"/>
              </w:rPr>
            </w:pPr>
          </w:p>
        </w:tc>
      </w:tr>
      <w:tr w:rsidR="005C332D" w14:paraId="518B6604" w14:textId="77777777">
        <w:trPr>
          <w:jc w:val="center"/>
        </w:trPr>
        <w:tc>
          <w:tcPr>
            <w:tcW w:w="0" w:type="auto"/>
            <w:gridSpan w:val="3"/>
            <w:shd w:val="clear" w:color="auto" w:fill="FFFFFF"/>
            <w:tcMar>
              <w:top w:w="40" w:type="dxa"/>
              <w:left w:w="395" w:type="dxa"/>
              <w:bottom w:w="40" w:type="dxa"/>
              <w:right w:w="20" w:type="dxa"/>
            </w:tcMar>
          </w:tcPr>
          <w:p w14:paraId="518B65FD" w14:textId="77777777" w:rsidR="005C332D" w:rsidRDefault="00B93EAE">
            <w:pPr>
              <w:textAlignment w:val="top"/>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518B65F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5FF" w14:textId="77777777" w:rsidR="005C332D" w:rsidRDefault="00B93EAE">
            <w:pPr>
              <w:jc w:val="right"/>
              <w:textAlignment w:val="bottom"/>
            </w:pPr>
            <w:r>
              <w:rPr>
                <w:rFonts w:ascii="Times New Roman" w:eastAsia="宋体" w:hAnsi="Times New Roman"/>
                <w:b/>
                <w:bCs/>
                <w:color w:val="000000"/>
                <w:sz w:val="20"/>
                <w:szCs w:val="20"/>
              </w:rPr>
              <w:t>12,837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60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60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602" w14:textId="77777777" w:rsidR="005C332D" w:rsidRDefault="00B93EAE">
            <w:pPr>
              <w:jc w:val="right"/>
              <w:textAlignment w:val="bottom"/>
            </w:pPr>
            <w:r>
              <w:rPr>
                <w:rFonts w:ascii="Times New Roman" w:eastAsia="宋体" w:hAnsi="Times New Roman"/>
                <w:color w:val="000000"/>
                <w:sz w:val="20"/>
                <w:szCs w:val="20"/>
              </w:rPr>
              <w:t>12,748 </w:t>
            </w:r>
          </w:p>
        </w:tc>
        <w:tc>
          <w:tcPr>
            <w:tcW w:w="0" w:type="auto"/>
            <w:shd w:val="clear" w:color="auto" w:fill="FFFFFF"/>
            <w:tcMar>
              <w:top w:w="40" w:type="dxa"/>
              <w:left w:w="0" w:type="dxa"/>
              <w:bottom w:w="40" w:type="dxa"/>
              <w:right w:w="20" w:type="dxa"/>
            </w:tcMar>
            <w:vAlign w:val="bottom"/>
          </w:tcPr>
          <w:p w14:paraId="518B6603" w14:textId="77777777" w:rsidR="005C332D" w:rsidRDefault="005C332D">
            <w:pPr>
              <w:jc w:val="right"/>
              <w:rPr>
                <w:rFonts w:ascii="宋体"/>
              </w:rPr>
            </w:pPr>
          </w:p>
        </w:tc>
      </w:tr>
      <w:tr w:rsidR="005C332D" w14:paraId="518B660E" w14:textId="77777777">
        <w:trPr>
          <w:jc w:val="center"/>
        </w:trPr>
        <w:tc>
          <w:tcPr>
            <w:tcW w:w="0" w:type="auto"/>
            <w:gridSpan w:val="3"/>
            <w:shd w:val="clear" w:color="auto" w:fill="CCEEFF"/>
            <w:tcMar>
              <w:top w:w="40" w:type="dxa"/>
              <w:left w:w="1235" w:type="dxa"/>
              <w:bottom w:w="40" w:type="dxa"/>
              <w:right w:w="20" w:type="dxa"/>
            </w:tcMar>
          </w:tcPr>
          <w:p w14:paraId="518B6605"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60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60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608" w14:textId="77777777" w:rsidR="005C332D" w:rsidRDefault="00B93EAE">
            <w:pPr>
              <w:jc w:val="right"/>
              <w:textAlignment w:val="bottom"/>
            </w:pPr>
            <w:r>
              <w:rPr>
                <w:rFonts w:ascii="Times New Roman" w:eastAsia="宋体" w:hAnsi="Times New Roman"/>
                <w:b/>
                <w:bCs/>
                <w:color w:val="000000"/>
                <w:sz w:val="20"/>
                <w:szCs w:val="20"/>
              </w:rPr>
              <w:t>23,264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60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60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60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60C" w14:textId="77777777" w:rsidR="005C332D" w:rsidRDefault="00B93EAE">
            <w:pPr>
              <w:jc w:val="right"/>
              <w:textAlignment w:val="bottom"/>
            </w:pPr>
            <w:r>
              <w:rPr>
                <w:rFonts w:ascii="Times New Roman" w:eastAsia="宋体" w:hAnsi="Times New Roman"/>
                <w:color w:val="000000"/>
                <w:sz w:val="20"/>
                <w:szCs w:val="20"/>
              </w:rPr>
              <w:t>22,164 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60D" w14:textId="77777777" w:rsidR="005C332D" w:rsidRDefault="005C332D">
            <w:pPr>
              <w:jc w:val="right"/>
              <w:rPr>
                <w:rFonts w:ascii="宋体"/>
              </w:rPr>
            </w:pPr>
          </w:p>
        </w:tc>
      </w:tr>
      <w:tr w:rsidR="005C332D" w14:paraId="518B6614" w14:textId="77777777">
        <w:trPr>
          <w:jc w:val="center"/>
        </w:trPr>
        <w:tc>
          <w:tcPr>
            <w:tcW w:w="0" w:type="auto"/>
            <w:gridSpan w:val="3"/>
            <w:shd w:val="clear" w:color="auto" w:fill="FFFFFF"/>
            <w:tcMar>
              <w:top w:w="40" w:type="dxa"/>
              <w:left w:w="20" w:type="dxa"/>
              <w:bottom w:w="40" w:type="dxa"/>
              <w:right w:w="20" w:type="dxa"/>
            </w:tcMar>
          </w:tcPr>
          <w:p w14:paraId="518B660F" w14:textId="77777777" w:rsidR="005C332D" w:rsidRDefault="00B93EAE">
            <w:pPr>
              <w:textAlignment w:val="top"/>
            </w:pPr>
            <w:r>
              <w:rPr>
                <w:rFonts w:ascii="Times New Roman" w:eastAsia="宋体" w:hAnsi="Times New Roman"/>
                <w:color w:val="000000"/>
                <w:sz w:val="20"/>
                <w:szCs w:val="20"/>
              </w:rPr>
              <w:t>Reported as:</w:t>
            </w:r>
          </w:p>
        </w:tc>
        <w:tc>
          <w:tcPr>
            <w:tcW w:w="0" w:type="auto"/>
            <w:gridSpan w:val="3"/>
            <w:shd w:val="clear" w:color="auto" w:fill="FFFFFF"/>
            <w:tcMar>
              <w:top w:w="0" w:type="dxa"/>
              <w:left w:w="20" w:type="dxa"/>
              <w:bottom w:w="0" w:type="dxa"/>
              <w:right w:w="20" w:type="dxa"/>
            </w:tcMar>
            <w:vAlign w:val="bottom"/>
          </w:tcPr>
          <w:p w14:paraId="518B6610"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661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612"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6613" w14:textId="77777777" w:rsidR="005C332D" w:rsidRDefault="005C332D">
            <w:pPr>
              <w:rPr>
                <w:rFonts w:ascii="宋体"/>
              </w:rPr>
            </w:pPr>
          </w:p>
        </w:tc>
      </w:tr>
      <w:tr w:rsidR="005C332D" w14:paraId="518B661E" w14:textId="77777777">
        <w:trPr>
          <w:jc w:val="center"/>
        </w:trPr>
        <w:tc>
          <w:tcPr>
            <w:tcW w:w="0" w:type="auto"/>
            <w:gridSpan w:val="3"/>
            <w:shd w:val="clear" w:color="auto" w:fill="CCEEFF"/>
            <w:tcMar>
              <w:top w:w="40" w:type="dxa"/>
              <w:left w:w="380" w:type="dxa"/>
              <w:bottom w:w="40" w:type="dxa"/>
              <w:right w:w="20" w:type="dxa"/>
            </w:tcMar>
          </w:tcPr>
          <w:p w14:paraId="518B6615" w14:textId="77777777" w:rsidR="005C332D" w:rsidRDefault="00B93EAE">
            <w:pPr>
              <w:textAlignment w:val="top"/>
            </w:pPr>
            <w:r>
              <w:rPr>
                <w:rFonts w:ascii="Times New Roman" w:eastAsia="宋体" w:hAnsi="Times New Roman"/>
                <w:color w:val="000000"/>
                <w:sz w:val="20"/>
                <w:szCs w:val="20"/>
              </w:rPr>
              <w:t>Current</w:t>
            </w:r>
          </w:p>
        </w:tc>
        <w:tc>
          <w:tcPr>
            <w:tcW w:w="0" w:type="auto"/>
            <w:gridSpan w:val="3"/>
            <w:shd w:val="clear" w:color="auto" w:fill="CCEEFF"/>
            <w:tcMar>
              <w:top w:w="0" w:type="dxa"/>
              <w:left w:w="20" w:type="dxa"/>
              <w:bottom w:w="0" w:type="dxa"/>
              <w:right w:w="20" w:type="dxa"/>
            </w:tcMar>
            <w:vAlign w:val="bottom"/>
          </w:tcPr>
          <w:p w14:paraId="518B661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617"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618" w14:textId="77777777" w:rsidR="005C332D" w:rsidRDefault="00B93EAE">
            <w:pPr>
              <w:jc w:val="right"/>
              <w:textAlignment w:val="bottom"/>
            </w:pPr>
            <w:r>
              <w:rPr>
                <w:rFonts w:ascii="Times New Roman" w:eastAsia="宋体" w:hAnsi="Times New Roman"/>
                <w:b/>
                <w:bCs/>
                <w:color w:val="000000"/>
                <w:sz w:val="20"/>
                <w:szCs w:val="20"/>
              </w:rPr>
              <w:t>12,784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61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61A"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61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61C" w14:textId="77777777" w:rsidR="005C332D" w:rsidRDefault="00B93EAE">
            <w:pPr>
              <w:jc w:val="right"/>
              <w:textAlignment w:val="bottom"/>
            </w:pPr>
            <w:r>
              <w:rPr>
                <w:rFonts w:ascii="Times New Roman" w:eastAsia="宋体" w:hAnsi="Times New Roman"/>
                <w:color w:val="000000"/>
                <w:sz w:val="20"/>
                <w:szCs w:val="20"/>
              </w:rPr>
              <w:t>12,148 </w:t>
            </w:r>
          </w:p>
        </w:tc>
        <w:tc>
          <w:tcPr>
            <w:tcW w:w="0" w:type="auto"/>
            <w:shd w:val="clear" w:color="auto" w:fill="CCEEFF"/>
            <w:tcMar>
              <w:top w:w="40" w:type="dxa"/>
              <w:left w:w="0" w:type="dxa"/>
              <w:bottom w:w="40" w:type="dxa"/>
              <w:right w:w="20" w:type="dxa"/>
            </w:tcMar>
            <w:vAlign w:val="bottom"/>
          </w:tcPr>
          <w:p w14:paraId="518B661D" w14:textId="77777777" w:rsidR="005C332D" w:rsidRDefault="005C332D">
            <w:pPr>
              <w:jc w:val="right"/>
              <w:rPr>
                <w:rFonts w:ascii="宋体"/>
              </w:rPr>
            </w:pPr>
          </w:p>
        </w:tc>
      </w:tr>
      <w:tr w:rsidR="005C332D" w14:paraId="518B6626" w14:textId="77777777">
        <w:trPr>
          <w:jc w:val="center"/>
        </w:trPr>
        <w:tc>
          <w:tcPr>
            <w:tcW w:w="0" w:type="auto"/>
            <w:gridSpan w:val="3"/>
            <w:shd w:val="clear" w:color="auto" w:fill="FFFFFF"/>
            <w:tcMar>
              <w:top w:w="40" w:type="dxa"/>
              <w:left w:w="380" w:type="dxa"/>
              <w:bottom w:w="40" w:type="dxa"/>
              <w:right w:w="20" w:type="dxa"/>
            </w:tcMar>
          </w:tcPr>
          <w:p w14:paraId="518B661F" w14:textId="77777777" w:rsidR="005C332D" w:rsidRDefault="00B93EAE">
            <w:pPr>
              <w:textAlignment w:val="top"/>
            </w:pPr>
            <w:r>
              <w:rPr>
                <w:rFonts w:ascii="Times New Roman" w:eastAsia="宋体" w:hAnsi="Times New Roman"/>
                <w:color w:val="000000"/>
                <w:sz w:val="20"/>
                <w:szCs w:val="20"/>
              </w:rPr>
              <w:t>Noncurrent</w:t>
            </w:r>
          </w:p>
        </w:tc>
        <w:tc>
          <w:tcPr>
            <w:tcW w:w="0" w:type="auto"/>
            <w:gridSpan w:val="3"/>
            <w:shd w:val="clear" w:color="auto" w:fill="FFFFFF"/>
            <w:tcMar>
              <w:top w:w="0" w:type="dxa"/>
              <w:left w:w="20" w:type="dxa"/>
              <w:bottom w:w="0" w:type="dxa"/>
              <w:right w:w="20" w:type="dxa"/>
            </w:tcMar>
            <w:vAlign w:val="bottom"/>
          </w:tcPr>
          <w:p w14:paraId="518B662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621" w14:textId="77777777" w:rsidR="005C332D" w:rsidRDefault="00B93EAE">
            <w:pPr>
              <w:jc w:val="right"/>
              <w:textAlignment w:val="bottom"/>
            </w:pPr>
            <w:r>
              <w:rPr>
                <w:rFonts w:ascii="Times New Roman" w:eastAsia="宋体" w:hAnsi="Times New Roman"/>
                <w:b/>
                <w:bCs/>
                <w:color w:val="000000"/>
                <w:sz w:val="20"/>
                <w:szCs w:val="20"/>
              </w:rPr>
              <w:t>10,480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62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62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624" w14:textId="77777777" w:rsidR="005C332D" w:rsidRDefault="00B93EAE">
            <w:pPr>
              <w:jc w:val="right"/>
              <w:textAlignment w:val="bottom"/>
            </w:pPr>
            <w:r>
              <w:rPr>
                <w:rFonts w:ascii="Times New Roman" w:eastAsia="宋体" w:hAnsi="Times New Roman"/>
                <w:color w:val="000000"/>
                <w:sz w:val="20"/>
                <w:szCs w:val="20"/>
              </w:rPr>
              <w:t>10,016 </w:t>
            </w:r>
          </w:p>
        </w:tc>
        <w:tc>
          <w:tcPr>
            <w:tcW w:w="0" w:type="auto"/>
            <w:shd w:val="clear" w:color="auto" w:fill="FFFFFF"/>
            <w:tcMar>
              <w:top w:w="40" w:type="dxa"/>
              <w:left w:w="0" w:type="dxa"/>
              <w:bottom w:w="40" w:type="dxa"/>
              <w:right w:w="20" w:type="dxa"/>
            </w:tcMar>
            <w:vAlign w:val="bottom"/>
          </w:tcPr>
          <w:p w14:paraId="518B6625" w14:textId="77777777" w:rsidR="005C332D" w:rsidRDefault="005C332D">
            <w:pPr>
              <w:jc w:val="right"/>
              <w:rPr>
                <w:rFonts w:ascii="宋体"/>
              </w:rPr>
            </w:pPr>
          </w:p>
        </w:tc>
      </w:tr>
      <w:tr w:rsidR="005C332D" w14:paraId="518B6630" w14:textId="77777777">
        <w:trPr>
          <w:jc w:val="center"/>
        </w:trPr>
        <w:tc>
          <w:tcPr>
            <w:tcW w:w="0" w:type="auto"/>
            <w:gridSpan w:val="3"/>
            <w:shd w:val="clear" w:color="auto" w:fill="CCEEFF"/>
            <w:tcMar>
              <w:top w:w="40" w:type="dxa"/>
              <w:left w:w="1235" w:type="dxa"/>
              <w:bottom w:w="40" w:type="dxa"/>
              <w:right w:w="20" w:type="dxa"/>
            </w:tcMar>
          </w:tcPr>
          <w:p w14:paraId="518B6627"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628"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62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62A" w14:textId="77777777" w:rsidR="005C332D" w:rsidRDefault="00B93EAE">
            <w:pPr>
              <w:jc w:val="right"/>
              <w:textAlignment w:val="bottom"/>
            </w:pPr>
            <w:r>
              <w:rPr>
                <w:rFonts w:ascii="Times New Roman" w:eastAsia="宋体" w:hAnsi="Times New Roman"/>
                <w:b/>
                <w:bCs/>
                <w:color w:val="000000"/>
                <w:sz w:val="20"/>
                <w:szCs w:val="20"/>
              </w:rPr>
              <w:t>23,264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62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62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62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62E" w14:textId="77777777" w:rsidR="005C332D" w:rsidRDefault="00B93EAE">
            <w:pPr>
              <w:jc w:val="right"/>
              <w:textAlignment w:val="bottom"/>
            </w:pPr>
            <w:r>
              <w:rPr>
                <w:rFonts w:ascii="Times New Roman" w:eastAsia="宋体" w:hAnsi="Times New Roman"/>
                <w:color w:val="000000"/>
                <w:sz w:val="20"/>
                <w:szCs w:val="20"/>
              </w:rPr>
              <w:t>22,164 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62F" w14:textId="77777777" w:rsidR="005C332D" w:rsidRDefault="005C332D">
            <w:pPr>
              <w:jc w:val="right"/>
              <w:rPr>
                <w:rFonts w:ascii="宋体"/>
              </w:rPr>
            </w:pPr>
          </w:p>
        </w:tc>
      </w:tr>
    </w:tbl>
    <w:p w14:paraId="518B6631" w14:textId="77777777" w:rsidR="005C332D" w:rsidRDefault="00B93EAE">
      <w:pPr>
        <w:spacing w:before="120"/>
        <w:jc w:val="both"/>
      </w:pPr>
      <w:r>
        <w:rPr>
          <w:rFonts w:ascii="Times New Roman" w:eastAsia="宋体" w:hAnsi="Times New Roman"/>
          <w:i/>
          <w:iCs/>
          <w:color w:val="000000"/>
          <w:sz w:val="20"/>
          <w:szCs w:val="20"/>
        </w:rPr>
        <w:t>Transition Tax Payable</w:t>
      </w:r>
    </w:p>
    <w:p w14:paraId="518B6632" w14:textId="77777777" w:rsidR="005C332D" w:rsidRDefault="00B93EAE">
      <w:pPr>
        <w:spacing w:before="120"/>
        <w:jc w:val="both"/>
      </w:pPr>
      <w:r>
        <w:rPr>
          <w:rFonts w:ascii="Times New Roman" w:eastAsia="宋体" w:hAnsi="Times New Roman"/>
          <w:color w:val="000000"/>
          <w:sz w:val="20"/>
          <w:szCs w:val="20"/>
        </w:rPr>
        <w:t xml:space="preserve">Our income tax </w:t>
      </w:r>
      <w:r>
        <w:rPr>
          <w:rFonts w:ascii="Times New Roman" w:eastAsia="宋体" w:hAnsi="Times New Roman"/>
          <w:color w:val="000000"/>
          <w:sz w:val="20"/>
          <w:szCs w:val="20"/>
        </w:rPr>
        <w:t>payable associated with the one-time U.S. transition tax on accumulated earnings for foreign subsidiaries as a result of the Tax Act is as follows (in millions):</w:t>
      </w:r>
    </w:p>
    <w:tbl>
      <w:tblPr>
        <w:tblW w:w="4963" w:type="pct"/>
        <w:tblCellMar>
          <w:top w:w="15" w:type="dxa"/>
          <w:left w:w="15" w:type="dxa"/>
          <w:bottom w:w="15" w:type="dxa"/>
          <w:right w:w="15" w:type="dxa"/>
        </w:tblCellMar>
        <w:tblLook w:val="04A0" w:firstRow="1" w:lastRow="0" w:firstColumn="1" w:lastColumn="0" w:noHBand="0" w:noVBand="1"/>
      </w:tblPr>
      <w:tblGrid>
        <w:gridCol w:w="39"/>
        <w:gridCol w:w="5580"/>
        <w:gridCol w:w="36"/>
        <w:gridCol w:w="36"/>
        <w:gridCol w:w="36"/>
        <w:gridCol w:w="36"/>
        <w:gridCol w:w="120"/>
        <w:gridCol w:w="1045"/>
        <w:gridCol w:w="36"/>
        <w:gridCol w:w="36"/>
        <w:gridCol w:w="36"/>
        <w:gridCol w:w="36"/>
        <w:gridCol w:w="120"/>
        <w:gridCol w:w="1046"/>
        <w:gridCol w:w="36"/>
      </w:tblGrid>
      <w:tr w:rsidR="005C332D" w14:paraId="518B6642" w14:textId="77777777">
        <w:tc>
          <w:tcPr>
            <w:tcW w:w="50" w:type="pct"/>
            <w:shd w:val="clear" w:color="auto" w:fill="auto"/>
            <w:vAlign w:val="bottom"/>
          </w:tcPr>
          <w:p w14:paraId="518B6633" w14:textId="77777777" w:rsidR="005C332D" w:rsidRDefault="005C332D">
            <w:pPr>
              <w:rPr>
                <w:rFonts w:ascii="宋体"/>
              </w:rPr>
            </w:pPr>
          </w:p>
        </w:tc>
        <w:tc>
          <w:tcPr>
            <w:tcW w:w="3398" w:type="pct"/>
            <w:shd w:val="clear" w:color="auto" w:fill="auto"/>
            <w:vAlign w:val="bottom"/>
          </w:tcPr>
          <w:p w14:paraId="518B6634" w14:textId="77777777" w:rsidR="005C332D" w:rsidRDefault="005C332D">
            <w:pPr>
              <w:rPr>
                <w:rFonts w:ascii="宋体"/>
              </w:rPr>
            </w:pPr>
          </w:p>
        </w:tc>
        <w:tc>
          <w:tcPr>
            <w:tcW w:w="5" w:type="pct"/>
            <w:shd w:val="clear" w:color="auto" w:fill="auto"/>
            <w:vAlign w:val="bottom"/>
          </w:tcPr>
          <w:p w14:paraId="518B6635" w14:textId="77777777" w:rsidR="005C332D" w:rsidRDefault="005C332D">
            <w:pPr>
              <w:rPr>
                <w:rFonts w:ascii="宋体"/>
              </w:rPr>
            </w:pPr>
          </w:p>
        </w:tc>
        <w:tc>
          <w:tcPr>
            <w:tcW w:w="5" w:type="pct"/>
            <w:shd w:val="clear" w:color="auto" w:fill="auto"/>
            <w:vAlign w:val="bottom"/>
          </w:tcPr>
          <w:p w14:paraId="518B6636" w14:textId="77777777" w:rsidR="005C332D" w:rsidRDefault="005C332D">
            <w:pPr>
              <w:rPr>
                <w:rFonts w:ascii="宋体"/>
              </w:rPr>
            </w:pPr>
          </w:p>
        </w:tc>
        <w:tc>
          <w:tcPr>
            <w:tcW w:w="26" w:type="pct"/>
            <w:shd w:val="clear" w:color="auto" w:fill="auto"/>
            <w:vAlign w:val="bottom"/>
          </w:tcPr>
          <w:p w14:paraId="518B6637" w14:textId="77777777" w:rsidR="005C332D" w:rsidRDefault="005C332D">
            <w:pPr>
              <w:rPr>
                <w:rFonts w:ascii="宋体"/>
              </w:rPr>
            </w:pPr>
          </w:p>
        </w:tc>
        <w:tc>
          <w:tcPr>
            <w:tcW w:w="5" w:type="pct"/>
            <w:shd w:val="clear" w:color="auto" w:fill="auto"/>
            <w:vAlign w:val="bottom"/>
          </w:tcPr>
          <w:p w14:paraId="518B6638" w14:textId="77777777" w:rsidR="005C332D" w:rsidRDefault="005C332D">
            <w:pPr>
              <w:rPr>
                <w:rFonts w:ascii="宋体"/>
              </w:rPr>
            </w:pPr>
          </w:p>
        </w:tc>
        <w:tc>
          <w:tcPr>
            <w:tcW w:w="50" w:type="pct"/>
            <w:shd w:val="clear" w:color="auto" w:fill="auto"/>
            <w:vAlign w:val="bottom"/>
          </w:tcPr>
          <w:p w14:paraId="518B6639" w14:textId="77777777" w:rsidR="005C332D" w:rsidRDefault="005C332D">
            <w:pPr>
              <w:rPr>
                <w:rFonts w:ascii="宋体"/>
              </w:rPr>
            </w:pPr>
          </w:p>
        </w:tc>
        <w:tc>
          <w:tcPr>
            <w:tcW w:w="681" w:type="pct"/>
            <w:shd w:val="clear" w:color="auto" w:fill="auto"/>
            <w:vAlign w:val="bottom"/>
          </w:tcPr>
          <w:p w14:paraId="518B663A" w14:textId="77777777" w:rsidR="005C332D" w:rsidRDefault="005C332D">
            <w:pPr>
              <w:rPr>
                <w:rFonts w:ascii="宋体"/>
              </w:rPr>
            </w:pPr>
          </w:p>
        </w:tc>
        <w:tc>
          <w:tcPr>
            <w:tcW w:w="5" w:type="pct"/>
            <w:shd w:val="clear" w:color="auto" w:fill="auto"/>
            <w:vAlign w:val="bottom"/>
          </w:tcPr>
          <w:p w14:paraId="518B663B" w14:textId="77777777" w:rsidR="005C332D" w:rsidRDefault="005C332D">
            <w:pPr>
              <w:rPr>
                <w:rFonts w:ascii="宋体"/>
              </w:rPr>
            </w:pPr>
          </w:p>
        </w:tc>
        <w:tc>
          <w:tcPr>
            <w:tcW w:w="5" w:type="pct"/>
            <w:shd w:val="clear" w:color="auto" w:fill="auto"/>
            <w:vAlign w:val="bottom"/>
          </w:tcPr>
          <w:p w14:paraId="518B663C" w14:textId="77777777" w:rsidR="005C332D" w:rsidRDefault="005C332D">
            <w:pPr>
              <w:rPr>
                <w:rFonts w:ascii="宋体"/>
              </w:rPr>
            </w:pPr>
          </w:p>
        </w:tc>
        <w:tc>
          <w:tcPr>
            <w:tcW w:w="26" w:type="pct"/>
            <w:shd w:val="clear" w:color="auto" w:fill="auto"/>
            <w:vAlign w:val="bottom"/>
          </w:tcPr>
          <w:p w14:paraId="518B663D" w14:textId="77777777" w:rsidR="005C332D" w:rsidRDefault="005C332D">
            <w:pPr>
              <w:rPr>
                <w:rFonts w:ascii="宋体"/>
              </w:rPr>
            </w:pPr>
          </w:p>
        </w:tc>
        <w:tc>
          <w:tcPr>
            <w:tcW w:w="5" w:type="pct"/>
            <w:shd w:val="clear" w:color="auto" w:fill="auto"/>
            <w:vAlign w:val="bottom"/>
          </w:tcPr>
          <w:p w14:paraId="518B663E" w14:textId="77777777" w:rsidR="005C332D" w:rsidRDefault="005C332D">
            <w:pPr>
              <w:rPr>
                <w:rFonts w:ascii="宋体"/>
              </w:rPr>
            </w:pPr>
          </w:p>
        </w:tc>
        <w:tc>
          <w:tcPr>
            <w:tcW w:w="50" w:type="pct"/>
            <w:shd w:val="clear" w:color="auto" w:fill="auto"/>
            <w:vAlign w:val="bottom"/>
          </w:tcPr>
          <w:p w14:paraId="518B663F" w14:textId="77777777" w:rsidR="005C332D" w:rsidRDefault="005C332D">
            <w:pPr>
              <w:rPr>
                <w:rFonts w:ascii="宋体"/>
              </w:rPr>
            </w:pPr>
          </w:p>
        </w:tc>
        <w:tc>
          <w:tcPr>
            <w:tcW w:w="681" w:type="pct"/>
            <w:shd w:val="clear" w:color="auto" w:fill="auto"/>
            <w:vAlign w:val="bottom"/>
          </w:tcPr>
          <w:p w14:paraId="518B6640" w14:textId="77777777" w:rsidR="005C332D" w:rsidRDefault="005C332D">
            <w:pPr>
              <w:rPr>
                <w:rFonts w:ascii="宋体"/>
              </w:rPr>
            </w:pPr>
          </w:p>
        </w:tc>
        <w:tc>
          <w:tcPr>
            <w:tcW w:w="5" w:type="pct"/>
            <w:shd w:val="clear" w:color="auto" w:fill="auto"/>
            <w:vAlign w:val="bottom"/>
          </w:tcPr>
          <w:p w14:paraId="518B6641" w14:textId="77777777" w:rsidR="005C332D" w:rsidRDefault="005C332D">
            <w:pPr>
              <w:rPr>
                <w:rFonts w:ascii="宋体"/>
              </w:rPr>
            </w:pPr>
          </w:p>
        </w:tc>
      </w:tr>
      <w:tr w:rsidR="005C332D" w14:paraId="518B6648" w14:textId="77777777">
        <w:tc>
          <w:tcPr>
            <w:tcW w:w="0" w:type="auto"/>
            <w:gridSpan w:val="3"/>
            <w:shd w:val="clear" w:color="auto" w:fill="auto"/>
            <w:tcMar>
              <w:top w:w="0" w:type="dxa"/>
              <w:left w:w="20" w:type="dxa"/>
              <w:bottom w:w="0" w:type="dxa"/>
              <w:right w:w="20" w:type="dxa"/>
            </w:tcMar>
            <w:vAlign w:val="bottom"/>
          </w:tcPr>
          <w:p w14:paraId="518B664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64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645"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64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647"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6652" w14:textId="77777777">
        <w:tc>
          <w:tcPr>
            <w:tcW w:w="0" w:type="auto"/>
            <w:gridSpan w:val="3"/>
            <w:shd w:val="clear" w:color="auto" w:fill="CCEEFF"/>
            <w:tcMar>
              <w:top w:w="40" w:type="dxa"/>
              <w:left w:w="380" w:type="dxa"/>
              <w:bottom w:w="40" w:type="dxa"/>
              <w:right w:w="20" w:type="dxa"/>
            </w:tcMar>
          </w:tcPr>
          <w:p w14:paraId="518B6649" w14:textId="77777777" w:rsidR="005C332D" w:rsidRDefault="00B93EAE">
            <w:pPr>
              <w:textAlignment w:val="top"/>
            </w:pPr>
            <w:r>
              <w:rPr>
                <w:rFonts w:ascii="Times New Roman" w:eastAsia="宋体" w:hAnsi="Times New Roman"/>
                <w:color w:val="000000"/>
                <w:sz w:val="20"/>
                <w:szCs w:val="20"/>
              </w:rPr>
              <w:t>Current</w:t>
            </w:r>
          </w:p>
        </w:tc>
        <w:tc>
          <w:tcPr>
            <w:tcW w:w="0" w:type="auto"/>
            <w:gridSpan w:val="3"/>
            <w:shd w:val="clear" w:color="auto" w:fill="CCEEFF"/>
            <w:tcMar>
              <w:top w:w="0" w:type="dxa"/>
              <w:left w:w="20" w:type="dxa"/>
              <w:bottom w:w="0" w:type="dxa"/>
              <w:right w:w="20" w:type="dxa"/>
            </w:tcMar>
            <w:vAlign w:val="bottom"/>
          </w:tcPr>
          <w:p w14:paraId="518B664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64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64C" w14:textId="77777777" w:rsidR="005C332D" w:rsidRDefault="00B93EAE">
            <w:pPr>
              <w:jc w:val="right"/>
              <w:textAlignment w:val="bottom"/>
            </w:pPr>
            <w:r>
              <w:rPr>
                <w:rFonts w:ascii="Times New Roman" w:eastAsia="宋体" w:hAnsi="Times New Roman"/>
                <w:b/>
                <w:bCs/>
                <w:color w:val="000000"/>
                <w:sz w:val="20"/>
                <w:szCs w:val="20"/>
              </w:rPr>
              <w:t>727</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64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64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64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650" w14:textId="77777777" w:rsidR="005C332D" w:rsidRDefault="00B93EAE">
            <w:pPr>
              <w:jc w:val="right"/>
              <w:textAlignment w:val="bottom"/>
            </w:pPr>
            <w:r>
              <w:rPr>
                <w:rFonts w:ascii="Times New Roman" w:eastAsia="宋体" w:hAnsi="Times New Roman"/>
                <w:color w:val="000000"/>
                <w:sz w:val="20"/>
                <w:szCs w:val="20"/>
              </w:rPr>
              <w:t>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651" w14:textId="77777777" w:rsidR="005C332D" w:rsidRDefault="005C332D">
            <w:pPr>
              <w:jc w:val="right"/>
              <w:rPr>
                <w:rFonts w:ascii="宋体"/>
              </w:rPr>
            </w:pPr>
          </w:p>
        </w:tc>
      </w:tr>
      <w:tr w:rsidR="005C332D" w14:paraId="518B665A" w14:textId="77777777">
        <w:tc>
          <w:tcPr>
            <w:tcW w:w="0" w:type="auto"/>
            <w:gridSpan w:val="3"/>
            <w:shd w:val="clear" w:color="auto" w:fill="FFFFFF"/>
            <w:tcMar>
              <w:top w:w="40" w:type="dxa"/>
              <w:left w:w="380" w:type="dxa"/>
              <w:bottom w:w="40" w:type="dxa"/>
              <w:right w:w="20" w:type="dxa"/>
            </w:tcMar>
          </w:tcPr>
          <w:p w14:paraId="518B6653" w14:textId="77777777" w:rsidR="005C332D" w:rsidRDefault="00B93EAE">
            <w:pPr>
              <w:textAlignment w:val="top"/>
            </w:pPr>
            <w:r>
              <w:rPr>
                <w:rFonts w:ascii="Times New Roman" w:eastAsia="宋体" w:hAnsi="Times New Roman"/>
                <w:color w:val="000000"/>
                <w:sz w:val="20"/>
                <w:szCs w:val="20"/>
              </w:rPr>
              <w:t>Noncurrent</w:t>
            </w:r>
          </w:p>
        </w:tc>
        <w:tc>
          <w:tcPr>
            <w:tcW w:w="0" w:type="auto"/>
            <w:gridSpan w:val="3"/>
            <w:shd w:val="clear" w:color="auto" w:fill="FFFFFF"/>
            <w:tcMar>
              <w:top w:w="0" w:type="dxa"/>
              <w:left w:w="20" w:type="dxa"/>
              <w:bottom w:w="0" w:type="dxa"/>
              <w:right w:w="20" w:type="dxa"/>
            </w:tcMar>
            <w:vAlign w:val="bottom"/>
          </w:tcPr>
          <w:p w14:paraId="518B665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655" w14:textId="77777777" w:rsidR="005C332D" w:rsidRDefault="00B93EAE">
            <w:pPr>
              <w:jc w:val="right"/>
              <w:textAlignment w:val="bottom"/>
            </w:pPr>
            <w:r>
              <w:rPr>
                <w:rFonts w:ascii="Times New Roman" w:eastAsia="宋体" w:hAnsi="Times New Roman"/>
                <w:b/>
                <w:bCs/>
                <w:color w:val="000000"/>
                <w:sz w:val="20"/>
                <w:szCs w:val="20"/>
              </w:rPr>
              <w:t>5,456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65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65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658" w14:textId="77777777" w:rsidR="005C332D" w:rsidRDefault="00B93EAE">
            <w:pPr>
              <w:jc w:val="right"/>
              <w:textAlignment w:val="bottom"/>
            </w:pPr>
            <w:r>
              <w:rPr>
                <w:rFonts w:ascii="Times New Roman" w:eastAsia="宋体" w:hAnsi="Times New Roman"/>
                <w:color w:val="000000"/>
                <w:sz w:val="20"/>
                <w:szCs w:val="20"/>
              </w:rPr>
              <w:t>6,183 </w:t>
            </w:r>
          </w:p>
        </w:tc>
        <w:tc>
          <w:tcPr>
            <w:tcW w:w="0" w:type="auto"/>
            <w:shd w:val="clear" w:color="auto" w:fill="FFFFFF"/>
            <w:tcMar>
              <w:top w:w="40" w:type="dxa"/>
              <w:left w:w="0" w:type="dxa"/>
              <w:bottom w:w="40" w:type="dxa"/>
              <w:right w:w="20" w:type="dxa"/>
            </w:tcMar>
            <w:vAlign w:val="bottom"/>
          </w:tcPr>
          <w:p w14:paraId="518B6659" w14:textId="77777777" w:rsidR="005C332D" w:rsidRDefault="005C332D">
            <w:pPr>
              <w:jc w:val="right"/>
              <w:rPr>
                <w:rFonts w:ascii="宋体"/>
              </w:rPr>
            </w:pPr>
          </w:p>
        </w:tc>
      </w:tr>
      <w:tr w:rsidR="005C332D" w14:paraId="518B6664" w14:textId="77777777">
        <w:tc>
          <w:tcPr>
            <w:tcW w:w="0" w:type="auto"/>
            <w:gridSpan w:val="3"/>
            <w:shd w:val="clear" w:color="auto" w:fill="CCEEFF"/>
            <w:tcMar>
              <w:top w:w="40" w:type="dxa"/>
              <w:left w:w="1235" w:type="dxa"/>
              <w:bottom w:w="40" w:type="dxa"/>
              <w:right w:w="20" w:type="dxa"/>
            </w:tcMar>
          </w:tcPr>
          <w:p w14:paraId="518B665B"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665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65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65E" w14:textId="77777777" w:rsidR="005C332D" w:rsidRDefault="00B93EAE">
            <w:pPr>
              <w:jc w:val="right"/>
              <w:textAlignment w:val="bottom"/>
            </w:pPr>
            <w:r>
              <w:rPr>
                <w:rFonts w:ascii="Times New Roman" w:eastAsia="宋体" w:hAnsi="Times New Roman"/>
                <w:b/>
                <w:bCs/>
                <w:color w:val="000000"/>
                <w:sz w:val="20"/>
                <w:szCs w:val="20"/>
              </w:rPr>
              <w:t>6,183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65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660"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66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662" w14:textId="77777777" w:rsidR="005C332D" w:rsidRDefault="00B93EAE">
            <w:pPr>
              <w:jc w:val="right"/>
              <w:textAlignment w:val="bottom"/>
            </w:pPr>
            <w:r>
              <w:rPr>
                <w:rFonts w:ascii="Times New Roman" w:eastAsia="宋体" w:hAnsi="Times New Roman"/>
                <w:color w:val="000000"/>
                <w:sz w:val="20"/>
                <w:szCs w:val="20"/>
              </w:rPr>
              <w:t>6,910 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663" w14:textId="77777777" w:rsidR="005C332D" w:rsidRDefault="005C332D">
            <w:pPr>
              <w:jc w:val="right"/>
              <w:rPr>
                <w:rFonts w:ascii="宋体"/>
              </w:rPr>
            </w:pPr>
          </w:p>
        </w:tc>
      </w:tr>
    </w:tbl>
    <w:p w14:paraId="518B6665" w14:textId="77777777" w:rsidR="005C332D" w:rsidRDefault="00B93EAE">
      <w:pPr>
        <w:jc w:val="center"/>
      </w:pPr>
      <w:r>
        <w:rPr>
          <w:rFonts w:ascii="Times New Roman" w:eastAsia="宋体" w:hAnsi="Times New Roman"/>
          <w:color w:val="000000"/>
          <w:sz w:val="20"/>
          <w:szCs w:val="20"/>
        </w:rPr>
        <w:t>76</w:t>
      </w:r>
    </w:p>
    <w:p w14:paraId="518B6666" w14:textId="77777777" w:rsidR="005C332D" w:rsidRDefault="00B93EAE">
      <w:r>
        <w:pict w14:anchorId="518B8761">
          <v:rect id="_x0000_i1102" style="width:415.3pt;height:1.5pt" o:hralign="center" o:hrstd="t" o:hr="t" fillcolor="#a0a0a0" stroked="f"/>
        </w:pict>
      </w:r>
    </w:p>
    <w:p w14:paraId="518B6667" w14:textId="77777777" w:rsidR="005C332D" w:rsidRDefault="005C332D"/>
    <w:p w14:paraId="518B6668" w14:textId="77777777" w:rsidR="005C332D" w:rsidRDefault="00B93EAE">
      <w:pPr>
        <w:ind w:hanging="360"/>
      </w:pPr>
      <w:r>
        <w:rPr>
          <w:rFonts w:ascii="Times New Roman" w:eastAsia="宋体" w:hAnsi="Times New Roman"/>
          <w:b/>
          <w:bCs/>
          <w:color w:val="000000"/>
          <w:sz w:val="20"/>
          <w:szCs w:val="20"/>
        </w:rPr>
        <w:t>8.Leases</w:t>
      </w:r>
    </w:p>
    <w:p w14:paraId="518B6669" w14:textId="77777777" w:rsidR="005C332D" w:rsidRDefault="00B93EAE">
      <w:pPr>
        <w:spacing w:before="120"/>
        <w:ind w:hanging="360"/>
        <w:jc w:val="both"/>
      </w:pPr>
      <w:r>
        <w:rPr>
          <w:rFonts w:ascii="Times New Roman" w:eastAsia="宋体" w:hAnsi="Times New Roman"/>
          <w:b/>
          <w:bCs/>
          <w:color w:val="000000"/>
          <w:sz w:val="20"/>
          <w:szCs w:val="20"/>
        </w:rPr>
        <w:t>(a)Lessee Arrangements</w:t>
      </w:r>
    </w:p>
    <w:p w14:paraId="518B666A" w14:textId="77777777" w:rsidR="005C332D" w:rsidRDefault="00B93EAE">
      <w:pPr>
        <w:spacing w:before="120"/>
        <w:jc w:val="both"/>
      </w:pPr>
      <w:r>
        <w:rPr>
          <w:rFonts w:ascii="Times New Roman" w:eastAsia="宋体" w:hAnsi="Times New Roman"/>
          <w:color w:val="000000"/>
          <w:sz w:val="20"/>
          <w:szCs w:val="20"/>
        </w:rPr>
        <w:t>The following table presents our operating lease balances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3297"/>
        <w:gridCol w:w="37"/>
        <w:gridCol w:w="46"/>
        <w:gridCol w:w="1859"/>
        <w:gridCol w:w="38"/>
        <w:gridCol w:w="36"/>
        <w:gridCol w:w="36"/>
        <w:gridCol w:w="36"/>
        <w:gridCol w:w="120"/>
        <w:gridCol w:w="1242"/>
        <w:gridCol w:w="36"/>
        <w:gridCol w:w="36"/>
        <w:gridCol w:w="36"/>
        <w:gridCol w:w="36"/>
        <w:gridCol w:w="120"/>
        <w:gridCol w:w="1243"/>
        <w:gridCol w:w="36"/>
      </w:tblGrid>
      <w:tr w:rsidR="005C332D" w14:paraId="518B667D" w14:textId="77777777">
        <w:tc>
          <w:tcPr>
            <w:tcW w:w="50" w:type="pct"/>
            <w:shd w:val="clear" w:color="auto" w:fill="auto"/>
            <w:vAlign w:val="bottom"/>
          </w:tcPr>
          <w:p w14:paraId="518B666B" w14:textId="77777777" w:rsidR="005C332D" w:rsidRDefault="005C332D">
            <w:pPr>
              <w:rPr>
                <w:rFonts w:ascii="宋体"/>
              </w:rPr>
            </w:pPr>
          </w:p>
        </w:tc>
        <w:tc>
          <w:tcPr>
            <w:tcW w:w="1999" w:type="pct"/>
            <w:shd w:val="clear" w:color="auto" w:fill="auto"/>
            <w:vAlign w:val="bottom"/>
          </w:tcPr>
          <w:p w14:paraId="518B666C" w14:textId="77777777" w:rsidR="005C332D" w:rsidRDefault="005C332D">
            <w:pPr>
              <w:rPr>
                <w:rFonts w:ascii="宋体"/>
              </w:rPr>
            </w:pPr>
          </w:p>
        </w:tc>
        <w:tc>
          <w:tcPr>
            <w:tcW w:w="5" w:type="pct"/>
            <w:shd w:val="clear" w:color="auto" w:fill="auto"/>
            <w:vAlign w:val="bottom"/>
          </w:tcPr>
          <w:p w14:paraId="518B666D" w14:textId="77777777" w:rsidR="005C332D" w:rsidRDefault="005C332D">
            <w:pPr>
              <w:rPr>
                <w:rFonts w:ascii="宋体"/>
              </w:rPr>
            </w:pPr>
          </w:p>
        </w:tc>
        <w:tc>
          <w:tcPr>
            <w:tcW w:w="50" w:type="pct"/>
            <w:shd w:val="clear" w:color="auto" w:fill="auto"/>
            <w:vAlign w:val="bottom"/>
          </w:tcPr>
          <w:p w14:paraId="518B666E" w14:textId="77777777" w:rsidR="005C332D" w:rsidRDefault="005C332D">
            <w:pPr>
              <w:rPr>
                <w:rFonts w:ascii="宋体"/>
              </w:rPr>
            </w:pPr>
          </w:p>
        </w:tc>
        <w:tc>
          <w:tcPr>
            <w:tcW w:w="1136" w:type="pct"/>
            <w:shd w:val="clear" w:color="auto" w:fill="auto"/>
            <w:vAlign w:val="bottom"/>
          </w:tcPr>
          <w:p w14:paraId="518B666F" w14:textId="77777777" w:rsidR="005C332D" w:rsidRDefault="005C332D">
            <w:pPr>
              <w:rPr>
                <w:rFonts w:ascii="宋体"/>
              </w:rPr>
            </w:pPr>
          </w:p>
        </w:tc>
        <w:tc>
          <w:tcPr>
            <w:tcW w:w="5" w:type="pct"/>
            <w:shd w:val="clear" w:color="auto" w:fill="auto"/>
            <w:vAlign w:val="bottom"/>
          </w:tcPr>
          <w:p w14:paraId="518B6670" w14:textId="77777777" w:rsidR="005C332D" w:rsidRDefault="005C332D">
            <w:pPr>
              <w:rPr>
                <w:rFonts w:ascii="宋体"/>
              </w:rPr>
            </w:pPr>
          </w:p>
        </w:tc>
        <w:tc>
          <w:tcPr>
            <w:tcW w:w="5" w:type="pct"/>
            <w:shd w:val="clear" w:color="auto" w:fill="auto"/>
            <w:vAlign w:val="bottom"/>
          </w:tcPr>
          <w:p w14:paraId="518B6671" w14:textId="77777777" w:rsidR="005C332D" w:rsidRDefault="005C332D">
            <w:pPr>
              <w:rPr>
                <w:rFonts w:ascii="宋体"/>
              </w:rPr>
            </w:pPr>
          </w:p>
        </w:tc>
        <w:tc>
          <w:tcPr>
            <w:tcW w:w="26" w:type="pct"/>
            <w:shd w:val="clear" w:color="auto" w:fill="auto"/>
            <w:vAlign w:val="bottom"/>
          </w:tcPr>
          <w:p w14:paraId="518B6672" w14:textId="77777777" w:rsidR="005C332D" w:rsidRDefault="005C332D">
            <w:pPr>
              <w:rPr>
                <w:rFonts w:ascii="宋体"/>
              </w:rPr>
            </w:pPr>
          </w:p>
        </w:tc>
        <w:tc>
          <w:tcPr>
            <w:tcW w:w="5" w:type="pct"/>
            <w:shd w:val="clear" w:color="auto" w:fill="auto"/>
            <w:vAlign w:val="bottom"/>
          </w:tcPr>
          <w:p w14:paraId="518B6673" w14:textId="77777777" w:rsidR="005C332D" w:rsidRDefault="005C332D">
            <w:pPr>
              <w:rPr>
                <w:rFonts w:ascii="宋体"/>
              </w:rPr>
            </w:pPr>
          </w:p>
        </w:tc>
        <w:tc>
          <w:tcPr>
            <w:tcW w:w="50" w:type="pct"/>
            <w:shd w:val="clear" w:color="auto" w:fill="auto"/>
            <w:vAlign w:val="bottom"/>
          </w:tcPr>
          <w:p w14:paraId="518B6674" w14:textId="77777777" w:rsidR="005C332D" w:rsidRDefault="005C332D">
            <w:pPr>
              <w:rPr>
                <w:rFonts w:ascii="宋体"/>
              </w:rPr>
            </w:pPr>
          </w:p>
        </w:tc>
        <w:tc>
          <w:tcPr>
            <w:tcW w:w="785" w:type="pct"/>
            <w:shd w:val="clear" w:color="auto" w:fill="auto"/>
            <w:vAlign w:val="bottom"/>
          </w:tcPr>
          <w:p w14:paraId="518B6675" w14:textId="77777777" w:rsidR="005C332D" w:rsidRDefault="005C332D">
            <w:pPr>
              <w:rPr>
                <w:rFonts w:ascii="宋体"/>
              </w:rPr>
            </w:pPr>
          </w:p>
        </w:tc>
        <w:tc>
          <w:tcPr>
            <w:tcW w:w="5" w:type="pct"/>
            <w:shd w:val="clear" w:color="auto" w:fill="auto"/>
            <w:vAlign w:val="bottom"/>
          </w:tcPr>
          <w:p w14:paraId="518B6676" w14:textId="77777777" w:rsidR="005C332D" w:rsidRDefault="005C332D">
            <w:pPr>
              <w:rPr>
                <w:rFonts w:ascii="宋体"/>
              </w:rPr>
            </w:pPr>
          </w:p>
        </w:tc>
        <w:tc>
          <w:tcPr>
            <w:tcW w:w="5" w:type="pct"/>
            <w:shd w:val="clear" w:color="auto" w:fill="auto"/>
            <w:vAlign w:val="bottom"/>
          </w:tcPr>
          <w:p w14:paraId="518B6677" w14:textId="77777777" w:rsidR="005C332D" w:rsidRDefault="005C332D">
            <w:pPr>
              <w:rPr>
                <w:rFonts w:ascii="宋体"/>
              </w:rPr>
            </w:pPr>
          </w:p>
        </w:tc>
        <w:tc>
          <w:tcPr>
            <w:tcW w:w="26" w:type="pct"/>
            <w:shd w:val="clear" w:color="auto" w:fill="auto"/>
            <w:vAlign w:val="bottom"/>
          </w:tcPr>
          <w:p w14:paraId="518B6678" w14:textId="77777777" w:rsidR="005C332D" w:rsidRDefault="005C332D">
            <w:pPr>
              <w:rPr>
                <w:rFonts w:ascii="宋体"/>
              </w:rPr>
            </w:pPr>
          </w:p>
        </w:tc>
        <w:tc>
          <w:tcPr>
            <w:tcW w:w="5" w:type="pct"/>
            <w:shd w:val="clear" w:color="auto" w:fill="auto"/>
            <w:vAlign w:val="bottom"/>
          </w:tcPr>
          <w:p w14:paraId="518B6679" w14:textId="77777777" w:rsidR="005C332D" w:rsidRDefault="005C332D">
            <w:pPr>
              <w:rPr>
                <w:rFonts w:ascii="宋体"/>
              </w:rPr>
            </w:pPr>
          </w:p>
        </w:tc>
        <w:tc>
          <w:tcPr>
            <w:tcW w:w="50" w:type="pct"/>
            <w:shd w:val="clear" w:color="auto" w:fill="auto"/>
            <w:vAlign w:val="bottom"/>
          </w:tcPr>
          <w:p w14:paraId="518B667A" w14:textId="77777777" w:rsidR="005C332D" w:rsidRDefault="005C332D">
            <w:pPr>
              <w:rPr>
                <w:rFonts w:ascii="宋体"/>
              </w:rPr>
            </w:pPr>
          </w:p>
        </w:tc>
        <w:tc>
          <w:tcPr>
            <w:tcW w:w="785" w:type="pct"/>
            <w:shd w:val="clear" w:color="auto" w:fill="auto"/>
            <w:vAlign w:val="bottom"/>
          </w:tcPr>
          <w:p w14:paraId="518B667B" w14:textId="77777777" w:rsidR="005C332D" w:rsidRDefault="005C332D">
            <w:pPr>
              <w:rPr>
                <w:rFonts w:ascii="宋体"/>
              </w:rPr>
            </w:pPr>
          </w:p>
        </w:tc>
        <w:tc>
          <w:tcPr>
            <w:tcW w:w="5" w:type="pct"/>
            <w:shd w:val="clear" w:color="auto" w:fill="auto"/>
            <w:vAlign w:val="bottom"/>
          </w:tcPr>
          <w:p w14:paraId="518B667C" w14:textId="77777777" w:rsidR="005C332D" w:rsidRDefault="005C332D">
            <w:pPr>
              <w:rPr>
                <w:rFonts w:ascii="宋体"/>
              </w:rPr>
            </w:pPr>
          </w:p>
        </w:tc>
      </w:tr>
      <w:tr w:rsidR="005C332D" w14:paraId="518B6684" w14:textId="77777777">
        <w:tc>
          <w:tcPr>
            <w:tcW w:w="0" w:type="auto"/>
            <w:gridSpan w:val="3"/>
            <w:shd w:val="clear" w:color="auto" w:fill="auto"/>
            <w:tcMar>
              <w:top w:w="0" w:type="dxa"/>
              <w:left w:w="20" w:type="dxa"/>
              <w:bottom w:w="0" w:type="dxa"/>
              <w:right w:w="20" w:type="dxa"/>
            </w:tcMar>
            <w:vAlign w:val="bottom"/>
          </w:tcPr>
          <w:p w14:paraId="518B667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67F" w14:textId="77777777" w:rsidR="005C332D" w:rsidRDefault="00B93EAE">
            <w:pPr>
              <w:jc w:val="center"/>
              <w:textAlignment w:val="bottom"/>
            </w:pPr>
            <w:r>
              <w:rPr>
                <w:rFonts w:ascii="Times New Roman" w:eastAsia="宋体" w:hAnsi="Times New Roman"/>
                <w:color w:val="000000"/>
                <w:sz w:val="18"/>
                <w:szCs w:val="18"/>
              </w:rPr>
              <w:t>Balance Sheet Line Item</w:t>
            </w:r>
          </w:p>
        </w:tc>
        <w:tc>
          <w:tcPr>
            <w:tcW w:w="0" w:type="auto"/>
            <w:gridSpan w:val="3"/>
            <w:shd w:val="clear" w:color="auto" w:fill="auto"/>
            <w:tcMar>
              <w:top w:w="0" w:type="dxa"/>
              <w:left w:w="20" w:type="dxa"/>
              <w:bottom w:w="0" w:type="dxa"/>
              <w:right w:w="20" w:type="dxa"/>
            </w:tcMar>
            <w:vAlign w:val="bottom"/>
          </w:tcPr>
          <w:p w14:paraId="518B668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681"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68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683"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668F" w14:textId="77777777">
        <w:tc>
          <w:tcPr>
            <w:tcW w:w="0" w:type="auto"/>
            <w:gridSpan w:val="3"/>
            <w:shd w:val="clear" w:color="auto" w:fill="CCEEFF"/>
            <w:tcMar>
              <w:top w:w="40" w:type="dxa"/>
              <w:left w:w="20" w:type="dxa"/>
              <w:bottom w:w="40" w:type="dxa"/>
              <w:right w:w="20" w:type="dxa"/>
            </w:tcMar>
          </w:tcPr>
          <w:p w14:paraId="518B6685" w14:textId="77777777" w:rsidR="005C332D" w:rsidRDefault="00B93EAE">
            <w:pPr>
              <w:textAlignment w:val="top"/>
            </w:pPr>
            <w:r>
              <w:rPr>
                <w:rFonts w:ascii="Times New Roman" w:eastAsia="宋体" w:hAnsi="Times New Roman"/>
                <w:color w:val="000000"/>
                <w:sz w:val="20"/>
                <w:szCs w:val="20"/>
              </w:rPr>
              <w:t>Operating lease right-of-use 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6686" w14:textId="77777777" w:rsidR="005C332D" w:rsidRDefault="00B93EAE">
            <w:pPr>
              <w:textAlignment w:val="bottom"/>
            </w:pPr>
            <w:r>
              <w:rPr>
                <w:rFonts w:ascii="Times New Roman" w:eastAsia="宋体" w:hAnsi="Times New Roman"/>
                <w:color w:val="000000"/>
                <w:sz w:val="20"/>
                <w:szCs w:val="20"/>
              </w:rPr>
              <w:t>Other assets</w:t>
            </w:r>
          </w:p>
        </w:tc>
        <w:tc>
          <w:tcPr>
            <w:tcW w:w="0" w:type="auto"/>
            <w:gridSpan w:val="3"/>
            <w:shd w:val="clear" w:color="auto" w:fill="CCEEFF"/>
            <w:tcMar>
              <w:top w:w="0" w:type="dxa"/>
              <w:left w:w="20" w:type="dxa"/>
              <w:bottom w:w="0" w:type="dxa"/>
              <w:right w:w="20" w:type="dxa"/>
            </w:tcMar>
            <w:vAlign w:val="bottom"/>
          </w:tcPr>
          <w:p w14:paraId="518B668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688"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689" w14:textId="77777777" w:rsidR="005C332D" w:rsidRDefault="00B93EAE">
            <w:pPr>
              <w:jc w:val="right"/>
              <w:textAlignment w:val="bottom"/>
            </w:pPr>
            <w:r>
              <w:rPr>
                <w:rFonts w:ascii="Times New Roman" w:eastAsia="宋体" w:hAnsi="Times New Roman"/>
                <w:b/>
                <w:bCs/>
                <w:color w:val="000000"/>
                <w:sz w:val="20"/>
                <w:szCs w:val="20"/>
              </w:rPr>
              <w:t>1,003</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68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68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68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68D" w14:textId="77777777" w:rsidR="005C332D" w:rsidRDefault="00B93EAE">
            <w:pPr>
              <w:jc w:val="right"/>
              <w:textAlignment w:val="bottom"/>
            </w:pPr>
            <w:r>
              <w:rPr>
                <w:rFonts w:ascii="Times New Roman" w:eastAsia="宋体" w:hAnsi="Times New Roman"/>
                <w:color w:val="000000"/>
                <w:sz w:val="20"/>
                <w:szCs w:val="20"/>
              </w:rPr>
              <w:t>1,095 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68E" w14:textId="77777777" w:rsidR="005C332D" w:rsidRDefault="005C332D">
            <w:pPr>
              <w:jc w:val="right"/>
              <w:rPr>
                <w:rFonts w:ascii="宋体"/>
              </w:rPr>
            </w:pPr>
          </w:p>
        </w:tc>
      </w:tr>
      <w:tr w:rsidR="005C332D" w14:paraId="518B6696" w14:textId="77777777">
        <w:trPr>
          <w:trHeight w:val="280"/>
        </w:trPr>
        <w:tc>
          <w:tcPr>
            <w:tcW w:w="0" w:type="auto"/>
            <w:gridSpan w:val="3"/>
            <w:shd w:val="clear" w:color="auto" w:fill="FFFFFF"/>
            <w:tcMar>
              <w:top w:w="0" w:type="dxa"/>
              <w:left w:w="20" w:type="dxa"/>
              <w:bottom w:w="0" w:type="dxa"/>
              <w:right w:w="20" w:type="dxa"/>
            </w:tcMar>
            <w:vAlign w:val="bottom"/>
          </w:tcPr>
          <w:p w14:paraId="518B669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69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69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69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69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695" w14:textId="77777777" w:rsidR="005C332D" w:rsidRDefault="005C332D">
            <w:pPr>
              <w:rPr>
                <w:rFonts w:ascii="宋体"/>
              </w:rPr>
            </w:pPr>
          </w:p>
        </w:tc>
      </w:tr>
      <w:tr w:rsidR="005C332D" w14:paraId="518B66A1" w14:textId="77777777">
        <w:tc>
          <w:tcPr>
            <w:tcW w:w="0" w:type="auto"/>
            <w:gridSpan w:val="3"/>
            <w:shd w:val="clear" w:color="auto" w:fill="CCEEFF"/>
            <w:tcMar>
              <w:top w:w="40" w:type="dxa"/>
              <w:left w:w="20" w:type="dxa"/>
              <w:bottom w:w="40" w:type="dxa"/>
              <w:right w:w="20" w:type="dxa"/>
            </w:tcMar>
          </w:tcPr>
          <w:p w14:paraId="518B6697" w14:textId="77777777" w:rsidR="005C332D" w:rsidRDefault="00B93EAE">
            <w:pPr>
              <w:textAlignment w:val="top"/>
            </w:pPr>
            <w:r>
              <w:rPr>
                <w:rFonts w:ascii="Times New Roman" w:eastAsia="宋体" w:hAnsi="Times New Roman"/>
                <w:color w:val="000000"/>
                <w:sz w:val="20"/>
                <w:szCs w:val="20"/>
              </w:rPr>
              <w:t>Operating lease liabilities</w:t>
            </w:r>
          </w:p>
        </w:tc>
        <w:tc>
          <w:tcPr>
            <w:tcW w:w="0" w:type="auto"/>
            <w:gridSpan w:val="3"/>
            <w:shd w:val="clear" w:color="auto" w:fill="CCEEFF"/>
            <w:tcMar>
              <w:top w:w="40" w:type="dxa"/>
              <w:left w:w="20" w:type="dxa"/>
              <w:bottom w:w="40" w:type="dxa"/>
              <w:right w:w="20" w:type="dxa"/>
            </w:tcMar>
            <w:vAlign w:val="bottom"/>
          </w:tcPr>
          <w:p w14:paraId="518B6698" w14:textId="77777777" w:rsidR="005C332D" w:rsidRDefault="00B93EAE">
            <w:pPr>
              <w:textAlignment w:val="bottom"/>
            </w:pPr>
            <w:r>
              <w:rPr>
                <w:rFonts w:ascii="Times New Roman" w:eastAsia="宋体" w:hAnsi="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bottom"/>
          </w:tcPr>
          <w:p w14:paraId="518B6699"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69A"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69B" w14:textId="77777777" w:rsidR="005C332D" w:rsidRDefault="00B93EAE">
            <w:pPr>
              <w:jc w:val="right"/>
              <w:textAlignment w:val="bottom"/>
            </w:pPr>
            <w:r>
              <w:rPr>
                <w:rFonts w:ascii="Times New Roman" w:eastAsia="宋体" w:hAnsi="Times New Roman"/>
                <w:b/>
                <w:bCs/>
                <w:color w:val="000000"/>
                <w:sz w:val="20"/>
                <w:szCs w:val="20"/>
              </w:rPr>
              <w:t>322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69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69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69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69F" w14:textId="77777777" w:rsidR="005C332D" w:rsidRDefault="00B93EAE">
            <w:pPr>
              <w:jc w:val="right"/>
              <w:textAlignment w:val="bottom"/>
            </w:pPr>
            <w:r>
              <w:rPr>
                <w:rFonts w:ascii="Times New Roman" w:eastAsia="宋体" w:hAnsi="Times New Roman"/>
                <w:color w:val="000000"/>
                <w:sz w:val="20"/>
                <w:szCs w:val="20"/>
              </w:rPr>
              <w:t>337 </w:t>
            </w:r>
          </w:p>
        </w:tc>
        <w:tc>
          <w:tcPr>
            <w:tcW w:w="0" w:type="auto"/>
            <w:shd w:val="clear" w:color="auto" w:fill="CCEEFF"/>
            <w:tcMar>
              <w:top w:w="40" w:type="dxa"/>
              <w:left w:w="0" w:type="dxa"/>
              <w:bottom w:w="40" w:type="dxa"/>
              <w:right w:w="20" w:type="dxa"/>
            </w:tcMar>
            <w:vAlign w:val="bottom"/>
          </w:tcPr>
          <w:p w14:paraId="518B66A0" w14:textId="77777777" w:rsidR="005C332D" w:rsidRDefault="005C332D">
            <w:pPr>
              <w:jc w:val="right"/>
              <w:rPr>
                <w:rFonts w:ascii="宋体"/>
              </w:rPr>
            </w:pPr>
          </w:p>
        </w:tc>
      </w:tr>
      <w:tr w:rsidR="005C332D" w14:paraId="518B66AA" w14:textId="77777777">
        <w:tc>
          <w:tcPr>
            <w:tcW w:w="0" w:type="auto"/>
            <w:gridSpan w:val="3"/>
            <w:shd w:val="clear" w:color="auto" w:fill="FFFFFF"/>
            <w:tcMar>
              <w:top w:w="40" w:type="dxa"/>
              <w:left w:w="20" w:type="dxa"/>
              <w:bottom w:w="40" w:type="dxa"/>
              <w:right w:w="20" w:type="dxa"/>
            </w:tcMar>
          </w:tcPr>
          <w:p w14:paraId="518B66A2" w14:textId="77777777" w:rsidR="005C332D" w:rsidRDefault="00B93EAE">
            <w:pPr>
              <w:textAlignment w:val="top"/>
            </w:pPr>
            <w:r>
              <w:rPr>
                <w:rFonts w:ascii="Times New Roman" w:eastAsia="宋体" w:hAnsi="Times New Roman"/>
                <w:color w:val="000000"/>
                <w:sz w:val="20"/>
                <w:szCs w:val="20"/>
              </w:rPr>
              <w:t>Operating lease liabilities</w:t>
            </w:r>
          </w:p>
        </w:tc>
        <w:tc>
          <w:tcPr>
            <w:tcW w:w="0" w:type="auto"/>
            <w:gridSpan w:val="3"/>
            <w:shd w:val="clear" w:color="auto" w:fill="FFFFFF"/>
            <w:tcMar>
              <w:top w:w="40" w:type="dxa"/>
              <w:left w:w="20" w:type="dxa"/>
              <w:bottom w:w="40" w:type="dxa"/>
              <w:right w:w="20" w:type="dxa"/>
            </w:tcMar>
            <w:vAlign w:val="bottom"/>
          </w:tcPr>
          <w:p w14:paraId="518B66A3" w14:textId="77777777" w:rsidR="005C332D" w:rsidRDefault="00B93EAE">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518B66A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6A5" w14:textId="77777777" w:rsidR="005C332D" w:rsidRDefault="00B93EAE">
            <w:pPr>
              <w:jc w:val="right"/>
              <w:textAlignment w:val="bottom"/>
            </w:pPr>
            <w:r>
              <w:rPr>
                <w:rFonts w:ascii="Times New Roman" w:eastAsia="宋体" w:hAnsi="Times New Roman"/>
                <w:b/>
                <w:bCs/>
                <w:color w:val="000000"/>
                <w:sz w:val="20"/>
                <w:szCs w:val="20"/>
              </w:rPr>
              <w:t>724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6A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6A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6A8" w14:textId="77777777" w:rsidR="005C332D" w:rsidRDefault="00B93EAE">
            <w:pPr>
              <w:jc w:val="right"/>
              <w:textAlignment w:val="bottom"/>
            </w:pPr>
            <w:r>
              <w:rPr>
                <w:rFonts w:ascii="Times New Roman" w:eastAsia="宋体" w:hAnsi="Times New Roman"/>
                <w:color w:val="000000"/>
                <w:sz w:val="20"/>
                <w:szCs w:val="20"/>
              </w:rPr>
              <w:t>831 </w:t>
            </w:r>
          </w:p>
        </w:tc>
        <w:tc>
          <w:tcPr>
            <w:tcW w:w="0" w:type="auto"/>
            <w:shd w:val="clear" w:color="auto" w:fill="FFFFFF"/>
            <w:tcMar>
              <w:top w:w="40" w:type="dxa"/>
              <w:left w:w="0" w:type="dxa"/>
              <w:bottom w:w="40" w:type="dxa"/>
              <w:right w:w="20" w:type="dxa"/>
            </w:tcMar>
            <w:vAlign w:val="bottom"/>
          </w:tcPr>
          <w:p w14:paraId="518B66A9" w14:textId="77777777" w:rsidR="005C332D" w:rsidRDefault="005C332D">
            <w:pPr>
              <w:jc w:val="right"/>
              <w:rPr>
                <w:rFonts w:ascii="宋体"/>
              </w:rPr>
            </w:pPr>
          </w:p>
        </w:tc>
      </w:tr>
      <w:tr w:rsidR="005C332D" w14:paraId="518B66B5" w14:textId="77777777">
        <w:tc>
          <w:tcPr>
            <w:tcW w:w="0" w:type="auto"/>
            <w:gridSpan w:val="3"/>
            <w:shd w:val="clear" w:color="auto" w:fill="CCEEFF"/>
            <w:tcMar>
              <w:top w:w="40" w:type="dxa"/>
              <w:left w:w="260" w:type="dxa"/>
              <w:bottom w:w="40" w:type="dxa"/>
              <w:right w:w="20" w:type="dxa"/>
            </w:tcMar>
          </w:tcPr>
          <w:p w14:paraId="518B66AB" w14:textId="77777777" w:rsidR="005C332D" w:rsidRDefault="00B93EAE">
            <w:pPr>
              <w:textAlignment w:val="top"/>
            </w:pPr>
            <w:r>
              <w:rPr>
                <w:rFonts w:ascii="Times New Roman" w:eastAsia="宋体" w:hAnsi="Times New Roman"/>
                <w:color w:val="000000"/>
                <w:sz w:val="20"/>
                <w:szCs w:val="20"/>
              </w:rPr>
              <w:t xml:space="preserve">Total operating lease </w:t>
            </w:r>
            <w:r>
              <w:rPr>
                <w:rFonts w:ascii="Times New Roman" w:eastAsia="宋体" w:hAnsi="Times New Roman"/>
                <w:color w:val="000000"/>
                <w:sz w:val="20"/>
                <w:szCs w:val="20"/>
              </w:rPr>
              <w:t>liabilities</w:t>
            </w:r>
          </w:p>
        </w:tc>
        <w:tc>
          <w:tcPr>
            <w:tcW w:w="0" w:type="auto"/>
            <w:gridSpan w:val="3"/>
            <w:shd w:val="clear" w:color="auto" w:fill="CCEEFF"/>
            <w:tcMar>
              <w:top w:w="0" w:type="dxa"/>
              <w:left w:w="20" w:type="dxa"/>
              <w:bottom w:w="0" w:type="dxa"/>
              <w:right w:w="20" w:type="dxa"/>
            </w:tcMar>
            <w:vAlign w:val="bottom"/>
          </w:tcPr>
          <w:p w14:paraId="518B66A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6AD"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6A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6AF" w14:textId="77777777" w:rsidR="005C332D" w:rsidRDefault="00B93EAE">
            <w:pPr>
              <w:jc w:val="right"/>
              <w:textAlignment w:val="bottom"/>
            </w:pPr>
            <w:r>
              <w:rPr>
                <w:rFonts w:ascii="Times New Roman" w:eastAsia="宋体" w:hAnsi="Times New Roman"/>
                <w:b/>
                <w:bCs/>
                <w:color w:val="000000"/>
                <w:sz w:val="20"/>
                <w:szCs w:val="20"/>
              </w:rPr>
              <w:t>1,046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6B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6B1"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6B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6B3" w14:textId="77777777" w:rsidR="005C332D" w:rsidRDefault="00B93EAE">
            <w:pPr>
              <w:jc w:val="right"/>
              <w:textAlignment w:val="bottom"/>
            </w:pPr>
            <w:r>
              <w:rPr>
                <w:rFonts w:ascii="Times New Roman" w:eastAsia="宋体" w:hAnsi="Times New Roman"/>
                <w:color w:val="000000"/>
                <w:sz w:val="20"/>
                <w:szCs w:val="20"/>
              </w:rPr>
              <w:t>1,168 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6B4" w14:textId="77777777" w:rsidR="005C332D" w:rsidRDefault="005C332D">
            <w:pPr>
              <w:jc w:val="right"/>
              <w:rPr>
                <w:rFonts w:ascii="宋体"/>
              </w:rPr>
            </w:pPr>
          </w:p>
        </w:tc>
      </w:tr>
    </w:tbl>
    <w:p w14:paraId="518B66B6" w14:textId="77777777" w:rsidR="005C332D" w:rsidRDefault="00B93EAE">
      <w:pPr>
        <w:spacing w:before="120"/>
        <w:jc w:val="both"/>
      </w:pPr>
      <w:r>
        <w:rPr>
          <w:rFonts w:ascii="Times New Roman" w:eastAsia="宋体" w:hAnsi="Times New Roman"/>
          <w:color w:val="000000"/>
          <w:sz w:val="20"/>
          <w:szCs w:val="20"/>
        </w:rPr>
        <w:t>The com</w:t>
      </w:r>
      <w:r>
        <w:rPr>
          <w:rFonts w:ascii="Times New Roman" w:eastAsia="宋体" w:hAnsi="Times New Roman"/>
          <w:color w:val="000000"/>
          <w:sz w:val="20"/>
          <w:szCs w:val="20"/>
        </w:rPr>
        <w:t>ponents of our lease expenses were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275"/>
        <w:gridCol w:w="39"/>
        <w:gridCol w:w="36"/>
        <w:gridCol w:w="36"/>
        <w:gridCol w:w="36"/>
        <w:gridCol w:w="120"/>
        <w:gridCol w:w="1226"/>
        <w:gridCol w:w="36"/>
        <w:gridCol w:w="36"/>
        <w:gridCol w:w="36"/>
        <w:gridCol w:w="36"/>
        <w:gridCol w:w="120"/>
        <w:gridCol w:w="1228"/>
        <w:gridCol w:w="36"/>
      </w:tblGrid>
      <w:tr w:rsidR="005C332D" w14:paraId="518B66C6" w14:textId="77777777">
        <w:trPr>
          <w:jc w:val="center"/>
        </w:trPr>
        <w:tc>
          <w:tcPr>
            <w:tcW w:w="50" w:type="pct"/>
            <w:shd w:val="clear" w:color="auto" w:fill="auto"/>
            <w:vAlign w:val="bottom"/>
          </w:tcPr>
          <w:p w14:paraId="518B66B7" w14:textId="77777777" w:rsidR="005C332D" w:rsidRDefault="005C332D">
            <w:pPr>
              <w:rPr>
                <w:rFonts w:ascii="宋体"/>
              </w:rPr>
            </w:pPr>
          </w:p>
        </w:tc>
        <w:tc>
          <w:tcPr>
            <w:tcW w:w="3190" w:type="pct"/>
            <w:shd w:val="clear" w:color="auto" w:fill="auto"/>
            <w:vAlign w:val="bottom"/>
          </w:tcPr>
          <w:p w14:paraId="518B66B8" w14:textId="77777777" w:rsidR="005C332D" w:rsidRDefault="005C332D">
            <w:pPr>
              <w:rPr>
                <w:rFonts w:ascii="宋体"/>
              </w:rPr>
            </w:pPr>
          </w:p>
        </w:tc>
        <w:tc>
          <w:tcPr>
            <w:tcW w:w="5" w:type="pct"/>
            <w:shd w:val="clear" w:color="auto" w:fill="auto"/>
            <w:vAlign w:val="bottom"/>
          </w:tcPr>
          <w:p w14:paraId="518B66B9" w14:textId="77777777" w:rsidR="005C332D" w:rsidRDefault="005C332D">
            <w:pPr>
              <w:rPr>
                <w:rFonts w:ascii="宋体"/>
              </w:rPr>
            </w:pPr>
          </w:p>
        </w:tc>
        <w:tc>
          <w:tcPr>
            <w:tcW w:w="5" w:type="pct"/>
            <w:shd w:val="clear" w:color="auto" w:fill="auto"/>
            <w:vAlign w:val="bottom"/>
          </w:tcPr>
          <w:p w14:paraId="518B66BA" w14:textId="77777777" w:rsidR="005C332D" w:rsidRDefault="005C332D">
            <w:pPr>
              <w:rPr>
                <w:rFonts w:ascii="宋体"/>
              </w:rPr>
            </w:pPr>
          </w:p>
        </w:tc>
        <w:tc>
          <w:tcPr>
            <w:tcW w:w="26" w:type="pct"/>
            <w:shd w:val="clear" w:color="auto" w:fill="auto"/>
            <w:vAlign w:val="bottom"/>
          </w:tcPr>
          <w:p w14:paraId="518B66BB" w14:textId="77777777" w:rsidR="005C332D" w:rsidRDefault="005C332D">
            <w:pPr>
              <w:rPr>
                <w:rFonts w:ascii="宋体"/>
              </w:rPr>
            </w:pPr>
          </w:p>
        </w:tc>
        <w:tc>
          <w:tcPr>
            <w:tcW w:w="5" w:type="pct"/>
            <w:shd w:val="clear" w:color="auto" w:fill="auto"/>
            <w:vAlign w:val="bottom"/>
          </w:tcPr>
          <w:p w14:paraId="518B66BC" w14:textId="77777777" w:rsidR="005C332D" w:rsidRDefault="005C332D">
            <w:pPr>
              <w:rPr>
                <w:rFonts w:ascii="宋体"/>
              </w:rPr>
            </w:pPr>
          </w:p>
        </w:tc>
        <w:tc>
          <w:tcPr>
            <w:tcW w:w="50" w:type="pct"/>
            <w:shd w:val="clear" w:color="auto" w:fill="auto"/>
            <w:vAlign w:val="bottom"/>
          </w:tcPr>
          <w:p w14:paraId="518B66BD" w14:textId="77777777" w:rsidR="005C332D" w:rsidRDefault="005C332D">
            <w:pPr>
              <w:rPr>
                <w:rFonts w:ascii="宋体"/>
              </w:rPr>
            </w:pPr>
          </w:p>
        </w:tc>
        <w:tc>
          <w:tcPr>
            <w:tcW w:w="785" w:type="pct"/>
            <w:shd w:val="clear" w:color="auto" w:fill="auto"/>
            <w:vAlign w:val="bottom"/>
          </w:tcPr>
          <w:p w14:paraId="518B66BE" w14:textId="77777777" w:rsidR="005C332D" w:rsidRDefault="005C332D">
            <w:pPr>
              <w:rPr>
                <w:rFonts w:ascii="宋体"/>
              </w:rPr>
            </w:pPr>
          </w:p>
        </w:tc>
        <w:tc>
          <w:tcPr>
            <w:tcW w:w="5" w:type="pct"/>
            <w:shd w:val="clear" w:color="auto" w:fill="auto"/>
            <w:vAlign w:val="bottom"/>
          </w:tcPr>
          <w:p w14:paraId="518B66BF" w14:textId="77777777" w:rsidR="005C332D" w:rsidRDefault="005C332D">
            <w:pPr>
              <w:rPr>
                <w:rFonts w:ascii="宋体"/>
              </w:rPr>
            </w:pPr>
          </w:p>
        </w:tc>
        <w:tc>
          <w:tcPr>
            <w:tcW w:w="5" w:type="pct"/>
            <w:shd w:val="clear" w:color="auto" w:fill="auto"/>
            <w:vAlign w:val="bottom"/>
          </w:tcPr>
          <w:p w14:paraId="518B66C0" w14:textId="77777777" w:rsidR="005C332D" w:rsidRDefault="005C332D">
            <w:pPr>
              <w:rPr>
                <w:rFonts w:ascii="宋体"/>
              </w:rPr>
            </w:pPr>
          </w:p>
        </w:tc>
        <w:tc>
          <w:tcPr>
            <w:tcW w:w="26" w:type="pct"/>
            <w:shd w:val="clear" w:color="auto" w:fill="auto"/>
            <w:vAlign w:val="bottom"/>
          </w:tcPr>
          <w:p w14:paraId="518B66C1" w14:textId="77777777" w:rsidR="005C332D" w:rsidRDefault="005C332D">
            <w:pPr>
              <w:rPr>
                <w:rFonts w:ascii="宋体"/>
              </w:rPr>
            </w:pPr>
          </w:p>
        </w:tc>
        <w:tc>
          <w:tcPr>
            <w:tcW w:w="5" w:type="pct"/>
            <w:shd w:val="clear" w:color="auto" w:fill="auto"/>
            <w:vAlign w:val="bottom"/>
          </w:tcPr>
          <w:p w14:paraId="518B66C2" w14:textId="77777777" w:rsidR="005C332D" w:rsidRDefault="005C332D">
            <w:pPr>
              <w:rPr>
                <w:rFonts w:ascii="宋体"/>
              </w:rPr>
            </w:pPr>
          </w:p>
        </w:tc>
        <w:tc>
          <w:tcPr>
            <w:tcW w:w="50" w:type="pct"/>
            <w:shd w:val="clear" w:color="auto" w:fill="auto"/>
            <w:vAlign w:val="bottom"/>
          </w:tcPr>
          <w:p w14:paraId="518B66C3" w14:textId="77777777" w:rsidR="005C332D" w:rsidRDefault="005C332D">
            <w:pPr>
              <w:rPr>
                <w:rFonts w:ascii="宋体"/>
              </w:rPr>
            </w:pPr>
          </w:p>
        </w:tc>
        <w:tc>
          <w:tcPr>
            <w:tcW w:w="785" w:type="pct"/>
            <w:shd w:val="clear" w:color="auto" w:fill="auto"/>
            <w:vAlign w:val="bottom"/>
          </w:tcPr>
          <w:p w14:paraId="518B66C4" w14:textId="77777777" w:rsidR="005C332D" w:rsidRDefault="005C332D">
            <w:pPr>
              <w:rPr>
                <w:rFonts w:ascii="宋体"/>
              </w:rPr>
            </w:pPr>
          </w:p>
        </w:tc>
        <w:tc>
          <w:tcPr>
            <w:tcW w:w="5" w:type="pct"/>
            <w:shd w:val="clear" w:color="auto" w:fill="auto"/>
            <w:vAlign w:val="bottom"/>
          </w:tcPr>
          <w:p w14:paraId="518B66C5" w14:textId="77777777" w:rsidR="005C332D" w:rsidRDefault="005C332D">
            <w:pPr>
              <w:rPr>
                <w:rFonts w:ascii="宋体"/>
              </w:rPr>
            </w:pPr>
          </w:p>
        </w:tc>
      </w:tr>
      <w:tr w:rsidR="005C332D" w14:paraId="518B66CC" w14:textId="77777777">
        <w:trPr>
          <w:jc w:val="center"/>
        </w:trPr>
        <w:tc>
          <w:tcPr>
            <w:tcW w:w="0" w:type="auto"/>
            <w:gridSpan w:val="3"/>
            <w:shd w:val="clear" w:color="auto" w:fill="auto"/>
            <w:tcMar>
              <w:top w:w="40" w:type="dxa"/>
              <w:left w:w="20" w:type="dxa"/>
              <w:bottom w:w="40" w:type="dxa"/>
              <w:right w:w="20" w:type="dxa"/>
            </w:tcMar>
          </w:tcPr>
          <w:p w14:paraId="518B66C7" w14:textId="77777777" w:rsidR="005C332D" w:rsidRDefault="00B93EAE">
            <w:pPr>
              <w:textAlignment w:val="top"/>
            </w:pPr>
            <w:r>
              <w:rPr>
                <w:rFonts w:ascii="Times New Roman" w:eastAsia="宋体" w:hAnsi="Times New Roman"/>
                <w:color w:val="000000"/>
                <w:sz w:val="18"/>
                <w:szCs w:val="18"/>
                <w:u w:val="single"/>
              </w:rPr>
              <w:t>Years Ended</w:t>
            </w:r>
          </w:p>
        </w:tc>
        <w:tc>
          <w:tcPr>
            <w:tcW w:w="0" w:type="auto"/>
            <w:gridSpan w:val="3"/>
            <w:shd w:val="clear" w:color="auto" w:fill="auto"/>
            <w:tcMar>
              <w:top w:w="0" w:type="dxa"/>
              <w:left w:w="20" w:type="dxa"/>
              <w:bottom w:w="0" w:type="dxa"/>
              <w:right w:w="20" w:type="dxa"/>
            </w:tcMar>
            <w:vAlign w:val="bottom"/>
          </w:tcPr>
          <w:p w14:paraId="518B66C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6C9"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6C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6CB"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66D6" w14:textId="77777777">
        <w:trPr>
          <w:jc w:val="center"/>
        </w:trPr>
        <w:tc>
          <w:tcPr>
            <w:tcW w:w="0" w:type="auto"/>
            <w:gridSpan w:val="3"/>
            <w:shd w:val="clear" w:color="auto" w:fill="CCEEFF"/>
            <w:tcMar>
              <w:top w:w="40" w:type="dxa"/>
              <w:left w:w="20" w:type="dxa"/>
              <w:bottom w:w="40" w:type="dxa"/>
              <w:right w:w="20" w:type="dxa"/>
            </w:tcMar>
          </w:tcPr>
          <w:p w14:paraId="518B66CD" w14:textId="77777777" w:rsidR="005C332D" w:rsidRDefault="00B93EAE">
            <w:pPr>
              <w:textAlignment w:val="top"/>
            </w:pPr>
            <w:r>
              <w:rPr>
                <w:rFonts w:ascii="Times New Roman" w:eastAsia="宋体" w:hAnsi="Times New Roman"/>
                <w:color w:val="000000"/>
                <w:sz w:val="20"/>
                <w:szCs w:val="20"/>
              </w:rPr>
              <w:t>Operating lease expense</w:t>
            </w:r>
          </w:p>
        </w:tc>
        <w:tc>
          <w:tcPr>
            <w:tcW w:w="0" w:type="auto"/>
            <w:gridSpan w:val="3"/>
            <w:shd w:val="clear" w:color="auto" w:fill="CCEEFF"/>
            <w:tcMar>
              <w:top w:w="0" w:type="dxa"/>
              <w:left w:w="20" w:type="dxa"/>
              <w:bottom w:w="0" w:type="dxa"/>
              <w:right w:w="20" w:type="dxa"/>
            </w:tcMar>
            <w:vAlign w:val="bottom"/>
          </w:tcPr>
          <w:p w14:paraId="518B66C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6C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6D0" w14:textId="77777777" w:rsidR="005C332D" w:rsidRDefault="00B93EAE">
            <w:pPr>
              <w:jc w:val="right"/>
              <w:textAlignment w:val="bottom"/>
            </w:pPr>
            <w:r>
              <w:rPr>
                <w:rFonts w:ascii="Times New Roman" w:eastAsia="宋体" w:hAnsi="Times New Roman"/>
                <w:b/>
                <w:bCs/>
                <w:color w:val="000000"/>
                <w:sz w:val="20"/>
                <w:szCs w:val="20"/>
              </w:rPr>
              <w:t>390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6D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6D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6D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6D4" w14:textId="77777777" w:rsidR="005C332D" w:rsidRDefault="00B93EAE">
            <w:pPr>
              <w:jc w:val="right"/>
              <w:textAlignment w:val="bottom"/>
            </w:pPr>
            <w:r>
              <w:rPr>
                <w:rFonts w:ascii="Times New Roman" w:eastAsia="宋体" w:hAnsi="Times New Roman"/>
                <w:color w:val="000000"/>
                <w:sz w:val="20"/>
                <w:szCs w:val="20"/>
              </w:rPr>
              <w:t>399 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6D5" w14:textId="77777777" w:rsidR="005C332D" w:rsidRDefault="005C332D">
            <w:pPr>
              <w:jc w:val="right"/>
              <w:rPr>
                <w:rFonts w:ascii="宋体"/>
              </w:rPr>
            </w:pPr>
          </w:p>
        </w:tc>
      </w:tr>
      <w:tr w:rsidR="005C332D" w14:paraId="518B66DE" w14:textId="77777777">
        <w:trPr>
          <w:jc w:val="center"/>
        </w:trPr>
        <w:tc>
          <w:tcPr>
            <w:tcW w:w="0" w:type="auto"/>
            <w:gridSpan w:val="3"/>
            <w:shd w:val="clear" w:color="auto" w:fill="FFFFFF"/>
            <w:tcMar>
              <w:top w:w="40" w:type="dxa"/>
              <w:left w:w="20" w:type="dxa"/>
              <w:bottom w:w="40" w:type="dxa"/>
              <w:right w:w="20" w:type="dxa"/>
            </w:tcMar>
          </w:tcPr>
          <w:p w14:paraId="518B66D7" w14:textId="77777777" w:rsidR="005C332D" w:rsidRDefault="00B93EAE">
            <w:pPr>
              <w:textAlignment w:val="top"/>
            </w:pPr>
            <w:r>
              <w:rPr>
                <w:rFonts w:ascii="Times New Roman" w:eastAsia="宋体" w:hAnsi="Times New Roman"/>
                <w:color w:val="000000"/>
                <w:sz w:val="20"/>
                <w:szCs w:val="20"/>
              </w:rPr>
              <w:t>Short-term lease expense</w:t>
            </w:r>
          </w:p>
        </w:tc>
        <w:tc>
          <w:tcPr>
            <w:tcW w:w="0" w:type="auto"/>
            <w:gridSpan w:val="3"/>
            <w:shd w:val="clear" w:color="auto" w:fill="FFFFFF"/>
            <w:tcMar>
              <w:top w:w="0" w:type="dxa"/>
              <w:left w:w="20" w:type="dxa"/>
              <w:bottom w:w="0" w:type="dxa"/>
              <w:right w:w="20" w:type="dxa"/>
            </w:tcMar>
            <w:vAlign w:val="bottom"/>
          </w:tcPr>
          <w:p w14:paraId="518B66D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6D9" w14:textId="77777777" w:rsidR="005C332D" w:rsidRDefault="00B93EAE">
            <w:pPr>
              <w:jc w:val="right"/>
              <w:textAlignment w:val="bottom"/>
            </w:pPr>
            <w:r>
              <w:rPr>
                <w:rFonts w:ascii="Times New Roman" w:eastAsia="宋体" w:hAnsi="Times New Roman"/>
                <w:b/>
                <w:bCs/>
                <w:color w:val="000000"/>
                <w:sz w:val="20"/>
                <w:szCs w:val="20"/>
              </w:rPr>
              <w:t>66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6D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6D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6DC" w14:textId="77777777" w:rsidR="005C332D" w:rsidRDefault="00B93EAE">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518B66DD" w14:textId="77777777" w:rsidR="005C332D" w:rsidRDefault="005C332D">
            <w:pPr>
              <w:jc w:val="right"/>
              <w:rPr>
                <w:rFonts w:ascii="宋体"/>
              </w:rPr>
            </w:pPr>
          </w:p>
        </w:tc>
      </w:tr>
      <w:tr w:rsidR="005C332D" w14:paraId="518B66E6" w14:textId="77777777">
        <w:trPr>
          <w:jc w:val="center"/>
        </w:trPr>
        <w:tc>
          <w:tcPr>
            <w:tcW w:w="0" w:type="auto"/>
            <w:gridSpan w:val="3"/>
            <w:shd w:val="clear" w:color="auto" w:fill="CCEEFF"/>
            <w:tcMar>
              <w:top w:w="40" w:type="dxa"/>
              <w:left w:w="20" w:type="dxa"/>
              <w:bottom w:w="40" w:type="dxa"/>
              <w:right w:w="20" w:type="dxa"/>
            </w:tcMar>
          </w:tcPr>
          <w:p w14:paraId="518B66DF" w14:textId="77777777" w:rsidR="005C332D" w:rsidRDefault="00B93EAE">
            <w:pPr>
              <w:textAlignment w:val="top"/>
            </w:pPr>
            <w:r>
              <w:rPr>
                <w:rFonts w:ascii="Times New Roman" w:eastAsia="宋体" w:hAnsi="Times New Roman"/>
                <w:color w:val="000000"/>
                <w:sz w:val="20"/>
                <w:szCs w:val="20"/>
              </w:rPr>
              <w:t>Variable lease expense</w:t>
            </w:r>
          </w:p>
        </w:tc>
        <w:tc>
          <w:tcPr>
            <w:tcW w:w="0" w:type="auto"/>
            <w:gridSpan w:val="3"/>
            <w:shd w:val="clear" w:color="auto" w:fill="CCEEFF"/>
            <w:tcMar>
              <w:top w:w="0" w:type="dxa"/>
              <w:left w:w="20" w:type="dxa"/>
              <w:bottom w:w="0" w:type="dxa"/>
              <w:right w:w="20" w:type="dxa"/>
            </w:tcMar>
            <w:vAlign w:val="bottom"/>
          </w:tcPr>
          <w:p w14:paraId="518B66E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6E1" w14:textId="77777777" w:rsidR="005C332D" w:rsidRDefault="00B93EAE">
            <w:pPr>
              <w:jc w:val="right"/>
              <w:textAlignment w:val="bottom"/>
            </w:pPr>
            <w:r>
              <w:rPr>
                <w:rFonts w:ascii="Times New Roman" w:eastAsia="宋体" w:hAnsi="Times New Roman"/>
                <w:b/>
                <w:bCs/>
                <w:color w:val="000000"/>
                <w:sz w:val="20"/>
                <w:szCs w:val="20"/>
              </w:rPr>
              <w:t>173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6E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6E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6E4" w14:textId="77777777" w:rsidR="005C332D" w:rsidRDefault="00B93EAE">
            <w:pPr>
              <w:jc w:val="right"/>
              <w:textAlignment w:val="bottom"/>
            </w:pPr>
            <w:r>
              <w:rPr>
                <w:rFonts w:ascii="Times New Roman" w:eastAsia="宋体" w:hAnsi="Times New Roman"/>
                <w:color w:val="000000"/>
                <w:sz w:val="20"/>
                <w:szCs w:val="20"/>
              </w:rPr>
              <w:t>173 </w:t>
            </w:r>
          </w:p>
        </w:tc>
        <w:tc>
          <w:tcPr>
            <w:tcW w:w="0" w:type="auto"/>
            <w:shd w:val="clear" w:color="auto" w:fill="CCEEFF"/>
            <w:tcMar>
              <w:top w:w="40" w:type="dxa"/>
              <w:left w:w="0" w:type="dxa"/>
              <w:bottom w:w="40" w:type="dxa"/>
              <w:right w:w="20" w:type="dxa"/>
            </w:tcMar>
            <w:vAlign w:val="bottom"/>
          </w:tcPr>
          <w:p w14:paraId="518B66E5" w14:textId="77777777" w:rsidR="005C332D" w:rsidRDefault="005C332D">
            <w:pPr>
              <w:jc w:val="right"/>
              <w:rPr>
                <w:rFonts w:ascii="宋体"/>
              </w:rPr>
            </w:pPr>
          </w:p>
        </w:tc>
      </w:tr>
      <w:tr w:rsidR="005C332D" w14:paraId="518B66F0" w14:textId="77777777">
        <w:trPr>
          <w:jc w:val="center"/>
        </w:trPr>
        <w:tc>
          <w:tcPr>
            <w:tcW w:w="0" w:type="auto"/>
            <w:gridSpan w:val="3"/>
            <w:shd w:val="clear" w:color="auto" w:fill="FFFFFF"/>
            <w:tcMar>
              <w:top w:w="40" w:type="dxa"/>
              <w:left w:w="365" w:type="dxa"/>
              <w:bottom w:w="40" w:type="dxa"/>
              <w:right w:w="20" w:type="dxa"/>
            </w:tcMar>
          </w:tcPr>
          <w:p w14:paraId="518B66E7" w14:textId="77777777" w:rsidR="005C332D" w:rsidRDefault="00B93EAE">
            <w:pPr>
              <w:textAlignment w:val="top"/>
            </w:pPr>
            <w:r>
              <w:rPr>
                <w:rFonts w:ascii="Times New Roman" w:eastAsia="宋体" w:hAnsi="Times New Roman"/>
                <w:color w:val="000000"/>
                <w:sz w:val="20"/>
                <w:szCs w:val="20"/>
              </w:rPr>
              <w:t xml:space="preserve">Total lease </w:t>
            </w:r>
            <w:r>
              <w:rPr>
                <w:rFonts w:ascii="Times New Roman" w:eastAsia="宋体" w:hAnsi="Times New Roman"/>
                <w:color w:val="000000"/>
                <w:sz w:val="20"/>
                <w:szCs w:val="20"/>
              </w:rPr>
              <w:t>expense</w:t>
            </w:r>
          </w:p>
        </w:tc>
        <w:tc>
          <w:tcPr>
            <w:tcW w:w="0" w:type="auto"/>
            <w:gridSpan w:val="3"/>
            <w:shd w:val="clear" w:color="auto" w:fill="FFFFFF"/>
            <w:tcMar>
              <w:top w:w="0" w:type="dxa"/>
              <w:left w:w="20" w:type="dxa"/>
              <w:bottom w:w="0" w:type="dxa"/>
              <w:right w:w="20" w:type="dxa"/>
            </w:tcMar>
            <w:vAlign w:val="bottom"/>
          </w:tcPr>
          <w:p w14:paraId="518B66E8"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6E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6EA" w14:textId="77777777" w:rsidR="005C332D" w:rsidRDefault="00B93EAE">
            <w:pPr>
              <w:jc w:val="right"/>
              <w:textAlignment w:val="bottom"/>
            </w:pPr>
            <w:r>
              <w:rPr>
                <w:rFonts w:ascii="Times New Roman" w:eastAsia="宋体" w:hAnsi="Times New Roman"/>
                <w:b/>
                <w:bCs/>
                <w:color w:val="000000"/>
                <w:sz w:val="20"/>
                <w:szCs w:val="20"/>
              </w:rPr>
              <w:t>629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6E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6EC"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6E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6EE" w14:textId="77777777" w:rsidR="005C332D" w:rsidRDefault="00B93EAE">
            <w:pPr>
              <w:jc w:val="right"/>
              <w:textAlignment w:val="bottom"/>
            </w:pPr>
            <w:r>
              <w:rPr>
                <w:rFonts w:ascii="Times New Roman" w:eastAsia="宋体" w:hAnsi="Times New Roman"/>
                <w:color w:val="000000"/>
                <w:sz w:val="20"/>
                <w:szCs w:val="20"/>
              </w:rPr>
              <w:t>637 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6EF" w14:textId="77777777" w:rsidR="005C332D" w:rsidRDefault="005C332D">
            <w:pPr>
              <w:jc w:val="right"/>
              <w:rPr>
                <w:rFonts w:ascii="宋体"/>
              </w:rPr>
            </w:pPr>
          </w:p>
        </w:tc>
      </w:tr>
    </w:tbl>
    <w:p w14:paraId="518B66F1" w14:textId="77777777" w:rsidR="005C332D" w:rsidRDefault="00B93EAE">
      <w:pPr>
        <w:spacing w:before="120"/>
        <w:jc w:val="both"/>
      </w:pPr>
      <w:r>
        <w:rPr>
          <w:rFonts w:ascii="Times New Roman" w:eastAsia="宋体" w:hAnsi="Times New Roman"/>
          <w:color w:val="000000"/>
          <w:sz w:val="20"/>
          <w:szCs w:val="20"/>
        </w:rPr>
        <w:t>Supplemental information related to our operating leases is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278"/>
        <w:gridCol w:w="36"/>
        <w:gridCol w:w="36"/>
        <w:gridCol w:w="36"/>
        <w:gridCol w:w="36"/>
        <w:gridCol w:w="120"/>
        <w:gridCol w:w="1228"/>
        <w:gridCol w:w="36"/>
        <w:gridCol w:w="36"/>
        <w:gridCol w:w="36"/>
        <w:gridCol w:w="36"/>
        <w:gridCol w:w="120"/>
        <w:gridCol w:w="1228"/>
        <w:gridCol w:w="36"/>
      </w:tblGrid>
      <w:tr w:rsidR="005C332D" w14:paraId="518B6701" w14:textId="77777777">
        <w:trPr>
          <w:jc w:val="center"/>
        </w:trPr>
        <w:tc>
          <w:tcPr>
            <w:tcW w:w="50" w:type="pct"/>
            <w:shd w:val="clear" w:color="auto" w:fill="auto"/>
            <w:vAlign w:val="bottom"/>
          </w:tcPr>
          <w:p w14:paraId="518B66F2" w14:textId="77777777" w:rsidR="005C332D" w:rsidRDefault="005C332D">
            <w:pPr>
              <w:rPr>
                <w:rFonts w:ascii="宋体"/>
              </w:rPr>
            </w:pPr>
          </w:p>
        </w:tc>
        <w:tc>
          <w:tcPr>
            <w:tcW w:w="3190" w:type="pct"/>
            <w:shd w:val="clear" w:color="auto" w:fill="auto"/>
            <w:vAlign w:val="bottom"/>
          </w:tcPr>
          <w:p w14:paraId="518B66F3" w14:textId="77777777" w:rsidR="005C332D" w:rsidRDefault="005C332D">
            <w:pPr>
              <w:rPr>
                <w:rFonts w:ascii="宋体"/>
              </w:rPr>
            </w:pPr>
          </w:p>
        </w:tc>
        <w:tc>
          <w:tcPr>
            <w:tcW w:w="5" w:type="pct"/>
            <w:shd w:val="clear" w:color="auto" w:fill="auto"/>
            <w:vAlign w:val="bottom"/>
          </w:tcPr>
          <w:p w14:paraId="518B66F4" w14:textId="77777777" w:rsidR="005C332D" w:rsidRDefault="005C332D">
            <w:pPr>
              <w:rPr>
                <w:rFonts w:ascii="宋体"/>
              </w:rPr>
            </w:pPr>
          </w:p>
        </w:tc>
        <w:tc>
          <w:tcPr>
            <w:tcW w:w="5" w:type="pct"/>
            <w:shd w:val="clear" w:color="auto" w:fill="auto"/>
            <w:vAlign w:val="bottom"/>
          </w:tcPr>
          <w:p w14:paraId="518B66F5" w14:textId="77777777" w:rsidR="005C332D" w:rsidRDefault="005C332D">
            <w:pPr>
              <w:rPr>
                <w:rFonts w:ascii="宋体"/>
              </w:rPr>
            </w:pPr>
          </w:p>
        </w:tc>
        <w:tc>
          <w:tcPr>
            <w:tcW w:w="26" w:type="pct"/>
            <w:shd w:val="clear" w:color="auto" w:fill="auto"/>
            <w:vAlign w:val="bottom"/>
          </w:tcPr>
          <w:p w14:paraId="518B66F6" w14:textId="77777777" w:rsidR="005C332D" w:rsidRDefault="005C332D">
            <w:pPr>
              <w:rPr>
                <w:rFonts w:ascii="宋体"/>
              </w:rPr>
            </w:pPr>
          </w:p>
        </w:tc>
        <w:tc>
          <w:tcPr>
            <w:tcW w:w="5" w:type="pct"/>
            <w:shd w:val="clear" w:color="auto" w:fill="auto"/>
            <w:vAlign w:val="bottom"/>
          </w:tcPr>
          <w:p w14:paraId="518B66F7" w14:textId="77777777" w:rsidR="005C332D" w:rsidRDefault="005C332D">
            <w:pPr>
              <w:rPr>
                <w:rFonts w:ascii="宋体"/>
              </w:rPr>
            </w:pPr>
          </w:p>
        </w:tc>
        <w:tc>
          <w:tcPr>
            <w:tcW w:w="50" w:type="pct"/>
            <w:shd w:val="clear" w:color="auto" w:fill="auto"/>
            <w:vAlign w:val="bottom"/>
          </w:tcPr>
          <w:p w14:paraId="518B66F8" w14:textId="77777777" w:rsidR="005C332D" w:rsidRDefault="005C332D">
            <w:pPr>
              <w:rPr>
                <w:rFonts w:ascii="宋体"/>
              </w:rPr>
            </w:pPr>
          </w:p>
        </w:tc>
        <w:tc>
          <w:tcPr>
            <w:tcW w:w="785" w:type="pct"/>
            <w:shd w:val="clear" w:color="auto" w:fill="auto"/>
            <w:vAlign w:val="bottom"/>
          </w:tcPr>
          <w:p w14:paraId="518B66F9" w14:textId="77777777" w:rsidR="005C332D" w:rsidRDefault="005C332D">
            <w:pPr>
              <w:rPr>
                <w:rFonts w:ascii="宋体"/>
              </w:rPr>
            </w:pPr>
          </w:p>
        </w:tc>
        <w:tc>
          <w:tcPr>
            <w:tcW w:w="5" w:type="pct"/>
            <w:shd w:val="clear" w:color="auto" w:fill="auto"/>
            <w:vAlign w:val="bottom"/>
          </w:tcPr>
          <w:p w14:paraId="518B66FA" w14:textId="77777777" w:rsidR="005C332D" w:rsidRDefault="005C332D">
            <w:pPr>
              <w:rPr>
                <w:rFonts w:ascii="宋体"/>
              </w:rPr>
            </w:pPr>
          </w:p>
        </w:tc>
        <w:tc>
          <w:tcPr>
            <w:tcW w:w="5" w:type="pct"/>
            <w:shd w:val="clear" w:color="auto" w:fill="auto"/>
            <w:vAlign w:val="bottom"/>
          </w:tcPr>
          <w:p w14:paraId="518B66FB" w14:textId="77777777" w:rsidR="005C332D" w:rsidRDefault="005C332D">
            <w:pPr>
              <w:rPr>
                <w:rFonts w:ascii="宋体"/>
              </w:rPr>
            </w:pPr>
          </w:p>
        </w:tc>
        <w:tc>
          <w:tcPr>
            <w:tcW w:w="26" w:type="pct"/>
            <w:shd w:val="clear" w:color="auto" w:fill="auto"/>
            <w:vAlign w:val="bottom"/>
          </w:tcPr>
          <w:p w14:paraId="518B66FC" w14:textId="77777777" w:rsidR="005C332D" w:rsidRDefault="005C332D">
            <w:pPr>
              <w:rPr>
                <w:rFonts w:ascii="宋体"/>
              </w:rPr>
            </w:pPr>
          </w:p>
        </w:tc>
        <w:tc>
          <w:tcPr>
            <w:tcW w:w="5" w:type="pct"/>
            <w:shd w:val="clear" w:color="auto" w:fill="auto"/>
            <w:vAlign w:val="bottom"/>
          </w:tcPr>
          <w:p w14:paraId="518B66FD" w14:textId="77777777" w:rsidR="005C332D" w:rsidRDefault="005C332D">
            <w:pPr>
              <w:rPr>
                <w:rFonts w:ascii="宋体"/>
              </w:rPr>
            </w:pPr>
          </w:p>
        </w:tc>
        <w:tc>
          <w:tcPr>
            <w:tcW w:w="50" w:type="pct"/>
            <w:shd w:val="clear" w:color="auto" w:fill="auto"/>
            <w:vAlign w:val="bottom"/>
          </w:tcPr>
          <w:p w14:paraId="518B66FE" w14:textId="77777777" w:rsidR="005C332D" w:rsidRDefault="005C332D">
            <w:pPr>
              <w:rPr>
                <w:rFonts w:ascii="宋体"/>
              </w:rPr>
            </w:pPr>
          </w:p>
        </w:tc>
        <w:tc>
          <w:tcPr>
            <w:tcW w:w="785" w:type="pct"/>
            <w:shd w:val="clear" w:color="auto" w:fill="auto"/>
            <w:vAlign w:val="bottom"/>
          </w:tcPr>
          <w:p w14:paraId="518B66FF" w14:textId="77777777" w:rsidR="005C332D" w:rsidRDefault="005C332D">
            <w:pPr>
              <w:rPr>
                <w:rFonts w:ascii="宋体"/>
              </w:rPr>
            </w:pPr>
          </w:p>
        </w:tc>
        <w:tc>
          <w:tcPr>
            <w:tcW w:w="5" w:type="pct"/>
            <w:shd w:val="clear" w:color="auto" w:fill="auto"/>
            <w:vAlign w:val="bottom"/>
          </w:tcPr>
          <w:p w14:paraId="518B6700" w14:textId="77777777" w:rsidR="005C332D" w:rsidRDefault="005C332D">
            <w:pPr>
              <w:rPr>
                <w:rFonts w:ascii="宋体"/>
              </w:rPr>
            </w:pPr>
          </w:p>
        </w:tc>
      </w:tr>
      <w:tr w:rsidR="005C332D" w14:paraId="518B6707" w14:textId="77777777">
        <w:trPr>
          <w:jc w:val="center"/>
        </w:trPr>
        <w:tc>
          <w:tcPr>
            <w:tcW w:w="0" w:type="auto"/>
            <w:gridSpan w:val="3"/>
            <w:shd w:val="clear" w:color="auto" w:fill="auto"/>
            <w:tcMar>
              <w:top w:w="40" w:type="dxa"/>
              <w:left w:w="20" w:type="dxa"/>
              <w:bottom w:w="40" w:type="dxa"/>
              <w:right w:w="20" w:type="dxa"/>
            </w:tcMar>
          </w:tcPr>
          <w:p w14:paraId="518B6702" w14:textId="77777777" w:rsidR="005C332D" w:rsidRDefault="00B93EAE">
            <w:pPr>
              <w:textAlignment w:val="top"/>
            </w:pPr>
            <w:r>
              <w:rPr>
                <w:rFonts w:ascii="Times New Roman" w:eastAsia="宋体" w:hAnsi="Times New Roman"/>
                <w:color w:val="000000"/>
                <w:sz w:val="18"/>
                <w:szCs w:val="18"/>
                <w:u w:val="single"/>
              </w:rPr>
              <w:t>Years Ended</w:t>
            </w:r>
          </w:p>
        </w:tc>
        <w:tc>
          <w:tcPr>
            <w:tcW w:w="0" w:type="auto"/>
            <w:gridSpan w:val="3"/>
            <w:shd w:val="clear" w:color="auto" w:fill="auto"/>
            <w:tcMar>
              <w:top w:w="0" w:type="dxa"/>
              <w:left w:w="20" w:type="dxa"/>
              <w:bottom w:w="0" w:type="dxa"/>
              <w:right w:w="20" w:type="dxa"/>
            </w:tcMar>
            <w:vAlign w:val="bottom"/>
          </w:tcPr>
          <w:p w14:paraId="518B670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704"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70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706"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6711" w14:textId="77777777">
        <w:trPr>
          <w:jc w:val="center"/>
        </w:trPr>
        <w:tc>
          <w:tcPr>
            <w:tcW w:w="0" w:type="auto"/>
            <w:gridSpan w:val="3"/>
            <w:shd w:val="clear" w:color="auto" w:fill="CCEEFF"/>
            <w:tcMar>
              <w:top w:w="40" w:type="dxa"/>
              <w:left w:w="20" w:type="dxa"/>
              <w:bottom w:w="40" w:type="dxa"/>
              <w:right w:w="20" w:type="dxa"/>
            </w:tcMar>
          </w:tcPr>
          <w:p w14:paraId="518B6708" w14:textId="77777777" w:rsidR="005C332D" w:rsidRDefault="00B93EAE">
            <w:pPr>
              <w:textAlignment w:val="top"/>
            </w:pPr>
            <w:r>
              <w:rPr>
                <w:rFonts w:ascii="Times New Roman" w:eastAsia="宋体" w:hAnsi="Times New Roman"/>
                <w:color w:val="000000"/>
                <w:sz w:val="20"/>
                <w:szCs w:val="20"/>
              </w:rPr>
              <w:t xml:space="preserve">Cash paid for amounts included in the measurement of lease liabilities — operating cash flows </w:t>
            </w:r>
          </w:p>
        </w:tc>
        <w:tc>
          <w:tcPr>
            <w:tcW w:w="0" w:type="auto"/>
            <w:gridSpan w:val="3"/>
            <w:shd w:val="clear" w:color="auto" w:fill="CCEEFF"/>
            <w:tcMar>
              <w:top w:w="0" w:type="dxa"/>
              <w:left w:w="20" w:type="dxa"/>
              <w:bottom w:w="0" w:type="dxa"/>
              <w:right w:w="20" w:type="dxa"/>
            </w:tcMar>
            <w:vAlign w:val="bottom"/>
          </w:tcPr>
          <w:p w14:paraId="518B670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70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70B" w14:textId="77777777" w:rsidR="005C332D" w:rsidRDefault="00B93EAE">
            <w:pPr>
              <w:jc w:val="right"/>
              <w:textAlignment w:val="bottom"/>
            </w:pPr>
            <w:r>
              <w:rPr>
                <w:rFonts w:ascii="Times New Roman" w:eastAsia="宋体" w:hAnsi="Times New Roman"/>
                <w:b/>
                <w:bCs/>
                <w:color w:val="000000"/>
                <w:sz w:val="20"/>
                <w:szCs w:val="20"/>
              </w:rPr>
              <w:t>408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70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70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70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70F" w14:textId="77777777" w:rsidR="005C332D" w:rsidRDefault="00B93EAE">
            <w:pPr>
              <w:jc w:val="right"/>
              <w:textAlignment w:val="bottom"/>
            </w:pPr>
            <w:r>
              <w:rPr>
                <w:rFonts w:ascii="Times New Roman" w:eastAsia="宋体" w:hAnsi="Times New Roman"/>
                <w:color w:val="000000"/>
                <w:sz w:val="20"/>
                <w:szCs w:val="20"/>
              </w:rPr>
              <w:t>407 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710" w14:textId="77777777" w:rsidR="005C332D" w:rsidRDefault="005C332D">
            <w:pPr>
              <w:jc w:val="right"/>
              <w:rPr>
                <w:rFonts w:ascii="宋体"/>
              </w:rPr>
            </w:pPr>
          </w:p>
        </w:tc>
      </w:tr>
      <w:tr w:rsidR="005C332D" w14:paraId="518B671B" w14:textId="77777777">
        <w:trPr>
          <w:jc w:val="center"/>
        </w:trPr>
        <w:tc>
          <w:tcPr>
            <w:tcW w:w="0" w:type="auto"/>
            <w:gridSpan w:val="3"/>
            <w:shd w:val="clear" w:color="auto" w:fill="FFFFFF"/>
            <w:tcMar>
              <w:top w:w="40" w:type="dxa"/>
              <w:left w:w="20" w:type="dxa"/>
              <w:bottom w:w="40" w:type="dxa"/>
              <w:right w:w="20" w:type="dxa"/>
            </w:tcMar>
          </w:tcPr>
          <w:p w14:paraId="518B6712" w14:textId="77777777" w:rsidR="005C332D" w:rsidRDefault="00B93EAE">
            <w:pPr>
              <w:textAlignment w:val="top"/>
            </w:pPr>
            <w:r>
              <w:rPr>
                <w:rFonts w:ascii="Times New Roman" w:eastAsia="宋体" w:hAnsi="Times New Roman"/>
                <w:color w:val="000000"/>
                <w:sz w:val="20"/>
                <w:szCs w:val="20"/>
              </w:rPr>
              <w:t>Right-of-use assets obtained in exchange for operating leases liabilities</w:t>
            </w:r>
          </w:p>
        </w:tc>
        <w:tc>
          <w:tcPr>
            <w:tcW w:w="0" w:type="auto"/>
            <w:gridSpan w:val="3"/>
            <w:shd w:val="clear" w:color="auto" w:fill="FFFFFF"/>
            <w:tcMar>
              <w:top w:w="0" w:type="dxa"/>
              <w:left w:w="20" w:type="dxa"/>
              <w:bottom w:w="0" w:type="dxa"/>
              <w:right w:w="20" w:type="dxa"/>
            </w:tcMar>
            <w:vAlign w:val="bottom"/>
          </w:tcPr>
          <w:p w14:paraId="518B6713"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714"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715" w14:textId="77777777" w:rsidR="005C332D" w:rsidRDefault="00B93EAE">
            <w:pPr>
              <w:jc w:val="right"/>
              <w:textAlignment w:val="bottom"/>
            </w:pPr>
            <w:r>
              <w:rPr>
                <w:rFonts w:ascii="Times New Roman" w:eastAsia="宋体" w:hAnsi="Times New Roman"/>
                <w:b/>
                <w:bCs/>
                <w:color w:val="000000"/>
                <w:sz w:val="20"/>
                <w:szCs w:val="20"/>
              </w:rPr>
              <w:t>331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71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717"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718"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719" w14:textId="77777777" w:rsidR="005C332D" w:rsidRDefault="00B93EAE">
            <w:pPr>
              <w:jc w:val="right"/>
              <w:textAlignment w:val="bottom"/>
            </w:pPr>
            <w:r>
              <w:rPr>
                <w:rFonts w:ascii="Times New Roman" w:eastAsia="宋体" w:hAnsi="Times New Roman"/>
                <w:color w:val="000000"/>
                <w:sz w:val="20"/>
                <w:szCs w:val="20"/>
              </w:rPr>
              <w:t>536 </w:t>
            </w:r>
          </w:p>
        </w:tc>
        <w:tc>
          <w:tcPr>
            <w:tcW w:w="0" w:type="auto"/>
            <w:shd w:val="clear" w:color="auto" w:fill="FFFFFF"/>
            <w:tcMar>
              <w:top w:w="40" w:type="dxa"/>
              <w:left w:w="0" w:type="dxa"/>
              <w:bottom w:w="40" w:type="dxa"/>
              <w:right w:w="20" w:type="dxa"/>
            </w:tcMar>
            <w:vAlign w:val="bottom"/>
          </w:tcPr>
          <w:p w14:paraId="518B671A" w14:textId="77777777" w:rsidR="005C332D" w:rsidRDefault="005C332D">
            <w:pPr>
              <w:jc w:val="right"/>
              <w:rPr>
                <w:rFonts w:ascii="宋体"/>
              </w:rPr>
            </w:pPr>
          </w:p>
        </w:tc>
      </w:tr>
    </w:tbl>
    <w:p w14:paraId="518B671C" w14:textId="77777777" w:rsidR="005C332D" w:rsidRDefault="00B93EAE">
      <w:pPr>
        <w:spacing w:before="120"/>
        <w:jc w:val="both"/>
      </w:pPr>
      <w:r>
        <w:rPr>
          <w:rFonts w:ascii="Times New Roman" w:eastAsia="宋体" w:hAnsi="Times New Roman"/>
          <w:color w:val="000000"/>
          <w:sz w:val="20"/>
          <w:szCs w:val="20"/>
        </w:rPr>
        <w:t xml:space="preserve">The weighted-average lease term was 4.7 </w:t>
      </w:r>
      <w:r>
        <w:rPr>
          <w:rFonts w:ascii="Times New Roman" w:eastAsia="宋体" w:hAnsi="Times New Roman"/>
          <w:color w:val="000000"/>
          <w:sz w:val="20"/>
          <w:szCs w:val="20"/>
        </w:rPr>
        <w:t>years and 5.2 years as of July 30, 2022 and July 31, 2021, respectively. The weighted-average discount rate was 2.2% and 1.7% as of July 30, 2022 and July 31, 2021, respectively.</w:t>
      </w:r>
    </w:p>
    <w:p w14:paraId="518B671D" w14:textId="77777777" w:rsidR="005C332D" w:rsidRDefault="00B93EAE">
      <w:pPr>
        <w:spacing w:before="120"/>
        <w:jc w:val="both"/>
      </w:pPr>
      <w:r>
        <w:rPr>
          <w:rFonts w:ascii="Times New Roman" w:eastAsia="宋体" w:hAnsi="Times New Roman"/>
          <w:color w:val="000000"/>
          <w:sz w:val="20"/>
          <w:szCs w:val="20"/>
        </w:rPr>
        <w:t>The maturities of our operating leases (undiscounted) as of July 30, 2022 are</w:t>
      </w:r>
      <w:r>
        <w:rPr>
          <w:rFonts w:ascii="Times New Roman" w:eastAsia="宋体" w:hAnsi="Times New Roman"/>
          <w:color w:val="000000"/>
          <w:sz w:val="20"/>
          <w:szCs w:val="20"/>
        </w:rPr>
        <w:t xml:space="preserve"> as follows (in millions):</w:t>
      </w:r>
      <w:r>
        <w:rPr>
          <w:rFonts w:ascii="Times New Roman" w:eastAsia="宋体" w:hAnsi="Times New Roman"/>
          <w:b/>
          <w:bCs/>
          <w:color w:val="000000"/>
          <w:sz w:val="20"/>
          <w:szCs w:val="20"/>
        </w:rPr>
        <w:t xml:space="preserve"> </w:t>
      </w:r>
    </w:p>
    <w:tbl>
      <w:tblPr>
        <w:tblW w:w="4971" w:type="pct"/>
        <w:jc w:val="center"/>
        <w:tblCellMar>
          <w:top w:w="15" w:type="dxa"/>
          <w:left w:w="15" w:type="dxa"/>
          <w:bottom w:w="15" w:type="dxa"/>
          <w:right w:w="15" w:type="dxa"/>
        </w:tblCellMar>
        <w:tblLook w:val="04A0" w:firstRow="1" w:lastRow="0" w:firstColumn="1" w:lastColumn="0" w:noHBand="0" w:noVBand="1"/>
      </w:tblPr>
      <w:tblGrid>
        <w:gridCol w:w="52"/>
        <w:gridCol w:w="6947"/>
        <w:gridCol w:w="37"/>
        <w:gridCol w:w="120"/>
        <w:gridCol w:w="1096"/>
        <w:gridCol w:w="36"/>
      </w:tblGrid>
      <w:tr w:rsidR="005C332D" w14:paraId="518B6724" w14:textId="77777777">
        <w:trPr>
          <w:jc w:val="center"/>
        </w:trPr>
        <w:tc>
          <w:tcPr>
            <w:tcW w:w="50" w:type="pct"/>
            <w:shd w:val="clear" w:color="auto" w:fill="auto"/>
            <w:vAlign w:val="bottom"/>
          </w:tcPr>
          <w:p w14:paraId="518B671E" w14:textId="77777777" w:rsidR="005C332D" w:rsidRDefault="005C332D">
            <w:pPr>
              <w:rPr>
                <w:rFonts w:ascii="宋体"/>
              </w:rPr>
            </w:pPr>
          </w:p>
        </w:tc>
        <w:tc>
          <w:tcPr>
            <w:tcW w:w="4209" w:type="pct"/>
            <w:shd w:val="clear" w:color="auto" w:fill="auto"/>
            <w:vAlign w:val="bottom"/>
          </w:tcPr>
          <w:p w14:paraId="518B671F" w14:textId="77777777" w:rsidR="005C332D" w:rsidRDefault="005C332D">
            <w:pPr>
              <w:rPr>
                <w:rFonts w:ascii="宋体"/>
              </w:rPr>
            </w:pPr>
          </w:p>
        </w:tc>
        <w:tc>
          <w:tcPr>
            <w:tcW w:w="5" w:type="pct"/>
            <w:shd w:val="clear" w:color="auto" w:fill="auto"/>
            <w:vAlign w:val="bottom"/>
          </w:tcPr>
          <w:p w14:paraId="518B6720" w14:textId="77777777" w:rsidR="005C332D" w:rsidRDefault="005C332D">
            <w:pPr>
              <w:rPr>
                <w:rFonts w:ascii="宋体"/>
              </w:rPr>
            </w:pPr>
          </w:p>
        </w:tc>
        <w:tc>
          <w:tcPr>
            <w:tcW w:w="50" w:type="pct"/>
            <w:shd w:val="clear" w:color="auto" w:fill="auto"/>
            <w:vAlign w:val="bottom"/>
          </w:tcPr>
          <w:p w14:paraId="518B6721" w14:textId="77777777" w:rsidR="005C332D" w:rsidRDefault="005C332D">
            <w:pPr>
              <w:rPr>
                <w:rFonts w:ascii="宋体"/>
              </w:rPr>
            </w:pPr>
          </w:p>
        </w:tc>
        <w:tc>
          <w:tcPr>
            <w:tcW w:w="680" w:type="pct"/>
            <w:shd w:val="clear" w:color="auto" w:fill="auto"/>
            <w:vAlign w:val="bottom"/>
          </w:tcPr>
          <w:p w14:paraId="518B6722" w14:textId="77777777" w:rsidR="005C332D" w:rsidRDefault="005C332D">
            <w:pPr>
              <w:rPr>
                <w:rFonts w:ascii="宋体"/>
              </w:rPr>
            </w:pPr>
          </w:p>
        </w:tc>
        <w:tc>
          <w:tcPr>
            <w:tcW w:w="5" w:type="pct"/>
            <w:shd w:val="clear" w:color="auto" w:fill="auto"/>
            <w:vAlign w:val="bottom"/>
          </w:tcPr>
          <w:p w14:paraId="518B6723" w14:textId="77777777" w:rsidR="005C332D" w:rsidRDefault="005C332D">
            <w:pPr>
              <w:rPr>
                <w:rFonts w:ascii="宋体"/>
              </w:rPr>
            </w:pPr>
          </w:p>
        </w:tc>
      </w:tr>
      <w:tr w:rsidR="005C332D" w14:paraId="518B6727" w14:textId="77777777">
        <w:trPr>
          <w:jc w:val="center"/>
        </w:trPr>
        <w:tc>
          <w:tcPr>
            <w:tcW w:w="0" w:type="auto"/>
            <w:gridSpan w:val="3"/>
            <w:shd w:val="clear" w:color="auto" w:fill="auto"/>
            <w:tcMar>
              <w:top w:w="40" w:type="dxa"/>
              <w:left w:w="20" w:type="dxa"/>
              <w:bottom w:w="40" w:type="dxa"/>
              <w:right w:w="20" w:type="dxa"/>
            </w:tcMar>
            <w:vAlign w:val="bottom"/>
          </w:tcPr>
          <w:p w14:paraId="518B6725" w14:textId="77777777" w:rsidR="005C332D" w:rsidRDefault="00B93EAE">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518B6726" w14:textId="77777777" w:rsidR="005C332D" w:rsidRDefault="00B93EAE">
            <w:pPr>
              <w:jc w:val="center"/>
              <w:textAlignment w:val="bottom"/>
            </w:pPr>
            <w:r>
              <w:rPr>
                <w:rFonts w:ascii="Times New Roman" w:eastAsia="宋体" w:hAnsi="Times New Roman"/>
                <w:color w:val="000000"/>
                <w:sz w:val="18"/>
                <w:szCs w:val="18"/>
              </w:rPr>
              <w:t>Amount</w:t>
            </w:r>
          </w:p>
        </w:tc>
      </w:tr>
      <w:tr w:rsidR="005C332D" w14:paraId="518B672C" w14:textId="77777777">
        <w:trPr>
          <w:jc w:val="center"/>
        </w:trPr>
        <w:tc>
          <w:tcPr>
            <w:tcW w:w="0" w:type="auto"/>
            <w:gridSpan w:val="3"/>
            <w:shd w:val="clear" w:color="auto" w:fill="CCEEFF"/>
            <w:tcMar>
              <w:top w:w="40" w:type="dxa"/>
              <w:left w:w="20" w:type="dxa"/>
              <w:bottom w:w="40" w:type="dxa"/>
              <w:right w:w="20" w:type="dxa"/>
            </w:tcMar>
          </w:tcPr>
          <w:p w14:paraId="518B6728" w14:textId="77777777" w:rsidR="005C332D" w:rsidRDefault="00B93EAE">
            <w:pPr>
              <w:textAlignment w:val="top"/>
            </w:pPr>
            <w:r>
              <w:rPr>
                <w:rFonts w:ascii="Times New Roman" w:eastAsia="宋体" w:hAnsi="Times New Roman"/>
                <w:color w:val="000000"/>
                <w:sz w:val="20"/>
                <w:szCs w:val="20"/>
              </w:rPr>
              <w:t>2023</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72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72A" w14:textId="77777777" w:rsidR="005C332D" w:rsidRDefault="00B93EAE">
            <w:pPr>
              <w:jc w:val="right"/>
              <w:textAlignment w:val="bottom"/>
            </w:pPr>
            <w:r>
              <w:rPr>
                <w:rFonts w:ascii="Times New Roman" w:eastAsia="宋体" w:hAnsi="Times New Roman"/>
                <w:color w:val="000000"/>
                <w:sz w:val="20"/>
                <w:szCs w:val="20"/>
              </w:rPr>
              <w:t>343 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72B" w14:textId="77777777" w:rsidR="005C332D" w:rsidRDefault="005C332D">
            <w:pPr>
              <w:jc w:val="right"/>
              <w:rPr>
                <w:rFonts w:ascii="宋体"/>
              </w:rPr>
            </w:pPr>
          </w:p>
        </w:tc>
      </w:tr>
      <w:tr w:rsidR="005C332D" w14:paraId="518B6730" w14:textId="77777777">
        <w:trPr>
          <w:jc w:val="center"/>
        </w:trPr>
        <w:tc>
          <w:tcPr>
            <w:tcW w:w="0" w:type="auto"/>
            <w:gridSpan w:val="3"/>
            <w:shd w:val="clear" w:color="auto" w:fill="FFFFFF"/>
            <w:tcMar>
              <w:top w:w="40" w:type="dxa"/>
              <w:left w:w="20" w:type="dxa"/>
              <w:bottom w:w="40" w:type="dxa"/>
              <w:right w:w="20" w:type="dxa"/>
            </w:tcMar>
          </w:tcPr>
          <w:p w14:paraId="518B672D" w14:textId="77777777" w:rsidR="005C332D" w:rsidRDefault="00B93EAE">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518B672E" w14:textId="77777777" w:rsidR="005C332D" w:rsidRDefault="00B93EAE">
            <w:pPr>
              <w:jc w:val="right"/>
              <w:textAlignment w:val="bottom"/>
            </w:pPr>
            <w:r>
              <w:rPr>
                <w:rFonts w:ascii="Times New Roman" w:eastAsia="宋体" w:hAnsi="Times New Roman"/>
                <w:color w:val="000000"/>
                <w:sz w:val="20"/>
                <w:szCs w:val="20"/>
              </w:rPr>
              <w:t>255 </w:t>
            </w:r>
          </w:p>
        </w:tc>
        <w:tc>
          <w:tcPr>
            <w:tcW w:w="0" w:type="auto"/>
            <w:shd w:val="clear" w:color="auto" w:fill="FFFFFF"/>
            <w:tcMar>
              <w:top w:w="40" w:type="dxa"/>
              <w:left w:w="0" w:type="dxa"/>
              <w:bottom w:w="40" w:type="dxa"/>
              <w:right w:w="20" w:type="dxa"/>
            </w:tcMar>
            <w:vAlign w:val="bottom"/>
          </w:tcPr>
          <w:p w14:paraId="518B672F" w14:textId="77777777" w:rsidR="005C332D" w:rsidRDefault="005C332D">
            <w:pPr>
              <w:jc w:val="right"/>
              <w:rPr>
                <w:rFonts w:ascii="宋体"/>
              </w:rPr>
            </w:pPr>
          </w:p>
        </w:tc>
      </w:tr>
      <w:tr w:rsidR="005C332D" w14:paraId="518B6734" w14:textId="77777777">
        <w:trPr>
          <w:jc w:val="center"/>
        </w:trPr>
        <w:tc>
          <w:tcPr>
            <w:tcW w:w="0" w:type="auto"/>
            <w:gridSpan w:val="3"/>
            <w:shd w:val="clear" w:color="auto" w:fill="CCEEFF"/>
            <w:tcMar>
              <w:top w:w="40" w:type="dxa"/>
              <w:left w:w="20" w:type="dxa"/>
              <w:bottom w:w="40" w:type="dxa"/>
              <w:right w:w="20" w:type="dxa"/>
            </w:tcMar>
          </w:tcPr>
          <w:p w14:paraId="518B6731" w14:textId="77777777" w:rsidR="005C332D" w:rsidRDefault="00B93EAE">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518B6732" w14:textId="77777777" w:rsidR="005C332D" w:rsidRDefault="00B93EAE">
            <w:pPr>
              <w:jc w:val="right"/>
              <w:textAlignment w:val="bottom"/>
            </w:pPr>
            <w:r>
              <w:rPr>
                <w:rFonts w:ascii="Times New Roman" w:eastAsia="宋体" w:hAnsi="Times New Roman"/>
                <w:color w:val="000000"/>
                <w:sz w:val="20"/>
                <w:szCs w:val="20"/>
              </w:rPr>
              <w:t>176 </w:t>
            </w:r>
          </w:p>
        </w:tc>
        <w:tc>
          <w:tcPr>
            <w:tcW w:w="0" w:type="auto"/>
            <w:shd w:val="clear" w:color="auto" w:fill="CCEEFF"/>
            <w:tcMar>
              <w:top w:w="40" w:type="dxa"/>
              <w:left w:w="0" w:type="dxa"/>
              <w:bottom w:w="40" w:type="dxa"/>
              <w:right w:w="20" w:type="dxa"/>
            </w:tcMar>
            <w:vAlign w:val="bottom"/>
          </w:tcPr>
          <w:p w14:paraId="518B6733" w14:textId="77777777" w:rsidR="005C332D" w:rsidRDefault="005C332D">
            <w:pPr>
              <w:jc w:val="right"/>
              <w:rPr>
                <w:rFonts w:ascii="宋体"/>
              </w:rPr>
            </w:pPr>
          </w:p>
        </w:tc>
      </w:tr>
      <w:tr w:rsidR="005C332D" w14:paraId="518B6738" w14:textId="77777777">
        <w:trPr>
          <w:jc w:val="center"/>
        </w:trPr>
        <w:tc>
          <w:tcPr>
            <w:tcW w:w="0" w:type="auto"/>
            <w:gridSpan w:val="3"/>
            <w:shd w:val="clear" w:color="auto" w:fill="FFFFFF"/>
            <w:tcMar>
              <w:top w:w="40" w:type="dxa"/>
              <w:left w:w="20" w:type="dxa"/>
              <w:bottom w:w="40" w:type="dxa"/>
              <w:right w:w="20" w:type="dxa"/>
            </w:tcMar>
          </w:tcPr>
          <w:p w14:paraId="518B6735" w14:textId="77777777" w:rsidR="005C332D" w:rsidRDefault="00B93EAE">
            <w:pPr>
              <w:textAlignment w:val="top"/>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18B6736" w14:textId="77777777" w:rsidR="005C332D" w:rsidRDefault="00B93EAE">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518B6737" w14:textId="77777777" w:rsidR="005C332D" w:rsidRDefault="005C332D">
            <w:pPr>
              <w:jc w:val="right"/>
              <w:rPr>
                <w:rFonts w:ascii="宋体"/>
              </w:rPr>
            </w:pPr>
          </w:p>
        </w:tc>
      </w:tr>
      <w:tr w:rsidR="005C332D" w14:paraId="518B673C" w14:textId="77777777">
        <w:trPr>
          <w:jc w:val="center"/>
        </w:trPr>
        <w:tc>
          <w:tcPr>
            <w:tcW w:w="0" w:type="auto"/>
            <w:gridSpan w:val="3"/>
            <w:shd w:val="clear" w:color="auto" w:fill="CCEEFF"/>
            <w:tcMar>
              <w:top w:w="40" w:type="dxa"/>
              <w:left w:w="20" w:type="dxa"/>
              <w:bottom w:w="40" w:type="dxa"/>
              <w:right w:w="20" w:type="dxa"/>
            </w:tcMar>
          </w:tcPr>
          <w:p w14:paraId="518B6739" w14:textId="77777777" w:rsidR="005C332D" w:rsidRDefault="00B93EAE">
            <w:pPr>
              <w:textAlignment w:val="top"/>
            </w:pPr>
            <w:r>
              <w:rPr>
                <w:rFonts w:ascii="Times New Roman" w:eastAsia="宋体" w:hAnsi="Times New Roman"/>
                <w:color w:val="000000"/>
                <w:sz w:val="20"/>
                <w:szCs w:val="20"/>
              </w:rPr>
              <w:t>2027</w:t>
            </w:r>
          </w:p>
        </w:tc>
        <w:tc>
          <w:tcPr>
            <w:tcW w:w="0" w:type="auto"/>
            <w:gridSpan w:val="2"/>
            <w:shd w:val="clear" w:color="auto" w:fill="CCEEFF"/>
            <w:tcMar>
              <w:top w:w="40" w:type="dxa"/>
              <w:left w:w="20" w:type="dxa"/>
              <w:bottom w:w="40" w:type="dxa"/>
              <w:right w:w="0" w:type="dxa"/>
            </w:tcMar>
            <w:vAlign w:val="bottom"/>
          </w:tcPr>
          <w:p w14:paraId="518B673A" w14:textId="77777777" w:rsidR="005C332D" w:rsidRDefault="00B93EAE">
            <w:pPr>
              <w:jc w:val="right"/>
              <w:textAlignment w:val="bottom"/>
            </w:pPr>
            <w:r>
              <w:rPr>
                <w:rFonts w:ascii="Times New Roman" w:eastAsia="宋体" w:hAnsi="Times New Roman"/>
                <w:color w:val="000000"/>
                <w:sz w:val="20"/>
                <w:szCs w:val="20"/>
              </w:rPr>
              <w:t>64 </w:t>
            </w:r>
          </w:p>
        </w:tc>
        <w:tc>
          <w:tcPr>
            <w:tcW w:w="0" w:type="auto"/>
            <w:shd w:val="clear" w:color="auto" w:fill="CCEEFF"/>
            <w:tcMar>
              <w:top w:w="40" w:type="dxa"/>
              <w:left w:w="0" w:type="dxa"/>
              <w:bottom w:w="40" w:type="dxa"/>
              <w:right w:w="20" w:type="dxa"/>
            </w:tcMar>
            <w:vAlign w:val="bottom"/>
          </w:tcPr>
          <w:p w14:paraId="518B673B" w14:textId="77777777" w:rsidR="005C332D" w:rsidRDefault="005C332D">
            <w:pPr>
              <w:jc w:val="right"/>
              <w:rPr>
                <w:rFonts w:ascii="宋体"/>
              </w:rPr>
            </w:pPr>
          </w:p>
        </w:tc>
      </w:tr>
      <w:tr w:rsidR="005C332D" w14:paraId="518B6740" w14:textId="77777777">
        <w:trPr>
          <w:jc w:val="center"/>
        </w:trPr>
        <w:tc>
          <w:tcPr>
            <w:tcW w:w="0" w:type="auto"/>
            <w:gridSpan w:val="3"/>
            <w:shd w:val="clear" w:color="auto" w:fill="FFFFFF"/>
            <w:tcMar>
              <w:top w:w="40" w:type="dxa"/>
              <w:left w:w="20" w:type="dxa"/>
              <w:bottom w:w="40" w:type="dxa"/>
              <w:right w:w="20" w:type="dxa"/>
            </w:tcMar>
          </w:tcPr>
          <w:p w14:paraId="518B673D" w14:textId="77777777" w:rsidR="005C332D" w:rsidRDefault="00B93EAE">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518B673E" w14:textId="77777777" w:rsidR="005C332D" w:rsidRDefault="00B93EAE">
            <w:pPr>
              <w:jc w:val="right"/>
              <w:textAlignment w:val="bottom"/>
            </w:pPr>
            <w:r>
              <w:rPr>
                <w:rFonts w:ascii="Times New Roman" w:eastAsia="宋体" w:hAnsi="Times New Roman"/>
                <w:color w:val="000000"/>
                <w:sz w:val="20"/>
                <w:szCs w:val="20"/>
              </w:rPr>
              <w:t>185 </w:t>
            </w:r>
          </w:p>
        </w:tc>
        <w:tc>
          <w:tcPr>
            <w:tcW w:w="0" w:type="auto"/>
            <w:shd w:val="clear" w:color="auto" w:fill="FFFFFF"/>
            <w:tcMar>
              <w:top w:w="40" w:type="dxa"/>
              <w:left w:w="0" w:type="dxa"/>
              <w:bottom w:w="40" w:type="dxa"/>
              <w:right w:w="20" w:type="dxa"/>
            </w:tcMar>
            <w:vAlign w:val="bottom"/>
          </w:tcPr>
          <w:p w14:paraId="518B673F" w14:textId="77777777" w:rsidR="005C332D" w:rsidRDefault="005C332D">
            <w:pPr>
              <w:jc w:val="right"/>
              <w:rPr>
                <w:rFonts w:ascii="宋体"/>
              </w:rPr>
            </w:pPr>
          </w:p>
        </w:tc>
      </w:tr>
      <w:tr w:rsidR="005C332D" w14:paraId="518B6744" w14:textId="77777777">
        <w:trPr>
          <w:jc w:val="center"/>
        </w:trPr>
        <w:tc>
          <w:tcPr>
            <w:tcW w:w="0" w:type="auto"/>
            <w:gridSpan w:val="3"/>
            <w:shd w:val="clear" w:color="auto" w:fill="CCEEFF"/>
            <w:tcMar>
              <w:top w:w="40" w:type="dxa"/>
              <w:left w:w="380" w:type="dxa"/>
              <w:bottom w:w="40" w:type="dxa"/>
              <w:right w:w="20" w:type="dxa"/>
            </w:tcMar>
          </w:tcPr>
          <w:p w14:paraId="518B6741" w14:textId="77777777" w:rsidR="005C332D" w:rsidRDefault="00B93EAE">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742" w14:textId="77777777" w:rsidR="005C332D" w:rsidRDefault="00B93EAE">
            <w:pPr>
              <w:jc w:val="right"/>
              <w:textAlignment w:val="bottom"/>
            </w:pPr>
            <w:r>
              <w:rPr>
                <w:rFonts w:ascii="Times New Roman" w:eastAsia="宋体" w:hAnsi="Times New Roman"/>
                <w:color w:val="000000"/>
                <w:sz w:val="20"/>
                <w:szCs w:val="20"/>
              </w:rPr>
              <w:t>1,127 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743" w14:textId="77777777" w:rsidR="005C332D" w:rsidRDefault="005C332D">
            <w:pPr>
              <w:jc w:val="right"/>
              <w:rPr>
                <w:rFonts w:ascii="宋体"/>
              </w:rPr>
            </w:pPr>
          </w:p>
        </w:tc>
      </w:tr>
      <w:tr w:rsidR="005C332D" w14:paraId="518B6748" w14:textId="77777777">
        <w:trPr>
          <w:jc w:val="center"/>
        </w:trPr>
        <w:tc>
          <w:tcPr>
            <w:tcW w:w="0" w:type="auto"/>
            <w:gridSpan w:val="3"/>
            <w:shd w:val="clear" w:color="auto" w:fill="FFFFFF"/>
            <w:tcMar>
              <w:top w:w="40" w:type="dxa"/>
              <w:left w:w="20" w:type="dxa"/>
              <w:bottom w:w="40" w:type="dxa"/>
              <w:right w:w="20" w:type="dxa"/>
            </w:tcMar>
          </w:tcPr>
          <w:p w14:paraId="518B6745" w14:textId="77777777" w:rsidR="005C332D" w:rsidRDefault="00B93EAE">
            <w:pPr>
              <w:textAlignment w:val="top"/>
            </w:pPr>
            <w:r>
              <w:rPr>
                <w:rFonts w:ascii="Times New Roman" w:eastAsia="宋体" w:hAnsi="Times New Roman"/>
                <w:color w:val="000000"/>
                <w:sz w:val="20"/>
                <w:szCs w:val="20"/>
              </w:rPr>
              <w:t>Less interest</w:t>
            </w:r>
          </w:p>
        </w:tc>
        <w:tc>
          <w:tcPr>
            <w:tcW w:w="0" w:type="auto"/>
            <w:gridSpan w:val="2"/>
            <w:shd w:val="clear" w:color="auto" w:fill="FFFFFF"/>
            <w:tcMar>
              <w:top w:w="40" w:type="dxa"/>
              <w:left w:w="20" w:type="dxa"/>
              <w:bottom w:w="40" w:type="dxa"/>
              <w:right w:w="0" w:type="dxa"/>
            </w:tcMar>
            <w:vAlign w:val="bottom"/>
          </w:tcPr>
          <w:p w14:paraId="518B6746" w14:textId="77777777" w:rsidR="005C332D" w:rsidRDefault="00B93EAE">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518B6747" w14:textId="77777777" w:rsidR="005C332D" w:rsidRDefault="005C332D">
            <w:pPr>
              <w:jc w:val="right"/>
              <w:rPr>
                <w:rFonts w:ascii="宋体"/>
              </w:rPr>
            </w:pPr>
          </w:p>
        </w:tc>
      </w:tr>
      <w:tr w:rsidR="005C332D" w14:paraId="518B674D" w14:textId="77777777">
        <w:trPr>
          <w:jc w:val="center"/>
        </w:trPr>
        <w:tc>
          <w:tcPr>
            <w:tcW w:w="0" w:type="auto"/>
            <w:gridSpan w:val="3"/>
            <w:shd w:val="clear" w:color="auto" w:fill="CCEEFF"/>
            <w:tcMar>
              <w:top w:w="40" w:type="dxa"/>
              <w:left w:w="875" w:type="dxa"/>
              <w:bottom w:w="40" w:type="dxa"/>
              <w:right w:w="20" w:type="dxa"/>
            </w:tcMar>
          </w:tcPr>
          <w:p w14:paraId="518B6749"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74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74B" w14:textId="77777777" w:rsidR="005C332D" w:rsidRDefault="00B93EAE">
            <w:pPr>
              <w:jc w:val="right"/>
              <w:textAlignment w:val="bottom"/>
            </w:pPr>
            <w:r>
              <w:rPr>
                <w:rFonts w:ascii="Times New Roman" w:eastAsia="宋体" w:hAnsi="Times New Roman"/>
                <w:color w:val="000000"/>
                <w:sz w:val="20"/>
                <w:szCs w:val="20"/>
              </w:rPr>
              <w:t>1,046 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74C" w14:textId="77777777" w:rsidR="005C332D" w:rsidRDefault="005C332D">
            <w:pPr>
              <w:jc w:val="right"/>
              <w:rPr>
                <w:rFonts w:ascii="宋体"/>
              </w:rPr>
            </w:pPr>
          </w:p>
        </w:tc>
      </w:tr>
    </w:tbl>
    <w:p w14:paraId="518B674E" w14:textId="77777777" w:rsidR="005C332D" w:rsidRDefault="00B93EAE">
      <w:pPr>
        <w:spacing w:before="120"/>
        <w:ind w:hanging="360"/>
      </w:pPr>
      <w:r>
        <w:rPr>
          <w:rFonts w:ascii="Times New Roman" w:eastAsia="宋体" w:hAnsi="Times New Roman"/>
          <w:b/>
          <w:bCs/>
          <w:color w:val="000000"/>
          <w:sz w:val="20"/>
          <w:szCs w:val="20"/>
        </w:rPr>
        <w:t>(b)Lessor Arrangements</w:t>
      </w:r>
    </w:p>
    <w:p w14:paraId="518B674F" w14:textId="77777777" w:rsidR="005C332D" w:rsidRDefault="00B93EAE">
      <w:pPr>
        <w:spacing w:before="120"/>
        <w:jc w:val="both"/>
      </w:pPr>
      <w:r>
        <w:rPr>
          <w:rFonts w:ascii="Times New Roman" w:eastAsia="宋体" w:hAnsi="Times New Roman"/>
          <w:color w:val="000000"/>
          <w:sz w:val="20"/>
          <w:szCs w:val="20"/>
        </w:rPr>
        <w:t>Our leases primarily represent sales-type leases with terms of four years on average. We provide leasing of our equipment and complementary third-party products primarily through our channel partners and distributors, for which the income arising from thes</w:t>
      </w:r>
      <w:r>
        <w:rPr>
          <w:rFonts w:ascii="Times New Roman" w:eastAsia="宋体" w:hAnsi="Times New Roman"/>
          <w:color w:val="000000"/>
          <w:sz w:val="20"/>
          <w:szCs w:val="20"/>
        </w:rPr>
        <w:t>e leases is recognized through interest income. Interest income for fiscal 2022 and 2021 was $54 million and $75 million, respectively, and was included in interest income in the Consolidated Statement of Operations. The net investment of our lease receiva</w:t>
      </w:r>
      <w:r>
        <w:rPr>
          <w:rFonts w:ascii="Times New Roman" w:eastAsia="宋体" w:hAnsi="Times New Roman"/>
          <w:color w:val="000000"/>
          <w:sz w:val="20"/>
          <w:szCs w:val="20"/>
        </w:rPr>
        <w:t xml:space="preserve">bles is measured at the commencement date as the gross lease receivable, residual value less unearned income and allowance for credit loss. For additional information, see Note 9. </w:t>
      </w:r>
    </w:p>
    <w:p w14:paraId="518B6750" w14:textId="77777777" w:rsidR="005C332D" w:rsidRDefault="00B93EAE">
      <w:pPr>
        <w:jc w:val="center"/>
      </w:pPr>
      <w:r>
        <w:rPr>
          <w:rFonts w:ascii="Times New Roman" w:eastAsia="宋体" w:hAnsi="Times New Roman"/>
          <w:color w:val="000000"/>
          <w:sz w:val="20"/>
          <w:szCs w:val="20"/>
        </w:rPr>
        <w:t>77</w:t>
      </w:r>
    </w:p>
    <w:p w14:paraId="518B6751" w14:textId="77777777" w:rsidR="005C332D" w:rsidRDefault="00B93EAE">
      <w:r>
        <w:pict w14:anchorId="518B8762">
          <v:rect id="_x0000_i1103" style="width:415.3pt;height:1.5pt" o:hralign="center" o:hrstd="t" o:hr="t" fillcolor="#a0a0a0" stroked="f"/>
        </w:pict>
      </w:r>
    </w:p>
    <w:p w14:paraId="518B6752" w14:textId="77777777" w:rsidR="005C332D" w:rsidRDefault="005C332D"/>
    <w:p w14:paraId="518B6753" w14:textId="77777777" w:rsidR="005C332D" w:rsidRDefault="00B93EAE">
      <w:pPr>
        <w:spacing w:before="120"/>
        <w:jc w:val="both"/>
      </w:pPr>
      <w:r>
        <w:rPr>
          <w:rFonts w:ascii="Times New Roman" w:eastAsia="宋体" w:hAnsi="Times New Roman"/>
          <w:color w:val="000000"/>
          <w:sz w:val="20"/>
          <w:szCs w:val="20"/>
        </w:rPr>
        <w:t>Future minimum lease payments on our lease receivables as of July 30,</w:t>
      </w:r>
      <w:r>
        <w:rPr>
          <w:rFonts w:ascii="Times New Roman" w:eastAsia="宋体" w:hAnsi="Times New Roman"/>
          <w:color w:val="000000"/>
          <w:sz w:val="20"/>
          <w:szCs w:val="20"/>
        </w:rPr>
        <w:t xml:space="preserve"> 2022 are summarized as follows (in millions):</w:t>
      </w:r>
    </w:p>
    <w:tbl>
      <w:tblPr>
        <w:tblW w:w="4971" w:type="pct"/>
        <w:tblCellMar>
          <w:top w:w="15" w:type="dxa"/>
          <w:left w:w="15" w:type="dxa"/>
          <w:bottom w:w="15" w:type="dxa"/>
          <w:right w:w="15" w:type="dxa"/>
        </w:tblCellMar>
        <w:tblLook w:val="04A0" w:firstRow="1" w:lastRow="0" w:firstColumn="1" w:lastColumn="0" w:noHBand="0" w:noVBand="1"/>
      </w:tblPr>
      <w:tblGrid>
        <w:gridCol w:w="52"/>
        <w:gridCol w:w="6947"/>
        <w:gridCol w:w="36"/>
        <w:gridCol w:w="121"/>
        <w:gridCol w:w="1096"/>
        <w:gridCol w:w="36"/>
      </w:tblGrid>
      <w:tr w:rsidR="005C332D" w14:paraId="518B675A" w14:textId="77777777">
        <w:tc>
          <w:tcPr>
            <w:tcW w:w="50" w:type="pct"/>
            <w:shd w:val="clear" w:color="auto" w:fill="auto"/>
            <w:vAlign w:val="bottom"/>
          </w:tcPr>
          <w:p w14:paraId="518B6754" w14:textId="77777777" w:rsidR="005C332D" w:rsidRDefault="005C332D">
            <w:pPr>
              <w:rPr>
                <w:rFonts w:ascii="宋体"/>
              </w:rPr>
            </w:pPr>
          </w:p>
        </w:tc>
        <w:tc>
          <w:tcPr>
            <w:tcW w:w="4209" w:type="pct"/>
            <w:shd w:val="clear" w:color="auto" w:fill="auto"/>
            <w:vAlign w:val="bottom"/>
          </w:tcPr>
          <w:p w14:paraId="518B6755" w14:textId="77777777" w:rsidR="005C332D" w:rsidRDefault="005C332D">
            <w:pPr>
              <w:rPr>
                <w:rFonts w:ascii="宋体"/>
              </w:rPr>
            </w:pPr>
          </w:p>
        </w:tc>
        <w:tc>
          <w:tcPr>
            <w:tcW w:w="5" w:type="pct"/>
            <w:shd w:val="clear" w:color="auto" w:fill="auto"/>
            <w:vAlign w:val="bottom"/>
          </w:tcPr>
          <w:p w14:paraId="518B6756" w14:textId="77777777" w:rsidR="005C332D" w:rsidRDefault="005C332D">
            <w:pPr>
              <w:rPr>
                <w:rFonts w:ascii="宋体"/>
              </w:rPr>
            </w:pPr>
          </w:p>
        </w:tc>
        <w:tc>
          <w:tcPr>
            <w:tcW w:w="50" w:type="pct"/>
            <w:shd w:val="clear" w:color="auto" w:fill="auto"/>
            <w:vAlign w:val="bottom"/>
          </w:tcPr>
          <w:p w14:paraId="518B6757" w14:textId="77777777" w:rsidR="005C332D" w:rsidRDefault="005C332D">
            <w:pPr>
              <w:rPr>
                <w:rFonts w:ascii="宋体"/>
              </w:rPr>
            </w:pPr>
          </w:p>
        </w:tc>
        <w:tc>
          <w:tcPr>
            <w:tcW w:w="680" w:type="pct"/>
            <w:shd w:val="clear" w:color="auto" w:fill="auto"/>
            <w:vAlign w:val="bottom"/>
          </w:tcPr>
          <w:p w14:paraId="518B6758" w14:textId="77777777" w:rsidR="005C332D" w:rsidRDefault="005C332D">
            <w:pPr>
              <w:rPr>
                <w:rFonts w:ascii="宋体"/>
              </w:rPr>
            </w:pPr>
          </w:p>
        </w:tc>
        <w:tc>
          <w:tcPr>
            <w:tcW w:w="5" w:type="pct"/>
            <w:shd w:val="clear" w:color="auto" w:fill="auto"/>
            <w:vAlign w:val="bottom"/>
          </w:tcPr>
          <w:p w14:paraId="518B6759" w14:textId="77777777" w:rsidR="005C332D" w:rsidRDefault="005C332D">
            <w:pPr>
              <w:rPr>
                <w:rFonts w:ascii="宋体"/>
              </w:rPr>
            </w:pPr>
          </w:p>
        </w:tc>
      </w:tr>
      <w:tr w:rsidR="005C332D" w14:paraId="518B675D" w14:textId="77777777">
        <w:tc>
          <w:tcPr>
            <w:tcW w:w="0" w:type="auto"/>
            <w:gridSpan w:val="3"/>
            <w:shd w:val="clear" w:color="auto" w:fill="auto"/>
            <w:tcMar>
              <w:top w:w="40" w:type="dxa"/>
              <w:left w:w="20" w:type="dxa"/>
              <w:bottom w:w="40" w:type="dxa"/>
              <w:right w:w="20" w:type="dxa"/>
            </w:tcMar>
            <w:vAlign w:val="bottom"/>
          </w:tcPr>
          <w:p w14:paraId="518B675B" w14:textId="77777777" w:rsidR="005C332D" w:rsidRDefault="00B93EAE">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518B675C" w14:textId="77777777" w:rsidR="005C332D" w:rsidRDefault="00B93EAE">
            <w:pPr>
              <w:jc w:val="center"/>
              <w:textAlignment w:val="bottom"/>
            </w:pPr>
            <w:r>
              <w:rPr>
                <w:rFonts w:ascii="Times New Roman" w:eastAsia="宋体" w:hAnsi="Times New Roman"/>
                <w:color w:val="000000"/>
                <w:sz w:val="18"/>
                <w:szCs w:val="18"/>
              </w:rPr>
              <w:t>Amount</w:t>
            </w:r>
          </w:p>
        </w:tc>
      </w:tr>
      <w:tr w:rsidR="005C332D" w14:paraId="518B6762" w14:textId="77777777">
        <w:tc>
          <w:tcPr>
            <w:tcW w:w="0" w:type="auto"/>
            <w:gridSpan w:val="3"/>
            <w:shd w:val="clear" w:color="auto" w:fill="CCEEFF"/>
            <w:tcMar>
              <w:top w:w="40" w:type="dxa"/>
              <w:left w:w="20" w:type="dxa"/>
              <w:bottom w:w="40" w:type="dxa"/>
              <w:right w:w="20" w:type="dxa"/>
            </w:tcMar>
          </w:tcPr>
          <w:p w14:paraId="518B675E" w14:textId="77777777" w:rsidR="005C332D" w:rsidRDefault="00B93EAE">
            <w:pPr>
              <w:textAlignment w:val="top"/>
            </w:pPr>
            <w:r>
              <w:rPr>
                <w:rFonts w:ascii="Times New Roman" w:eastAsia="宋体" w:hAnsi="Times New Roman"/>
                <w:color w:val="000000"/>
                <w:sz w:val="20"/>
                <w:szCs w:val="20"/>
              </w:rPr>
              <w:t>2023</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75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760" w14:textId="77777777" w:rsidR="005C332D" w:rsidRDefault="00B93EAE">
            <w:pPr>
              <w:jc w:val="right"/>
              <w:textAlignment w:val="bottom"/>
            </w:pPr>
            <w:r>
              <w:rPr>
                <w:rFonts w:ascii="Times New Roman" w:eastAsia="宋体" w:hAnsi="Times New Roman"/>
                <w:color w:val="000000"/>
                <w:sz w:val="20"/>
                <w:szCs w:val="20"/>
              </w:rPr>
              <w:t>582 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761" w14:textId="77777777" w:rsidR="005C332D" w:rsidRDefault="005C332D">
            <w:pPr>
              <w:jc w:val="right"/>
              <w:rPr>
                <w:rFonts w:ascii="宋体"/>
              </w:rPr>
            </w:pPr>
          </w:p>
        </w:tc>
      </w:tr>
      <w:tr w:rsidR="005C332D" w14:paraId="518B6766" w14:textId="77777777">
        <w:tc>
          <w:tcPr>
            <w:tcW w:w="0" w:type="auto"/>
            <w:gridSpan w:val="3"/>
            <w:shd w:val="clear" w:color="auto" w:fill="FFFFFF"/>
            <w:tcMar>
              <w:top w:w="40" w:type="dxa"/>
              <w:left w:w="20" w:type="dxa"/>
              <w:bottom w:w="40" w:type="dxa"/>
              <w:right w:w="20" w:type="dxa"/>
            </w:tcMar>
          </w:tcPr>
          <w:p w14:paraId="518B6763" w14:textId="77777777" w:rsidR="005C332D" w:rsidRDefault="00B93EAE">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518B6764" w14:textId="77777777" w:rsidR="005C332D" w:rsidRDefault="00B93EAE">
            <w:pPr>
              <w:jc w:val="right"/>
              <w:textAlignment w:val="bottom"/>
            </w:pPr>
            <w:r>
              <w:rPr>
                <w:rFonts w:ascii="Times New Roman" w:eastAsia="宋体" w:hAnsi="Times New Roman"/>
                <w:color w:val="000000"/>
                <w:sz w:val="20"/>
                <w:szCs w:val="20"/>
              </w:rPr>
              <w:t>314 </w:t>
            </w:r>
          </w:p>
        </w:tc>
        <w:tc>
          <w:tcPr>
            <w:tcW w:w="0" w:type="auto"/>
            <w:shd w:val="clear" w:color="auto" w:fill="FFFFFF"/>
            <w:tcMar>
              <w:top w:w="40" w:type="dxa"/>
              <w:left w:w="0" w:type="dxa"/>
              <w:bottom w:w="40" w:type="dxa"/>
              <w:right w:w="20" w:type="dxa"/>
            </w:tcMar>
            <w:vAlign w:val="bottom"/>
          </w:tcPr>
          <w:p w14:paraId="518B6765" w14:textId="77777777" w:rsidR="005C332D" w:rsidRDefault="005C332D">
            <w:pPr>
              <w:jc w:val="right"/>
              <w:rPr>
                <w:rFonts w:ascii="宋体"/>
              </w:rPr>
            </w:pPr>
          </w:p>
        </w:tc>
      </w:tr>
      <w:tr w:rsidR="005C332D" w14:paraId="518B676A" w14:textId="77777777">
        <w:tc>
          <w:tcPr>
            <w:tcW w:w="0" w:type="auto"/>
            <w:gridSpan w:val="3"/>
            <w:shd w:val="clear" w:color="auto" w:fill="CCEEFF"/>
            <w:tcMar>
              <w:top w:w="40" w:type="dxa"/>
              <w:left w:w="20" w:type="dxa"/>
              <w:bottom w:w="40" w:type="dxa"/>
              <w:right w:w="20" w:type="dxa"/>
            </w:tcMar>
          </w:tcPr>
          <w:p w14:paraId="518B6767" w14:textId="77777777" w:rsidR="005C332D" w:rsidRDefault="00B93EAE">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518B6768" w14:textId="77777777" w:rsidR="005C332D" w:rsidRDefault="00B93EAE">
            <w:pPr>
              <w:jc w:val="right"/>
              <w:textAlignment w:val="bottom"/>
            </w:pPr>
            <w:r>
              <w:rPr>
                <w:rFonts w:ascii="Times New Roman" w:eastAsia="宋体" w:hAnsi="Times New Roman"/>
                <w:color w:val="000000"/>
                <w:sz w:val="20"/>
                <w:szCs w:val="20"/>
              </w:rPr>
              <w:t>171 </w:t>
            </w:r>
          </w:p>
        </w:tc>
        <w:tc>
          <w:tcPr>
            <w:tcW w:w="0" w:type="auto"/>
            <w:shd w:val="clear" w:color="auto" w:fill="CCEEFF"/>
            <w:tcMar>
              <w:top w:w="40" w:type="dxa"/>
              <w:left w:w="0" w:type="dxa"/>
              <w:bottom w:w="40" w:type="dxa"/>
              <w:right w:w="20" w:type="dxa"/>
            </w:tcMar>
            <w:vAlign w:val="bottom"/>
          </w:tcPr>
          <w:p w14:paraId="518B6769" w14:textId="77777777" w:rsidR="005C332D" w:rsidRDefault="005C332D">
            <w:pPr>
              <w:jc w:val="right"/>
              <w:rPr>
                <w:rFonts w:ascii="宋体"/>
              </w:rPr>
            </w:pPr>
          </w:p>
        </w:tc>
      </w:tr>
      <w:tr w:rsidR="005C332D" w14:paraId="518B676E" w14:textId="77777777">
        <w:tc>
          <w:tcPr>
            <w:tcW w:w="0" w:type="auto"/>
            <w:gridSpan w:val="3"/>
            <w:shd w:val="clear" w:color="auto" w:fill="FFFFFF"/>
            <w:tcMar>
              <w:top w:w="40" w:type="dxa"/>
              <w:left w:w="20" w:type="dxa"/>
              <w:bottom w:w="40" w:type="dxa"/>
              <w:right w:w="20" w:type="dxa"/>
            </w:tcMar>
          </w:tcPr>
          <w:p w14:paraId="518B676B" w14:textId="77777777" w:rsidR="005C332D" w:rsidRDefault="00B93EAE">
            <w:pPr>
              <w:textAlignment w:val="top"/>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18B676C" w14:textId="77777777" w:rsidR="005C332D" w:rsidRDefault="00B93EAE">
            <w:pPr>
              <w:jc w:val="right"/>
              <w:textAlignment w:val="bottom"/>
            </w:pPr>
            <w:r>
              <w:rPr>
                <w:rFonts w:ascii="Times New Roman" w:eastAsia="宋体" w:hAnsi="Times New Roman"/>
                <w:color w:val="000000"/>
                <w:sz w:val="20"/>
                <w:szCs w:val="20"/>
              </w:rPr>
              <w:t>80 </w:t>
            </w:r>
          </w:p>
        </w:tc>
        <w:tc>
          <w:tcPr>
            <w:tcW w:w="0" w:type="auto"/>
            <w:shd w:val="clear" w:color="auto" w:fill="FFFFFF"/>
            <w:tcMar>
              <w:top w:w="40" w:type="dxa"/>
              <w:left w:w="0" w:type="dxa"/>
              <w:bottom w:w="40" w:type="dxa"/>
              <w:right w:w="20" w:type="dxa"/>
            </w:tcMar>
            <w:vAlign w:val="bottom"/>
          </w:tcPr>
          <w:p w14:paraId="518B676D" w14:textId="77777777" w:rsidR="005C332D" w:rsidRDefault="005C332D">
            <w:pPr>
              <w:jc w:val="right"/>
              <w:rPr>
                <w:rFonts w:ascii="宋体"/>
              </w:rPr>
            </w:pPr>
          </w:p>
        </w:tc>
      </w:tr>
      <w:tr w:rsidR="005C332D" w14:paraId="518B6772" w14:textId="77777777">
        <w:tc>
          <w:tcPr>
            <w:tcW w:w="0" w:type="auto"/>
            <w:gridSpan w:val="3"/>
            <w:shd w:val="clear" w:color="auto" w:fill="CCEEFF"/>
            <w:tcMar>
              <w:top w:w="40" w:type="dxa"/>
              <w:left w:w="20" w:type="dxa"/>
              <w:bottom w:w="40" w:type="dxa"/>
              <w:right w:w="20" w:type="dxa"/>
            </w:tcMar>
          </w:tcPr>
          <w:p w14:paraId="518B676F" w14:textId="77777777" w:rsidR="005C332D" w:rsidRDefault="00B93EAE">
            <w:pPr>
              <w:textAlignment w:val="top"/>
            </w:pPr>
            <w:r>
              <w:rPr>
                <w:rFonts w:ascii="Times New Roman" w:eastAsia="宋体" w:hAnsi="Times New Roman"/>
                <w:color w:val="000000"/>
                <w:sz w:val="20"/>
                <w:szCs w:val="20"/>
              </w:rPr>
              <w:t>2027</w:t>
            </w:r>
          </w:p>
        </w:tc>
        <w:tc>
          <w:tcPr>
            <w:tcW w:w="0" w:type="auto"/>
            <w:gridSpan w:val="2"/>
            <w:shd w:val="clear" w:color="auto" w:fill="CCEEFF"/>
            <w:tcMar>
              <w:top w:w="40" w:type="dxa"/>
              <w:left w:w="20" w:type="dxa"/>
              <w:bottom w:w="40" w:type="dxa"/>
              <w:right w:w="0" w:type="dxa"/>
            </w:tcMar>
            <w:vAlign w:val="bottom"/>
          </w:tcPr>
          <w:p w14:paraId="518B6770" w14:textId="77777777" w:rsidR="005C332D" w:rsidRDefault="00B93EAE">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518B6771" w14:textId="77777777" w:rsidR="005C332D" w:rsidRDefault="005C332D">
            <w:pPr>
              <w:jc w:val="right"/>
              <w:rPr>
                <w:rFonts w:ascii="宋体"/>
              </w:rPr>
            </w:pPr>
          </w:p>
        </w:tc>
      </w:tr>
      <w:tr w:rsidR="005C332D" w14:paraId="518B6776" w14:textId="77777777">
        <w:tc>
          <w:tcPr>
            <w:tcW w:w="0" w:type="auto"/>
            <w:gridSpan w:val="3"/>
            <w:shd w:val="clear" w:color="auto" w:fill="FFFFFF"/>
            <w:tcMar>
              <w:top w:w="40" w:type="dxa"/>
              <w:left w:w="20" w:type="dxa"/>
              <w:bottom w:w="40" w:type="dxa"/>
              <w:right w:w="20" w:type="dxa"/>
            </w:tcMar>
          </w:tcPr>
          <w:p w14:paraId="518B6773" w14:textId="77777777" w:rsidR="005C332D" w:rsidRDefault="00B93EAE">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518B6774"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518B6775" w14:textId="77777777" w:rsidR="005C332D" w:rsidRDefault="005C332D">
            <w:pPr>
              <w:jc w:val="right"/>
              <w:rPr>
                <w:rFonts w:ascii="宋体"/>
              </w:rPr>
            </w:pPr>
          </w:p>
        </w:tc>
      </w:tr>
      <w:tr w:rsidR="005C332D" w14:paraId="518B677A" w14:textId="77777777">
        <w:tc>
          <w:tcPr>
            <w:tcW w:w="0" w:type="auto"/>
            <w:gridSpan w:val="3"/>
            <w:shd w:val="clear" w:color="auto" w:fill="CCEEFF"/>
            <w:tcMar>
              <w:top w:w="40" w:type="dxa"/>
              <w:left w:w="380" w:type="dxa"/>
              <w:bottom w:w="40" w:type="dxa"/>
              <w:right w:w="20" w:type="dxa"/>
            </w:tcMar>
          </w:tcPr>
          <w:p w14:paraId="518B6777" w14:textId="77777777" w:rsidR="005C332D" w:rsidRDefault="00B93EAE">
            <w:pPr>
              <w:textAlignment w:val="top"/>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6778" w14:textId="77777777" w:rsidR="005C332D" w:rsidRDefault="00B93EAE">
            <w:pPr>
              <w:jc w:val="right"/>
              <w:textAlignment w:val="bottom"/>
            </w:pPr>
            <w:r>
              <w:rPr>
                <w:rFonts w:ascii="Times New Roman" w:eastAsia="宋体" w:hAnsi="Times New Roman"/>
                <w:color w:val="000000"/>
                <w:sz w:val="20"/>
                <w:szCs w:val="20"/>
              </w:rPr>
              <w:t>1,176 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779" w14:textId="77777777" w:rsidR="005C332D" w:rsidRDefault="005C332D">
            <w:pPr>
              <w:jc w:val="right"/>
              <w:rPr>
                <w:rFonts w:ascii="宋体"/>
              </w:rPr>
            </w:pPr>
          </w:p>
        </w:tc>
      </w:tr>
      <w:tr w:rsidR="005C332D" w14:paraId="518B677E" w14:textId="77777777">
        <w:tc>
          <w:tcPr>
            <w:tcW w:w="0" w:type="auto"/>
            <w:gridSpan w:val="3"/>
            <w:shd w:val="clear" w:color="auto" w:fill="FFFFFF"/>
            <w:tcMar>
              <w:top w:w="40" w:type="dxa"/>
              <w:left w:w="605" w:type="dxa"/>
              <w:bottom w:w="40" w:type="dxa"/>
              <w:right w:w="20" w:type="dxa"/>
            </w:tcMar>
          </w:tcPr>
          <w:p w14:paraId="518B677B" w14:textId="77777777" w:rsidR="005C332D" w:rsidRDefault="00B93EAE">
            <w:pPr>
              <w:textAlignment w:val="top"/>
            </w:pPr>
            <w:r>
              <w:rPr>
                <w:rFonts w:ascii="Times New Roman" w:eastAsia="宋体" w:hAnsi="Times New Roman"/>
                <w:color w:val="000000"/>
                <w:sz w:val="20"/>
                <w:szCs w:val="20"/>
              </w:rPr>
              <w:t>Less: Present value of lease payments</w:t>
            </w:r>
          </w:p>
        </w:tc>
        <w:tc>
          <w:tcPr>
            <w:tcW w:w="0" w:type="auto"/>
            <w:gridSpan w:val="2"/>
            <w:shd w:val="clear" w:color="auto" w:fill="FFFFFF"/>
            <w:tcMar>
              <w:top w:w="40" w:type="dxa"/>
              <w:left w:w="20" w:type="dxa"/>
              <w:bottom w:w="40" w:type="dxa"/>
              <w:right w:w="0" w:type="dxa"/>
            </w:tcMar>
            <w:vAlign w:val="bottom"/>
          </w:tcPr>
          <w:p w14:paraId="518B677C" w14:textId="77777777" w:rsidR="005C332D" w:rsidRDefault="00B93EAE">
            <w:pPr>
              <w:jc w:val="right"/>
              <w:textAlignment w:val="bottom"/>
            </w:pPr>
            <w:r>
              <w:rPr>
                <w:rFonts w:ascii="Times New Roman" w:eastAsia="宋体" w:hAnsi="Times New Roman"/>
                <w:color w:val="000000"/>
                <w:sz w:val="20"/>
                <w:szCs w:val="20"/>
              </w:rPr>
              <w:t>1,122 </w:t>
            </w:r>
          </w:p>
        </w:tc>
        <w:tc>
          <w:tcPr>
            <w:tcW w:w="0" w:type="auto"/>
            <w:shd w:val="clear" w:color="auto" w:fill="FFFFFF"/>
            <w:tcMar>
              <w:top w:w="40" w:type="dxa"/>
              <w:left w:w="0" w:type="dxa"/>
              <w:bottom w:w="40" w:type="dxa"/>
              <w:right w:w="20" w:type="dxa"/>
            </w:tcMar>
            <w:vAlign w:val="bottom"/>
          </w:tcPr>
          <w:p w14:paraId="518B677D" w14:textId="77777777" w:rsidR="005C332D" w:rsidRDefault="005C332D">
            <w:pPr>
              <w:jc w:val="right"/>
              <w:rPr>
                <w:rFonts w:ascii="宋体"/>
              </w:rPr>
            </w:pPr>
          </w:p>
        </w:tc>
      </w:tr>
      <w:tr w:rsidR="005C332D" w14:paraId="518B6783" w14:textId="77777777">
        <w:tc>
          <w:tcPr>
            <w:tcW w:w="0" w:type="auto"/>
            <w:gridSpan w:val="3"/>
            <w:shd w:val="clear" w:color="auto" w:fill="CCEEFF"/>
            <w:tcMar>
              <w:top w:w="40" w:type="dxa"/>
              <w:left w:w="380" w:type="dxa"/>
              <w:bottom w:w="40" w:type="dxa"/>
              <w:right w:w="20" w:type="dxa"/>
            </w:tcMar>
          </w:tcPr>
          <w:p w14:paraId="518B677F" w14:textId="77777777" w:rsidR="005C332D" w:rsidRDefault="00B93EAE">
            <w:pPr>
              <w:textAlignment w:val="top"/>
            </w:pPr>
            <w:r>
              <w:rPr>
                <w:rFonts w:ascii="Times New Roman" w:eastAsia="宋体" w:hAnsi="Times New Roman"/>
                <w:color w:val="000000"/>
                <w:sz w:val="20"/>
                <w:szCs w:val="20"/>
              </w:rPr>
              <w:t>Unearned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78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781" w14:textId="77777777" w:rsidR="005C332D" w:rsidRDefault="00B93EAE">
            <w:pPr>
              <w:jc w:val="right"/>
              <w:textAlignment w:val="bottom"/>
            </w:pPr>
            <w:r>
              <w:rPr>
                <w:rFonts w:ascii="Times New Roman" w:eastAsia="宋体" w:hAnsi="Times New Roman"/>
                <w:color w:val="000000"/>
                <w:sz w:val="20"/>
                <w:szCs w:val="20"/>
              </w:rPr>
              <w:t>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782" w14:textId="77777777" w:rsidR="005C332D" w:rsidRDefault="005C332D">
            <w:pPr>
              <w:jc w:val="right"/>
              <w:rPr>
                <w:rFonts w:ascii="宋体"/>
              </w:rPr>
            </w:pPr>
          </w:p>
        </w:tc>
      </w:tr>
    </w:tbl>
    <w:p w14:paraId="518B6784" w14:textId="77777777" w:rsidR="005C332D" w:rsidRDefault="00B93EAE">
      <w:pPr>
        <w:spacing w:before="120"/>
        <w:jc w:val="both"/>
      </w:pPr>
      <w:r>
        <w:rPr>
          <w:rFonts w:ascii="Times New Roman" w:eastAsia="宋体" w:hAnsi="Times New Roman"/>
          <w:color w:val="000000"/>
          <w:sz w:val="20"/>
          <w:szCs w:val="20"/>
        </w:rPr>
        <w:t xml:space="preserve">Actual cash </w:t>
      </w:r>
      <w:r>
        <w:rPr>
          <w:rFonts w:ascii="Times New Roman" w:eastAsia="宋体" w:hAnsi="Times New Roman"/>
          <w:color w:val="000000"/>
          <w:sz w:val="20"/>
          <w:szCs w:val="20"/>
        </w:rPr>
        <w:t>collections may differ from the contractual maturities due to early customer buyouts, refinancings, or defaults.</w:t>
      </w:r>
    </w:p>
    <w:p w14:paraId="518B6785" w14:textId="77777777" w:rsidR="005C332D" w:rsidRDefault="00B93EAE">
      <w:pPr>
        <w:spacing w:before="120"/>
        <w:jc w:val="both"/>
      </w:pPr>
      <w:r>
        <w:rPr>
          <w:rFonts w:ascii="Times New Roman" w:eastAsia="宋体" w:hAnsi="Times New Roman"/>
          <w:color w:val="000000"/>
          <w:sz w:val="20"/>
          <w:szCs w:val="20"/>
        </w:rPr>
        <w:t xml:space="preserve">We provide financing of certain equipment through operating leases, and the amounts are included in property and equipment in the Consolidated </w:t>
      </w:r>
      <w:r>
        <w:rPr>
          <w:rFonts w:ascii="Times New Roman" w:eastAsia="宋体" w:hAnsi="Times New Roman"/>
          <w:color w:val="000000"/>
          <w:sz w:val="20"/>
          <w:szCs w:val="20"/>
        </w:rPr>
        <w:t>Balance Sheets. Amounts relating to equipment on operating lease assets held by us and the associated accumulated depreciation are summarized as follows (in millions):</w:t>
      </w:r>
    </w:p>
    <w:tbl>
      <w:tblPr>
        <w:tblW w:w="4971" w:type="pct"/>
        <w:jc w:val="center"/>
        <w:tblCellMar>
          <w:top w:w="15" w:type="dxa"/>
          <w:left w:w="15" w:type="dxa"/>
          <w:bottom w:w="15" w:type="dxa"/>
          <w:right w:w="15" w:type="dxa"/>
        </w:tblCellMar>
        <w:tblLook w:val="04A0" w:firstRow="1" w:lastRow="0" w:firstColumn="1" w:lastColumn="0" w:noHBand="0" w:noVBand="1"/>
      </w:tblPr>
      <w:tblGrid>
        <w:gridCol w:w="40"/>
        <w:gridCol w:w="5656"/>
        <w:gridCol w:w="38"/>
        <w:gridCol w:w="120"/>
        <w:gridCol w:w="1084"/>
        <w:gridCol w:w="36"/>
        <w:gridCol w:w="36"/>
        <w:gridCol w:w="36"/>
        <w:gridCol w:w="36"/>
        <w:gridCol w:w="120"/>
        <w:gridCol w:w="1050"/>
        <w:gridCol w:w="36"/>
      </w:tblGrid>
      <w:tr w:rsidR="005C332D" w14:paraId="518B6792" w14:textId="77777777">
        <w:trPr>
          <w:jc w:val="center"/>
        </w:trPr>
        <w:tc>
          <w:tcPr>
            <w:tcW w:w="50" w:type="pct"/>
            <w:shd w:val="clear" w:color="auto" w:fill="auto"/>
            <w:vAlign w:val="bottom"/>
          </w:tcPr>
          <w:p w14:paraId="518B6786" w14:textId="77777777" w:rsidR="005C332D" w:rsidRDefault="005C332D">
            <w:pPr>
              <w:rPr>
                <w:rFonts w:ascii="宋体"/>
              </w:rPr>
            </w:pPr>
          </w:p>
        </w:tc>
        <w:tc>
          <w:tcPr>
            <w:tcW w:w="3437" w:type="pct"/>
            <w:shd w:val="clear" w:color="auto" w:fill="auto"/>
            <w:vAlign w:val="bottom"/>
          </w:tcPr>
          <w:p w14:paraId="518B6787" w14:textId="77777777" w:rsidR="005C332D" w:rsidRDefault="005C332D">
            <w:pPr>
              <w:rPr>
                <w:rFonts w:ascii="宋体"/>
              </w:rPr>
            </w:pPr>
          </w:p>
        </w:tc>
        <w:tc>
          <w:tcPr>
            <w:tcW w:w="5" w:type="pct"/>
            <w:shd w:val="clear" w:color="auto" w:fill="auto"/>
            <w:vAlign w:val="bottom"/>
          </w:tcPr>
          <w:p w14:paraId="518B6788" w14:textId="77777777" w:rsidR="005C332D" w:rsidRDefault="005C332D">
            <w:pPr>
              <w:rPr>
                <w:rFonts w:ascii="宋体"/>
              </w:rPr>
            </w:pPr>
          </w:p>
        </w:tc>
        <w:tc>
          <w:tcPr>
            <w:tcW w:w="50" w:type="pct"/>
            <w:shd w:val="clear" w:color="auto" w:fill="auto"/>
            <w:vAlign w:val="bottom"/>
          </w:tcPr>
          <w:p w14:paraId="518B6789" w14:textId="77777777" w:rsidR="005C332D" w:rsidRDefault="005C332D">
            <w:pPr>
              <w:rPr>
                <w:rFonts w:ascii="宋体"/>
              </w:rPr>
            </w:pPr>
          </w:p>
        </w:tc>
        <w:tc>
          <w:tcPr>
            <w:tcW w:w="680" w:type="pct"/>
            <w:shd w:val="clear" w:color="auto" w:fill="auto"/>
            <w:vAlign w:val="bottom"/>
          </w:tcPr>
          <w:p w14:paraId="518B678A" w14:textId="77777777" w:rsidR="005C332D" w:rsidRDefault="005C332D">
            <w:pPr>
              <w:rPr>
                <w:rFonts w:ascii="宋体"/>
              </w:rPr>
            </w:pPr>
          </w:p>
        </w:tc>
        <w:tc>
          <w:tcPr>
            <w:tcW w:w="5" w:type="pct"/>
            <w:shd w:val="clear" w:color="auto" w:fill="auto"/>
            <w:vAlign w:val="bottom"/>
          </w:tcPr>
          <w:p w14:paraId="518B678B" w14:textId="77777777" w:rsidR="005C332D" w:rsidRDefault="005C332D">
            <w:pPr>
              <w:rPr>
                <w:rFonts w:ascii="宋体"/>
              </w:rPr>
            </w:pPr>
          </w:p>
        </w:tc>
        <w:tc>
          <w:tcPr>
            <w:tcW w:w="5" w:type="pct"/>
            <w:shd w:val="clear" w:color="auto" w:fill="auto"/>
            <w:vAlign w:val="bottom"/>
          </w:tcPr>
          <w:p w14:paraId="518B678C" w14:textId="77777777" w:rsidR="005C332D" w:rsidRDefault="005C332D">
            <w:pPr>
              <w:rPr>
                <w:rFonts w:ascii="宋体"/>
              </w:rPr>
            </w:pPr>
          </w:p>
        </w:tc>
        <w:tc>
          <w:tcPr>
            <w:tcW w:w="26" w:type="pct"/>
            <w:shd w:val="clear" w:color="auto" w:fill="auto"/>
            <w:vAlign w:val="bottom"/>
          </w:tcPr>
          <w:p w14:paraId="518B678D" w14:textId="77777777" w:rsidR="005C332D" w:rsidRDefault="005C332D">
            <w:pPr>
              <w:rPr>
                <w:rFonts w:ascii="宋体"/>
              </w:rPr>
            </w:pPr>
          </w:p>
        </w:tc>
        <w:tc>
          <w:tcPr>
            <w:tcW w:w="5" w:type="pct"/>
            <w:shd w:val="clear" w:color="auto" w:fill="auto"/>
            <w:vAlign w:val="bottom"/>
          </w:tcPr>
          <w:p w14:paraId="518B678E" w14:textId="77777777" w:rsidR="005C332D" w:rsidRDefault="005C332D">
            <w:pPr>
              <w:rPr>
                <w:rFonts w:ascii="宋体"/>
              </w:rPr>
            </w:pPr>
          </w:p>
        </w:tc>
        <w:tc>
          <w:tcPr>
            <w:tcW w:w="50" w:type="pct"/>
            <w:shd w:val="clear" w:color="auto" w:fill="auto"/>
            <w:vAlign w:val="bottom"/>
          </w:tcPr>
          <w:p w14:paraId="518B678F" w14:textId="77777777" w:rsidR="005C332D" w:rsidRDefault="005C332D">
            <w:pPr>
              <w:rPr>
                <w:rFonts w:ascii="宋体"/>
              </w:rPr>
            </w:pPr>
          </w:p>
        </w:tc>
        <w:tc>
          <w:tcPr>
            <w:tcW w:w="680" w:type="pct"/>
            <w:shd w:val="clear" w:color="auto" w:fill="auto"/>
            <w:vAlign w:val="bottom"/>
          </w:tcPr>
          <w:p w14:paraId="518B6790" w14:textId="77777777" w:rsidR="005C332D" w:rsidRDefault="005C332D">
            <w:pPr>
              <w:rPr>
                <w:rFonts w:ascii="宋体"/>
              </w:rPr>
            </w:pPr>
          </w:p>
        </w:tc>
        <w:tc>
          <w:tcPr>
            <w:tcW w:w="5" w:type="pct"/>
            <w:shd w:val="clear" w:color="auto" w:fill="auto"/>
            <w:vAlign w:val="bottom"/>
          </w:tcPr>
          <w:p w14:paraId="518B6791" w14:textId="77777777" w:rsidR="005C332D" w:rsidRDefault="005C332D">
            <w:pPr>
              <w:rPr>
                <w:rFonts w:ascii="宋体"/>
              </w:rPr>
            </w:pPr>
          </w:p>
        </w:tc>
      </w:tr>
      <w:tr w:rsidR="005C332D" w14:paraId="518B6797" w14:textId="77777777">
        <w:trPr>
          <w:jc w:val="center"/>
        </w:trPr>
        <w:tc>
          <w:tcPr>
            <w:tcW w:w="0" w:type="auto"/>
            <w:gridSpan w:val="3"/>
            <w:shd w:val="clear" w:color="auto" w:fill="auto"/>
            <w:tcMar>
              <w:top w:w="0" w:type="dxa"/>
              <w:left w:w="20" w:type="dxa"/>
              <w:bottom w:w="0" w:type="dxa"/>
              <w:right w:w="20" w:type="dxa"/>
            </w:tcMar>
            <w:vAlign w:val="bottom"/>
          </w:tcPr>
          <w:p w14:paraId="518B679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794"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679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796"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67A0" w14:textId="77777777">
        <w:trPr>
          <w:jc w:val="center"/>
        </w:trPr>
        <w:tc>
          <w:tcPr>
            <w:tcW w:w="0" w:type="auto"/>
            <w:gridSpan w:val="3"/>
            <w:shd w:val="clear" w:color="auto" w:fill="CCEEFF"/>
            <w:tcMar>
              <w:top w:w="40" w:type="dxa"/>
              <w:left w:w="20" w:type="dxa"/>
              <w:bottom w:w="40" w:type="dxa"/>
              <w:right w:w="20" w:type="dxa"/>
            </w:tcMar>
          </w:tcPr>
          <w:p w14:paraId="518B6798" w14:textId="77777777" w:rsidR="005C332D" w:rsidRDefault="00B93EAE">
            <w:pPr>
              <w:textAlignment w:val="top"/>
            </w:pPr>
            <w:r>
              <w:rPr>
                <w:rFonts w:ascii="Times New Roman" w:eastAsia="宋体" w:hAnsi="Times New Roman"/>
                <w:color w:val="000000"/>
                <w:sz w:val="20"/>
                <w:szCs w:val="20"/>
              </w:rPr>
              <w:t>Operating lease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79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79A" w14:textId="77777777" w:rsidR="005C332D" w:rsidRDefault="00B93EAE">
            <w:pPr>
              <w:jc w:val="right"/>
              <w:textAlignment w:val="bottom"/>
            </w:pPr>
            <w:r>
              <w:rPr>
                <w:rFonts w:ascii="Times New Roman" w:eastAsia="宋体" w:hAnsi="Times New Roman"/>
                <w:b/>
                <w:bCs/>
                <w:color w:val="000000"/>
                <w:sz w:val="20"/>
                <w:szCs w:val="20"/>
              </w:rPr>
              <w:t>185</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79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79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79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79E" w14:textId="77777777" w:rsidR="005C332D" w:rsidRDefault="00B93EAE">
            <w:pPr>
              <w:jc w:val="right"/>
              <w:textAlignment w:val="bottom"/>
            </w:pPr>
            <w:r>
              <w:rPr>
                <w:rFonts w:ascii="Times New Roman" w:eastAsia="宋体" w:hAnsi="Times New Roman"/>
                <w:color w:val="000000"/>
                <w:sz w:val="20"/>
                <w:szCs w:val="20"/>
              </w:rPr>
              <w:t>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79F" w14:textId="77777777" w:rsidR="005C332D" w:rsidRDefault="005C332D">
            <w:pPr>
              <w:jc w:val="right"/>
              <w:rPr>
                <w:rFonts w:ascii="宋体"/>
              </w:rPr>
            </w:pPr>
          </w:p>
        </w:tc>
      </w:tr>
      <w:tr w:rsidR="005C332D" w14:paraId="518B67A7" w14:textId="77777777">
        <w:trPr>
          <w:jc w:val="center"/>
        </w:trPr>
        <w:tc>
          <w:tcPr>
            <w:tcW w:w="0" w:type="auto"/>
            <w:gridSpan w:val="3"/>
            <w:shd w:val="clear" w:color="auto" w:fill="auto"/>
            <w:tcMar>
              <w:top w:w="40" w:type="dxa"/>
              <w:left w:w="20" w:type="dxa"/>
              <w:bottom w:w="40" w:type="dxa"/>
              <w:right w:w="20" w:type="dxa"/>
            </w:tcMar>
          </w:tcPr>
          <w:p w14:paraId="518B67A1" w14:textId="77777777" w:rsidR="005C332D" w:rsidRDefault="00B93EAE">
            <w:pPr>
              <w:textAlignment w:val="top"/>
            </w:pPr>
            <w:r>
              <w:rPr>
                <w:rFonts w:ascii="Times New Roman" w:eastAsia="宋体" w:hAnsi="Times New Roman"/>
                <w:color w:val="000000"/>
                <w:sz w:val="20"/>
                <w:szCs w:val="20"/>
              </w:rPr>
              <w:t>Accumulated depreciation</w:t>
            </w:r>
          </w:p>
        </w:tc>
        <w:tc>
          <w:tcPr>
            <w:tcW w:w="0" w:type="auto"/>
            <w:gridSpan w:val="2"/>
            <w:shd w:val="clear" w:color="auto" w:fill="auto"/>
            <w:tcMar>
              <w:top w:w="40" w:type="dxa"/>
              <w:left w:w="20" w:type="dxa"/>
              <w:bottom w:w="40" w:type="dxa"/>
              <w:right w:w="0" w:type="dxa"/>
            </w:tcMar>
            <w:vAlign w:val="bottom"/>
          </w:tcPr>
          <w:p w14:paraId="518B67A2" w14:textId="77777777" w:rsidR="005C332D" w:rsidRDefault="00B93EAE">
            <w:pPr>
              <w:jc w:val="right"/>
              <w:textAlignment w:val="bottom"/>
            </w:pPr>
            <w:r>
              <w:rPr>
                <w:rFonts w:ascii="Times New Roman" w:eastAsia="宋体" w:hAnsi="Times New Roman"/>
                <w:b/>
                <w:bCs/>
                <w:color w:val="000000"/>
                <w:sz w:val="20"/>
                <w:szCs w:val="20"/>
              </w:rPr>
              <w:t>(111)</w:t>
            </w:r>
          </w:p>
        </w:tc>
        <w:tc>
          <w:tcPr>
            <w:tcW w:w="0" w:type="auto"/>
            <w:shd w:val="clear" w:color="auto" w:fill="auto"/>
            <w:tcMar>
              <w:top w:w="40" w:type="dxa"/>
              <w:left w:w="0" w:type="dxa"/>
              <w:bottom w:w="40" w:type="dxa"/>
              <w:right w:w="20" w:type="dxa"/>
            </w:tcMar>
            <w:vAlign w:val="bottom"/>
          </w:tcPr>
          <w:p w14:paraId="518B67A3"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7A4"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7A5" w14:textId="77777777" w:rsidR="005C332D" w:rsidRDefault="00B93EAE">
            <w:pPr>
              <w:jc w:val="right"/>
              <w:textAlignment w:val="bottom"/>
            </w:pPr>
            <w:r>
              <w:rPr>
                <w:rFonts w:ascii="Times New Roman" w:eastAsia="宋体" w:hAnsi="Times New Roman"/>
                <w:color w:val="000000"/>
                <w:sz w:val="20"/>
                <w:szCs w:val="20"/>
              </w:rPr>
              <w:t>(165)</w:t>
            </w:r>
          </w:p>
        </w:tc>
        <w:tc>
          <w:tcPr>
            <w:tcW w:w="0" w:type="auto"/>
            <w:shd w:val="clear" w:color="auto" w:fill="auto"/>
            <w:tcMar>
              <w:top w:w="40" w:type="dxa"/>
              <w:left w:w="0" w:type="dxa"/>
              <w:bottom w:w="40" w:type="dxa"/>
              <w:right w:w="20" w:type="dxa"/>
            </w:tcMar>
            <w:vAlign w:val="bottom"/>
          </w:tcPr>
          <w:p w14:paraId="518B67A6" w14:textId="77777777" w:rsidR="005C332D" w:rsidRDefault="005C332D">
            <w:pPr>
              <w:jc w:val="right"/>
              <w:rPr>
                <w:rFonts w:ascii="宋体"/>
              </w:rPr>
            </w:pPr>
          </w:p>
        </w:tc>
      </w:tr>
      <w:tr w:rsidR="005C332D" w14:paraId="518B67B0" w14:textId="77777777">
        <w:trPr>
          <w:jc w:val="center"/>
        </w:trPr>
        <w:tc>
          <w:tcPr>
            <w:tcW w:w="0" w:type="auto"/>
            <w:gridSpan w:val="3"/>
            <w:shd w:val="clear" w:color="auto" w:fill="CCEEFF"/>
            <w:tcMar>
              <w:top w:w="40" w:type="dxa"/>
              <w:left w:w="380" w:type="dxa"/>
              <w:bottom w:w="40" w:type="dxa"/>
              <w:right w:w="20" w:type="dxa"/>
            </w:tcMar>
          </w:tcPr>
          <w:p w14:paraId="518B67A8" w14:textId="77777777" w:rsidR="005C332D" w:rsidRDefault="00B93EAE">
            <w:pPr>
              <w:textAlignment w:val="top"/>
            </w:pPr>
            <w:r>
              <w:rPr>
                <w:rFonts w:ascii="Times New Roman" w:eastAsia="宋体" w:hAnsi="Times New Roman"/>
                <w:color w:val="000000"/>
                <w:sz w:val="20"/>
                <w:szCs w:val="20"/>
              </w:rPr>
              <w:t>Operating lease assets,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7A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7AA" w14:textId="77777777" w:rsidR="005C332D" w:rsidRDefault="00B93EAE">
            <w:pPr>
              <w:jc w:val="right"/>
              <w:textAlignment w:val="bottom"/>
            </w:pPr>
            <w:r>
              <w:rPr>
                <w:rFonts w:ascii="Times New Roman" w:eastAsia="宋体" w:hAnsi="Times New Roman"/>
                <w:b/>
                <w:bCs/>
                <w:color w:val="000000"/>
                <w:sz w:val="20"/>
                <w:szCs w:val="20"/>
              </w:rPr>
              <w:t>74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7A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7A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7A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7AE" w14:textId="77777777" w:rsidR="005C332D" w:rsidRDefault="00B93EAE">
            <w:pPr>
              <w:jc w:val="right"/>
              <w:textAlignment w:val="bottom"/>
            </w:pPr>
            <w:r>
              <w:rPr>
                <w:rFonts w:ascii="Times New Roman" w:eastAsia="宋体" w:hAnsi="Times New Roman"/>
                <w:color w:val="000000"/>
                <w:sz w:val="20"/>
                <w:szCs w:val="20"/>
              </w:rPr>
              <w:t>108 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7AF" w14:textId="77777777" w:rsidR="005C332D" w:rsidRDefault="005C332D">
            <w:pPr>
              <w:jc w:val="right"/>
              <w:rPr>
                <w:rFonts w:ascii="宋体"/>
              </w:rPr>
            </w:pPr>
          </w:p>
        </w:tc>
      </w:tr>
    </w:tbl>
    <w:p w14:paraId="518B67B1" w14:textId="77777777" w:rsidR="005C332D" w:rsidRDefault="00B93EAE">
      <w:pPr>
        <w:spacing w:before="120"/>
        <w:jc w:val="both"/>
      </w:pPr>
      <w:r>
        <w:rPr>
          <w:rFonts w:ascii="Times New Roman" w:eastAsia="宋体" w:hAnsi="Times New Roman"/>
          <w:color w:val="000000"/>
          <w:sz w:val="20"/>
          <w:szCs w:val="20"/>
        </w:rPr>
        <w:t xml:space="preserve">Our operating lease income for fiscal 2022 and 2021 was $107 million and $151 million, respectively, and was included in product revenue in the Consolidated </w:t>
      </w:r>
      <w:r>
        <w:rPr>
          <w:rFonts w:ascii="Times New Roman" w:eastAsia="宋体" w:hAnsi="Times New Roman"/>
          <w:color w:val="000000"/>
          <w:sz w:val="20"/>
          <w:szCs w:val="20"/>
        </w:rPr>
        <w:t>Statement of Operations.</w:t>
      </w:r>
    </w:p>
    <w:p w14:paraId="518B67B2" w14:textId="77777777" w:rsidR="005C332D" w:rsidRDefault="00B93EAE">
      <w:pPr>
        <w:spacing w:before="120"/>
      </w:pPr>
      <w:r>
        <w:rPr>
          <w:rFonts w:ascii="Times New Roman" w:eastAsia="宋体" w:hAnsi="Times New Roman"/>
          <w:color w:val="000000"/>
          <w:sz w:val="20"/>
          <w:szCs w:val="20"/>
        </w:rPr>
        <w:t>Minimum future rentals on noncancelable operating leases as of July 30, 2022 are summarized as follows (in millions):</w:t>
      </w:r>
    </w:p>
    <w:tbl>
      <w:tblPr>
        <w:tblW w:w="4971" w:type="pct"/>
        <w:jc w:val="center"/>
        <w:tblCellMar>
          <w:top w:w="15" w:type="dxa"/>
          <w:left w:w="15" w:type="dxa"/>
          <w:bottom w:w="15" w:type="dxa"/>
          <w:right w:w="15" w:type="dxa"/>
        </w:tblCellMar>
        <w:tblLook w:val="04A0" w:firstRow="1" w:lastRow="0" w:firstColumn="1" w:lastColumn="0" w:noHBand="0" w:noVBand="1"/>
      </w:tblPr>
      <w:tblGrid>
        <w:gridCol w:w="52"/>
        <w:gridCol w:w="6947"/>
        <w:gridCol w:w="36"/>
        <w:gridCol w:w="121"/>
        <w:gridCol w:w="1096"/>
        <w:gridCol w:w="36"/>
      </w:tblGrid>
      <w:tr w:rsidR="005C332D" w14:paraId="518B67B9" w14:textId="77777777">
        <w:trPr>
          <w:jc w:val="center"/>
        </w:trPr>
        <w:tc>
          <w:tcPr>
            <w:tcW w:w="50" w:type="pct"/>
            <w:shd w:val="clear" w:color="auto" w:fill="auto"/>
            <w:vAlign w:val="bottom"/>
          </w:tcPr>
          <w:p w14:paraId="518B67B3" w14:textId="77777777" w:rsidR="005C332D" w:rsidRDefault="005C332D">
            <w:pPr>
              <w:rPr>
                <w:rFonts w:ascii="宋体"/>
              </w:rPr>
            </w:pPr>
          </w:p>
        </w:tc>
        <w:tc>
          <w:tcPr>
            <w:tcW w:w="4209" w:type="pct"/>
            <w:shd w:val="clear" w:color="auto" w:fill="auto"/>
            <w:vAlign w:val="bottom"/>
          </w:tcPr>
          <w:p w14:paraId="518B67B4" w14:textId="77777777" w:rsidR="005C332D" w:rsidRDefault="005C332D">
            <w:pPr>
              <w:rPr>
                <w:rFonts w:ascii="宋体"/>
              </w:rPr>
            </w:pPr>
          </w:p>
        </w:tc>
        <w:tc>
          <w:tcPr>
            <w:tcW w:w="5" w:type="pct"/>
            <w:shd w:val="clear" w:color="auto" w:fill="auto"/>
            <w:vAlign w:val="bottom"/>
          </w:tcPr>
          <w:p w14:paraId="518B67B5" w14:textId="77777777" w:rsidR="005C332D" w:rsidRDefault="005C332D">
            <w:pPr>
              <w:rPr>
                <w:rFonts w:ascii="宋体"/>
              </w:rPr>
            </w:pPr>
          </w:p>
        </w:tc>
        <w:tc>
          <w:tcPr>
            <w:tcW w:w="50" w:type="pct"/>
            <w:shd w:val="clear" w:color="auto" w:fill="auto"/>
            <w:vAlign w:val="bottom"/>
          </w:tcPr>
          <w:p w14:paraId="518B67B6" w14:textId="77777777" w:rsidR="005C332D" w:rsidRDefault="005C332D">
            <w:pPr>
              <w:rPr>
                <w:rFonts w:ascii="宋体"/>
              </w:rPr>
            </w:pPr>
          </w:p>
        </w:tc>
        <w:tc>
          <w:tcPr>
            <w:tcW w:w="680" w:type="pct"/>
            <w:shd w:val="clear" w:color="auto" w:fill="auto"/>
            <w:vAlign w:val="bottom"/>
          </w:tcPr>
          <w:p w14:paraId="518B67B7" w14:textId="77777777" w:rsidR="005C332D" w:rsidRDefault="005C332D">
            <w:pPr>
              <w:rPr>
                <w:rFonts w:ascii="宋体"/>
              </w:rPr>
            </w:pPr>
          </w:p>
        </w:tc>
        <w:tc>
          <w:tcPr>
            <w:tcW w:w="5" w:type="pct"/>
            <w:shd w:val="clear" w:color="auto" w:fill="auto"/>
            <w:vAlign w:val="bottom"/>
          </w:tcPr>
          <w:p w14:paraId="518B67B8" w14:textId="77777777" w:rsidR="005C332D" w:rsidRDefault="005C332D">
            <w:pPr>
              <w:rPr>
                <w:rFonts w:ascii="宋体"/>
              </w:rPr>
            </w:pPr>
          </w:p>
        </w:tc>
      </w:tr>
      <w:tr w:rsidR="005C332D" w14:paraId="518B67BC" w14:textId="77777777">
        <w:trPr>
          <w:jc w:val="center"/>
        </w:trPr>
        <w:tc>
          <w:tcPr>
            <w:tcW w:w="0" w:type="auto"/>
            <w:gridSpan w:val="3"/>
            <w:shd w:val="clear" w:color="auto" w:fill="auto"/>
            <w:tcMar>
              <w:top w:w="40" w:type="dxa"/>
              <w:left w:w="20" w:type="dxa"/>
              <w:bottom w:w="40" w:type="dxa"/>
              <w:right w:w="20" w:type="dxa"/>
            </w:tcMar>
            <w:vAlign w:val="bottom"/>
          </w:tcPr>
          <w:p w14:paraId="518B67BA" w14:textId="77777777" w:rsidR="005C332D" w:rsidRDefault="00B93EAE">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518B67BB" w14:textId="77777777" w:rsidR="005C332D" w:rsidRDefault="00B93EAE">
            <w:pPr>
              <w:jc w:val="center"/>
              <w:textAlignment w:val="bottom"/>
            </w:pPr>
            <w:r>
              <w:rPr>
                <w:rFonts w:ascii="Times New Roman" w:eastAsia="宋体" w:hAnsi="Times New Roman"/>
                <w:color w:val="000000"/>
                <w:sz w:val="18"/>
                <w:szCs w:val="18"/>
              </w:rPr>
              <w:t>Amount</w:t>
            </w:r>
          </w:p>
        </w:tc>
      </w:tr>
      <w:tr w:rsidR="005C332D" w14:paraId="518B67C1" w14:textId="77777777">
        <w:trPr>
          <w:jc w:val="center"/>
        </w:trPr>
        <w:tc>
          <w:tcPr>
            <w:tcW w:w="0" w:type="auto"/>
            <w:gridSpan w:val="3"/>
            <w:shd w:val="clear" w:color="auto" w:fill="CCEEFF"/>
            <w:tcMar>
              <w:top w:w="40" w:type="dxa"/>
              <w:left w:w="20" w:type="dxa"/>
              <w:bottom w:w="40" w:type="dxa"/>
              <w:right w:w="20" w:type="dxa"/>
            </w:tcMar>
          </w:tcPr>
          <w:p w14:paraId="518B67BD" w14:textId="77777777" w:rsidR="005C332D" w:rsidRDefault="00B93EAE">
            <w:pPr>
              <w:textAlignment w:val="top"/>
            </w:pPr>
            <w:r>
              <w:rPr>
                <w:rFonts w:ascii="Times New Roman" w:eastAsia="宋体" w:hAnsi="Times New Roman"/>
                <w:color w:val="000000"/>
                <w:sz w:val="20"/>
                <w:szCs w:val="20"/>
              </w:rPr>
              <w:t>2023</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7B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7BF" w14:textId="77777777" w:rsidR="005C332D" w:rsidRDefault="00B93EAE">
            <w:pPr>
              <w:jc w:val="right"/>
              <w:textAlignment w:val="bottom"/>
            </w:pPr>
            <w:r>
              <w:rPr>
                <w:rFonts w:ascii="Times New Roman" w:eastAsia="宋体" w:hAnsi="Times New Roman"/>
                <w:color w:val="000000"/>
                <w:sz w:val="20"/>
                <w:szCs w:val="20"/>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7C0" w14:textId="77777777" w:rsidR="005C332D" w:rsidRDefault="005C332D">
            <w:pPr>
              <w:jc w:val="right"/>
              <w:rPr>
                <w:rFonts w:ascii="宋体"/>
              </w:rPr>
            </w:pPr>
          </w:p>
        </w:tc>
      </w:tr>
      <w:tr w:rsidR="005C332D" w14:paraId="518B67C5" w14:textId="77777777">
        <w:trPr>
          <w:jc w:val="center"/>
        </w:trPr>
        <w:tc>
          <w:tcPr>
            <w:tcW w:w="0" w:type="auto"/>
            <w:gridSpan w:val="3"/>
            <w:shd w:val="clear" w:color="auto" w:fill="FFFFFF"/>
            <w:tcMar>
              <w:top w:w="40" w:type="dxa"/>
              <w:left w:w="20" w:type="dxa"/>
              <w:bottom w:w="40" w:type="dxa"/>
              <w:right w:w="20" w:type="dxa"/>
            </w:tcMar>
          </w:tcPr>
          <w:p w14:paraId="518B67C2" w14:textId="77777777" w:rsidR="005C332D" w:rsidRDefault="00B93EAE">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518B67C3" w14:textId="77777777" w:rsidR="005C332D" w:rsidRDefault="00B93EAE">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518B67C4" w14:textId="77777777" w:rsidR="005C332D" w:rsidRDefault="005C332D">
            <w:pPr>
              <w:jc w:val="right"/>
              <w:rPr>
                <w:rFonts w:ascii="宋体"/>
              </w:rPr>
            </w:pPr>
          </w:p>
        </w:tc>
      </w:tr>
      <w:tr w:rsidR="005C332D" w14:paraId="518B67C9" w14:textId="77777777">
        <w:trPr>
          <w:jc w:val="center"/>
        </w:trPr>
        <w:tc>
          <w:tcPr>
            <w:tcW w:w="0" w:type="auto"/>
            <w:gridSpan w:val="3"/>
            <w:shd w:val="clear" w:color="auto" w:fill="CCEEFF"/>
            <w:tcMar>
              <w:top w:w="40" w:type="dxa"/>
              <w:left w:w="20" w:type="dxa"/>
              <w:bottom w:w="40" w:type="dxa"/>
              <w:right w:w="20" w:type="dxa"/>
            </w:tcMar>
          </w:tcPr>
          <w:p w14:paraId="518B67C6" w14:textId="77777777" w:rsidR="005C332D" w:rsidRDefault="00B93EAE">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518B67C7" w14:textId="77777777" w:rsidR="005C332D" w:rsidRDefault="00B93EAE">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518B67C8" w14:textId="77777777" w:rsidR="005C332D" w:rsidRDefault="005C332D">
            <w:pPr>
              <w:jc w:val="right"/>
              <w:rPr>
                <w:rFonts w:ascii="宋体"/>
              </w:rPr>
            </w:pPr>
          </w:p>
        </w:tc>
      </w:tr>
      <w:tr w:rsidR="005C332D" w14:paraId="518B67CD" w14:textId="77777777">
        <w:trPr>
          <w:jc w:val="center"/>
        </w:trPr>
        <w:tc>
          <w:tcPr>
            <w:tcW w:w="0" w:type="auto"/>
            <w:gridSpan w:val="3"/>
            <w:shd w:val="clear" w:color="auto" w:fill="FFFFFF"/>
            <w:tcMar>
              <w:top w:w="40" w:type="dxa"/>
              <w:left w:w="20" w:type="dxa"/>
              <w:bottom w:w="40" w:type="dxa"/>
              <w:right w:w="20" w:type="dxa"/>
            </w:tcMar>
          </w:tcPr>
          <w:p w14:paraId="518B67CA" w14:textId="77777777" w:rsidR="005C332D" w:rsidRDefault="00B93EAE">
            <w:pPr>
              <w:textAlignment w:val="top"/>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18B67CB"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7CC" w14:textId="77777777" w:rsidR="005C332D" w:rsidRDefault="005C332D">
            <w:pPr>
              <w:jc w:val="right"/>
              <w:rPr>
                <w:rFonts w:ascii="宋体"/>
              </w:rPr>
            </w:pPr>
          </w:p>
        </w:tc>
      </w:tr>
      <w:tr w:rsidR="005C332D" w14:paraId="518B67D2" w14:textId="77777777">
        <w:trPr>
          <w:jc w:val="center"/>
        </w:trPr>
        <w:tc>
          <w:tcPr>
            <w:tcW w:w="0" w:type="auto"/>
            <w:gridSpan w:val="3"/>
            <w:shd w:val="clear" w:color="auto" w:fill="CCEEFF"/>
            <w:tcMar>
              <w:top w:w="40" w:type="dxa"/>
              <w:left w:w="380" w:type="dxa"/>
              <w:bottom w:w="40" w:type="dxa"/>
              <w:right w:w="20" w:type="dxa"/>
            </w:tcMar>
          </w:tcPr>
          <w:p w14:paraId="518B67CE"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7C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7D0" w14:textId="77777777" w:rsidR="005C332D" w:rsidRDefault="00B93EAE">
            <w:pPr>
              <w:jc w:val="right"/>
              <w:textAlignment w:val="bottom"/>
            </w:pPr>
            <w:r>
              <w:rPr>
                <w:rFonts w:ascii="Times New Roman" w:eastAsia="宋体" w:hAnsi="Times New Roman"/>
                <w:color w:val="000000"/>
                <w:sz w:val="20"/>
                <w:szCs w:val="20"/>
              </w:rPr>
              <w:t>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7D1" w14:textId="77777777" w:rsidR="005C332D" w:rsidRDefault="005C332D">
            <w:pPr>
              <w:jc w:val="right"/>
              <w:rPr>
                <w:rFonts w:ascii="宋体"/>
              </w:rPr>
            </w:pPr>
          </w:p>
        </w:tc>
      </w:tr>
    </w:tbl>
    <w:p w14:paraId="518B67D3" w14:textId="77777777" w:rsidR="005C332D" w:rsidRDefault="005C332D"/>
    <w:p w14:paraId="518B67D4" w14:textId="77777777" w:rsidR="005C332D" w:rsidRDefault="00B93EAE">
      <w:pPr>
        <w:ind w:hanging="360"/>
      </w:pPr>
      <w:r>
        <w:rPr>
          <w:rFonts w:ascii="Times New Roman" w:eastAsia="宋体" w:hAnsi="Times New Roman"/>
          <w:b/>
          <w:bCs/>
          <w:color w:val="000000"/>
          <w:sz w:val="20"/>
          <w:szCs w:val="20"/>
        </w:rPr>
        <w:t xml:space="preserve">9.Financing Receivables </w:t>
      </w:r>
    </w:p>
    <w:p w14:paraId="518B67D5" w14:textId="77777777" w:rsidR="005C332D" w:rsidRDefault="00B93EAE">
      <w:pPr>
        <w:spacing w:before="120"/>
        <w:ind w:hanging="360"/>
      </w:pPr>
      <w:r>
        <w:rPr>
          <w:rFonts w:ascii="Times New Roman" w:eastAsia="宋体" w:hAnsi="Times New Roman"/>
          <w:b/>
          <w:bCs/>
          <w:color w:val="000000"/>
          <w:sz w:val="20"/>
          <w:szCs w:val="20"/>
        </w:rPr>
        <w:t>(a)Financing Receivables</w:t>
      </w:r>
    </w:p>
    <w:p w14:paraId="518B67D6" w14:textId="77777777" w:rsidR="005C332D" w:rsidRDefault="00B93EAE">
      <w:pPr>
        <w:spacing w:before="120"/>
        <w:jc w:val="both"/>
      </w:pPr>
      <w:r>
        <w:rPr>
          <w:rFonts w:ascii="Times New Roman" w:eastAsia="宋体" w:hAnsi="Times New Roman"/>
          <w:color w:val="000000"/>
          <w:sz w:val="20"/>
          <w:szCs w:val="20"/>
        </w:rPr>
        <w:t>Financing receivables primarily consist of lease receivables, loans receivables, and financed service contracts. Lease receivables represent sales-type leases resulting from the sale of Cisco’s and compleme</w:t>
      </w:r>
      <w:r>
        <w:rPr>
          <w:rFonts w:ascii="Times New Roman" w:eastAsia="宋体" w:hAnsi="Times New Roman"/>
          <w:color w:val="000000"/>
          <w:sz w:val="20"/>
          <w:szCs w:val="20"/>
        </w:rPr>
        <w:t>ntary third-party products and are typically collateralized by a security interest in the underlying assets. Lease receivables consist of arrangements with terms of four years on average. Loan receivables represent financing arrangements related to the sal</w:t>
      </w:r>
      <w:r>
        <w:rPr>
          <w:rFonts w:ascii="Times New Roman" w:eastAsia="宋体" w:hAnsi="Times New Roman"/>
          <w:color w:val="000000"/>
          <w:sz w:val="20"/>
          <w:szCs w:val="20"/>
        </w:rPr>
        <w:t>e of our hardware, software, and services, which may include additional funding for other costs associated with network installation and integration of our products and services. Loan receivables have terms of three years on average. Financed service contr</w:t>
      </w:r>
      <w:r>
        <w:rPr>
          <w:rFonts w:ascii="Times New Roman" w:eastAsia="宋体" w:hAnsi="Times New Roman"/>
          <w:color w:val="000000"/>
          <w:sz w:val="20"/>
          <w:szCs w:val="20"/>
        </w:rPr>
        <w:t>acts include financing receivables related to technical support and advanced services. Revenue related to the technical support services is typically deferred and included in deferred service revenue and is recognized ratably over the period during which t</w:t>
      </w:r>
      <w:r>
        <w:rPr>
          <w:rFonts w:ascii="Times New Roman" w:eastAsia="宋体" w:hAnsi="Times New Roman"/>
          <w:color w:val="000000"/>
          <w:sz w:val="20"/>
          <w:szCs w:val="20"/>
        </w:rPr>
        <w:t xml:space="preserve">he related services are to be performed, which typically ranges from one year to three years. </w:t>
      </w:r>
    </w:p>
    <w:p w14:paraId="518B67D7" w14:textId="77777777" w:rsidR="005C332D" w:rsidRDefault="00B93EAE">
      <w:pPr>
        <w:jc w:val="center"/>
      </w:pPr>
      <w:r>
        <w:rPr>
          <w:rFonts w:ascii="Times New Roman" w:eastAsia="宋体" w:hAnsi="Times New Roman"/>
          <w:color w:val="000000"/>
          <w:sz w:val="20"/>
          <w:szCs w:val="20"/>
        </w:rPr>
        <w:t>78</w:t>
      </w:r>
    </w:p>
    <w:p w14:paraId="518B67D8" w14:textId="77777777" w:rsidR="005C332D" w:rsidRDefault="00B93EAE">
      <w:r>
        <w:pict w14:anchorId="518B8763">
          <v:rect id="_x0000_i1104" style="width:415.3pt;height:1.5pt" o:hralign="center" o:hrstd="t" o:hr="t" fillcolor="#a0a0a0" stroked="f"/>
        </w:pict>
      </w:r>
    </w:p>
    <w:p w14:paraId="518B67D9" w14:textId="77777777" w:rsidR="005C332D" w:rsidRDefault="005C332D"/>
    <w:p w14:paraId="518B67DA" w14:textId="77777777" w:rsidR="005C332D" w:rsidRDefault="00B93EAE">
      <w:pPr>
        <w:spacing w:before="120"/>
        <w:jc w:val="both"/>
      </w:pPr>
      <w:r>
        <w:rPr>
          <w:rFonts w:ascii="Times New Roman" w:eastAsia="宋体" w:hAnsi="Times New Roman"/>
          <w:color w:val="000000"/>
          <w:sz w:val="20"/>
          <w:szCs w:val="20"/>
        </w:rPr>
        <w:t>A summary of our financing receivables is presented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2"/>
        <w:gridCol w:w="2979"/>
        <w:gridCol w:w="41"/>
        <w:gridCol w:w="121"/>
        <w:gridCol w:w="1106"/>
        <w:gridCol w:w="36"/>
        <w:gridCol w:w="36"/>
        <w:gridCol w:w="36"/>
        <w:gridCol w:w="36"/>
        <w:gridCol w:w="121"/>
        <w:gridCol w:w="1055"/>
        <w:gridCol w:w="36"/>
        <w:gridCol w:w="36"/>
        <w:gridCol w:w="36"/>
        <w:gridCol w:w="36"/>
        <w:gridCol w:w="121"/>
        <w:gridCol w:w="1055"/>
        <w:gridCol w:w="36"/>
        <w:gridCol w:w="36"/>
        <w:gridCol w:w="36"/>
        <w:gridCol w:w="36"/>
        <w:gridCol w:w="120"/>
        <w:gridCol w:w="1107"/>
        <w:gridCol w:w="36"/>
      </w:tblGrid>
      <w:tr w:rsidR="005C332D" w14:paraId="518B67F3" w14:textId="77777777">
        <w:tc>
          <w:tcPr>
            <w:tcW w:w="50" w:type="pct"/>
            <w:shd w:val="clear" w:color="auto" w:fill="auto"/>
            <w:vAlign w:val="bottom"/>
          </w:tcPr>
          <w:p w14:paraId="518B67DB" w14:textId="77777777" w:rsidR="005C332D" w:rsidRDefault="005C332D">
            <w:pPr>
              <w:rPr>
                <w:rFonts w:ascii="宋体"/>
              </w:rPr>
            </w:pPr>
          </w:p>
        </w:tc>
        <w:tc>
          <w:tcPr>
            <w:tcW w:w="1830" w:type="pct"/>
            <w:shd w:val="clear" w:color="auto" w:fill="auto"/>
            <w:vAlign w:val="bottom"/>
          </w:tcPr>
          <w:p w14:paraId="518B67DC" w14:textId="77777777" w:rsidR="005C332D" w:rsidRDefault="005C332D">
            <w:pPr>
              <w:rPr>
                <w:rFonts w:ascii="宋体"/>
              </w:rPr>
            </w:pPr>
          </w:p>
        </w:tc>
        <w:tc>
          <w:tcPr>
            <w:tcW w:w="5" w:type="pct"/>
            <w:shd w:val="clear" w:color="auto" w:fill="auto"/>
            <w:vAlign w:val="bottom"/>
          </w:tcPr>
          <w:p w14:paraId="518B67DD" w14:textId="77777777" w:rsidR="005C332D" w:rsidRDefault="005C332D">
            <w:pPr>
              <w:rPr>
                <w:rFonts w:ascii="宋体"/>
              </w:rPr>
            </w:pPr>
          </w:p>
        </w:tc>
        <w:tc>
          <w:tcPr>
            <w:tcW w:w="50" w:type="pct"/>
            <w:shd w:val="clear" w:color="auto" w:fill="auto"/>
            <w:vAlign w:val="bottom"/>
          </w:tcPr>
          <w:p w14:paraId="518B67DE" w14:textId="77777777" w:rsidR="005C332D" w:rsidRDefault="005C332D">
            <w:pPr>
              <w:rPr>
                <w:rFonts w:ascii="宋体"/>
              </w:rPr>
            </w:pPr>
          </w:p>
        </w:tc>
        <w:tc>
          <w:tcPr>
            <w:tcW w:w="697" w:type="pct"/>
            <w:shd w:val="clear" w:color="auto" w:fill="auto"/>
            <w:vAlign w:val="bottom"/>
          </w:tcPr>
          <w:p w14:paraId="518B67DF" w14:textId="77777777" w:rsidR="005C332D" w:rsidRDefault="005C332D">
            <w:pPr>
              <w:rPr>
                <w:rFonts w:ascii="宋体"/>
              </w:rPr>
            </w:pPr>
          </w:p>
        </w:tc>
        <w:tc>
          <w:tcPr>
            <w:tcW w:w="5" w:type="pct"/>
            <w:shd w:val="clear" w:color="auto" w:fill="auto"/>
            <w:vAlign w:val="bottom"/>
          </w:tcPr>
          <w:p w14:paraId="518B67E0" w14:textId="77777777" w:rsidR="005C332D" w:rsidRDefault="005C332D">
            <w:pPr>
              <w:rPr>
                <w:rFonts w:ascii="宋体"/>
              </w:rPr>
            </w:pPr>
          </w:p>
        </w:tc>
        <w:tc>
          <w:tcPr>
            <w:tcW w:w="5" w:type="pct"/>
            <w:shd w:val="clear" w:color="auto" w:fill="auto"/>
            <w:vAlign w:val="bottom"/>
          </w:tcPr>
          <w:p w14:paraId="518B67E1" w14:textId="77777777" w:rsidR="005C332D" w:rsidRDefault="005C332D">
            <w:pPr>
              <w:rPr>
                <w:rFonts w:ascii="宋体"/>
              </w:rPr>
            </w:pPr>
          </w:p>
        </w:tc>
        <w:tc>
          <w:tcPr>
            <w:tcW w:w="26" w:type="pct"/>
            <w:shd w:val="clear" w:color="auto" w:fill="auto"/>
            <w:vAlign w:val="bottom"/>
          </w:tcPr>
          <w:p w14:paraId="518B67E2" w14:textId="77777777" w:rsidR="005C332D" w:rsidRDefault="005C332D">
            <w:pPr>
              <w:rPr>
                <w:rFonts w:ascii="宋体"/>
              </w:rPr>
            </w:pPr>
          </w:p>
        </w:tc>
        <w:tc>
          <w:tcPr>
            <w:tcW w:w="5" w:type="pct"/>
            <w:shd w:val="clear" w:color="auto" w:fill="auto"/>
            <w:vAlign w:val="bottom"/>
          </w:tcPr>
          <w:p w14:paraId="518B67E3" w14:textId="77777777" w:rsidR="005C332D" w:rsidRDefault="005C332D">
            <w:pPr>
              <w:rPr>
                <w:rFonts w:ascii="宋体"/>
              </w:rPr>
            </w:pPr>
          </w:p>
        </w:tc>
        <w:tc>
          <w:tcPr>
            <w:tcW w:w="50" w:type="pct"/>
            <w:shd w:val="clear" w:color="auto" w:fill="auto"/>
            <w:vAlign w:val="bottom"/>
          </w:tcPr>
          <w:p w14:paraId="518B67E4" w14:textId="77777777" w:rsidR="005C332D" w:rsidRDefault="005C332D">
            <w:pPr>
              <w:rPr>
                <w:rFonts w:ascii="宋体"/>
              </w:rPr>
            </w:pPr>
          </w:p>
        </w:tc>
        <w:tc>
          <w:tcPr>
            <w:tcW w:w="697" w:type="pct"/>
            <w:shd w:val="clear" w:color="auto" w:fill="auto"/>
            <w:vAlign w:val="bottom"/>
          </w:tcPr>
          <w:p w14:paraId="518B67E5" w14:textId="77777777" w:rsidR="005C332D" w:rsidRDefault="005C332D">
            <w:pPr>
              <w:rPr>
                <w:rFonts w:ascii="宋体"/>
              </w:rPr>
            </w:pPr>
          </w:p>
        </w:tc>
        <w:tc>
          <w:tcPr>
            <w:tcW w:w="5" w:type="pct"/>
            <w:shd w:val="clear" w:color="auto" w:fill="auto"/>
            <w:vAlign w:val="bottom"/>
          </w:tcPr>
          <w:p w14:paraId="518B67E6" w14:textId="77777777" w:rsidR="005C332D" w:rsidRDefault="005C332D">
            <w:pPr>
              <w:rPr>
                <w:rFonts w:ascii="宋体"/>
              </w:rPr>
            </w:pPr>
          </w:p>
        </w:tc>
        <w:tc>
          <w:tcPr>
            <w:tcW w:w="5" w:type="pct"/>
            <w:shd w:val="clear" w:color="auto" w:fill="auto"/>
            <w:vAlign w:val="bottom"/>
          </w:tcPr>
          <w:p w14:paraId="518B67E7" w14:textId="77777777" w:rsidR="005C332D" w:rsidRDefault="005C332D">
            <w:pPr>
              <w:rPr>
                <w:rFonts w:ascii="宋体"/>
              </w:rPr>
            </w:pPr>
          </w:p>
        </w:tc>
        <w:tc>
          <w:tcPr>
            <w:tcW w:w="26" w:type="pct"/>
            <w:shd w:val="clear" w:color="auto" w:fill="auto"/>
            <w:vAlign w:val="bottom"/>
          </w:tcPr>
          <w:p w14:paraId="518B67E8" w14:textId="77777777" w:rsidR="005C332D" w:rsidRDefault="005C332D">
            <w:pPr>
              <w:rPr>
                <w:rFonts w:ascii="宋体"/>
              </w:rPr>
            </w:pPr>
          </w:p>
        </w:tc>
        <w:tc>
          <w:tcPr>
            <w:tcW w:w="5" w:type="pct"/>
            <w:shd w:val="clear" w:color="auto" w:fill="auto"/>
            <w:vAlign w:val="bottom"/>
          </w:tcPr>
          <w:p w14:paraId="518B67E9" w14:textId="77777777" w:rsidR="005C332D" w:rsidRDefault="005C332D">
            <w:pPr>
              <w:rPr>
                <w:rFonts w:ascii="宋体"/>
              </w:rPr>
            </w:pPr>
          </w:p>
        </w:tc>
        <w:tc>
          <w:tcPr>
            <w:tcW w:w="50" w:type="pct"/>
            <w:shd w:val="clear" w:color="auto" w:fill="auto"/>
            <w:vAlign w:val="bottom"/>
          </w:tcPr>
          <w:p w14:paraId="518B67EA" w14:textId="77777777" w:rsidR="005C332D" w:rsidRDefault="005C332D">
            <w:pPr>
              <w:rPr>
                <w:rFonts w:ascii="宋体"/>
              </w:rPr>
            </w:pPr>
          </w:p>
        </w:tc>
        <w:tc>
          <w:tcPr>
            <w:tcW w:w="697" w:type="pct"/>
            <w:shd w:val="clear" w:color="auto" w:fill="auto"/>
            <w:vAlign w:val="bottom"/>
          </w:tcPr>
          <w:p w14:paraId="518B67EB" w14:textId="77777777" w:rsidR="005C332D" w:rsidRDefault="005C332D">
            <w:pPr>
              <w:rPr>
                <w:rFonts w:ascii="宋体"/>
              </w:rPr>
            </w:pPr>
          </w:p>
        </w:tc>
        <w:tc>
          <w:tcPr>
            <w:tcW w:w="5" w:type="pct"/>
            <w:shd w:val="clear" w:color="auto" w:fill="auto"/>
            <w:vAlign w:val="bottom"/>
          </w:tcPr>
          <w:p w14:paraId="518B67EC" w14:textId="77777777" w:rsidR="005C332D" w:rsidRDefault="005C332D">
            <w:pPr>
              <w:rPr>
                <w:rFonts w:ascii="宋体"/>
              </w:rPr>
            </w:pPr>
          </w:p>
        </w:tc>
        <w:tc>
          <w:tcPr>
            <w:tcW w:w="5" w:type="pct"/>
            <w:shd w:val="clear" w:color="auto" w:fill="auto"/>
            <w:vAlign w:val="bottom"/>
          </w:tcPr>
          <w:p w14:paraId="518B67ED" w14:textId="77777777" w:rsidR="005C332D" w:rsidRDefault="005C332D">
            <w:pPr>
              <w:rPr>
                <w:rFonts w:ascii="宋体"/>
              </w:rPr>
            </w:pPr>
          </w:p>
        </w:tc>
        <w:tc>
          <w:tcPr>
            <w:tcW w:w="19" w:type="pct"/>
            <w:shd w:val="clear" w:color="auto" w:fill="auto"/>
            <w:vAlign w:val="bottom"/>
          </w:tcPr>
          <w:p w14:paraId="518B67EE" w14:textId="77777777" w:rsidR="005C332D" w:rsidRDefault="005C332D">
            <w:pPr>
              <w:rPr>
                <w:rFonts w:ascii="宋体"/>
              </w:rPr>
            </w:pPr>
          </w:p>
        </w:tc>
        <w:tc>
          <w:tcPr>
            <w:tcW w:w="5" w:type="pct"/>
            <w:shd w:val="clear" w:color="auto" w:fill="auto"/>
            <w:vAlign w:val="bottom"/>
          </w:tcPr>
          <w:p w14:paraId="518B67EF" w14:textId="77777777" w:rsidR="005C332D" w:rsidRDefault="005C332D">
            <w:pPr>
              <w:rPr>
                <w:rFonts w:ascii="宋体"/>
              </w:rPr>
            </w:pPr>
          </w:p>
        </w:tc>
        <w:tc>
          <w:tcPr>
            <w:tcW w:w="50" w:type="pct"/>
            <w:shd w:val="clear" w:color="auto" w:fill="auto"/>
            <w:vAlign w:val="bottom"/>
          </w:tcPr>
          <w:p w14:paraId="518B67F0" w14:textId="77777777" w:rsidR="005C332D" w:rsidRDefault="005C332D">
            <w:pPr>
              <w:rPr>
                <w:rFonts w:ascii="宋体"/>
              </w:rPr>
            </w:pPr>
          </w:p>
        </w:tc>
        <w:tc>
          <w:tcPr>
            <w:tcW w:w="698" w:type="pct"/>
            <w:shd w:val="clear" w:color="auto" w:fill="auto"/>
            <w:vAlign w:val="bottom"/>
          </w:tcPr>
          <w:p w14:paraId="518B67F1" w14:textId="77777777" w:rsidR="005C332D" w:rsidRDefault="005C332D">
            <w:pPr>
              <w:rPr>
                <w:rFonts w:ascii="宋体"/>
              </w:rPr>
            </w:pPr>
          </w:p>
        </w:tc>
        <w:tc>
          <w:tcPr>
            <w:tcW w:w="5" w:type="pct"/>
            <w:shd w:val="clear" w:color="auto" w:fill="auto"/>
            <w:vAlign w:val="bottom"/>
          </w:tcPr>
          <w:p w14:paraId="518B67F2" w14:textId="77777777" w:rsidR="005C332D" w:rsidRDefault="005C332D">
            <w:pPr>
              <w:rPr>
                <w:rFonts w:ascii="宋体"/>
              </w:rPr>
            </w:pPr>
          </w:p>
        </w:tc>
      </w:tr>
      <w:tr w:rsidR="005C332D" w14:paraId="518B67FC" w14:textId="77777777">
        <w:tc>
          <w:tcPr>
            <w:tcW w:w="0" w:type="auto"/>
            <w:gridSpan w:val="3"/>
            <w:shd w:val="clear" w:color="auto" w:fill="auto"/>
            <w:tcMar>
              <w:top w:w="40" w:type="dxa"/>
              <w:left w:w="20" w:type="dxa"/>
              <w:bottom w:w="40" w:type="dxa"/>
              <w:right w:w="20" w:type="dxa"/>
            </w:tcMar>
            <w:vAlign w:val="bottom"/>
          </w:tcPr>
          <w:p w14:paraId="518B67F4" w14:textId="77777777" w:rsidR="005C332D" w:rsidRDefault="00B93EAE">
            <w:pPr>
              <w:textAlignment w:val="bottom"/>
            </w:pPr>
            <w:r>
              <w:rPr>
                <w:rFonts w:ascii="Times New Roman" w:eastAsia="宋体" w:hAnsi="Times New Roman"/>
                <w:b/>
                <w:bCs/>
                <w:color w:val="000000"/>
                <w:sz w:val="16"/>
                <w:szCs w:val="16"/>
                <w:u w:val="single"/>
              </w:rPr>
              <w:t>July 30, 2022</w:t>
            </w:r>
          </w:p>
        </w:tc>
        <w:tc>
          <w:tcPr>
            <w:tcW w:w="0" w:type="auto"/>
            <w:gridSpan w:val="3"/>
            <w:shd w:val="clear" w:color="auto" w:fill="auto"/>
            <w:tcMar>
              <w:top w:w="40" w:type="dxa"/>
              <w:left w:w="20" w:type="dxa"/>
              <w:bottom w:w="40" w:type="dxa"/>
              <w:right w:w="20" w:type="dxa"/>
            </w:tcMar>
            <w:vAlign w:val="bottom"/>
          </w:tcPr>
          <w:p w14:paraId="518B67F5" w14:textId="77777777" w:rsidR="005C332D" w:rsidRDefault="00B93EAE">
            <w:pPr>
              <w:jc w:val="center"/>
              <w:textAlignment w:val="bottom"/>
            </w:pPr>
            <w:r>
              <w:rPr>
                <w:rFonts w:ascii="Times New Roman" w:eastAsia="宋体" w:hAnsi="Times New Roman"/>
                <w:b/>
                <w:bCs/>
                <w:color w:val="000000"/>
                <w:sz w:val="16"/>
                <w:szCs w:val="16"/>
              </w:rPr>
              <w:t>Lease</w:t>
            </w:r>
            <w:r>
              <w:rPr>
                <w:rFonts w:ascii="Times New Roman" w:eastAsia="宋体" w:hAnsi="Times New Roman"/>
                <w:b/>
                <w:bCs/>
                <w:color w:val="000000"/>
                <w:sz w:val="16"/>
                <w:szCs w:val="16"/>
              </w:rPr>
              <w:br/>
              <w:t>Receivables</w:t>
            </w:r>
          </w:p>
        </w:tc>
        <w:tc>
          <w:tcPr>
            <w:tcW w:w="0" w:type="auto"/>
            <w:gridSpan w:val="3"/>
            <w:shd w:val="clear" w:color="auto" w:fill="auto"/>
            <w:tcMar>
              <w:top w:w="0" w:type="dxa"/>
              <w:left w:w="20" w:type="dxa"/>
              <w:bottom w:w="0" w:type="dxa"/>
              <w:right w:w="20" w:type="dxa"/>
            </w:tcMar>
            <w:vAlign w:val="bottom"/>
          </w:tcPr>
          <w:p w14:paraId="518B67F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7F7" w14:textId="77777777" w:rsidR="005C332D" w:rsidRDefault="00B93EAE">
            <w:pPr>
              <w:jc w:val="center"/>
              <w:textAlignment w:val="bottom"/>
            </w:pPr>
            <w:r>
              <w:rPr>
                <w:rFonts w:ascii="Times New Roman" w:eastAsia="宋体" w:hAnsi="Times New Roman"/>
                <w:b/>
                <w:bCs/>
                <w:color w:val="000000"/>
                <w:sz w:val="16"/>
                <w:szCs w:val="16"/>
              </w:rPr>
              <w:t>Loan Receivables</w:t>
            </w:r>
          </w:p>
        </w:tc>
        <w:tc>
          <w:tcPr>
            <w:tcW w:w="0" w:type="auto"/>
            <w:gridSpan w:val="3"/>
            <w:shd w:val="clear" w:color="auto" w:fill="auto"/>
            <w:tcMar>
              <w:top w:w="0" w:type="dxa"/>
              <w:left w:w="20" w:type="dxa"/>
              <w:bottom w:w="0" w:type="dxa"/>
              <w:right w:w="20" w:type="dxa"/>
            </w:tcMar>
            <w:vAlign w:val="bottom"/>
          </w:tcPr>
          <w:p w14:paraId="518B67F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7F9" w14:textId="77777777" w:rsidR="005C332D" w:rsidRDefault="00B93EAE">
            <w:pPr>
              <w:jc w:val="center"/>
              <w:textAlignment w:val="bottom"/>
            </w:pPr>
            <w:r>
              <w:rPr>
                <w:rFonts w:ascii="Times New Roman" w:eastAsia="宋体" w:hAnsi="Times New Roman"/>
                <w:b/>
                <w:bCs/>
                <w:color w:val="000000"/>
                <w:sz w:val="16"/>
                <w:szCs w:val="16"/>
              </w:rPr>
              <w:t>Financed Service Contracts</w:t>
            </w:r>
          </w:p>
        </w:tc>
        <w:tc>
          <w:tcPr>
            <w:tcW w:w="0" w:type="auto"/>
            <w:gridSpan w:val="3"/>
            <w:shd w:val="clear" w:color="auto" w:fill="auto"/>
            <w:tcMar>
              <w:top w:w="0" w:type="dxa"/>
              <w:left w:w="20" w:type="dxa"/>
              <w:bottom w:w="0" w:type="dxa"/>
              <w:right w:w="20" w:type="dxa"/>
            </w:tcMar>
            <w:vAlign w:val="bottom"/>
          </w:tcPr>
          <w:p w14:paraId="518B67F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7FB" w14:textId="77777777" w:rsidR="005C332D" w:rsidRDefault="00B93EAE">
            <w:pPr>
              <w:jc w:val="center"/>
              <w:textAlignment w:val="bottom"/>
            </w:pPr>
            <w:r>
              <w:rPr>
                <w:rFonts w:ascii="Times New Roman" w:eastAsia="宋体" w:hAnsi="Times New Roman"/>
                <w:b/>
                <w:bCs/>
                <w:color w:val="000000"/>
                <w:sz w:val="16"/>
                <w:szCs w:val="16"/>
              </w:rPr>
              <w:t>Total</w:t>
            </w:r>
          </w:p>
        </w:tc>
      </w:tr>
      <w:tr w:rsidR="005C332D" w14:paraId="518B680D" w14:textId="77777777">
        <w:tc>
          <w:tcPr>
            <w:tcW w:w="0" w:type="auto"/>
            <w:gridSpan w:val="3"/>
            <w:shd w:val="clear" w:color="auto" w:fill="CCEEFF"/>
            <w:tcMar>
              <w:top w:w="40" w:type="dxa"/>
              <w:left w:w="20" w:type="dxa"/>
              <w:bottom w:w="40" w:type="dxa"/>
              <w:right w:w="20" w:type="dxa"/>
            </w:tcMar>
          </w:tcPr>
          <w:p w14:paraId="518B67FD" w14:textId="77777777" w:rsidR="005C332D" w:rsidRDefault="00B93EAE">
            <w:pPr>
              <w:textAlignment w:val="top"/>
            </w:pPr>
            <w:r>
              <w:rPr>
                <w:rFonts w:ascii="Times New Roman" w:eastAsia="宋体" w:hAnsi="Times New Roman"/>
                <w:b/>
                <w:bCs/>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7F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7FF" w14:textId="77777777" w:rsidR="005C332D" w:rsidRDefault="00B93EAE">
            <w:pPr>
              <w:jc w:val="right"/>
              <w:textAlignment w:val="bottom"/>
            </w:pPr>
            <w:r>
              <w:rPr>
                <w:rFonts w:ascii="Times New Roman" w:eastAsia="宋体" w:hAnsi="Times New Roman"/>
                <w:b/>
                <w:bCs/>
                <w:color w:val="000000"/>
                <w:sz w:val="20"/>
                <w:szCs w:val="20"/>
              </w:rPr>
              <w:t>1,176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0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0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0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03" w14:textId="77777777" w:rsidR="005C332D" w:rsidRDefault="00B93EAE">
            <w:pPr>
              <w:jc w:val="right"/>
              <w:textAlignment w:val="bottom"/>
            </w:pPr>
            <w:r>
              <w:rPr>
                <w:rFonts w:ascii="Times New Roman" w:eastAsia="宋体" w:hAnsi="Times New Roman"/>
                <w:b/>
                <w:bCs/>
                <w:color w:val="000000"/>
                <w:sz w:val="20"/>
                <w:szCs w:val="20"/>
              </w:rPr>
              <w:t>4,656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0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0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06"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07" w14:textId="77777777" w:rsidR="005C332D" w:rsidRDefault="00B93EAE">
            <w:pPr>
              <w:jc w:val="right"/>
              <w:textAlignment w:val="bottom"/>
            </w:pPr>
            <w:r>
              <w:rPr>
                <w:rFonts w:ascii="Times New Roman" w:eastAsia="宋体" w:hAnsi="Times New Roman"/>
                <w:b/>
                <w:bCs/>
                <w:color w:val="000000"/>
                <w:sz w:val="20"/>
                <w:szCs w:val="20"/>
              </w:rPr>
              <w:t>2,186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0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0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0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0B" w14:textId="77777777" w:rsidR="005C332D" w:rsidRDefault="00B93EAE">
            <w:pPr>
              <w:jc w:val="right"/>
              <w:textAlignment w:val="bottom"/>
            </w:pPr>
            <w:r>
              <w:rPr>
                <w:rFonts w:ascii="Times New Roman" w:eastAsia="宋体" w:hAnsi="Times New Roman"/>
                <w:b/>
                <w:bCs/>
                <w:color w:val="000000"/>
                <w:sz w:val="20"/>
                <w:szCs w:val="20"/>
              </w:rPr>
              <w:t>8,018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0C" w14:textId="77777777" w:rsidR="005C332D" w:rsidRDefault="005C332D">
            <w:pPr>
              <w:jc w:val="right"/>
              <w:rPr>
                <w:rFonts w:ascii="宋体"/>
              </w:rPr>
            </w:pPr>
          </w:p>
        </w:tc>
      </w:tr>
      <w:tr w:rsidR="005C332D" w14:paraId="518B681A" w14:textId="77777777">
        <w:tc>
          <w:tcPr>
            <w:tcW w:w="0" w:type="auto"/>
            <w:gridSpan w:val="3"/>
            <w:shd w:val="clear" w:color="auto" w:fill="auto"/>
            <w:tcMar>
              <w:top w:w="40" w:type="dxa"/>
              <w:left w:w="20" w:type="dxa"/>
              <w:bottom w:w="40" w:type="dxa"/>
              <w:right w:w="20" w:type="dxa"/>
            </w:tcMar>
          </w:tcPr>
          <w:p w14:paraId="518B680E" w14:textId="77777777" w:rsidR="005C332D" w:rsidRDefault="00B93EAE">
            <w:pPr>
              <w:textAlignment w:val="top"/>
            </w:pPr>
            <w:r>
              <w:rPr>
                <w:rFonts w:ascii="Times New Roman" w:eastAsia="宋体" w:hAnsi="Times New Roman"/>
                <w:b/>
                <w:bCs/>
                <w:color w:val="000000"/>
                <w:sz w:val="20"/>
                <w:szCs w:val="20"/>
              </w:rPr>
              <w:t>Residual value</w:t>
            </w:r>
          </w:p>
        </w:tc>
        <w:tc>
          <w:tcPr>
            <w:tcW w:w="0" w:type="auto"/>
            <w:gridSpan w:val="2"/>
            <w:shd w:val="clear" w:color="auto" w:fill="auto"/>
            <w:tcMar>
              <w:top w:w="40" w:type="dxa"/>
              <w:left w:w="20" w:type="dxa"/>
              <w:bottom w:w="40" w:type="dxa"/>
              <w:right w:w="0" w:type="dxa"/>
            </w:tcMar>
            <w:vAlign w:val="bottom"/>
          </w:tcPr>
          <w:p w14:paraId="518B680F" w14:textId="77777777" w:rsidR="005C332D" w:rsidRDefault="00B93EAE">
            <w:pPr>
              <w:jc w:val="right"/>
              <w:textAlignment w:val="bottom"/>
            </w:pPr>
            <w:r>
              <w:rPr>
                <w:rFonts w:ascii="Times New Roman" w:eastAsia="宋体" w:hAnsi="Times New Roman"/>
                <w:b/>
                <w:bCs/>
                <w:color w:val="000000"/>
                <w:sz w:val="20"/>
                <w:szCs w:val="20"/>
              </w:rPr>
              <w:t>76</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6810"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811"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812"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6813"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814"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815"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6816"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817"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818" w14:textId="77777777" w:rsidR="005C332D" w:rsidRDefault="00B93EAE">
            <w:pPr>
              <w:jc w:val="right"/>
              <w:textAlignment w:val="bottom"/>
            </w:pPr>
            <w:r>
              <w:rPr>
                <w:rFonts w:ascii="Times New Roman" w:eastAsia="宋体" w:hAnsi="Times New Roman"/>
                <w:b/>
                <w:bCs/>
                <w:color w:val="000000"/>
                <w:sz w:val="20"/>
                <w:szCs w:val="20"/>
              </w:rPr>
              <w:t>76</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6819" w14:textId="77777777" w:rsidR="005C332D" w:rsidRDefault="005C332D">
            <w:pPr>
              <w:jc w:val="right"/>
              <w:rPr>
                <w:rFonts w:ascii="宋体"/>
              </w:rPr>
            </w:pPr>
          </w:p>
        </w:tc>
      </w:tr>
      <w:tr w:rsidR="005C332D" w14:paraId="518B6827" w14:textId="77777777">
        <w:tc>
          <w:tcPr>
            <w:tcW w:w="0" w:type="auto"/>
            <w:gridSpan w:val="3"/>
            <w:shd w:val="clear" w:color="auto" w:fill="CCEEFF"/>
            <w:tcMar>
              <w:top w:w="40" w:type="dxa"/>
              <w:left w:w="20" w:type="dxa"/>
              <w:bottom w:w="40" w:type="dxa"/>
              <w:right w:w="20" w:type="dxa"/>
            </w:tcMar>
          </w:tcPr>
          <w:p w14:paraId="518B681B" w14:textId="77777777" w:rsidR="005C332D" w:rsidRDefault="00B93EAE">
            <w:pPr>
              <w:textAlignment w:val="top"/>
            </w:pPr>
            <w:r>
              <w:rPr>
                <w:rFonts w:ascii="Times New Roman" w:eastAsia="宋体" w:hAnsi="Times New Roman"/>
                <w:b/>
                <w:bCs/>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518B681C" w14:textId="77777777" w:rsidR="005C332D" w:rsidRDefault="00B93EAE">
            <w:pPr>
              <w:jc w:val="right"/>
              <w:textAlignment w:val="bottom"/>
            </w:pPr>
            <w:r>
              <w:rPr>
                <w:rFonts w:ascii="Times New Roman" w:eastAsia="宋体" w:hAnsi="Times New Roman"/>
                <w:b/>
                <w:bCs/>
                <w:color w:val="000000"/>
                <w:sz w:val="20"/>
                <w:szCs w:val="20"/>
              </w:rPr>
              <w:t>(54)</w:t>
            </w:r>
          </w:p>
        </w:tc>
        <w:tc>
          <w:tcPr>
            <w:tcW w:w="0" w:type="auto"/>
            <w:shd w:val="clear" w:color="auto" w:fill="CCEEFF"/>
            <w:tcMar>
              <w:top w:w="40" w:type="dxa"/>
              <w:left w:w="0" w:type="dxa"/>
              <w:bottom w:w="40" w:type="dxa"/>
              <w:right w:w="20" w:type="dxa"/>
            </w:tcMar>
            <w:vAlign w:val="bottom"/>
          </w:tcPr>
          <w:p w14:paraId="518B681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1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81F"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82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2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822"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82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2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825" w14:textId="77777777" w:rsidR="005C332D" w:rsidRDefault="00B93EAE">
            <w:pPr>
              <w:jc w:val="right"/>
              <w:textAlignment w:val="bottom"/>
            </w:pPr>
            <w:r>
              <w:rPr>
                <w:rFonts w:ascii="Times New Roman" w:eastAsia="宋体" w:hAnsi="Times New Roman"/>
                <w:b/>
                <w:bCs/>
                <w:color w:val="000000"/>
                <w:sz w:val="20"/>
                <w:szCs w:val="20"/>
              </w:rPr>
              <w:t>(54)</w:t>
            </w:r>
          </w:p>
        </w:tc>
        <w:tc>
          <w:tcPr>
            <w:tcW w:w="0" w:type="auto"/>
            <w:shd w:val="clear" w:color="auto" w:fill="CCEEFF"/>
            <w:tcMar>
              <w:top w:w="40" w:type="dxa"/>
              <w:left w:w="0" w:type="dxa"/>
              <w:bottom w:w="40" w:type="dxa"/>
              <w:right w:w="20" w:type="dxa"/>
            </w:tcMar>
            <w:vAlign w:val="bottom"/>
          </w:tcPr>
          <w:p w14:paraId="518B6826" w14:textId="77777777" w:rsidR="005C332D" w:rsidRDefault="005C332D">
            <w:pPr>
              <w:jc w:val="right"/>
              <w:rPr>
                <w:rFonts w:ascii="宋体"/>
              </w:rPr>
            </w:pPr>
          </w:p>
        </w:tc>
      </w:tr>
      <w:tr w:rsidR="005C332D" w14:paraId="518B6834" w14:textId="77777777">
        <w:tc>
          <w:tcPr>
            <w:tcW w:w="0" w:type="auto"/>
            <w:gridSpan w:val="3"/>
            <w:shd w:val="clear" w:color="auto" w:fill="auto"/>
            <w:tcMar>
              <w:top w:w="40" w:type="dxa"/>
              <w:left w:w="20" w:type="dxa"/>
              <w:bottom w:w="40" w:type="dxa"/>
              <w:right w:w="20" w:type="dxa"/>
            </w:tcMar>
          </w:tcPr>
          <w:p w14:paraId="518B6828" w14:textId="77777777" w:rsidR="005C332D" w:rsidRDefault="00B93EAE">
            <w:pPr>
              <w:textAlignment w:val="top"/>
            </w:pPr>
            <w:r>
              <w:rPr>
                <w:rFonts w:ascii="Times New Roman" w:eastAsia="宋体" w:hAnsi="Times New Roman"/>
                <w:b/>
                <w:bCs/>
                <w:color w:val="000000"/>
                <w:sz w:val="20"/>
                <w:szCs w:val="20"/>
              </w:rPr>
              <w:t>Allowance for credit loss</w:t>
            </w:r>
          </w:p>
        </w:tc>
        <w:tc>
          <w:tcPr>
            <w:tcW w:w="0" w:type="auto"/>
            <w:gridSpan w:val="2"/>
            <w:shd w:val="clear" w:color="auto" w:fill="auto"/>
            <w:tcMar>
              <w:top w:w="40" w:type="dxa"/>
              <w:left w:w="20" w:type="dxa"/>
              <w:bottom w:w="40" w:type="dxa"/>
              <w:right w:w="0" w:type="dxa"/>
            </w:tcMar>
            <w:vAlign w:val="bottom"/>
          </w:tcPr>
          <w:p w14:paraId="518B6829" w14:textId="77777777" w:rsidR="005C332D" w:rsidRDefault="00B93EAE">
            <w:pPr>
              <w:jc w:val="right"/>
              <w:textAlignment w:val="bottom"/>
            </w:pPr>
            <w:r>
              <w:rPr>
                <w:rFonts w:ascii="Times New Roman" w:eastAsia="宋体" w:hAnsi="Times New Roman"/>
                <w:b/>
                <w:bCs/>
                <w:color w:val="000000"/>
                <w:sz w:val="20"/>
                <w:szCs w:val="20"/>
              </w:rPr>
              <w:t>(23)</w:t>
            </w:r>
          </w:p>
        </w:tc>
        <w:tc>
          <w:tcPr>
            <w:tcW w:w="0" w:type="auto"/>
            <w:shd w:val="clear" w:color="auto" w:fill="auto"/>
            <w:tcMar>
              <w:top w:w="40" w:type="dxa"/>
              <w:left w:w="0" w:type="dxa"/>
              <w:bottom w:w="40" w:type="dxa"/>
              <w:right w:w="20" w:type="dxa"/>
            </w:tcMar>
            <w:vAlign w:val="bottom"/>
          </w:tcPr>
          <w:p w14:paraId="518B682A"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82B"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82C" w14:textId="77777777" w:rsidR="005C332D" w:rsidRDefault="00B93EAE">
            <w:pPr>
              <w:jc w:val="right"/>
              <w:textAlignment w:val="bottom"/>
            </w:pPr>
            <w:r>
              <w:rPr>
                <w:rFonts w:ascii="Times New Roman" w:eastAsia="宋体" w:hAnsi="Times New Roman"/>
                <w:b/>
                <w:bCs/>
                <w:color w:val="000000"/>
                <w:sz w:val="20"/>
                <w:szCs w:val="20"/>
              </w:rPr>
              <w:t>(100)</w:t>
            </w:r>
          </w:p>
        </w:tc>
        <w:tc>
          <w:tcPr>
            <w:tcW w:w="0" w:type="auto"/>
            <w:shd w:val="clear" w:color="auto" w:fill="auto"/>
            <w:tcMar>
              <w:top w:w="40" w:type="dxa"/>
              <w:left w:w="0" w:type="dxa"/>
              <w:bottom w:w="40" w:type="dxa"/>
              <w:right w:w="20" w:type="dxa"/>
            </w:tcMar>
            <w:vAlign w:val="bottom"/>
          </w:tcPr>
          <w:p w14:paraId="518B682D"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82E"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82F" w14:textId="77777777" w:rsidR="005C332D" w:rsidRDefault="00B93EAE">
            <w:pPr>
              <w:jc w:val="right"/>
              <w:textAlignment w:val="bottom"/>
            </w:pPr>
            <w:r>
              <w:rPr>
                <w:rFonts w:ascii="Times New Roman" w:eastAsia="宋体" w:hAnsi="Times New Roman"/>
                <w:b/>
                <w:bCs/>
                <w:color w:val="000000"/>
                <w:sz w:val="20"/>
                <w:szCs w:val="20"/>
              </w:rPr>
              <w:t>(3)</w:t>
            </w:r>
          </w:p>
        </w:tc>
        <w:tc>
          <w:tcPr>
            <w:tcW w:w="0" w:type="auto"/>
            <w:shd w:val="clear" w:color="auto" w:fill="auto"/>
            <w:tcMar>
              <w:top w:w="40" w:type="dxa"/>
              <w:left w:w="0" w:type="dxa"/>
              <w:bottom w:w="40" w:type="dxa"/>
              <w:right w:w="20" w:type="dxa"/>
            </w:tcMar>
            <w:vAlign w:val="bottom"/>
          </w:tcPr>
          <w:p w14:paraId="518B6830"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831"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832" w14:textId="77777777" w:rsidR="005C332D" w:rsidRDefault="00B93EAE">
            <w:pPr>
              <w:jc w:val="right"/>
              <w:textAlignment w:val="bottom"/>
            </w:pPr>
            <w:r>
              <w:rPr>
                <w:rFonts w:ascii="Times New Roman" w:eastAsia="宋体" w:hAnsi="Times New Roman"/>
                <w:b/>
                <w:bCs/>
                <w:color w:val="000000"/>
                <w:sz w:val="20"/>
                <w:szCs w:val="20"/>
              </w:rPr>
              <w:t>(126)</w:t>
            </w:r>
          </w:p>
        </w:tc>
        <w:tc>
          <w:tcPr>
            <w:tcW w:w="0" w:type="auto"/>
            <w:shd w:val="clear" w:color="auto" w:fill="auto"/>
            <w:tcMar>
              <w:top w:w="40" w:type="dxa"/>
              <w:left w:w="0" w:type="dxa"/>
              <w:bottom w:w="40" w:type="dxa"/>
              <w:right w:w="20" w:type="dxa"/>
            </w:tcMar>
            <w:vAlign w:val="bottom"/>
          </w:tcPr>
          <w:p w14:paraId="518B6833" w14:textId="77777777" w:rsidR="005C332D" w:rsidRDefault="005C332D">
            <w:pPr>
              <w:jc w:val="right"/>
              <w:rPr>
                <w:rFonts w:ascii="宋体"/>
              </w:rPr>
            </w:pPr>
          </w:p>
        </w:tc>
      </w:tr>
      <w:tr w:rsidR="005C332D" w14:paraId="518B6845" w14:textId="77777777">
        <w:tc>
          <w:tcPr>
            <w:tcW w:w="0" w:type="auto"/>
            <w:gridSpan w:val="3"/>
            <w:shd w:val="clear" w:color="auto" w:fill="CCEEFF"/>
            <w:tcMar>
              <w:top w:w="40" w:type="dxa"/>
              <w:left w:w="740" w:type="dxa"/>
              <w:bottom w:w="40" w:type="dxa"/>
              <w:right w:w="20" w:type="dxa"/>
            </w:tcMar>
          </w:tcPr>
          <w:p w14:paraId="518B6835" w14:textId="77777777" w:rsidR="005C332D" w:rsidRDefault="00B93EAE">
            <w:pPr>
              <w:textAlignment w:val="top"/>
            </w:pPr>
            <w:r>
              <w:rPr>
                <w:rFonts w:ascii="Times New Roman" w:eastAsia="宋体" w:hAnsi="Times New Roman"/>
                <w:b/>
                <w:bCs/>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836"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37" w14:textId="77777777" w:rsidR="005C332D" w:rsidRDefault="00B93EAE">
            <w:pPr>
              <w:jc w:val="right"/>
              <w:textAlignment w:val="bottom"/>
            </w:pPr>
            <w:r>
              <w:rPr>
                <w:rFonts w:ascii="Times New Roman" w:eastAsia="宋体" w:hAnsi="Times New Roman"/>
                <w:b/>
                <w:bCs/>
                <w:color w:val="000000"/>
                <w:sz w:val="20"/>
                <w:szCs w:val="20"/>
              </w:rPr>
              <w:t>1,175</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3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3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3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3B" w14:textId="77777777" w:rsidR="005C332D" w:rsidRDefault="00B93EAE">
            <w:pPr>
              <w:jc w:val="right"/>
              <w:textAlignment w:val="bottom"/>
            </w:pPr>
            <w:r>
              <w:rPr>
                <w:rFonts w:ascii="Times New Roman" w:eastAsia="宋体" w:hAnsi="Times New Roman"/>
                <w:b/>
                <w:bCs/>
                <w:color w:val="000000"/>
                <w:sz w:val="20"/>
                <w:szCs w:val="20"/>
              </w:rPr>
              <w:t>4,556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3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3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3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3F" w14:textId="77777777" w:rsidR="005C332D" w:rsidRDefault="00B93EAE">
            <w:pPr>
              <w:jc w:val="right"/>
              <w:textAlignment w:val="bottom"/>
            </w:pPr>
            <w:r>
              <w:rPr>
                <w:rFonts w:ascii="Times New Roman" w:eastAsia="宋体" w:hAnsi="Times New Roman"/>
                <w:b/>
                <w:bCs/>
                <w:color w:val="000000"/>
                <w:sz w:val="20"/>
                <w:szCs w:val="20"/>
              </w:rPr>
              <w:t>2,183</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4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4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4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43" w14:textId="77777777" w:rsidR="005C332D" w:rsidRDefault="00B93EAE">
            <w:pPr>
              <w:jc w:val="right"/>
              <w:textAlignment w:val="bottom"/>
            </w:pPr>
            <w:r>
              <w:rPr>
                <w:rFonts w:ascii="Times New Roman" w:eastAsia="宋体" w:hAnsi="Times New Roman"/>
                <w:b/>
                <w:bCs/>
                <w:color w:val="000000"/>
                <w:sz w:val="20"/>
                <w:szCs w:val="20"/>
              </w:rPr>
              <w:t>7,914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44" w14:textId="77777777" w:rsidR="005C332D" w:rsidRDefault="005C332D">
            <w:pPr>
              <w:jc w:val="right"/>
              <w:rPr>
                <w:rFonts w:ascii="宋体"/>
              </w:rPr>
            </w:pPr>
          </w:p>
        </w:tc>
      </w:tr>
      <w:tr w:rsidR="005C332D" w14:paraId="518B684E" w14:textId="77777777">
        <w:tc>
          <w:tcPr>
            <w:tcW w:w="0" w:type="auto"/>
            <w:gridSpan w:val="3"/>
            <w:shd w:val="clear" w:color="auto" w:fill="auto"/>
            <w:tcMar>
              <w:top w:w="40" w:type="dxa"/>
              <w:left w:w="20" w:type="dxa"/>
              <w:bottom w:w="40" w:type="dxa"/>
              <w:right w:w="20" w:type="dxa"/>
            </w:tcMar>
          </w:tcPr>
          <w:p w14:paraId="518B6846" w14:textId="77777777" w:rsidR="005C332D" w:rsidRDefault="00B93EAE">
            <w:pPr>
              <w:textAlignment w:val="top"/>
            </w:pPr>
            <w:r>
              <w:rPr>
                <w:rFonts w:ascii="Times New Roman" w:eastAsia="宋体" w:hAnsi="Times New Roman"/>
                <w:b/>
                <w:bCs/>
                <w:color w:val="000000"/>
                <w:sz w:val="20"/>
                <w:szCs w:val="20"/>
              </w:rPr>
              <w:t>Reported as:</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18B6847"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848" w14:textId="77777777" w:rsidR="005C332D" w:rsidRDefault="005C332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18B6849"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84A" w14:textId="77777777" w:rsidR="005C332D" w:rsidRDefault="005C332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18B684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84C" w14:textId="77777777" w:rsidR="005C332D" w:rsidRDefault="005C332D">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518B684D" w14:textId="77777777" w:rsidR="005C332D" w:rsidRDefault="005C332D">
            <w:pPr>
              <w:rPr>
                <w:rFonts w:ascii="宋体"/>
              </w:rPr>
            </w:pPr>
          </w:p>
        </w:tc>
      </w:tr>
      <w:tr w:rsidR="005C332D" w14:paraId="518B685F" w14:textId="77777777">
        <w:tc>
          <w:tcPr>
            <w:tcW w:w="0" w:type="auto"/>
            <w:gridSpan w:val="3"/>
            <w:shd w:val="clear" w:color="auto" w:fill="CCEEFF"/>
            <w:tcMar>
              <w:top w:w="40" w:type="dxa"/>
              <w:left w:w="380" w:type="dxa"/>
              <w:bottom w:w="40" w:type="dxa"/>
              <w:right w:w="20" w:type="dxa"/>
            </w:tcMar>
          </w:tcPr>
          <w:p w14:paraId="518B684F" w14:textId="77777777" w:rsidR="005C332D" w:rsidRDefault="00B93EAE">
            <w:pPr>
              <w:textAlignment w:val="top"/>
            </w:pPr>
            <w:r>
              <w:rPr>
                <w:rFonts w:ascii="Times New Roman" w:eastAsia="宋体" w:hAnsi="Times New Roman"/>
                <w:b/>
                <w:bCs/>
                <w:color w:val="000000"/>
                <w:sz w:val="20"/>
                <w:szCs w:val="20"/>
              </w:rPr>
              <w:t>Current</w:t>
            </w:r>
          </w:p>
        </w:tc>
        <w:tc>
          <w:tcPr>
            <w:tcW w:w="0" w:type="auto"/>
            <w:shd w:val="clear" w:color="auto" w:fill="CCEEFF"/>
            <w:tcMar>
              <w:top w:w="40" w:type="dxa"/>
              <w:left w:w="20" w:type="dxa"/>
              <w:bottom w:w="40" w:type="dxa"/>
              <w:right w:w="0" w:type="dxa"/>
            </w:tcMar>
            <w:vAlign w:val="bottom"/>
          </w:tcPr>
          <w:p w14:paraId="518B6850"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851" w14:textId="77777777" w:rsidR="005C332D" w:rsidRDefault="00B93EAE">
            <w:pPr>
              <w:jc w:val="right"/>
              <w:textAlignment w:val="bottom"/>
            </w:pPr>
            <w:r>
              <w:rPr>
                <w:rFonts w:ascii="Times New Roman" w:eastAsia="宋体" w:hAnsi="Times New Roman"/>
                <w:b/>
                <w:bCs/>
                <w:color w:val="000000"/>
                <w:sz w:val="20"/>
                <w:szCs w:val="20"/>
              </w:rPr>
              <w:t>578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85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53"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854"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855" w14:textId="77777777" w:rsidR="005C332D" w:rsidRDefault="00B93EAE">
            <w:pPr>
              <w:jc w:val="right"/>
              <w:textAlignment w:val="bottom"/>
            </w:pPr>
            <w:r>
              <w:rPr>
                <w:rFonts w:ascii="Times New Roman" w:eastAsia="宋体" w:hAnsi="Times New Roman"/>
                <w:b/>
                <w:bCs/>
                <w:color w:val="000000"/>
                <w:sz w:val="20"/>
                <w:szCs w:val="20"/>
              </w:rPr>
              <w:t>2,176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85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57"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858"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859" w14:textId="77777777" w:rsidR="005C332D" w:rsidRDefault="00B93EAE">
            <w:pPr>
              <w:jc w:val="right"/>
              <w:textAlignment w:val="bottom"/>
            </w:pPr>
            <w:r>
              <w:rPr>
                <w:rFonts w:ascii="Times New Roman" w:eastAsia="宋体" w:hAnsi="Times New Roman"/>
                <w:b/>
                <w:bCs/>
                <w:color w:val="000000"/>
                <w:sz w:val="20"/>
                <w:szCs w:val="20"/>
              </w:rPr>
              <w:t>1,151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85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5B"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85C"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85D" w14:textId="77777777" w:rsidR="005C332D" w:rsidRDefault="00B93EAE">
            <w:pPr>
              <w:jc w:val="right"/>
              <w:textAlignment w:val="bottom"/>
            </w:pPr>
            <w:r>
              <w:rPr>
                <w:rFonts w:ascii="Times New Roman" w:eastAsia="宋体" w:hAnsi="Times New Roman"/>
                <w:b/>
                <w:bCs/>
                <w:color w:val="000000"/>
                <w:sz w:val="20"/>
                <w:szCs w:val="20"/>
              </w:rPr>
              <w:t>3,905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85E" w14:textId="77777777" w:rsidR="005C332D" w:rsidRDefault="005C332D">
            <w:pPr>
              <w:jc w:val="right"/>
              <w:rPr>
                <w:rFonts w:ascii="宋体"/>
              </w:rPr>
            </w:pPr>
          </w:p>
        </w:tc>
      </w:tr>
      <w:tr w:rsidR="005C332D" w14:paraId="518B686C" w14:textId="77777777">
        <w:tc>
          <w:tcPr>
            <w:tcW w:w="0" w:type="auto"/>
            <w:gridSpan w:val="3"/>
            <w:shd w:val="clear" w:color="auto" w:fill="auto"/>
            <w:tcMar>
              <w:top w:w="40" w:type="dxa"/>
              <w:left w:w="380" w:type="dxa"/>
              <w:bottom w:w="40" w:type="dxa"/>
              <w:right w:w="20" w:type="dxa"/>
            </w:tcMar>
          </w:tcPr>
          <w:p w14:paraId="518B6860" w14:textId="77777777" w:rsidR="005C332D" w:rsidRDefault="00B93EAE">
            <w:pPr>
              <w:textAlignment w:val="top"/>
            </w:pPr>
            <w:r>
              <w:rPr>
                <w:rFonts w:ascii="Times New Roman" w:eastAsia="宋体" w:hAnsi="Times New Roman"/>
                <w:b/>
                <w:bCs/>
                <w:color w:val="000000"/>
                <w:sz w:val="20"/>
                <w:szCs w:val="20"/>
              </w:rPr>
              <w:t>Noncurrent</w:t>
            </w:r>
          </w:p>
        </w:tc>
        <w:tc>
          <w:tcPr>
            <w:tcW w:w="0" w:type="auto"/>
            <w:gridSpan w:val="2"/>
            <w:shd w:val="clear" w:color="auto" w:fill="auto"/>
            <w:tcMar>
              <w:top w:w="40" w:type="dxa"/>
              <w:left w:w="20" w:type="dxa"/>
              <w:bottom w:w="40" w:type="dxa"/>
              <w:right w:w="0" w:type="dxa"/>
            </w:tcMar>
            <w:vAlign w:val="bottom"/>
          </w:tcPr>
          <w:p w14:paraId="518B6861" w14:textId="77777777" w:rsidR="005C332D" w:rsidRDefault="00B93EAE">
            <w:pPr>
              <w:jc w:val="right"/>
              <w:textAlignment w:val="bottom"/>
            </w:pPr>
            <w:r>
              <w:rPr>
                <w:rFonts w:ascii="Times New Roman" w:eastAsia="宋体" w:hAnsi="Times New Roman"/>
                <w:b/>
                <w:bCs/>
                <w:color w:val="000000"/>
                <w:sz w:val="20"/>
                <w:szCs w:val="20"/>
              </w:rPr>
              <w:t>597</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6862"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863"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864" w14:textId="77777777" w:rsidR="005C332D" w:rsidRDefault="00B93EAE">
            <w:pPr>
              <w:jc w:val="right"/>
              <w:textAlignment w:val="bottom"/>
            </w:pPr>
            <w:r>
              <w:rPr>
                <w:rFonts w:ascii="Times New Roman" w:eastAsia="宋体" w:hAnsi="Times New Roman"/>
                <w:b/>
                <w:bCs/>
                <w:color w:val="000000"/>
                <w:sz w:val="20"/>
                <w:szCs w:val="20"/>
              </w:rPr>
              <w:t>2,380</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6865"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866"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867" w14:textId="77777777" w:rsidR="005C332D" w:rsidRDefault="00B93EAE">
            <w:pPr>
              <w:jc w:val="right"/>
              <w:textAlignment w:val="bottom"/>
            </w:pPr>
            <w:r>
              <w:rPr>
                <w:rFonts w:ascii="Times New Roman" w:eastAsia="宋体" w:hAnsi="Times New Roman"/>
                <w:b/>
                <w:bCs/>
                <w:color w:val="000000"/>
                <w:sz w:val="20"/>
                <w:szCs w:val="20"/>
              </w:rPr>
              <w:t>1,032</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6868"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869"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86A" w14:textId="77777777" w:rsidR="005C332D" w:rsidRDefault="00B93EAE">
            <w:pPr>
              <w:jc w:val="right"/>
              <w:textAlignment w:val="bottom"/>
            </w:pPr>
            <w:r>
              <w:rPr>
                <w:rFonts w:ascii="Times New Roman" w:eastAsia="宋体" w:hAnsi="Times New Roman"/>
                <w:b/>
                <w:bCs/>
                <w:color w:val="000000"/>
                <w:sz w:val="20"/>
                <w:szCs w:val="20"/>
              </w:rPr>
              <w:t>4,009</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686B" w14:textId="77777777" w:rsidR="005C332D" w:rsidRDefault="005C332D">
            <w:pPr>
              <w:jc w:val="right"/>
              <w:rPr>
                <w:rFonts w:ascii="宋体"/>
              </w:rPr>
            </w:pPr>
          </w:p>
        </w:tc>
      </w:tr>
      <w:tr w:rsidR="005C332D" w14:paraId="518B687D" w14:textId="77777777">
        <w:tc>
          <w:tcPr>
            <w:tcW w:w="0" w:type="auto"/>
            <w:gridSpan w:val="3"/>
            <w:shd w:val="clear" w:color="auto" w:fill="CCEEFF"/>
            <w:tcMar>
              <w:top w:w="40" w:type="dxa"/>
              <w:left w:w="740" w:type="dxa"/>
              <w:bottom w:w="40" w:type="dxa"/>
              <w:right w:w="20" w:type="dxa"/>
            </w:tcMar>
          </w:tcPr>
          <w:p w14:paraId="518B686D" w14:textId="77777777" w:rsidR="005C332D" w:rsidRDefault="00B93EAE">
            <w:pPr>
              <w:textAlignment w:val="top"/>
            </w:pPr>
            <w:r>
              <w:rPr>
                <w:rFonts w:ascii="Times New Roman" w:eastAsia="宋体" w:hAnsi="Times New Roman"/>
                <w:b/>
                <w:bCs/>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86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86F" w14:textId="77777777" w:rsidR="005C332D" w:rsidRDefault="00B93EAE">
            <w:pPr>
              <w:jc w:val="right"/>
              <w:textAlignment w:val="bottom"/>
            </w:pPr>
            <w:r>
              <w:rPr>
                <w:rFonts w:ascii="Times New Roman" w:eastAsia="宋体" w:hAnsi="Times New Roman"/>
                <w:b/>
                <w:bCs/>
                <w:color w:val="000000"/>
                <w:sz w:val="20"/>
                <w:szCs w:val="20"/>
              </w:rPr>
              <w:t>1,175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87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71"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87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873" w14:textId="77777777" w:rsidR="005C332D" w:rsidRDefault="00B93EAE">
            <w:pPr>
              <w:jc w:val="right"/>
              <w:textAlignment w:val="bottom"/>
            </w:pPr>
            <w:r>
              <w:rPr>
                <w:rFonts w:ascii="Times New Roman" w:eastAsia="宋体" w:hAnsi="Times New Roman"/>
                <w:b/>
                <w:bCs/>
                <w:color w:val="000000"/>
                <w:sz w:val="20"/>
                <w:szCs w:val="20"/>
              </w:rPr>
              <w:t>4,556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87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75"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876"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877" w14:textId="77777777" w:rsidR="005C332D" w:rsidRDefault="00B93EAE">
            <w:pPr>
              <w:jc w:val="right"/>
              <w:textAlignment w:val="bottom"/>
            </w:pPr>
            <w:r>
              <w:rPr>
                <w:rFonts w:ascii="Times New Roman" w:eastAsia="宋体" w:hAnsi="Times New Roman"/>
                <w:b/>
                <w:bCs/>
                <w:color w:val="000000"/>
                <w:sz w:val="20"/>
                <w:szCs w:val="20"/>
              </w:rPr>
              <w:t>2,183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87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79"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87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87B" w14:textId="77777777" w:rsidR="005C332D" w:rsidRDefault="00B93EAE">
            <w:pPr>
              <w:jc w:val="right"/>
              <w:textAlignment w:val="bottom"/>
            </w:pPr>
            <w:r>
              <w:rPr>
                <w:rFonts w:ascii="Times New Roman" w:eastAsia="宋体" w:hAnsi="Times New Roman"/>
                <w:b/>
                <w:bCs/>
                <w:color w:val="000000"/>
                <w:sz w:val="20"/>
                <w:szCs w:val="20"/>
              </w:rPr>
              <w:t>7,914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87C" w14:textId="77777777" w:rsidR="005C332D" w:rsidRDefault="005C332D">
            <w:pPr>
              <w:jc w:val="right"/>
              <w:rPr>
                <w:rFonts w:ascii="宋体"/>
              </w:rPr>
            </w:pPr>
          </w:p>
        </w:tc>
      </w:tr>
    </w:tbl>
    <w:p w14:paraId="518B687E" w14:textId="77777777" w:rsidR="005C332D" w:rsidRDefault="005C332D">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3"/>
        <w:gridCol w:w="2968"/>
        <w:gridCol w:w="42"/>
        <w:gridCol w:w="121"/>
        <w:gridCol w:w="1113"/>
        <w:gridCol w:w="36"/>
        <w:gridCol w:w="36"/>
        <w:gridCol w:w="36"/>
        <w:gridCol w:w="36"/>
        <w:gridCol w:w="121"/>
        <w:gridCol w:w="1069"/>
        <w:gridCol w:w="36"/>
        <w:gridCol w:w="36"/>
        <w:gridCol w:w="36"/>
        <w:gridCol w:w="36"/>
        <w:gridCol w:w="120"/>
        <w:gridCol w:w="1069"/>
        <w:gridCol w:w="36"/>
        <w:gridCol w:w="36"/>
        <w:gridCol w:w="36"/>
        <w:gridCol w:w="36"/>
        <w:gridCol w:w="120"/>
        <w:gridCol w:w="1070"/>
        <w:gridCol w:w="36"/>
      </w:tblGrid>
      <w:tr w:rsidR="005C332D" w14:paraId="518B6897" w14:textId="77777777">
        <w:tc>
          <w:tcPr>
            <w:tcW w:w="50" w:type="pct"/>
            <w:shd w:val="clear" w:color="auto" w:fill="auto"/>
            <w:vAlign w:val="bottom"/>
          </w:tcPr>
          <w:p w14:paraId="518B687F" w14:textId="77777777" w:rsidR="005C332D" w:rsidRDefault="005C332D">
            <w:pPr>
              <w:rPr>
                <w:rFonts w:ascii="宋体"/>
              </w:rPr>
            </w:pPr>
          </w:p>
        </w:tc>
        <w:tc>
          <w:tcPr>
            <w:tcW w:w="1819" w:type="pct"/>
            <w:shd w:val="clear" w:color="auto" w:fill="auto"/>
            <w:vAlign w:val="bottom"/>
          </w:tcPr>
          <w:p w14:paraId="518B6880" w14:textId="77777777" w:rsidR="005C332D" w:rsidRDefault="005C332D">
            <w:pPr>
              <w:rPr>
                <w:rFonts w:ascii="宋体"/>
              </w:rPr>
            </w:pPr>
          </w:p>
        </w:tc>
        <w:tc>
          <w:tcPr>
            <w:tcW w:w="5" w:type="pct"/>
            <w:shd w:val="clear" w:color="auto" w:fill="auto"/>
            <w:vAlign w:val="bottom"/>
          </w:tcPr>
          <w:p w14:paraId="518B6881" w14:textId="77777777" w:rsidR="005C332D" w:rsidRDefault="005C332D">
            <w:pPr>
              <w:rPr>
                <w:rFonts w:ascii="宋体"/>
              </w:rPr>
            </w:pPr>
          </w:p>
        </w:tc>
        <w:tc>
          <w:tcPr>
            <w:tcW w:w="50" w:type="pct"/>
            <w:shd w:val="clear" w:color="auto" w:fill="auto"/>
            <w:vAlign w:val="bottom"/>
          </w:tcPr>
          <w:p w14:paraId="518B6882" w14:textId="77777777" w:rsidR="005C332D" w:rsidRDefault="005C332D">
            <w:pPr>
              <w:rPr>
                <w:rFonts w:ascii="宋体"/>
              </w:rPr>
            </w:pPr>
          </w:p>
        </w:tc>
        <w:tc>
          <w:tcPr>
            <w:tcW w:w="699" w:type="pct"/>
            <w:shd w:val="clear" w:color="auto" w:fill="auto"/>
            <w:vAlign w:val="bottom"/>
          </w:tcPr>
          <w:p w14:paraId="518B6883" w14:textId="77777777" w:rsidR="005C332D" w:rsidRDefault="005C332D">
            <w:pPr>
              <w:rPr>
                <w:rFonts w:ascii="宋体"/>
              </w:rPr>
            </w:pPr>
          </w:p>
        </w:tc>
        <w:tc>
          <w:tcPr>
            <w:tcW w:w="5" w:type="pct"/>
            <w:shd w:val="clear" w:color="auto" w:fill="auto"/>
            <w:vAlign w:val="bottom"/>
          </w:tcPr>
          <w:p w14:paraId="518B6884" w14:textId="77777777" w:rsidR="005C332D" w:rsidRDefault="005C332D">
            <w:pPr>
              <w:rPr>
                <w:rFonts w:ascii="宋体"/>
              </w:rPr>
            </w:pPr>
          </w:p>
        </w:tc>
        <w:tc>
          <w:tcPr>
            <w:tcW w:w="5" w:type="pct"/>
            <w:shd w:val="clear" w:color="auto" w:fill="auto"/>
            <w:vAlign w:val="bottom"/>
          </w:tcPr>
          <w:p w14:paraId="518B6885" w14:textId="77777777" w:rsidR="005C332D" w:rsidRDefault="005C332D">
            <w:pPr>
              <w:rPr>
                <w:rFonts w:ascii="宋体"/>
              </w:rPr>
            </w:pPr>
          </w:p>
        </w:tc>
        <w:tc>
          <w:tcPr>
            <w:tcW w:w="26" w:type="pct"/>
            <w:shd w:val="clear" w:color="auto" w:fill="auto"/>
            <w:vAlign w:val="bottom"/>
          </w:tcPr>
          <w:p w14:paraId="518B6886" w14:textId="77777777" w:rsidR="005C332D" w:rsidRDefault="005C332D">
            <w:pPr>
              <w:rPr>
                <w:rFonts w:ascii="宋体"/>
              </w:rPr>
            </w:pPr>
          </w:p>
        </w:tc>
        <w:tc>
          <w:tcPr>
            <w:tcW w:w="5" w:type="pct"/>
            <w:shd w:val="clear" w:color="auto" w:fill="auto"/>
            <w:vAlign w:val="bottom"/>
          </w:tcPr>
          <w:p w14:paraId="518B6887" w14:textId="77777777" w:rsidR="005C332D" w:rsidRDefault="005C332D">
            <w:pPr>
              <w:rPr>
                <w:rFonts w:ascii="宋体"/>
              </w:rPr>
            </w:pPr>
          </w:p>
        </w:tc>
        <w:tc>
          <w:tcPr>
            <w:tcW w:w="50" w:type="pct"/>
            <w:shd w:val="clear" w:color="auto" w:fill="auto"/>
            <w:vAlign w:val="bottom"/>
          </w:tcPr>
          <w:p w14:paraId="518B6888" w14:textId="77777777" w:rsidR="005C332D" w:rsidRDefault="005C332D">
            <w:pPr>
              <w:rPr>
                <w:rFonts w:ascii="宋体"/>
              </w:rPr>
            </w:pPr>
          </w:p>
        </w:tc>
        <w:tc>
          <w:tcPr>
            <w:tcW w:w="699" w:type="pct"/>
            <w:shd w:val="clear" w:color="auto" w:fill="auto"/>
            <w:vAlign w:val="bottom"/>
          </w:tcPr>
          <w:p w14:paraId="518B6889" w14:textId="77777777" w:rsidR="005C332D" w:rsidRDefault="005C332D">
            <w:pPr>
              <w:rPr>
                <w:rFonts w:ascii="宋体"/>
              </w:rPr>
            </w:pPr>
          </w:p>
        </w:tc>
        <w:tc>
          <w:tcPr>
            <w:tcW w:w="5" w:type="pct"/>
            <w:shd w:val="clear" w:color="auto" w:fill="auto"/>
            <w:vAlign w:val="bottom"/>
          </w:tcPr>
          <w:p w14:paraId="518B688A" w14:textId="77777777" w:rsidR="005C332D" w:rsidRDefault="005C332D">
            <w:pPr>
              <w:rPr>
                <w:rFonts w:ascii="宋体"/>
              </w:rPr>
            </w:pPr>
          </w:p>
        </w:tc>
        <w:tc>
          <w:tcPr>
            <w:tcW w:w="5" w:type="pct"/>
            <w:shd w:val="clear" w:color="auto" w:fill="auto"/>
            <w:vAlign w:val="bottom"/>
          </w:tcPr>
          <w:p w14:paraId="518B688B" w14:textId="77777777" w:rsidR="005C332D" w:rsidRDefault="005C332D">
            <w:pPr>
              <w:rPr>
                <w:rFonts w:ascii="宋体"/>
              </w:rPr>
            </w:pPr>
          </w:p>
        </w:tc>
        <w:tc>
          <w:tcPr>
            <w:tcW w:w="26" w:type="pct"/>
            <w:shd w:val="clear" w:color="auto" w:fill="auto"/>
            <w:vAlign w:val="bottom"/>
          </w:tcPr>
          <w:p w14:paraId="518B688C" w14:textId="77777777" w:rsidR="005C332D" w:rsidRDefault="005C332D">
            <w:pPr>
              <w:rPr>
                <w:rFonts w:ascii="宋体"/>
              </w:rPr>
            </w:pPr>
          </w:p>
        </w:tc>
        <w:tc>
          <w:tcPr>
            <w:tcW w:w="5" w:type="pct"/>
            <w:shd w:val="clear" w:color="auto" w:fill="auto"/>
            <w:vAlign w:val="bottom"/>
          </w:tcPr>
          <w:p w14:paraId="518B688D" w14:textId="77777777" w:rsidR="005C332D" w:rsidRDefault="005C332D">
            <w:pPr>
              <w:rPr>
                <w:rFonts w:ascii="宋体"/>
              </w:rPr>
            </w:pPr>
          </w:p>
        </w:tc>
        <w:tc>
          <w:tcPr>
            <w:tcW w:w="50" w:type="pct"/>
            <w:shd w:val="clear" w:color="auto" w:fill="auto"/>
            <w:vAlign w:val="bottom"/>
          </w:tcPr>
          <w:p w14:paraId="518B688E" w14:textId="77777777" w:rsidR="005C332D" w:rsidRDefault="005C332D">
            <w:pPr>
              <w:rPr>
                <w:rFonts w:ascii="宋体"/>
              </w:rPr>
            </w:pPr>
          </w:p>
        </w:tc>
        <w:tc>
          <w:tcPr>
            <w:tcW w:w="699" w:type="pct"/>
            <w:shd w:val="clear" w:color="auto" w:fill="auto"/>
            <w:vAlign w:val="bottom"/>
          </w:tcPr>
          <w:p w14:paraId="518B688F" w14:textId="77777777" w:rsidR="005C332D" w:rsidRDefault="005C332D">
            <w:pPr>
              <w:rPr>
                <w:rFonts w:ascii="宋体"/>
              </w:rPr>
            </w:pPr>
          </w:p>
        </w:tc>
        <w:tc>
          <w:tcPr>
            <w:tcW w:w="5" w:type="pct"/>
            <w:shd w:val="clear" w:color="auto" w:fill="auto"/>
            <w:vAlign w:val="bottom"/>
          </w:tcPr>
          <w:p w14:paraId="518B6890" w14:textId="77777777" w:rsidR="005C332D" w:rsidRDefault="005C332D">
            <w:pPr>
              <w:rPr>
                <w:rFonts w:ascii="宋体"/>
              </w:rPr>
            </w:pPr>
          </w:p>
        </w:tc>
        <w:tc>
          <w:tcPr>
            <w:tcW w:w="5" w:type="pct"/>
            <w:shd w:val="clear" w:color="auto" w:fill="auto"/>
            <w:vAlign w:val="bottom"/>
          </w:tcPr>
          <w:p w14:paraId="518B6891" w14:textId="77777777" w:rsidR="005C332D" w:rsidRDefault="005C332D">
            <w:pPr>
              <w:rPr>
                <w:rFonts w:ascii="宋体"/>
              </w:rPr>
            </w:pPr>
          </w:p>
        </w:tc>
        <w:tc>
          <w:tcPr>
            <w:tcW w:w="26" w:type="pct"/>
            <w:shd w:val="clear" w:color="auto" w:fill="auto"/>
            <w:vAlign w:val="bottom"/>
          </w:tcPr>
          <w:p w14:paraId="518B6892" w14:textId="77777777" w:rsidR="005C332D" w:rsidRDefault="005C332D">
            <w:pPr>
              <w:rPr>
                <w:rFonts w:ascii="宋体"/>
              </w:rPr>
            </w:pPr>
          </w:p>
        </w:tc>
        <w:tc>
          <w:tcPr>
            <w:tcW w:w="5" w:type="pct"/>
            <w:shd w:val="clear" w:color="auto" w:fill="auto"/>
            <w:vAlign w:val="bottom"/>
          </w:tcPr>
          <w:p w14:paraId="518B6893" w14:textId="77777777" w:rsidR="005C332D" w:rsidRDefault="005C332D">
            <w:pPr>
              <w:rPr>
                <w:rFonts w:ascii="宋体"/>
              </w:rPr>
            </w:pPr>
          </w:p>
        </w:tc>
        <w:tc>
          <w:tcPr>
            <w:tcW w:w="50" w:type="pct"/>
            <w:shd w:val="clear" w:color="auto" w:fill="auto"/>
            <w:vAlign w:val="bottom"/>
          </w:tcPr>
          <w:p w14:paraId="518B6894" w14:textId="77777777" w:rsidR="005C332D" w:rsidRDefault="005C332D">
            <w:pPr>
              <w:rPr>
                <w:rFonts w:ascii="宋体"/>
              </w:rPr>
            </w:pPr>
          </w:p>
        </w:tc>
        <w:tc>
          <w:tcPr>
            <w:tcW w:w="699" w:type="pct"/>
            <w:shd w:val="clear" w:color="auto" w:fill="auto"/>
            <w:vAlign w:val="bottom"/>
          </w:tcPr>
          <w:p w14:paraId="518B6895" w14:textId="77777777" w:rsidR="005C332D" w:rsidRDefault="005C332D">
            <w:pPr>
              <w:rPr>
                <w:rFonts w:ascii="宋体"/>
              </w:rPr>
            </w:pPr>
          </w:p>
        </w:tc>
        <w:tc>
          <w:tcPr>
            <w:tcW w:w="5" w:type="pct"/>
            <w:shd w:val="clear" w:color="auto" w:fill="auto"/>
            <w:vAlign w:val="bottom"/>
          </w:tcPr>
          <w:p w14:paraId="518B6896" w14:textId="77777777" w:rsidR="005C332D" w:rsidRDefault="005C332D">
            <w:pPr>
              <w:rPr>
                <w:rFonts w:ascii="宋体"/>
              </w:rPr>
            </w:pPr>
          </w:p>
        </w:tc>
      </w:tr>
      <w:tr w:rsidR="005C332D" w14:paraId="518B68A0" w14:textId="77777777">
        <w:tc>
          <w:tcPr>
            <w:tcW w:w="0" w:type="auto"/>
            <w:gridSpan w:val="3"/>
            <w:shd w:val="clear" w:color="auto" w:fill="auto"/>
            <w:tcMar>
              <w:top w:w="40" w:type="dxa"/>
              <w:left w:w="20" w:type="dxa"/>
              <w:bottom w:w="40" w:type="dxa"/>
              <w:right w:w="20" w:type="dxa"/>
            </w:tcMar>
            <w:vAlign w:val="bottom"/>
          </w:tcPr>
          <w:p w14:paraId="518B6898" w14:textId="77777777" w:rsidR="005C332D" w:rsidRDefault="00B93EAE">
            <w:pPr>
              <w:textAlignment w:val="bottom"/>
            </w:pPr>
            <w:r>
              <w:rPr>
                <w:rFonts w:ascii="Times New Roman" w:eastAsia="宋体" w:hAnsi="Times New Roman"/>
                <w:color w:val="000000"/>
                <w:sz w:val="16"/>
                <w:szCs w:val="16"/>
                <w:u w:val="single"/>
              </w:rPr>
              <w:t>July 31, 2021</w:t>
            </w:r>
          </w:p>
        </w:tc>
        <w:tc>
          <w:tcPr>
            <w:tcW w:w="0" w:type="auto"/>
            <w:gridSpan w:val="3"/>
            <w:shd w:val="clear" w:color="auto" w:fill="auto"/>
            <w:tcMar>
              <w:top w:w="40" w:type="dxa"/>
              <w:left w:w="20" w:type="dxa"/>
              <w:bottom w:w="40" w:type="dxa"/>
              <w:right w:w="20" w:type="dxa"/>
            </w:tcMar>
            <w:vAlign w:val="bottom"/>
          </w:tcPr>
          <w:p w14:paraId="518B6899" w14:textId="77777777" w:rsidR="005C332D" w:rsidRDefault="00B93EAE">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shd w:val="clear" w:color="auto" w:fill="auto"/>
            <w:tcMar>
              <w:top w:w="0" w:type="dxa"/>
              <w:left w:w="20" w:type="dxa"/>
              <w:bottom w:w="0" w:type="dxa"/>
              <w:right w:w="20" w:type="dxa"/>
            </w:tcMar>
            <w:vAlign w:val="bottom"/>
          </w:tcPr>
          <w:p w14:paraId="518B689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89B" w14:textId="77777777" w:rsidR="005C332D" w:rsidRDefault="00B93EAE">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shd w:val="clear" w:color="auto" w:fill="auto"/>
            <w:tcMar>
              <w:top w:w="0" w:type="dxa"/>
              <w:left w:w="20" w:type="dxa"/>
              <w:bottom w:w="0" w:type="dxa"/>
              <w:right w:w="20" w:type="dxa"/>
            </w:tcMar>
            <w:vAlign w:val="bottom"/>
          </w:tcPr>
          <w:p w14:paraId="518B689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89D" w14:textId="77777777" w:rsidR="005C332D" w:rsidRDefault="00B93EAE">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shd w:val="clear" w:color="auto" w:fill="auto"/>
            <w:tcMar>
              <w:top w:w="0" w:type="dxa"/>
              <w:left w:w="20" w:type="dxa"/>
              <w:bottom w:w="0" w:type="dxa"/>
              <w:right w:w="20" w:type="dxa"/>
            </w:tcMar>
            <w:vAlign w:val="bottom"/>
          </w:tcPr>
          <w:p w14:paraId="518B689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89F" w14:textId="77777777" w:rsidR="005C332D" w:rsidRDefault="00B93EAE">
            <w:pPr>
              <w:jc w:val="center"/>
              <w:textAlignment w:val="bottom"/>
            </w:pPr>
            <w:r>
              <w:rPr>
                <w:rFonts w:ascii="Times New Roman" w:eastAsia="宋体" w:hAnsi="Times New Roman"/>
                <w:color w:val="000000"/>
                <w:sz w:val="16"/>
                <w:szCs w:val="16"/>
              </w:rPr>
              <w:t>Total</w:t>
            </w:r>
          </w:p>
        </w:tc>
      </w:tr>
      <w:tr w:rsidR="005C332D" w14:paraId="518B68B1" w14:textId="77777777">
        <w:tc>
          <w:tcPr>
            <w:tcW w:w="0" w:type="auto"/>
            <w:gridSpan w:val="3"/>
            <w:shd w:val="clear" w:color="auto" w:fill="CCEEFF"/>
            <w:tcMar>
              <w:top w:w="40" w:type="dxa"/>
              <w:left w:w="20" w:type="dxa"/>
              <w:bottom w:w="40" w:type="dxa"/>
              <w:right w:w="20" w:type="dxa"/>
            </w:tcMar>
          </w:tcPr>
          <w:p w14:paraId="518B68A1" w14:textId="77777777" w:rsidR="005C332D" w:rsidRDefault="00B93EAE">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8A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A3" w14:textId="77777777" w:rsidR="005C332D" w:rsidRDefault="00B93EAE">
            <w:pPr>
              <w:jc w:val="right"/>
              <w:textAlignment w:val="bottom"/>
            </w:pPr>
            <w:r>
              <w:rPr>
                <w:rFonts w:ascii="Times New Roman" w:eastAsia="宋体" w:hAnsi="Times New Roman"/>
                <w:color w:val="000000"/>
                <w:sz w:val="20"/>
                <w:szCs w:val="20"/>
              </w:rPr>
              <w:t>1,710 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A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A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A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A7" w14:textId="77777777" w:rsidR="005C332D" w:rsidRDefault="00B93EAE">
            <w:pPr>
              <w:jc w:val="right"/>
              <w:textAlignment w:val="bottom"/>
            </w:pPr>
            <w:r>
              <w:rPr>
                <w:rFonts w:ascii="Times New Roman" w:eastAsia="宋体" w:hAnsi="Times New Roman"/>
                <w:color w:val="000000"/>
                <w:sz w:val="20"/>
                <w:szCs w:val="20"/>
              </w:rPr>
              <w:t>5,203 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A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A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A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AB" w14:textId="77777777" w:rsidR="005C332D" w:rsidRDefault="00B93EAE">
            <w:pPr>
              <w:jc w:val="right"/>
              <w:textAlignment w:val="bottom"/>
            </w:pPr>
            <w:r>
              <w:rPr>
                <w:rFonts w:ascii="Times New Roman" w:eastAsia="宋体" w:hAnsi="Times New Roman"/>
                <w:color w:val="000000"/>
                <w:sz w:val="20"/>
                <w:szCs w:val="20"/>
              </w:rPr>
              <w:t>2,453 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A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A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A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AF" w14:textId="77777777" w:rsidR="005C332D" w:rsidRDefault="00B93EAE">
            <w:pPr>
              <w:jc w:val="right"/>
              <w:textAlignment w:val="bottom"/>
            </w:pPr>
            <w:r>
              <w:rPr>
                <w:rFonts w:ascii="Times New Roman" w:eastAsia="宋体" w:hAnsi="Times New Roman"/>
                <w:color w:val="000000"/>
                <w:sz w:val="20"/>
                <w:szCs w:val="20"/>
              </w:rPr>
              <w:t>9,366 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B0" w14:textId="77777777" w:rsidR="005C332D" w:rsidRDefault="005C332D">
            <w:pPr>
              <w:jc w:val="right"/>
              <w:rPr>
                <w:rFonts w:ascii="宋体"/>
              </w:rPr>
            </w:pPr>
          </w:p>
        </w:tc>
      </w:tr>
      <w:tr w:rsidR="005C332D" w14:paraId="518B68BE" w14:textId="77777777">
        <w:tc>
          <w:tcPr>
            <w:tcW w:w="0" w:type="auto"/>
            <w:gridSpan w:val="3"/>
            <w:shd w:val="clear" w:color="auto" w:fill="FFFFFF"/>
            <w:tcMar>
              <w:top w:w="40" w:type="dxa"/>
              <w:left w:w="20" w:type="dxa"/>
              <w:bottom w:w="40" w:type="dxa"/>
              <w:right w:w="20" w:type="dxa"/>
            </w:tcMar>
          </w:tcPr>
          <w:p w14:paraId="518B68B2" w14:textId="77777777" w:rsidR="005C332D" w:rsidRDefault="00B93EAE">
            <w:pPr>
              <w:textAlignment w:val="top"/>
            </w:pPr>
            <w:r>
              <w:rPr>
                <w:rFonts w:ascii="Times New Roman" w:eastAsia="宋体" w:hAnsi="Times New Roman"/>
                <w:color w:val="000000"/>
                <w:sz w:val="20"/>
                <w:szCs w:val="20"/>
              </w:rPr>
              <w:t>Residual value</w:t>
            </w:r>
          </w:p>
        </w:tc>
        <w:tc>
          <w:tcPr>
            <w:tcW w:w="0" w:type="auto"/>
            <w:gridSpan w:val="2"/>
            <w:shd w:val="clear" w:color="auto" w:fill="FFFFFF"/>
            <w:tcMar>
              <w:top w:w="40" w:type="dxa"/>
              <w:left w:w="20" w:type="dxa"/>
              <w:bottom w:w="40" w:type="dxa"/>
              <w:right w:w="0" w:type="dxa"/>
            </w:tcMar>
            <w:vAlign w:val="bottom"/>
          </w:tcPr>
          <w:p w14:paraId="518B68B3" w14:textId="77777777" w:rsidR="005C332D" w:rsidRDefault="00B93EAE">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518B68B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8B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8B6"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8B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8B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8B9"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8B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8B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8BC" w14:textId="77777777" w:rsidR="005C332D" w:rsidRDefault="00B93EAE">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518B68BD" w14:textId="77777777" w:rsidR="005C332D" w:rsidRDefault="005C332D">
            <w:pPr>
              <w:jc w:val="right"/>
              <w:rPr>
                <w:rFonts w:ascii="宋体"/>
              </w:rPr>
            </w:pPr>
          </w:p>
        </w:tc>
      </w:tr>
      <w:tr w:rsidR="005C332D" w14:paraId="518B68CB" w14:textId="77777777">
        <w:tc>
          <w:tcPr>
            <w:tcW w:w="0" w:type="auto"/>
            <w:gridSpan w:val="3"/>
            <w:shd w:val="clear" w:color="auto" w:fill="CCEEFF"/>
            <w:tcMar>
              <w:top w:w="40" w:type="dxa"/>
              <w:left w:w="20" w:type="dxa"/>
              <w:bottom w:w="40" w:type="dxa"/>
              <w:right w:w="20" w:type="dxa"/>
            </w:tcMar>
          </w:tcPr>
          <w:p w14:paraId="518B68BF" w14:textId="77777777" w:rsidR="005C332D" w:rsidRDefault="00B93EAE">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518B68C0" w14:textId="77777777" w:rsidR="005C332D" w:rsidRDefault="00B93EAE">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518B68C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C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8C3"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8C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C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8C6"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8C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C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8C9" w14:textId="77777777" w:rsidR="005C332D" w:rsidRDefault="00B93EAE">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518B68CA" w14:textId="77777777" w:rsidR="005C332D" w:rsidRDefault="005C332D">
            <w:pPr>
              <w:jc w:val="right"/>
              <w:rPr>
                <w:rFonts w:ascii="宋体"/>
              </w:rPr>
            </w:pPr>
          </w:p>
        </w:tc>
      </w:tr>
      <w:tr w:rsidR="005C332D" w14:paraId="518B68D8" w14:textId="77777777">
        <w:tc>
          <w:tcPr>
            <w:tcW w:w="0" w:type="auto"/>
            <w:gridSpan w:val="3"/>
            <w:shd w:val="clear" w:color="auto" w:fill="FFFFFF"/>
            <w:tcMar>
              <w:top w:w="40" w:type="dxa"/>
              <w:left w:w="20" w:type="dxa"/>
              <w:bottom w:w="40" w:type="dxa"/>
              <w:right w:w="20" w:type="dxa"/>
            </w:tcMar>
          </w:tcPr>
          <w:p w14:paraId="518B68CC" w14:textId="77777777" w:rsidR="005C332D" w:rsidRDefault="00B93EAE">
            <w:pPr>
              <w:textAlignment w:val="top"/>
            </w:pPr>
            <w:r>
              <w:rPr>
                <w:rFonts w:ascii="Times New Roman" w:eastAsia="宋体" w:hAnsi="Times New Roman"/>
                <w:color w:val="000000"/>
                <w:sz w:val="20"/>
                <w:szCs w:val="20"/>
              </w:rPr>
              <w:t>Allowance for credit loss</w:t>
            </w:r>
          </w:p>
        </w:tc>
        <w:tc>
          <w:tcPr>
            <w:tcW w:w="0" w:type="auto"/>
            <w:gridSpan w:val="2"/>
            <w:shd w:val="clear" w:color="auto" w:fill="FFFFFF"/>
            <w:tcMar>
              <w:top w:w="40" w:type="dxa"/>
              <w:left w:w="20" w:type="dxa"/>
              <w:bottom w:w="40" w:type="dxa"/>
              <w:right w:w="0" w:type="dxa"/>
            </w:tcMar>
            <w:vAlign w:val="bottom"/>
          </w:tcPr>
          <w:p w14:paraId="518B68CD" w14:textId="77777777" w:rsidR="005C332D" w:rsidRDefault="00B93EAE">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518B68C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8C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8D0" w14:textId="77777777" w:rsidR="005C332D" w:rsidRDefault="00B93EAE">
            <w:pPr>
              <w:jc w:val="right"/>
              <w:textAlignment w:val="bottom"/>
            </w:pPr>
            <w:r>
              <w:rPr>
                <w:rFonts w:ascii="Times New Roman" w:eastAsia="宋体" w:hAnsi="Times New Roman"/>
                <w:color w:val="000000"/>
                <w:sz w:val="20"/>
                <w:szCs w:val="20"/>
              </w:rPr>
              <w:t>(86)</w:t>
            </w:r>
          </w:p>
        </w:tc>
        <w:tc>
          <w:tcPr>
            <w:tcW w:w="0" w:type="auto"/>
            <w:shd w:val="clear" w:color="auto" w:fill="FFFFFF"/>
            <w:tcMar>
              <w:top w:w="40" w:type="dxa"/>
              <w:left w:w="0" w:type="dxa"/>
              <w:bottom w:w="40" w:type="dxa"/>
              <w:right w:w="20" w:type="dxa"/>
            </w:tcMar>
            <w:vAlign w:val="bottom"/>
          </w:tcPr>
          <w:p w14:paraId="518B68D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8D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8D3" w14:textId="77777777" w:rsidR="005C332D" w:rsidRDefault="00B93EAE">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518B68D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8D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8D6" w14:textId="77777777" w:rsidR="005C332D" w:rsidRDefault="00B93EAE">
            <w:pPr>
              <w:jc w:val="right"/>
              <w:textAlignment w:val="bottom"/>
            </w:pPr>
            <w:r>
              <w:rPr>
                <w:rFonts w:ascii="Times New Roman" w:eastAsia="宋体" w:hAnsi="Times New Roman"/>
                <w:color w:val="000000"/>
                <w:sz w:val="20"/>
                <w:szCs w:val="20"/>
              </w:rPr>
              <w:t>(127)</w:t>
            </w:r>
          </w:p>
        </w:tc>
        <w:tc>
          <w:tcPr>
            <w:tcW w:w="0" w:type="auto"/>
            <w:shd w:val="clear" w:color="auto" w:fill="FFFFFF"/>
            <w:tcMar>
              <w:top w:w="40" w:type="dxa"/>
              <w:left w:w="0" w:type="dxa"/>
              <w:bottom w:w="40" w:type="dxa"/>
              <w:right w:w="20" w:type="dxa"/>
            </w:tcMar>
            <w:vAlign w:val="bottom"/>
          </w:tcPr>
          <w:p w14:paraId="518B68D7" w14:textId="77777777" w:rsidR="005C332D" w:rsidRDefault="005C332D">
            <w:pPr>
              <w:jc w:val="right"/>
              <w:rPr>
                <w:rFonts w:ascii="宋体"/>
              </w:rPr>
            </w:pPr>
          </w:p>
        </w:tc>
      </w:tr>
      <w:tr w:rsidR="005C332D" w14:paraId="518B68E9" w14:textId="77777777">
        <w:tc>
          <w:tcPr>
            <w:tcW w:w="0" w:type="auto"/>
            <w:gridSpan w:val="3"/>
            <w:shd w:val="clear" w:color="auto" w:fill="CCEEFF"/>
            <w:tcMar>
              <w:top w:w="40" w:type="dxa"/>
              <w:left w:w="740" w:type="dxa"/>
              <w:bottom w:w="40" w:type="dxa"/>
              <w:right w:w="20" w:type="dxa"/>
            </w:tcMar>
          </w:tcPr>
          <w:p w14:paraId="518B68D9" w14:textId="77777777" w:rsidR="005C332D" w:rsidRDefault="00B93EAE">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8D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DB" w14:textId="77777777" w:rsidR="005C332D" w:rsidRDefault="00B93EAE">
            <w:pPr>
              <w:jc w:val="right"/>
              <w:textAlignment w:val="bottom"/>
            </w:pPr>
            <w:r>
              <w:rPr>
                <w:rFonts w:ascii="Times New Roman" w:eastAsia="宋体" w:hAnsi="Times New Roman"/>
                <w:color w:val="000000"/>
                <w:sz w:val="20"/>
                <w:szCs w:val="20"/>
              </w:rPr>
              <w:t>1,697 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D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D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D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DF" w14:textId="77777777" w:rsidR="005C332D" w:rsidRDefault="00B93EAE">
            <w:pPr>
              <w:jc w:val="right"/>
              <w:textAlignment w:val="bottom"/>
            </w:pPr>
            <w:r>
              <w:rPr>
                <w:rFonts w:ascii="Times New Roman" w:eastAsia="宋体" w:hAnsi="Times New Roman"/>
                <w:color w:val="000000"/>
                <w:sz w:val="20"/>
                <w:szCs w:val="20"/>
              </w:rPr>
              <w:t>5,117 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E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E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E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E3" w14:textId="77777777" w:rsidR="005C332D" w:rsidRDefault="00B93EAE">
            <w:pPr>
              <w:jc w:val="right"/>
              <w:textAlignment w:val="bottom"/>
            </w:pPr>
            <w:r>
              <w:rPr>
                <w:rFonts w:ascii="Times New Roman" w:eastAsia="宋体" w:hAnsi="Times New Roman"/>
                <w:color w:val="000000"/>
                <w:sz w:val="20"/>
                <w:szCs w:val="20"/>
              </w:rPr>
              <w:t>2,450 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E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E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8E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8E7" w14:textId="77777777" w:rsidR="005C332D" w:rsidRDefault="00B93EAE">
            <w:pPr>
              <w:jc w:val="right"/>
              <w:textAlignment w:val="bottom"/>
            </w:pPr>
            <w:r>
              <w:rPr>
                <w:rFonts w:ascii="Times New Roman" w:eastAsia="宋体" w:hAnsi="Times New Roman"/>
                <w:color w:val="000000"/>
                <w:sz w:val="20"/>
                <w:szCs w:val="20"/>
              </w:rPr>
              <w:t>9,264 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8E8" w14:textId="77777777" w:rsidR="005C332D" w:rsidRDefault="005C332D">
            <w:pPr>
              <w:jc w:val="right"/>
              <w:rPr>
                <w:rFonts w:ascii="宋体"/>
              </w:rPr>
            </w:pPr>
          </w:p>
        </w:tc>
      </w:tr>
      <w:tr w:rsidR="005C332D" w14:paraId="518B68F2" w14:textId="77777777">
        <w:tc>
          <w:tcPr>
            <w:tcW w:w="0" w:type="auto"/>
            <w:gridSpan w:val="3"/>
            <w:shd w:val="clear" w:color="auto" w:fill="FFFFFF"/>
            <w:tcMar>
              <w:top w:w="40" w:type="dxa"/>
              <w:left w:w="20" w:type="dxa"/>
              <w:bottom w:w="40" w:type="dxa"/>
              <w:right w:w="20" w:type="dxa"/>
            </w:tcMar>
          </w:tcPr>
          <w:p w14:paraId="518B68EA" w14:textId="77777777" w:rsidR="005C332D" w:rsidRDefault="00B93EAE">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68E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8EC"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68E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8EE"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68E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8F0" w14:textId="77777777" w:rsidR="005C332D" w:rsidRDefault="005C332D">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518B68F1" w14:textId="77777777" w:rsidR="005C332D" w:rsidRDefault="005C332D">
            <w:pPr>
              <w:rPr>
                <w:rFonts w:ascii="宋体"/>
              </w:rPr>
            </w:pPr>
          </w:p>
        </w:tc>
      </w:tr>
      <w:tr w:rsidR="005C332D" w14:paraId="518B6903" w14:textId="77777777">
        <w:tc>
          <w:tcPr>
            <w:tcW w:w="0" w:type="auto"/>
            <w:gridSpan w:val="3"/>
            <w:shd w:val="clear" w:color="auto" w:fill="CCEEFF"/>
            <w:tcMar>
              <w:top w:w="40" w:type="dxa"/>
              <w:left w:w="380" w:type="dxa"/>
              <w:bottom w:w="40" w:type="dxa"/>
              <w:right w:w="20" w:type="dxa"/>
            </w:tcMar>
          </w:tcPr>
          <w:p w14:paraId="518B68F3" w14:textId="77777777" w:rsidR="005C332D" w:rsidRDefault="00B93EAE">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518B68F4"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8F5" w14:textId="77777777" w:rsidR="005C332D" w:rsidRDefault="00B93EAE">
            <w:pPr>
              <w:jc w:val="right"/>
              <w:textAlignment w:val="bottom"/>
            </w:pPr>
            <w:r>
              <w:rPr>
                <w:rFonts w:ascii="Times New Roman" w:eastAsia="宋体" w:hAnsi="Times New Roman"/>
                <w:color w:val="000000"/>
                <w:sz w:val="20"/>
                <w:szCs w:val="20"/>
              </w:rPr>
              <w:t>780 </w:t>
            </w:r>
          </w:p>
        </w:tc>
        <w:tc>
          <w:tcPr>
            <w:tcW w:w="0" w:type="auto"/>
            <w:shd w:val="clear" w:color="auto" w:fill="CCEEFF"/>
            <w:tcMar>
              <w:top w:w="40" w:type="dxa"/>
              <w:left w:w="0" w:type="dxa"/>
              <w:bottom w:w="40" w:type="dxa"/>
              <w:right w:w="20" w:type="dxa"/>
            </w:tcMar>
            <w:vAlign w:val="bottom"/>
          </w:tcPr>
          <w:p w14:paraId="518B68F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F7"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8F8"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8F9" w14:textId="77777777" w:rsidR="005C332D" w:rsidRDefault="00B93EAE">
            <w:pPr>
              <w:jc w:val="right"/>
              <w:textAlignment w:val="bottom"/>
            </w:pPr>
            <w:r>
              <w:rPr>
                <w:rFonts w:ascii="Times New Roman" w:eastAsia="宋体" w:hAnsi="Times New Roman"/>
                <w:color w:val="000000"/>
                <w:sz w:val="20"/>
                <w:szCs w:val="20"/>
              </w:rPr>
              <w:t>2,372 </w:t>
            </w:r>
          </w:p>
        </w:tc>
        <w:tc>
          <w:tcPr>
            <w:tcW w:w="0" w:type="auto"/>
            <w:shd w:val="clear" w:color="auto" w:fill="CCEEFF"/>
            <w:tcMar>
              <w:top w:w="40" w:type="dxa"/>
              <w:left w:w="0" w:type="dxa"/>
              <w:bottom w:w="40" w:type="dxa"/>
              <w:right w:w="20" w:type="dxa"/>
            </w:tcMar>
            <w:vAlign w:val="bottom"/>
          </w:tcPr>
          <w:p w14:paraId="518B68F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FB"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8FC"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8FD" w14:textId="77777777" w:rsidR="005C332D" w:rsidRDefault="00B93EAE">
            <w:pPr>
              <w:jc w:val="right"/>
              <w:textAlignment w:val="bottom"/>
            </w:pPr>
            <w:r>
              <w:rPr>
                <w:rFonts w:ascii="Times New Roman" w:eastAsia="宋体" w:hAnsi="Times New Roman"/>
                <w:color w:val="000000"/>
                <w:sz w:val="20"/>
                <w:szCs w:val="20"/>
              </w:rPr>
              <w:t>1,228 </w:t>
            </w:r>
          </w:p>
        </w:tc>
        <w:tc>
          <w:tcPr>
            <w:tcW w:w="0" w:type="auto"/>
            <w:shd w:val="clear" w:color="auto" w:fill="CCEEFF"/>
            <w:tcMar>
              <w:top w:w="40" w:type="dxa"/>
              <w:left w:w="0" w:type="dxa"/>
              <w:bottom w:w="40" w:type="dxa"/>
              <w:right w:w="20" w:type="dxa"/>
            </w:tcMar>
            <w:vAlign w:val="bottom"/>
          </w:tcPr>
          <w:p w14:paraId="518B68F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8FF"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900"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901" w14:textId="77777777" w:rsidR="005C332D" w:rsidRDefault="00B93EAE">
            <w:pPr>
              <w:jc w:val="right"/>
              <w:textAlignment w:val="bottom"/>
            </w:pPr>
            <w:r>
              <w:rPr>
                <w:rFonts w:ascii="Times New Roman" w:eastAsia="宋体" w:hAnsi="Times New Roman"/>
                <w:color w:val="000000"/>
                <w:sz w:val="20"/>
                <w:szCs w:val="20"/>
              </w:rPr>
              <w:t>4,380 </w:t>
            </w:r>
          </w:p>
        </w:tc>
        <w:tc>
          <w:tcPr>
            <w:tcW w:w="0" w:type="auto"/>
            <w:shd w:val="clear" w:color="auto" w:fill="CCEEFF"/>
            <w:tcMar>
              <w:top w:w="40" w:type="dxa"/>
              <w:left w:w="0" w:type="dxa"/>
              <w:bottom w:w="40" w:type="dxa"/>
              <w:right w:w="20" w:type="dxa"/>
            </w:tcMar>
            <w:vAlign w:val="bottom"/>
          </w:tcPr>
          <w:p w14:paraId="518B6902" w14:textId="77777777" w:rsidR="005C332D" w:rsidRDefault="005C332D">
            <w:pPr>
              <w:jc w:val="right"/>
              <w:rPr>
                <w:rFonts w:ascii="宋体"/>
              </w:rPr>
            </w:pPr>
          </w:p>
        </w:tc>
      </w:tr>
      <w:tr w:rsidR="005C332D" w14:paraId="518B6910" w14:textId="77777777">
        <w:tc>
          <w:tcPr>
            <w:tcW w:w="0" w:type="auto"/>
            <w:gridSpan w:val="3"/>
            <w:shd w:val="clear" w:color="auto" w:fill="FFFFFF"/>
            <w:tcMar>
              <w:top w:w="40" w:type="dxa"/>
              <w:left w:w="380" w:type="dxa"/>
              <w:bottom w:w="40" w:type="dxa"/>
              <w:right w:w="20" w:type="dxa"/>
            </w:tcMar>
          </w:tcPr>
          <w:p w14:paraId="518B6904" w14:textId="77777777" w:rsidR="005C332D" w:rsidRDefault="00B93EAE">
            <w:pPr>
              <w:textAlignment w:val="top"/>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518B6905" w14:textId="77777777" w:rsidR="005C332D" w:rsidRDefault="00B93EAE">
            <w:pPr>
              <w:jc w:val="right"/>
              <w:textAlignment w:val="bottom"/>
            </w:pPr>
            <w:r>
              <w:rPr>
                <w:rFonts w:ascii="Times New Roman" w:eastAsia="宋体" w:hAnsi="Times New Roman"/>
                <w:color w:val="000000"/>
                <w:sz w:val="20"/>
                <w:szCs w:val="20"/>
              </w:rPr>
              <w:t>917 </w:t>
            </w:r>
          </w:p>
        </w:tc>
        <w:tc>
          <w:tcPr>
            <w:tcW w:w="0" w:type="auto"/>
            <w:shd w:val="clear" w:color="auto" w:fill="FFFFFF"/>
            <w:tcMar>
              <w:top w:w="40" w:type="dxa"/>
              <w:left w:w="0" w:type="dxa"/>
              <w:bottom w:w="40" w:type="dxa"/>
              <w:right w:w="20" w:type="dxa"/>
            </w:tcMar>
            <w:vAlign w:val="bottom"/>
          </w:tcPr>
          <w:p w14:paraId="518B690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0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908" w14:textId="77777777" w:rsidR="005C332D" w:rsidRDefault="00B93EAE">
            <w:pPr>
              <w:jc w:val="right"/>
              <w:textAlignment w:val="bottom"/>
            </w:pPr>
            <w:r>
              <w:rPr>
                <w:rFonts w:ascii="Times New Roman" w:eastAsia="宋体" w:hAnsi="Times New Roman"/>
                <w:color w:val="000000"/>
                <w:sz w:val="20"/>
                <w:szCs w:val="20"/>
              </w:rPr>
              <w:t>2,745 </w:t>
            </w:r>
          </w:p>
        </w:tc>
        <w:tc>
          <w:tcPr>
            <w:tcW w:w="0" w:type="auto"/>
            <w:shd w:val="clear" w:color="auto" w:fill="FFFFFF"/>
            <w:tcMar>
              <w:top w:w="40" w:type="dxa"/>
              <w:left w:w="0" w:type="dxa"/>
              <w:bottom w:w="40" w:type="dxa"/>
              <w:right w:w="20" w:type="dxa"/>
            </w:tcMar>
            <w:vAlign w:val="bottom"/>
          </w:tcPr>
          <w:p w14:paraId="518B690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0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90B" w14:textId="77777777" w:rsidR="005C332D" w:rsidRDefault="00B93EAE">
            <w:pPr>
              <w:jc w:val="right"/>
              <w:textAlignment w:val="bottom"/>
            </w:pPr>
            <w:r>
              <w:rPr>
                <w:rFonts w:ascii="Times New Roman" w:eastAsia="宋体" w:hAnsi="Times New Roman"/>
                <w:color w:val="000000"/>
                <w:sz w:val="20"/>
                <w:szCs w:val="20"/>
              </w:rPr>
              <w:t>1,222 </w:t>
            </w:r>
          </w:p>
        </w:tc>
        <w:tc>
          <w:tcPr>
            <w:tcW w:w="0" w:type="auto"/>
            <w:shd w:val="clear" w:color="auto" w:fill="FFFFFF"/>
            <w:tcMar>
              <w:top w:w="40" w:type="dxa"/>
              <w:left w:w="0" w:type="dxa"/>
              <w:bottom w:w="40" w:type="dxa"/>
              <w:right w:w="20" w:type="dxa"/>
            </w:tcMar>
            <w:vAlign w:val="bottom"/>
          </w:tcPr>
          <w:p w14:paraId="518B690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0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90E" w14:textId="77777777" w:rsidR="005C332D" w:rsidRDefault="00B93EAE">
            <w:pPr>
              <w:jc w:val="right"/>
              <w:textAlignment w:val="bottom"/>
            </w:pPr>
            <w:r>
              <w:rPr>
                <w:rFonts w:ascii="Times New Roman" w:eastAsia="宋体" w:hAnsi="Times New Roman"/>
                <w:color w:val="000000"/>
                <w:sz w:val="20"/>
                <w:szCs w:val="20"/>
              </w:rPr>
              <w:t>4,884 </w:t>
            </w:r>
          </w:p>
        </w:tc>
        <w:tc>
          <w:tcPr>
            <w:tcW w:w="0" w:type="auto"/>
            <w:shd w:val="clear" w:color="auto" w:fill="FFFFFF"/>
            <w:tcMar>
              <w:top w:w="40" w:type="dxa"/>
              <w:left w:w="0" w:type="dxa"/>
              <w:bottom w:w="40" w:type="dxa"/>
              <w:right w:w="20" w:type="dxa"/>
            </w:tcMar>
            <w:vAlign w:val="bottom"/>
          </w:tcPr>
          <w:p w14:paraId="518B690F" w14:textId="77777777" w:rsidR="005C332D" w:rsidRDefault="005C332D">
            <w:pPr>
              <w:jc w:val="right"/>
              <w:rPr>
                <w:rFonts w:ascii="宋体"/>
              </w:rPr>
            </w:pPr>
          </w:p>
        </w:tc>
      </w:tr>
      <w:tr w:rsidR="005C332D" w14:paraId="518B6921" w14:textId="77777777">
        <w:tc>
          <w:tcPr>
            <w:tcW w:w="0" w:type="auto"/>
            <w:gridSpan w:val="3"/>
            <w:shd w:val="clear" w:color="auto" w:fill="CCEEFF"/>
            <w:tcMar>
              <w:top w:w="40" w:type="dxa"/>
              <w:left w:w="740" w:type="dxa"/>
              <w:bottom w:w="40" w:type="dxa"/>
              <w:right w:w="20" w:type="dxa"/>
            </w:tcMar>
          </w:tcPr>
          <w:p w14:paraId="518B6911" w14:textId="77777777" w:rsidR="005C332D" w:rsidRDefault="00B93EAE">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91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913" w14:textId="77777777" w:rsidR="005C332D" w:rsidRDefault="00B93EAE">
            <w:pPr>
              <w:jc w:val="right"/>
              <w:textAlignment w:val="bottom"/>
            </w:pPr>
            <w:r>
              <w:rPr>
                <w:rFonts w:ascii="Times New Roman" w:eastAsia="宋体" w:hAnsi="Times New Roman"/>
                <w:color w:val="000000"/>
                <w:sz w:val="20"/>
                <w:szCs w:val="20"/>
              </w:rPr>
              <w:t>1,697 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91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15"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91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917" w14:textId="77777777" w:rsidR="005C332D" w:rsidRDefault="00B93EAE">
            <w:pPr>
              <w:jc w:val="right"/>
              <w:textAlignment w:val="bottom"/>
            </w:pPr>
            <w:r>
              <w:rPr>
                <w:rFonts w:ascii="Times New Roman" w:eastAsia="宋体" w:hAnsi="Times New Roman"/>
                <w:color w:val="000000"/>
                <w:sz w:val="20"/>
                <w:szCs w:val="20"/>
              </w:rPr>
              <w:t>5,117 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91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19"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91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91B" w14:textId="77777777" w:rsidR="005C332D" w:rsidRDefault="00B93EAE">
            <w:pPr>
              <w:jc w:val="right"/>
              <w:textAlignment w:val="bottom"/>
            </w:pPr>
            <w:r>
              <w:rPr>
                <w:rFonts w:ascii="Times New Roman" w:eastAsia="宋体" w:hAnsi="Times New Roman"/>
                <w:color w:val="000000"/>
                <w:sz w:val="20"/>
                <w:szCs w:val="20"/>
              </w:rPr>
              <w:t>2,450 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91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1D"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91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91F" w14:textId="77777777" w:rsidR="005C332D" w:rsidRDefault="00B93EAE">
            <w:pPr>
              <w:jc w:val="right"/>
              <w:textAlignment w:val="bottom"/>
            </w:pPr>
            <w:r>
              <w:rPr>
                <w:rFonts w:ascii="Times New Roman" w:eastAsia="宋体" w:hAnsi="Times New Roman"/>
                <w:color w:val="000000"/>
                <w:sz w:val="20"/>
                <w:szCs w:val="20"/>
              </w:rPr>
              <w:t>9,264 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920" w14:textId="77777777" w:rsidR="005C332D" w:rsidRDefault="005C332D">
            <w:pPr>
              <w:jc w:val="right"/>
              <w:rPr>
                <w:rFonts w:ascii="宋体"/>
              </w:rPr>
            </w:pPr>
          </w:p>
        </w:tc>
      </w:tr>
    </w:tbl>
    <w:p w14:paraId="518B6922" w14:textId="77777777" w:rsidR="005C332D" w:rsidRDefault="00B93EAE">
      <w:pPr>
        <w:spacing w:before="120"/>
        <w:ind w:hanging="360"/>
      </w:pPr>
      <w:r>
        <w:rPr>
          <w:rFonts w:ascii="Times New Roman" w:eastAsia="宋体" w:hAnsi="Times New Roman"/>
          <w:b/>
          <w:bCs/>
          <w:color w:val="000000"/>
          <w:sz w:val="20"/>
          <w:szCs w:val="20"/>
        </w:rPr>
        <w:t xml:space="preserve">(b)Credit Quality of </w:t>
      </w:r>
      <w:r>
        <w:rPr>
          <w:rFonts w:ascii="Times New Roman" w:eastAsia="宋体" w:hAnsi="Times New Roman"/>
          <w:b/>
          <w:bCs/>
          <w:color w:val="000000"/>
          <w:sz w:val="20"/>
          <w:szCs w:val="20"/>
        </w:rPr>
        <w:t>Financing Receivables</w:t>
      </w:r>
    </w:p>
    <w:p w14:paraId="518B6923" w14:textId="77777777" w:rsidR="005C332D" w:rsidRDefault="00B93EAE">
      <w:pPr>
        <w:spacing w:before="120"/>
      </w:pPr>
      <w:r>
        <w:rPr>
          <w:rFonts w:ascii="Times New Roman" w:eastAsia="宋体" w:hAnsi="Times New Roman"/>
          <w:color w:val="000000"/>
          <w:sz w:val="20"/>
          <w:szCs w:val="20"/>
        </w:rPr>
        <w:t>The tables below present our gross financing receivables, excluding residual value, less unearned income, categorized by our internal credit risk rating by period of origination (in millions):</w:t>
      </w:r>
    </w:p>
    <w:tbl>
      <w:tblPr>
        <w:tblW w:w="5000" w:type="pct"/>
        <w:tblCellMar>
          <w:top w:w="15" w:type="dxa"/>
          <w:left w:w="15" w:type="dxa"/>
          <w:bottom w:w="15" w:type="dxa"/>
          <w:right w:w="15" w:type="dxa"/>
        </w:tblCellMar>
        <w:tblLook w:val="04A0" w:firstRow="1" w:lastRow="0" w:firstColumn="1" w:lastColumn="0" w:noHBand="0" w:noVBand="1"/>
      </w:tblPr>
      <w:tblGrid>
        <w:gridCol w:w="43"/>
        <w:gridCol w:w="2785"/>
        <w:gridCol w:w="39"/>
        <w:gridCol w:w="121"/>
        <w:gridCol w:w="496"/>
        <w:gridCol w:w="36"/>
        <w:gridCol w:w="36"/>
        <w:gridCol w:w="36"/>
        <w:gridCol w:w="36"/>
        <w:gridCol w:w="120"/>
        <w:gridCol w:w="530"/>
        <w:gridCol w:w="36"/>
        <w:gridCol w:w="36"/>
        <w:gridCol w:w="36"/>
        <w:gridCol w:w="36"/>
        <w:gridCol w:w="120"/>
        <w:gridCol w:w="530"/>
        <w:gridCol w:w="36"/>
        <w:gridCol w:w="36"/>
        <w:gridCol w:w="36"/>
        <w:gridCol w:w="36"/>
        <w:gridCol w:w="120"/>
        <w:gridCol w:w="530"/>
        <w:gridCol w:w="36"/>
        <w:gridCol w:w="36"/>
        <w:gridCol w:w="36"/>
        <w:gridCol w:w="36"/>
        <w:gridCol w:w="120"/>
        <w:gridCol w:w="581"/>
        <w:gridCol w:w="36"/>
        <w:gridCol w:w="36"/>
        <w:gridCol w:w="36"/>
        <w:gridCol w:w="36"/>
        <w:gridCol w:w="120"/>
        <w:gridCol w:w="530"/>
        <w:gridCol w:w="36"/>
        <w:gridCol w:w="36"/>
        <w:gridCol w:w="36"/>
        <w:gridCol w:w="36"/>
        <w:gridCol w:w="120"/>
        <w:gridCol w:w="531"/>
        <w:gridCol w:w="36"/>
      </w:tblGrid>
      <w:tr w:rsidR="005C332D" w14:paraId="518B694E" w14:textId="77777777">
        <w:tc>
          <w:tcPr>
            <w:tcW w:w="50" w:type="pct"/>
            <w:shd w:val="clear" w:color="auto" w:fill="auto"/>
            <w:vAlign w:val="bottom"/>
          </w:tcPr>
          <w:p w14:paraId="518B6924" w14:textId="77777777" w:rsidR="005C332D" w:rsidRDefault="005C332D">
            <w:pPr>
              <w:rPr>
                <w:rFonts w:ascii="宋体"/>
              </w:rPr>
            </w:pPr>
          </w:p>
        </w:tc>
        <w:tc>
          <w:tcPr>
            <w:tcW w:w="1714" w:type="pct"/>
            <w:shd w:val="clear" w:color="auto" w:fill="auto"/>
            <w:vAlign w:val="bottom"/>
          </w:tcPr>
          <w:p w14:paraId="518B6925" w14:textId="77777777" w:rsidR="005C332D" w:rsidRDefault="005C332D">
            <w:pPr>
              <w:rPr>
                <w:rFonts w:ascii="宋体"/>
              </w:rPr>
            </w:pPr>
          </w:p>
        </w:tc>
        <w:tc>
          <w:tcPr>
            <w:tcW w:w="5" w:type="pct"/>
            <w:shd w:val="clear" w:color="auto" w:fill="auto"/>
            <w:vAlign w:val="bottom"/>
          </w:tcPr>
          <w:p w14:paraId="518B6926" w14:textId="77777777" w:rsidR="005C332D" w:rsidRDefault="005C332D">
            <w:pPr>
              <w:rPr>
                <w:rFonts w:ascii="宋体"/>
              </w:rPr>
            </w:pPr>
          </w:p>
        </w:tc>
        <w:tc>
          <w:tcPr>
            <w:tcW w:w="50" w:type="pct"/>
            <w:shd w:val="clear" w:color="auto" w:fill="auto"/>
            <w:vAlign w:val="bottom"/>
          </w:tcPr>
          <w:p w14:paraId="518B6927" w14:textId="77777777" w:rsidR="005C332D" w:rsidRDefault="005C332D">
            <w:pPr>
              <w:rPr>
                <w:rFonts w:ascii="宋体"/>
              </w:rPr>
            </w:pPr>
          </w:p>
        </w:tc>
        <w:tc>
          <w:tcPr>
            <w:tcW w:w="332" w:type="pct"/>
            <w:shd w:val="clear" w:color="auto" w:fill="auto"/>
            <w:vAlign w:val="bottom"/>
          </w:tcPr>
          <w:p w14:paraId="518B6928" w14:textId="77777777" w:rsidR="005C332D" w:rsidRDefault="005C332D">
            <w:pPr>
              <w:rPr>
                <w:rFonts w:ascii="宋体"/>
              </w:rPr>
            </w:pPr>
          </w:p>
        </w:tc>
        <w:tc>
          <w:tcPr>
            <w:tcW w:w="5" w:type="pct"/>
            <w:shd w:val="clear" w:color="auto" w:fill="auto"/>
            <w:vAlign w:val="bottom"/>
          </w:tcPr>
          <w:p w14:paraId="518B6929" w14:textId="77777777" w:rsidR="005C332D" w:rsidRDefault="005C332D">
            <w:pPr>
              <w:rPr>
                <w:rFonts w:ascii="宋体"/>
              </w:rPr>
            </w:pPr>
          </w:p>
        </w:tc>
        <w:tc>
          <w:tcPr>
            <w:tcW w:w="5" w:type="pct"/>
            <w:shd w:val="clear" w:color="auto" w:fill="auto"/>
            <w:vAlign w:val="bottom"/>
          </w:tcPr>
          <w:p w14:paraId="518B692A" w14:textId="77777777" w:rsidR="005C332D" w:rsidRDefault="005C332D">
            <w:pPr>
              <w:rPr>
                <w:rFonts w:ascii="宋体"/>
              </w:rPr>
            </w:pPr>
          </w:p>
        </w:tc>
        <w:tc>
          <w:tcPr>
            <w:tcW w:w="26" w:type="pct"/>
            <w:shd w:val="clear" w:color="auto" w:fill="auto"/>
            <w:vAlign w:val="bottom"/>
          </w:tcPr>
          <w:p w14:paraId="518B692B" w14:textId="77777777" w:rsidR="005C332D" w:rsidRDefault="005C332D">
            <w:pPr>
              <w:rPr>
                <w:rFonts w:ascii="宋体"/>
              </w:rPr>
            </w:pPr>
          </w:p>
        </w:tc>
        <w:tc>
          <w:tcPr>
            <w:tcW w:w="5" w:type="pct"/>
            <w:shd w:val="clear" w:color="auto" w:fill="auto"/>
            <w:vAlign w:val="bottom"/>
          </w:tcPr>
          <w:p w14:paraId="518B692C" w14:textId="77777777" w:rsidR="005C332D" w:rsidRDefault="005C332D">
            <w:pPr>
              <w:rPr>
                <w:rFonts w:ascii="宋体"/>
              </w:rPr>
            </w:pPr>
          </w:p>
        </w:tc>
        <w:tc>
          <w:tcPr>
            <w:tcW w:w="50" w:type="pct"/>
            <w:shd w:val="clear" w:color="auto" w:fill="auto"/>
            <w:vAlign w:val="bottom"/>
          </w:tcPr>
          <w:p w14:paraId="518B692D" w14:textId="77777777" w:rsidR="005C332D" w:rsidRDefault="005C332D">
            <w:pPr>
              <w:rPr>
                <w:rFonts w:ascii="宋体"/>
              </w:rPr>
            </w:pPr>
          </w:p>
        </w:tc>
        <w:tc>
          <w:tcPr>
            <w:tcW w:w="383" w:type="pct"/>
            <w:shd w:val="clear" w:color="auto" w:fill="auto"/>
            <w:vAlign w:val="bottom"/>
          </w:tcPr>
          <w:p w14:paraId="518B692E" w14:textId="77777777" w:rsidR="005C332D" w:rsidRDefault="005C332D">
            <w:pPr>
              <w:rPr>
                <w:rFonts w:ascii="宋体"/>
              </w:rPr>
            </w:pPr>
          </w:p>
        </w:tc>
        <w:tc>
          <w:tcPr>
            <w:tcW w:w="5" w:type="pct"/>
            <w:shd w:val="clear" w:color="auto" w:fill="auto"/>
            <w:vAlign w:val="bottom"/>
          </w:tcPr>
          <w:p w14:paraId="518B692F" w14:textId="77777777" w:rsidR="005C332D" w:rsidRDefault="005C332D">
            <w:pPr>
              <w:rPr>
                <w:rFonts w:ascii="宋体"/>
              </w:rPr>
            </w:pPr>
          </w:p>
        </w:tc>
        <w:tc>
          <w:tcPr>
            <w:tcW w:w="5" w:type="pct"/>
            <w:shd w:val="clear" w:color="auto" w:fill="auto"/>
            <w:vAlign w:val="bottom"/>
          </w:tcPr>
          <w:p w14:paraId="518B6930" w14:textId="77777777" w:rsidR="005C332D" w:rsidRDefault="005C332D">
            <w:pPr>
              <w:rPr>
                <w:rFonts w:ascii="宋体"/>
              </w:rPr>
            </w:pPr>
          </w:p>
        </w:tc>
        <w:tc>
          <w:tcPr>
            <w:tcW w:w="26" w:type="pct"/>
            <w:shd w:val="clear" w:color="auto" w:fill="auto"/>
            <w:vAlign w:val="bottom"/>
          </w:tcPr>
          <w:p w14:paraId="518B6931" w14:textId="77777777" w:rsidR="005C332D" w:rsidRDefault="005C332D">
            <w:pPr>
              <w:rPr>
                <w:rFonts w:ascii="宋体"/>
              </w:rPr>
            </w:pPr>
          </w:p>
        </w:tc>
        <w:tc>
          <w:tcPr>
            <w:tcW w:w="5" w:type="pct"/>
            <w:shd w:val="clear" w:color="auto" w:fill="auto"/>
            <w:vAlign w:val="bottom"/>
          </w:tcPr>
          <w:p w14:paraId="518B6932" w14:textId="77777777" w:rsidR="005C332D" w:rsidRDefault="005C332D">
            <w:pPr>
              <w:rPr>
                <w:rFonts w:ascii="宋体"/>
              </w:rPr>
            </w:pPr>
          </w:p>
        </w:tc>
        <w:tc>
          <w:tcPr>
            <w:tcW w:w="50" w:type="pct"/>
            <w:shd w:val="clear" w:color="auto" w:fill="auto"/>
            <w:vAlign w:val="bottom"/>
          </w:tcPr>
          <w:p w14:paraId="518B6933" w14:textId="77777777" w:rsidR="005C332D" w:rsidRDefault="005C332D">
            <w:pPr>
              <w:rPr>
                <w:rFonts w:ascii="宋体"/>
              </w:rPr>
            </w:pPr>
          </w:p>
        </w:tc>
        <w:tc>
          <w:tcPr>
            <w:tcW w:w="383" w:type="pct"/>
            <w:shd w:val="clear" w:color="auto" w:fill="auto"/>
            <w:vAlign w:val="bottom"/>
          </w:tcPr>
          <w:p w14:paraId="518B6934" w14:textId="77777777" w:rsidR="005C332D" w:rsidRDefault="005C332D">
            <w:pPr>
              <w:rPr>
                <w:rFonts w:ascii="宋体"/>
              </w:rPr>
            </w:pPr>
          </w:p>
        </w:tc>
        <w:tc>
          <w:tcPr>
            <w:tcW w:w="5" w:type="pct"/>
            <w:shd w:val="clear" w:color="auto" w:fill="auto"/>
            <w:vAlign w:val="bottom"/>
          </w:tcPr>
          <w:p w14:paraId="518B6935" w14:textId="77777777" w:rsidR="005C332D" w:rsidRDefault="005C332D">
            <w:pPr>
              <w:rPr>
                <w:rFonts w:ascii="宋体"/>
              </w:rPr>
            </w:pPr>
          </w:p>
        </w:tc>
        <w:tc>
          <w:tcPr>
            <w:tcW w:w="5" w:type="pct"/>
            <w:shd w:val="clear" w:color="auto" w:fill="auto"/>
            <w:vAlign w:val="bottom"/>
          </w:tcPr>
          <w:p w14:paraId="518B6936" w14:textId="77777777" w:rsidR="005C332D" w:rsidRDefault="005C332D">
            <w:pPr>
              <w:rPr>
                <w:rFonts w:ascii="宋体"/>
              </w:rPr>
            </w:pPr>
          </w:p>
        </w:tc>
        <w:tc>
          <w:tcPr>
            <w:tcW w:w="26" w:type="pct"/>
            <w:shd w:val="clear" w:color="auto" w:fill="auto"/>
            <w:vAlign w:val="bottom"/>
          </w:tcPr>
          <w:p w14:paraId="518B6937" w14:textId="77777777" w:rsidR="005C332D" w:rsidRDefault="005C332D">
            <w:pPr>
              <w:rPr>
                <w:rFonts w:ascii="宋体"/>
              </w:rPr>
            </w:pPr>
          </w:p>
        </w:tc>
        <w:tc>
          <w:tcPr>
            <w:tcW w:w="5" w:type="pct"/>
            <w:shd w:val="clear" w:color="auto" w:fill="auto"/>
            <w:vAlign w:val="bottom"/>
          </w:tcPr>
          <w:p w14:paraId="518B6938" w14:textId="77777777" w:rsidR="005C332D" w:rsidRDefault="005C332D">
            <w:pPr>
              <w:rPr>
                <w:rFonts w:ascii="宋体"/>
              </w:rPr>
            </w:pPr>
          </w:p>
        </w:tc>
        <w:tc>
          <w:tcPr>
            <w:tcW w:w="50" w:type="pct"/>
            <w:shd w:val="clear" w:color="auto" w:fill="auto"/>
            <w:vAlign w:val="bottom"/>
          </w:tcPr>
          <w:p w14:paraId="518B6939" w14:textId="77777777" w:rsidR="005C332D" w:rsidRDefault="005C332D">
            <w:pPr>
              <w:rPr>
                <w:rFonts w:ascii="宋体"/>
              </w:rPr>
            </w:pPr>
          </w:p>
        </w:tc>
        <w:tc>
          <w:tcPr>
            <w:tcW w:w="383" w:type="pct"/>
            <w:shd w:val="clear" w:color="auto" w:fill="auto"/>
            <w:vAlign w:val="bottom"/>
          </w:tcPr>
          <w:p w14:paraId="518B693A" w14:textId="77777777" w:rsidR="005C332D" w:rsidRDefault="005C332D">
            <w:pPr>
              <w:rPr>
                <w:rFonts w:ascii="宋体"/>
              </w:rPr>
            </w:pPr>
          </w:p>
        </w:tc>
        <w:tc>
          <w:tcPr>
            <w:tcW w:w="5" w:type="pct"/>
            <w:shd w:val="clear" w:color="auto" w:fill="auto"/>
            <w:vAlign w:val="bottom"/>
          </w:tcPr>
          <w:p w14:paraId="518B693B" w14:textId="77777777" w:rsidR="005C332D" w:rsidRDefault="005C332D">
            <w:pPr>
              <w:rPr>
                <w:rFonts w:ascii="宋体"/>
              </w:rPr>
            </w:pPr>
          </w:p>
        </w:tc>
        <w:tc>
          <w:tcPr>
            <w:tcW w:w="5" w:type="pct"/>
            <w:shd w:val="clear" w:color="auto" w:fill="auto"/>
            <w:vAlign w:val="bottom"/>
          </w:tcPr>
          <w:p w14:paraId="518B693C" w14:textId="77777777" w:rsidR="005C332D" w:rsidRDefault="005C332D">
            <w:pPr>
              <w:rPr>
                <w:rFonts w:ascii="宋体"/>
              </w:rPr>
            </w:pPr>
          </w:p>
        </w:tc>
        <w:tc>
          <w:tcPr>
            <w:tcW w:w="19" w:type="pct"/>
            <w:shd w:val="clear" w:color="auto" w:fill="auto"/>
            <w:vAlign w:val="bottom"/>
          </w:tcPr>
          <w:p w14:paraId="518B693D" w14:textId="77777777" w:rsidR="005C332D" w:rsidRDefault="005C332D">
            <w:pPr>
              <w:rPr>
                <w:rFonts w:ascii="宋体"/>
              </w:rPr>
            </w:pPr>
          </w:p>
        </w:tc>
        <w:tc>
          <w:tcPr>
            <w:tcW w:w="5" w:type="pct"/>
            <w:shd w:val="clear" w:color="auto" w:fill="auto"/>
            <w:vAlign w:val="bottom"/>
          </w:tcPr>
          <w:p w14:paraId="518B693E" w14:textId="77777777" w:rsidR="005C332D" w:rsidRDefault="005C332D">
            <w:pPr>
              <w:rPr>
                <w:rFonts w:ascii="宋体"/>
              </w:rPr>
            </w:pPr>
          </w:p>
        </w:tc>
        <w:tc>
          <w:tcPr>
            <w:tcW w:w="50" w:type="pct"/>
            <w:shd w:val="clear" w:color="auto" w:fill="auto"/>
            <w:vAlign w:val="bottom"/>
          </w:tcPr>
          <w:p w14:paraId="518B693F" w14:textId="77777777" w:rsidR="005C332D" w:rsidRDefault="005C332D">
            <w:pPr>
              <w:rPr>
                <w:rFonts w:ascii="宋体"/>
              </w:rPr>
            </w:pPr>
          </w:p>
        </w:tc>
        <w:tc>
          <w:tcPr>
            <w:tcW w:w="383" w:type="pct"/>
            <w:shd w:val="clear" w:color="auto" w:fill="auto"/>
            <w:vAlign w:val="bottom"/>
          </w:tcPr>
          <w:p w14:paraId="518B6940" w14:textId="77777777" w:rsidR="005C332D" w:rsidRDefault="005C332D">
            <w:pPr>
              <w:rPr>
                <w:rFonts w:ascii="宋体"/>
              </w:rPr>
            </w:pPr>
          </w:p>
        </w:tc>
        <w:tc>
          <w:tcPr>
            <w:tcW w:w="5" w:type="pct"/>
            <w:shd w:val="clear" w:color="auto" w:fill="auto"/>
            <w:vAlign w:val="bottom"/>
          </w:tcPr>
          <w:p w14:paraId="518B6941" w14:textId="77777777" w:rsidR="005C332D" w:rsidRDefault="005C332D">
            <w:pPr>
              <w:rPr>
                <w:rFonts w:ascii="宋体"/>
              </w:rPr>
            </w:pPr>
          </w:p>
        </w:tc>
        <w:tc>
          <w:tcPr>
            <w:tcW w:w="5" w:type="pct"/>
            <w:shd w:val="clear" w:color="auto" w:fill="auto"/>
            <w:vAlign w:val="bottom"/>
          </w:tcPr>
          <w:p w14:paraId="518B6942" w14:textId="77777777" w:rsidR="005C332D" w:rsidRDefault="005C332D">
            <w:pPr>
              <w:rPr>
                <w:rFonts w:ascii="宋体"/>
              </w:rPr>
            </w:pPr>
          </w:p>
        </w:tc>
        <w:tc>
          <w:tcPr>
            <w:tcW w:w="26" w:type="pct"/>
            <w:shd w:val="clear" w:color="auto" w:fill="auto"/>
            <w:vAlign w:val="bottom"/>
          </w:tcPr>
          <w:p w14:paraId="518B6943" w14:textId="77777777" w:rsidR="005C332D" w:rsidRDefault="005C332D">
            <w:pPr>
              <w:rPr>
                <w:rFonts w:ascii="宋体"/>
              </w:rPr>
            </w:pPr>
          </w:p>
        </w:tc>
        <w:tc>
          <w:tcPr>
            <w:tcW w:w="5" w:type="pct"/>
            <w:shd w:val="clear" w:color="auto" w:fill="auto"/>
            <w:vAlign w:val="bottom"/>
          </w:tcPr>
          <w:p w14:paraId="518B6944" w14:textId="77777777" w:rsidR="005C332D" w:rsidRDefault="005C332D">
            <w:pPr>
              <w:rPr>
                <w:rFonts w:ascii="宋体"/>
              </w:rPr>
            </w:pPr>
          </w:p>
        </w:tc>
        <w:tc>
          <w:tcPr>
            <w:tcW w:w="50" w:type="pct"/>
            <w:shd w:val="clear" w:color="auto" w:fill="auto"/>
            <w:vAlign w:val="bottom"/>
          </w:tcPr>
          <w:p w14:paraId="518B6945" w14:textId="77777777" w:rsidR="005C332D" w:rsidRDefault="005C332D">
            <w:pPr>
              <w:rPr>
                <w:rFonts w:ascii="宋体"/>
              </w:rPr>
            </w:pPr>
          </w:p>
        </w:tc>
        <w:tc>
          <w:tcPr>
            <w:tcW w:w="383" w:type="pct"/>
            <w:shd w:val="clear" w:color="auto" w:fill="auto"/>
            <w:vAlign w:val="bottom"/>
          </w:tcPr>
          <w:p w14:paraId="518B6946" w14:textId="77777777" w:rsidR="005C332D" w:rsidRDefault="005C332D">
            <w:pPr>
              <w:rPr>
                <w:rFonts w:ascii="宋体"/>
              </w:rPr>
            </w:pPr>
          </w:p>
        </w:tc>
        <w:tc>
          <w:tcPr>
            <w:tcW w:w="5" w:type="pct"/>
            <w:shd w:val="clear" w:color="auto" w:fill="auto"/>
            <w:vAlign w:val="bottom"/>
          </w:tcPr>
          <w:p w14:paraId="518B6947" w14:textId="77777777" w:rsidR="005C332D" w:rsidRDefault="005C332D">
            <w:pPr>
              <w:rPr>
                <w:rFonts w:ascii="宋体"/>
              </w:rPr>
            </w:pPr>
          </w:p>
        </w:tc>
        <w:tc>
          <w:tcPr>
            <w:tcW w:w="5" w:type="pct"/>
            <w:shd w:val="clear" w:color="auto" w:fill="auto"/>
            <w:vAlign w:val="bottom"/>
          </w:tcPr>
          <w:p w14:paraId="518B6948" w14:textId="77777777" w:rsidR="005C332D" w:rsidRDefault="005C332D">
            <w:pPr>
              <w:rPr>
                <w:rFonts w:ascii="宋体"/>
              </w:rPr>
            </w:pPr>
          </w:p>
        </w:tc>
        <w:tc>
          <w:tcPr>
            <w:tcW w:w="26" w:type="pct"/>
            <w:shd w:val="clear" w:color="auto" w:fill="auto"/>
            <w:vAlign w:val="bottom"/>
          </w:tcPr>
          <w:p w14:paraId="518B6949" w14:textId="77777777" w:rsidR="005C332D" w:rsidRDefault="005C332D">
            <w:pPr>
              <w:rPr>
                <w:rFonts w:ascii="宋体"/>
              </w:rPr>
            </w:pPr>
          </w:p>
        </w:tc>
        <w:tc>
          <w:tcPr>
            <w:tcW w:w="5" w:type="pct"/>
            <w:shd w:val="clear" w:color="auto" w:fill="auto"/>
            <w:vAlign w:val="bottom"/>
          </w:tcPr>
          <w:p w14:paraId="518B694A" w14:textId="77777777" w:rsidR="005C332D" w:rsidRDefault="005C332D">
            <w:pPr>
              <w:rPr>
                <w:rFonts w:ascii="宋体"/>
              </w:rPr>
            </w:pPr>
          </w:p>
        </w:tc>
        <w:tc>
          <w:tcPr>
            <w:tcW w:w="50" w:type="pct"/>
            <w:shd w:val="clear" w:color="auto" w:fill="auto"/>
            <w:vAlign w:val="bottom"/>
          </w:tcPr>
          <w:p w14:paraId="518B694B" w14:textId="77777777" w:rsidR="005C332D" w:rsidRDefault="005C332D">
            <w:pPr>
              <w:rPr>
                <w:rFonts w:ascii="宋体"/>
              </w:rPr>
            </w:pPr>
          </w:p>
        </w:tc>
        <w:tc>
          <w:tcPr>
            <w:tcW w:w="384" w:type="pct"/>
            <w:shd w:val="clear" w:color="auto" w:fill="auto"/>
            <w:vAlign w:val="bottom"/>
          </w:tcPr>
          <w:p w14:paraId="518B694C" w14:textId="77777777" w:rsidR="005C332D" w:rsidRDefault="005C332D">
            <w:pPr>
              <w:rPr>
                <w:rFonts w:ascii="宋体"/>
              </w:rPr>
            </w:pPr>
          </w:p>
        </w:tc>
        <w:tc>
          <w:tcPr>
            <w:tcW w:w="5" w:type="pct"/>
            <w:shd w:val="clear" w:color="auto" w:fill="auto"/>
            <w:vAlign w:val="bottom"/>
          </w:tcPr>
          <w:p w14:paraId="518B694D" w14:textId="77777777" w:rsidR="005C332D" w:rsidRDefault="005C332D">
            <w:pPr>
              <w:rPr>
                <w:rFonts w:ascii="宋体"/>
              </w:rPr>
            </w:pPr>
          </w:p>
        </w:tc>
      </w:tr>
      <w:tr w:rsidR="005C332D" w14:paraId="518B6955" w14:textId="77777777">
        <w:tc>
          <w:tcPr>
            <w:tcW w:w="0" w:type="auto"/>
            <w:gridSpan w:val="3"/>
            <w:shd w:val="clear" w:color="auto" w:fill="auto"/>
            <w:tcMar>
              <w:top w:w="40" w:type="dxa"/>
              <w:left w:w="20" w:type="dxa"/>
              <w:bottom w:w="40" w:type="dxa"/>
              <w:right w:w="20" w:type="dxa"/>
            </w:tcMar>
            <w:vAlign w:val="bottom"/>
          </w:tcPr>
          <w:p w14:paraId="518B694F" w14:textId="77777777" w:rsidR="005C332D" w:rsidRDefault="00B93EAE">
            <w:pPr>
              <w:textAlignment w:val="bottom"/>
            </w:pPr>
            <w:r>
              <w:rPr>
                <w:rFonts w:ascii="Times New Roman" w:eastAsia="宋体" w:hAnsi="Times New Roman"/>
                <w:b/>
                <w:bCs/>
                <w:color w:val="000000"/>
                <w:sz w:val="16"/>
                <w:szCs w:val="16"/>
                <w:u w:val="single"/>
              </w:rPr>
              <w:t>July 30, 2022</w:t>
            </w:r>
          </w:p>
        </w:tc>
        <w:tc>
          <w:tcPr>
            <w:tcW w:w="0" w:type="auto"/>
            <w:gridSpan w:val="3"/>
            <w:shd w:val="clear" w:color="auto" w:fill="auto"/>
            <w:tcMar>
              <w:top w:w="0" w:type="dxa"/>
              <w:left w:w="20" w:type="dxa"/>
              <w:bottom w:w="0" w:type="dxa"/>
              <w:right w:w="20" w:type="dxa"/>
            </w:tcMar>
            <w:vAlign w:val="bottom"/>
          </w:tcPr>
          <w:p w14:paraId="518B6950"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951" w14:textId="77777777" w:rsidR="005C332D" w:rsidRDefault="005C332D">
            <w:pPr>
              <w:rPr>
                <w:rFonts w:ascii="宋体"/>
              </w:rPr>
            </w:pPr>
          </w:p>
        </w:tc>
        <w:tc>
          <w:tcPr>
            <w:tcW w:w="0" w:type="auto"/>
            <w:gridSpan w:val="27"/>
            <w:shd w:val="clear" w:color="auto" w:fill="auto"/>
            <w:tcMar>
              <w:top w:w="40" w:type="dxa"/>
              <w:left w:w="20" w:type="dxa"/>
              <w:bottom w:w="40" w:type="dxa"/>
              <w:right w:w="20" w:type="dxa"/>
            </w:tcMar>
            <w:vAlign w:val="bottom"/>
          </w:tcPr>
          <w:p w14:paraId="518B6952" w14:textId="77777777" w:rsidR="005C332D" w:rsidRDefault="00B93EAE">
            <w:pPr>
              <w:jc w:val="center"/>
              <w:textAlignment w:val="bottom"/>
            </w:pPr>
            <w:r>
              <w:rPr>
                <w:rFonts w:ascii="Times New Roman" w:eastAsia="宋体" w:hAnsi="Times New Roman"/>
                <w:b/>
                <w:bCs/>
                <w:color w:val="000000"/>
                <w:sz w:val="14"/>
                <w:szCs w:val="14"/>
              </w:rPr>
              <w:t>Fiscal Year</w:t>
            </w:r>
          </w:p>
        </w:tc>
        <w:tc>
          <w:tcPr>
            <w:tcW w:w="0" w:type="auto"/>
            <w:gridSpan w:val="3"/>
            <w:shd w:val="clear" w:color="auto" w:fill="auto"/>
            <w:tcMar>
              <w:top w:w="0" w:type="dxa"/>
              <w:left w:w="20" w:type="dxa"/>
              <w:bottom w:w="0" w:type="dxa"/>
              <w:right w:w="20" w:type="dxa"/>
            </w:tcMar>
            <w:vAlign w:val="bottom"/>
          </w:tcPr>
          <w:p w14:paraId="518B695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954" w14:textId="77777777" w:rsidR="005C332D" w:rsidRDefault="005C332D">
            <w:pPr>
              <w:rPr>
                <w:rFonts w:ascii="宋体"/>
              </w:rPr>
            </w:pPr>
          </w:p>
        </w:tc>
      </w:tr>
      <w:tr w:rsidR="005C332D" w14:paraId="518B6964" w14:textId="77777777">
        <w:tc>
          <w:tcPr>
            <w:tcW w:w="0" w:type="auto"/>
            <w:gridSpan w:val="3"/>
            <w:shd w:val="clear" w:color="auto" w:fill="auto"/>
            <w:tcMar>
              <w:top w:w="40" w:type="dxa"/>
              <w:left w:w="20" w:type="dxa"/>
              <w:bottom w:w="40" w:type="dxa"/>
              <w:right w:w="20" w:type="dxa"/>
            </w:tcMar>
            <w:vAlign w:val="bottom"/>
          </w:tcPr>
          <w:p w14:paraId="518B6956" w14:textId="77777777" w:rsidR="005C332D" w:rsidRDefault="00B93EAE">
            <w:pPr>
              <w:textAlignment w:val="bottom"/>
            </w:pPr>
            <w:r>
              <w:rPr>
                <w:rFonts w:ascii="Times New Roman" w:eastAsia="宋体" w:hAnsi="Times New Roman"/>
                <w:b/>
                <w:bCs/>
                <w:color w:val="000000"/>
                <w:sz w:val="16"/>
                <w:szCs w:val="16"/>
                <w:u w:val="single"/>
              </w:rPr>
              <w:t>Internal Credit Risk Rating</w:t>
            </w:r>
          </w:p>
        </w:tc>
        <w:tc>
          <w:tcPr>
            <w:tcW w:w="0" w:type="auto"/>
            <w:gridSpan w:val="3"/>
            <w:shd w:val="clear" w:color="auto" w:fill="auto"/>
            <w:tcMar>
              <w:top w:w="40" w:type="dxa"/>
              <w:left w:w="20" w:type="dxa"/>
              <w:bottom w:w="40" w:type="dxa"/>
              <w:right w:w="20" w:type="dxa"/>
            </w:tcMar>
            <w:vAlign w:val="bottom"/>
          </w:tcPr>
          <w:p w14:paraId="518B6957" w14:textId="77777777" w:rsidR="005C332D" w:rsidRDefault="00B93EAE">
            <w:pPr>
              <w:jc w:val="center"/>
              <w:textAlignment w:val="bottom"/>
            </w:pPr>
            <w:r>
              <w:rPr>
                <w:rFonts w:ascii="Times New Roman" w:eastAsia="宋体" w:hAnsi="Times New Roman"/>
                <w:b/>
                <w:bCs/>
                <w:color w:val="000000"/>
                <w:sz w:val="16"/>
                <w:szCs w:val="16"/>
              </w:rPr>
              <w:t>Prior</w:t>
            </w:r>
          </w:p>
        </w:tc>
        <w:tc>
          <w:tcPr>
            <w:tcW w:w="0" w:type="auto"/>
            <w:gridSpan w:val="3"/>
            <w:shd w:val="clear" w:color="auto" w:fill="auto"/>
            <w:tcMar>
              <w:top w:w="0" w:type="dxa"/>
              <w:left w:w="20" w:type="dxa"/>
              <w:bottom w:w="0" w:type="dxa"/>
              <w:right w:w="20" w:type="dxa"/>
            </w:tcMar>
            <w:vAlign w:val="bottom"/>
          </w:tcPr>
          <w:p w14:paraId="518B695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959" w14:textId="77777777" w:rsidR="005C332D" w:rsidRDefault="00B93EAE">
            <w:pPr>
              <w:jc w:val="center"/>
              <w:textAlignment w:val="bottom"/>
            </w:pPr>
            <w:r>
              <w:rPr>
                <w:rFonts w:ascii="Times New Roman" w:eastAsia="宋体" w:hAnsi="Times New Roman"/>
                <w:b/>
                <w:bCs/>
                <w:color w:val="000000"/>
                <w:sz w:val="16"/>
                <w:szCs w:val="16"/>
              </w:rPr>
              <w:t>July 28, 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95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95B" w14:textId="77777777" w:rsidR="005C332D" w:rsidRDefault="00B93EAE">
            <w:pPr>
              <w:jc w:val="center"/>
              <w:textAlignment w:val="bottom"/>
            </w:pPr>
            <w:r>
              <w:rPr>
                <w:rFonts w:ascii="Times New Roman" w:eastAsia="宋体" w:hAnsi="Times New Roman"/>
                <w:b/>
                <w:bCs/>
                <w:color w:val="000000"/>
                <w:sz w:val="16"/>
                <w:szCs w:val="16"/>
              </w:rPr>
              <w:t>July 27, 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95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95D" w14:textId="77777777" w:rsidR="005C332D" w:rsidRDefault="00B93EAE">
            <w:pPr>
              <w:jc w:val="center"/>
              <w:textAlignment w:val="bottom"/>
            </w:pPr>
            <w:r>
              <w:rPr>
                <w:rFonts w:ascii="Times New Roman" w:eastAsia="宋体" w:hAnsi="Times New Roman"/>
                <w:b/>
                <w:bCs/>
                <w:color w:val="000000"/>
                <w:sz w:val="16"/>
                <w:szCs w:val="16"/>
              </w:rPr>
              <w:t>July 25,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95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95F" w14:textId="77777777" w:rsidR="005C332D" w:rsidRDefault="00B93EAE">
            <w:pPr>
              <w:jc w:val="center"/>
              <w:textAlignment w:val="bottom"/>
            </w:pPr>
            <w:r>
              <w:rPr>
                <w:rFonts w:ascii="Times New Roman" w:eastAsia="宋体" w:hAnsi="Times New Roman"/>
                <w:b/>
                <w:bCs/>
                <w:color w:val="000000"/>
                <w:sz w:val="16"/>
                <w:szCs w:val="16"/>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96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961" w14:textId="77777777" w:rsidR="005C332D" w:rsidRDefault="00B93EAE">
            <w:pPr>
              <w:jc w:val="center"/>
              <w:textAlignment w:val="bottom"/>
            </w:pPr>
            <w:r>
              <w:rPr>
                <w:rFonts w:ascii="Times New Roman" w:eastAsia="宋体" w:hAnsi="Times New Roman"/>
                <w:b/>
                <w:bCs/>
                <w:color w:val="000000"/>
                <w:sz w:val="16"/>
                <w:szCs w:val="16"/>
              </w:rPr>
              <w:t>July 30, 2022</w:t>
            </w:r>
          </w:p>
        </w:tc>
        <w:tc>
          <w:tcPr>
            <w:tcW w:w="0" w:type="auto"/>
            <w:gridSpan w:val="3"/>
            <w:shd w:val="clear" w:color="auto" w:fill="auto"/>
            <w:tcMar>
              <w:top w:w="0" w:type="dxa"/>
              <w:left w:w="20" w:type="dxa"/>
              <w:bottom w:w="0" w:type="dxa"/>
              <w:right w:w="20" w:type="dxa"/>
            </w:tcMar>
            <w:vAlign w:val="bottom"/>
          </w:tcPr>
          <w:p w14:paraId="518B696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963" w14:textId="77777777" w:rsidR="005C332D" w:rsidRDefault="00B93EAE">
            <w:pPr>
              <w:jc w:val="center"/>
              <w:textAlignment w:val="bottom"/>
            </w:pPr>
            <w:r>
              <w:rPr>
                <w:rFonts w:ascii="Times New Roman" w:eastAsia="宋体" w:hAnsi="Times New Roman"/>
                <w:b/>
                <w:bCs/>
                <w:color w:val="000000"/>
                <w:sz w:val="16"/>
                <w:szCs w:val="16"/>
              </w:rPr>
              <w:t>Total</w:t>
            </w:r>
          </w:p>
        </w:tc>
      </w:tr>
      <w:tr w:rsidR="005C332D" w14:paraId="518B6973" w14:textId="77777777">
        <w:tc>
          <w:tcPr>
            <w:tcW w:w="0" w:type="auto"/>
            <w:gridSpan w:val="3"/>
            <w:shd w:val="clear" w:color="auto" w:fill="CCEEFF"/>
            <w:tcMar>
              <w:top w:w="40" w:type="dxa"/>
              <w:left w:w="20" w:type="dxa"/>
              <w:bottom w:w="40" w:type="dxa"/>
              <w:right w:w="20" w:type="dxa"/>
            </w:tcMar>
            <w:vAlign w:val="bottom"/>
          </w:tcPr>
          <w:p w14:paraId="518B6965" w14:textId="77777777" w:rsidR="005C332D" w:rsidRDefault="00B93EAE">
            <w:pPr>
              <w:textAlignment w:val="bottom"/>
            </w:pPr>
            <w:r>
              <w:rPr>
                <w:rFonts w:ascii="Times New Roman" w:eastAsia="宋体" w:hAnsi="Times New Roman"/>
                <w:b/>
                <w:bCs/>
                <w:color w:val="000000"/>
                <w:sz w:val="20"/>
                <w:szCs w:val="20"/>
              </w:rPr>
              <w:t>Lease Receivables: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96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967"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96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969"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96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96B"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96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96D"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96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96F"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97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971"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972" w14:textId="77777777" w:rsidR="005C332D" w:rsidRDefault="005C332D">
            <w:pPr>
              <w:rPr>
                <w:rFonts w:ascii="宋体"/>
              </w:rPr>
            </w:pPr>
          </w:p>
        </w:tc>
      </w:tr>
      <w:tr w:rsidR="005C332D" w14:paraId="518B6990" w14:textId="77777777">
        <w:tc>
          <w:tcPr>
            <w:tcW w:w="0" w:type="auto"/>
            <w:gridSpan w:val="3"/>
            <w:shd w:val="clear" w:color="auto" w:fill="FFFFFF"/>
            <w:tcMar>
              <w:top w:w="40" w:type="dxa"/>
              <w:left w:w="260" w:type="dxa"/>
              <w:bottom w:w="40" w:type="dxa"/>
              <w:right w:w="20" w:type="dxa"/>
            </w:tcMar>
          </w:tcPr>
          <w:p w14:paraId="518B6974" w14:textId="77777777" w:rsidR="005C332D" w:rsidRDefault="00B93EAE">
            <w:pPr>
              <w:textAlignment w:val="top"/>
            </w:pPr>
            <w:r>
              <w:rPr>
                <w:rFonts w:ascii="Times New Roman" w:eastAsia="宋体" w:hAnsi="Times New Roman"/>
                <w:b/>
                <w:bCs/>
                <w:color w:val="000000"/>
                <w:sz w:val="20"/>
                <w:szCs w:val="20"/>
              </w:rPr>
              <w:t>1 to 4</w:t>
            </w:r>
          </w:p>
        </w:tc>
        <w:tc>
          <w:tcPr>
            <w:tcW w:w="0" w:type="auto"/>
            <w:shd w:val="clear" w:color="auto" w:fill="FFFFFF"/>
            <w:tcMar>
              <w:top w:w="40" w:type="dxa"/>
              <w:left w:w="20" w:type="dxa"/>
              <w:bottom w:w="40" w:type="dxa"/>
              <w:right w:w="0" w:type="dxa"/>
            </w:tcMar>
            <w:vAlign w:val="bottom"/>
          </w:tcPr>
          <w:p w14:paraId="518B6975"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976" w14:textId="77777777" w:rsidR="005C332D" w:rsidRDefault="00B93EAE">
            <w:pPr>
              <w:jc w:val="right"/>
              <w:textAlignment w:val="bottom"/>
            </w:pPr>
            <w:r>
              <w:rPr>
                <w:rFonts w:ascii="Times New Roman" w:eastAsia="宋体" w:hAnsi="Times New Roman"/>
                <w:b/>
                <w:bCs/>
                <w:color w:val="000000"/>
                <w:sz w:val="20"/>
                <w:szCs w:val="20"/>
              </w:rPr>
              <w:t>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7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78"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979"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97A" w14:textId="77777777" w:rsidR="005C332D" w:rsidRDefault="00B93EAE">
            <w:pPr>
              <w:jc w:val="right"/>
              <w:textAlignment w:val="bottom"/>
            </w:pPr>
            <w:r>
              <w:rPr>
                <w:rFonts w:ascii="Times New Roman" w:eastAsia="宋体" w:hAnsi="Times New Roman"/>
                <w:b/>
                <w:bCs/>
                <w:color w:val="000000"/>
                <w:sz w:val="20"/>
                <w:szCs w:val="20"/>
              </w:rPr>
              <w:t>25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7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7C"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97D"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97E" w14:textId="77777777" w:rsidR="005C332D" w:rsidRDefault="00B93EAE">
            <w:pPr>
              <w:jc w:val="right"/>
              <w:textAlignment w:val="bottom"/>
            </w:pPr>
            <w:r>
              <w:rPr>
                <w:rFonts w:ascii="Times New Roman" w:eastAsia="宋体" w:hAnsi="Times New Roman"/>
                <w:b/>
                <w:bCs/>
                <w:color w:val="000000"/>
                <w:sz w:val="20"/>
                <w:szCs w:val="20"/>
              </w:rPr>
              <w:t>74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7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80"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981"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982" w14:textId="77777777" w:rsidR="005C332D" w:rsidRDefault="00B93EAE">
            <w:pPr>
              <w:jc w:val="right"/>
              <w:textAlignment w:val="bottom"/>
            </w:pPr>
            <w:r>
              <w:rPr>
                <w:rFonts w:ascii="Times New Roman" w:eastAsia="宋体" w:hAnsi="Times New Roman"/>
                <w:b/>
                <w:bCs/>
                <w:color w:val="000000"/>
                <w:sz w:val="20"/>
                <w:szCs w:val="20"/>
              </w:rPr>
              <w:t>124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8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84"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985"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986" w14:textId="77777777" w:rsidR="005C332D" w:rsidRDefault="00B93EAE">
            <w:pPr>
              <w:jc w:val="right"/>
              <w:textAlignment w:val="bottom"/>
            </w:pPr>
            <w:r>
              <w:rPr>
                <w:rFonts w:ascii="Times New Roman" w:eastAsia="宋体" w:hAnsi="Times New Roman"/>
                <w:b/>
                <w:bCs/>
                <w:color w:val="000000"/>
                <w:sz w:val="20"/>
                <w:szCs w:val="20"/>
              </w:rPr>
              <w:t>176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8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88"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989"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98A" w14:textId="77777777" w:rsidR="005C332D" w:rsidRDefault="00B93EAE">
            <w:pPr>
              <w:jc w:val="right"/>
              <w:textAlignment w:val="bottom"/>
            </w:pPr>
            <w:r>
              <w:rPr>
                <w:rFonts w:ascii="Times New Roman" w:eastAsia="宋体" w:hAnsi="Times New Roman"/>
                <w:b/>
                <w:bCs/>
                <w:color w:val="000000"/>
                <w:sz w:val="20"/>
                <w:szCs w:val="20"/>
              </w:rPr>
              <w:t>152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8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8C"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98D"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98E" w14:textId="77777777" w:rsidR="005C332D" w:rsidRDefault="00B93EAE">
            <w:pPr>
              <w:jc w:val="right"/>
              <w:textAlignment w:val="bottom"/>
            </w:pPr>
            <w:r>
              <w:rPr>
                <w:rFonts w:ascii="Times New Roman" w:eastAsia="宋体" w:hAnsi="Times New Roman"/>
                <w:b/>
                <w:bCs/>
                <w:color w:val="000000"/>
                <w:sz w:val="20"/>
                <w:szCs w:val="20"/>
              </w:rPr>
              <w:t>553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8F" w14:textId="77777777" w:rsidR="005C332D" w:rsidRDefault="005C332D">
            <w:pPr>
              <w:jc w:val="right"/>
              <w:rPr>
                <w:rFonts w:ascii="宋体"/>
              </w:rPr>
            </w:pPr>
          </w:p>
        </w:tc>
      </w:tr>
      <w:tr w:rsidR="005C332D" w14:paraId="518B69A6" w14:textId="77777777">
        <w:tc>
          <w:tcPr>
            <w:tcW w:w="0" w:type="auto"/>
            <w:gridSpan w:val="3"/>
            <w:shd w:val="clear" w:color="auto" w:fill="CCEEFF"/>
            <w:tcMar>
              <w:top w:w="40" w:type="dxa"/>
              <w:left w:w="260" w:type="dxa"/>
              <w:bottom w:w="40" w:type="dxa"/>
              <w:right w:w="20" w:type="dxa"/>
            </w:tcMar>
          </w:tcPr>
          <w:p w14:paraId="518B6991" w14:textId="77777777" w:rsidR="005C332D" w:rsidRDefault="00B93EAE">
            <w:pPr>
              <w:textAlignment w:val="top"/>
            </w:pPr>
            <w:r>
              <w:rPr>
                <w:rFonts w:ascii="Times New Roman" w:eastAsia="宋体" w:hAnsi="Times New Roman"/>
                <w:b/>
                <w:bCs/>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518B6992"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9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9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995"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9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9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998" w14:textId="77777777" w:rsidR="005C332D" w:rsidRDefault="00B93EAE">
            <w:pPr>
              <w:jc w:val="right"/>
              <w:textAlignment w:val="bottom"/>
            </w:pPr>
            <w:r>
              <w:rPr>
                <w:rFonts w:ascii="Times New Roman" w:eastAsia="宋体" w:hAnsi="Times New Roman"/>
                <w:b/>
                <w:bCs/>
                <w:color w:val="000000"/>
                <w:sz w:val="20"/>
                <w:szCs w:val="20"/>
              </w:rPr>
              <w:t>67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9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9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99B" w14:textId="77777777" w:rsidR="005C332D" w:rsidRDefault="00B93EAE">
            <w:pPr>
              <w:jc w:val="right"/>
              <w:textAlignment w:val="bottom"/>
            </w:pPr>
            <w:r>
              <w:rPr>
                <w:rFonts w:ascii="Times New Roman" w:eastAsia="宋体" w:hAnsi="Times New Roman"/>
                <w:b/>
                <w:bCs/>
                <w:color w:val="000000"/>
                <w:sz w:val="20"/>
                <w:szCs w:val="20"/>
              </w:rPr>
              <w:t>146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9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9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99E" w14:textId="77777777" w:rsidR="005C332D" w:rsidRDefault="00B93EAE">
            <w:pPr>
              <w:jc w:val="right"/>
              <w:textAlignment w:val="bottom"/>
            </w:pPr>
            <w:r>
              <w:rPr>
                <w:rFonts w:ascii="Times New Roman" w:eastAsia="宋体" w:hAnsi="Times New Roman"/>
                <w:b/>
                <w:bCs/>
                <w:color w:val="000000"/>
                <w:sz w:val="20"/>
                <w:szCs w:val="20"/>
              </w:rPr>
              <w:t>165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9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A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9A1" w14:textId="77777777" w:rsidR="005C332D" w:rsidRDefault="00B93EAE">
            <w:pPr>
              <w:jc w:val="right"/>
              <w:textAlignment w:val="bottom"/>
            </w:pPr>
            <w:r>
              <w:rPr>
                <w:rFonts w:ascii="Times New Roman" w:eastAsia="宋体" w:hAnsi="Times New Roman"/>
                <w:b/>
                <w:bCs/>
                <w:color w:val="000000"/>
                <w:sz w:val="20"/>
                <w:szCs w:val="20"/>
              </w:rPr>
              <w:t>151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A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A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9A4" w14:textId="77777777" w:rsidR="005C332D" w:rsidRDefault="00B93EAE">
            <w:pPr>
              <w:jc w:val="right"/>
              <w:textAlignment w:val="bottom"/>
            </w:pPr>
            <w:r>
              <w:rPr>
                <w:rFonts w:ascii="Times New Roman" w:eastAsia="宋体" w:hAnsi="Times New Roman"/>
                <w:b/>
                <w:bCs/>
                <w:color w:val="000000"/>
                <w:sz w:val="20"/>
                <w:szCs w:val="20"/>
              </w:rPr>
              <w:t>540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A5" w14:textId="77777777" w:rsidR="005C332D" w:rsidRDefault="005C332D">
            <w:pPr>
              <w:jc w:val="right"/>
              <w:rPr>
                <w:rFonts w:ascii="宋体"/>
              </w:rPr>
            </w:pPr>
          </w:p>
        </w:tc>
      </w:tr>
      <w:tr w:rsidR="005C332D" w14:paraId="518B69BC" w14:textId="77777777">
        <w:tc>
          <w:tcPr>
            <w:tcW w:w="0" w:type="auto"/>
            <w:gridSpan w:val="3"/>
            <w:shd w:val="clear" w:color="auto" w:fill="FFFFFF"/>
            <w:tcMar>
              <w:top w:w="40" w:type="dxa"/>
              <w:left w:w="260" w:type="dxa"/>
              <w:bottom w:w="40" w:type="dxa"/>
              <w:right w:w="20" w:type="dxa"/>
            </w:tcMar>
          </w:tcPr>
          <w:p w14:paraId="518B69A7" w14:textId="77777777" w:rsidR="005C332D" w:rsidRDefault="00B93EAE">
            <w:pPr>
              <w:textAlignment w:val="top"/>
            </w:pPr>
            <w:r>
              <w:rPr>
                <w:rFonts w:ascii="Times New Roman" w:eastAsia="宋体" w:hAnsi="Times New Roman"/>
                <w:b/>
                <w:bCs/>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518B69A8"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A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A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9AB"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A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A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9AE" w14:textId="77777777" w:rsidR="005C332D" w:rsidRDefault="00B93EAE">
            <w:pPr>
              <w:jc w:val="right"/>
              <w:textAlignment w:val="bottom"/>
            </w:pPr>
            <w:r>
              <w:rPr>
                <w:rFonts w:ascii="Times New Roman" w:eastAsia="宋体" w:hAnsi="Times New Roman"/>
                <w:b/>
                <w:bCs/>
                <w:color w:val="000000"/>
                <w:sz w:val="20"/>
                <w:szCs w:val="20"/>
              </w:rPr>
              <w:t>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A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B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9B1" w14:textId="77777777" w:rsidR="005C332D" w:rsidRDefault="00B93EAE">
            <w:pPr>
              <w:jc w:val="right"/>
              <w:textAlignment w:val="bottom"/>
            </w:pPr>
            <w:r>
              <w:rPr>
                <w:rFonts w:ascii="Times New Roman" w:eastAsia="宋体" w:hAnsi="Times New Roman"/>
                <w:b/>
                <w:bCs/>
                <w:color w:val="000000"/>
                <w:sz w:val="20"/>
                <w:szCs w:val="20"/>
              </w:rPr>
              <w:t>12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B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B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9B4" w14:textId="77777777" w:rsidR="005C332D" w:rsidRDefault="00B93EAE">
            <w:pPr>
              <w:jc w:val="right"/>
              <w:textAlignment w:val="bottom"/>
            </w:pPr>
            <w:r>
              <w:rPr>
                <w:rFonts w:ascii="Times New Roman" w:eastAsia="宋体" w:hAnsi="Times New Roman"/>
                <w:b/>
                <w:bCs/>
                <w:color w:val="000000"/>
                <w:sz w:val="20"/>
                <w:szCs w:val="20"/>
              </w:rPr>
              <w:t>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B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B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9B7"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B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9B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9BA" w14:textId="77777777" w:rsidR="005C332D" w:rsidRDefault="00B93EAE">
            <w:pPr>
              <w:jc w:val="right"/>
              <w:textAlignment w:val="bottom"/>
            </w:pPr>
            <w:r>
              <w:rPr>
                <w:rFonts w:ascii="Times New Roman" w:eastAsia="宋体" w:hAnsi="Times New Roman"/>
                <w:b/>
                <w:bCs/>
                <w:color w:val="000000"/>
                <w:sz w:val="20"/>
                <w:szCs w:val="20"/>
              </w:rPr>
              <w:t>29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9BB" w14:textId="77777777" w:rsidR="005C332D" w:rsidRDefault="005C332D">
            <w:pPr>
              <w:jc w:val="right"/>
              <w:rPr>
                <w:rFonts w:ascii="宋体"/>
              </w:rPr>
            </w:pPr>
          </w:p>
        </w:tc>
      </w:tr>
      <w:tr w:rsidR="005C332D" w14:paraId="518B69D9" w14:textId="77777777">
        <w:tc>
          <w:tcPr>
            <w:tcW w:w="0" w:type="auto"/>
            <w:gridSpan w:val="3"/>
            <w:shd w:val="clear" w:color="auto" w:fill="CCEEFF"/>
            <w:tcMar>
              <w:top w:w="40" w:type="dxa"/>
              <w:left w:w="500" w:type="dxa"/>
              <w:bottom w:w="40" w:type="dxa"/>
              <w:right w:w="20" w:type="dxa"/>
            </w:tcMar>
          </w:tcPr>
          <w:p w14:paraId="518B69BD" w14:textId="77777777" w:rsidR="005C332D" w:rsidRDefault="00B93EAE">
            <w:pPr>
              <w:textAlignment w:val="top"/>
            </w:pPr>
            <w:r>
              <w:rPr>
                <w:rFonts w:ascii="Times New Roman" w:eastAsia="宋体" w:hAnsi="Times New Roman"/>
                <w:b/>
                <w:bCs/>
                <w:color w:val="000000"/>
                <w:sz w:val="20"/>
                <w:szCs w:val="20"/>
              </w:rPr>
              <w:t>Total 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9B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9BF" w14:textId="77777777" w:rsidR="005C332D" w:rsidRDefault="00B93EAE">
            <w:pPr>
              <w:jc w:val="right"/>
              <w:textAlignment w:val="bottom"/>
            </w:pPr>
            <w:r>
              <w:rPr>
                <w:rFonts w:ascii="Times New Roman" w:eastAsia="宋体" w:hAnsi="Times New Roman"/>
                <w:b/>
                <w:bCs/>
                <w:color w:val="000000"/>
                <w:sz w:val="20"/>
                <w:szCs w:val="20"/>
              </w:rPr>
              <w:t>3</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9C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C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9C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9C3" w14:textId="77777777" w:rsidR="005C332D" w:rsidRDefault="00B93EAE">
            <w:pPr>
              <w:jc w:val="right"/>
              <w:textAlignment w:val="bottom"/>
            </w:pPr>
            <w:r>
              <w:rPr>
                <w:rFonts w:ascii="Times New Roman" w:eastAsia="宋体" w:hAnsi="Times New Roman"/>
                <w:b/>
                <w:bCs/>
                <w:color w:val="000000"/>
                <w:sz w:val="20"/>
                <w:szCs w:val="20"/>
              </w:rPr>
              <w:t>36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9C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C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9C6"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9C7" w14:textId="77777777" w:rsidR="005C332D" w:rsidRDefault="00B93EAE">
            <w:pPr>
              <w:jc w:val="right"/>
              <w:textAlignment w:val="bottom"/>
            </w:pPr>
            <w:r>
              <w:rPr>
                <w:rFonts w:ascii="Times New Roman" w:eastAsia="宋体" w:hAnsi="Times New Roman"/>
                <w:b/>
                <w:bCs/>
                <w:color w:val="000000"/>
                <w:sz w:val="20"/>
                <w:szCs w:val="20"/>
              </w:rPr>
              <w:t>145</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9C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C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9C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9CB" w14:textId="77777777" w:rsidR="005C332D" w:rsidRDefault="00B93EAE">
            <w:pPr>
              <w:jc w:val="right"/>
              <w:textAlignment w:val="bottom"/>
            </w:pPr>
            <w:r>
              <w:rPr>
                <w:rFonts w:ascii="Times New Roman" w:eastAsia="宋体" w:hAnsi="Times New Roman"/>
                <w:b/>
                <w:bCs/>
                <w:color w:val="000000"/>
                <w:sz w:val="20"/>
                <w:szCs w:val="20"/>
              </w:rPr>
              <w:t>282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9C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C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9C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9CF" w14:textId="77777777" w:rsidR="005C332D" w:rsidRDefault="00B93EAE">
            <w:pPr>
              <w:jc w:val="right"/>
              <w:textAlignment w:val="bottom"/>
            </w:pPr>
            <w:r>
              <w:rPr>
                <w:rFonts w:ascii="Times New Roman" w:eastAsia="宋体" w:hAnsi="Times New Roman"/>
                <w:b/>
                <w:bCs/>
                <w:color w:val="000000"/>
                <w:sz w:val="20"/>
                <w:szCs w:val="20"/>
              </w:rPr>
              <w:t>343</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9D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D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9D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9D3" w14:textId="77777777" w:rsidR="005C332D" w:rsidRDefault="00B93EAE">
            <w:pPr>
              <w:jc w:val="right"/>
              <w:textAlignment w:val="bottom"/>
            </w:pPr>
            <w:r>
              <w:rPr>
                <w:rFonts w:ascii="Times New Roman" w:eastAsia="宋体" w:hAnsi="Times New Roman"/>
                <w:b/>
                <w:bCs/>
                <w:color w:val="000000"/>
                <w:sz w:val="20"/>
                <w:szCs w:val="20"/>
              </w:rPr>
              <w:t>313</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9D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D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9D6"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9D7" w14:textId="77777777" w:rsidR="005C332D" w:rsidRDefault="00B93EAE">
            <w:pPr>
              <w:jc w:val="right"/>
              <w:textAlignment w:val="bottom"/>
            </w:pPr>
            <w:r>
              <w:rPr>
                <w:rFonts w:ascii="Times New Roman" w:eastAsia="宋体" w:hAnsi="Times New Roman"/>
                <w:b/>
                <w:bCs/>
                <w:color w:val="000000"/>
                <w:sz w:val="20"/>
                <w:szCs w:val="20"/>
              </w:rPr>
              <w:t>1,122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9D8" w14:textId="77777777" w:rsidR="005C332D" w:rsidRDefault="005C332D">
            <w:pPr>
              <w:jc w:val="right"/>
              <w:rPr>
                <w:rFonts w:ascii="宋体"/>
              </w:rPr>
            </w:pPr>
          </w:p>
        </w:tc>
      </w:tr>
      <w:tr w:rsidR="005C332D" w14:paraId="518B69E8" w14:textId="77777777">
        <w:tc>
          <w:tcPr>
            <w:tcW w:w="0" w:type="auto"/>
            <w:gridSpan w:val="3"/>
            <w:shd w:val="clear" w:color="auto" w:fill="FFFFFF"/>
            <w:tcMar>
              <w:top w:w="40" w:type="dxa"/>
              <w:left w:w="20" w:type="dxa"/>
              <w:bottom w:w="40" w:type="dxa"/>
              <w:right w:w="20" w:type="dxa"/>
            </w:tcMar>
          </w:tcPr>
          <w:p w14:paraId="518B69DA" w14:textId="77777777" w:rsidR="005C332D" w:rsidRDefault="00B93EAE">
            <w:pPr>
              <w:textAlignment w:val="top"/>
            </w:pPr>
            <w:r>
              <w:rPr>
                <w:rFonts w:ascii="Times New Roman" w:eastAsia="宋体" w:hAnsi="Times New Roman"/>
                <w:b/>
                <w:bCs/>
                <w:color w:val="000000"/>
                <w:sz w:val="20"/>
                <w:szCs w:val="20"/>
              </w:rPr>
              <w:t>Loan Receivables: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9D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9DC"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9D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9DE"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9D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9E0"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9E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9E2"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9E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9E4"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9E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9E6"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9E7" w14:textId="77777777" w:rsidR="005C332D" w:rsidRDefault="005C332D">
            <w:pPr>
              <w:rPr>
                <w:rFonts w:ascii="宋体"/>
              </w:rPr>
            </w:pPr>
          </w:p>
        </w:tc>
      </w:tr>
      <w:tr w:rsidR="005C332D" w14:paraId="518B6A05" w14:textId="77777777">
        <w:tc>
          <w:tcPr>
            <w:tcW w:w="0" w:type="auto"/>
            <w:gridSpan w:val="3"/>
            <w:shd w:val="clear" w:color="auto" w:fill="CCEEFF"/>
            <w:tcMar>
              <w:top w:w="40" w:type="dxa"/>
              <w:left w:w="260" w:type="dxa"/>
              <w:bottom w:w="40" w:type="dxa"/>
              <w:right w:w="20" w:type="dxa"/>
            </w:tcMar>
          </w:tcPr>
          <w:p w14:paraId="518B69E9" w14:textId="77777777" w:rsidR="005C332D" w:rsidRDefault="00B93EAE">
            <w:pPr>
              <w:textAlignment w:val="top"/>
            </w:pPr>
            <w:r>
              <w:rPr>
                <w:rFonts w:ascii="Times New Roman" w:eastAsia="宋体" w:hAnsi="Times New Roman"/>
                <w:b/>
                <w:bCs/>
                <w:color w:val="000000"/>
                <w:sz w:val="20"/>
                <w:szCs w:val="20"/>
              </w:rPr>
              <w:t>1 to 4</w:t>
            </w:r>
          </w:p>
        </w:tc>
        <w:tc>
          <w:tcPr>
            <w:tcW w:w="0" w:type="auto"/>
            <w:shd w:val="clear" w:color="auto" w:fill="CCEEFF"/>
            <w:tcMar>
              <w:top w:w="40" w:type="dxa"/>
              <w:left w:w="20" w:type="dxa"/>
              <w:bottom w:w="40" w:type="dxa"/>
              <w:right w:w="0" w:type="dxa"/>
            </w:tcMar>
            <w:vAlign w:val="bottom"/>
          </w:tcPr>
          <w:p w14:paraId="518B69EA"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9EB"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E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E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9EE"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9EF" w14:textId="77777777" w:rsidR="005C332D" w:rsidRDefault="00B93EAE">
            <w:pPr>
              <w:jc w:val="right"/>
              <w:textAlignment w:val="bottom"/>
            </w:pPr>
            <w:r>
              <w:rPr>
                <w:rFonts w:ascii="Times New Roman" w:eastAsia="宋体" w:hAnsi="Times New Roman"/>
                <w:b/>
                <w:bCs/>
                <w:color w:val="000000"/>
                <w:sz w:val="20"/>
                <w:szCs w:val="20"/>
              </w:rPr>
              <w:t>46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F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F1"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9F2"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9F3" w14:textId="77777777" w:rsidR="005C332D" w:rsidRDefault="00B93EAE">
            <w:pPr>
              <w:jc w:val="right"/>
              <w:textAlignment w:val="bottom"/>
            </w:pPr>
            <w:r>
              <w:rPr>
                <w:rFonts w:ascii="Times New Roman" w:eastAsia="宋体" w:hAnsi="Times New Roman"/>
                <w:b/>
                <w:bCs/>
                <w:color w:val="000000"/>
                <w:sz w:val="20"/>
                <w:szCs w:val="20"/>
              </w:rPr>
              <w:t>136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F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F5"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9F6"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9F7" w14:textId="77777777" w:rsidR="005C332D" w:rsidRDefault="00B93EAE">
            <w:pPr>
              <w:jc w:val="right"/>
              <w:textAlignment w:val="bottom"/>
            </w:pPr>
            <w:r>
              <w:rPr>
                <w:rFonts w:ascii="Times New Roman" w:eastAsia="宋体" w:hAnsi="Times New Roman"/>
                <w:b/>
                <w:bCs/>
                <w:color w:val="000000"/>
                <w:sz w:val="20"/>
                <w:szCs w:val="20"/>
              </w:rPr>
              <w:t>458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F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F9"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9FA"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9FB" w14:textId="77777777" w:rsidR="005C332D" w:rsidRDefault="00B93EAE">
            <w:pPr>
              <w:jc w:val="right"/>
              <w:textAlignment w:val="bottom"/>
            </w:pPr>
            <w:r>
              <w:rPr>
                <w:rFonts w:ascii="Times New Roman" w:eastAsia="宋体" w:hAnsi="Times New Roman"/>
                <w:b/>
                <w:bCs/>
                <w:color w:val="000000"/>
                <w:sz w:val="20"/>
                <w:szCs w:val="20"/>
              </w:rPr>
              <w:t>896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9F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9F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9FE"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9FF" w14:textId="77777777" w:rsidR="005C332D" w:rsidRDefault="00B93EAE">
            <w:pPr>
              <w:jc w:val="right"/>
              <w:textAlignment w:val="bottom"/>
            </w:pPr>
            <w:r>
              <w:rPr>
                <w:rFonts w:ascii="Times New Roman" w:eastAsia="宋体" w:hAnsi="Times New Roman"/>
                <w:b/>
                <w:bCs/>
                <w:color w:val="000000"/>
                <w:sz w:val="20"/>
                <w:szCs w:val="20"/>
              </w:rPr>
              <w:t>1,488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0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01"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A02"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6A03" w14:textId="77777777" w:rsidR="005C332D" w:rsidRDefault="00B93EAE">
            <w:pPr>
              <w:jc w:val="right"/>
              <w:textAlignment w:val="bottom"/>
            </w:pPr>
            <w:r>
              <w:rPr>
                <w:rFonts w:ascii="Times New Roman" w:eastAsia="宋体" w:hAnsi="Times New Roman"/>
                <w:b/>
                <w:bCs/>
                <w:color w:val="000000"/>
                <w:sz w:val="20"/>
                <w:szCs w:val="20"/>
              </w:rPr>
              <w:t>3,025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04" w14:textId="77777777" w:rsidR="005C332D" w:rsidRDefault="005C332D">
            <w:pPr>
              <w:jc w:val="right"/>
              <w:rPr>
                <w:rFonts w:ascii="宋体"/>
              </w:rPr>
            </w:pPr>
          </w:p>
        </w:tc>
      </w:tr>
      <w:tr w:rsidR="005C332D" w14:paraId="518B6A1B" w14:textId="77777777">
        <w:tc>
          <w:tcPr>
            <w:tcW w:w="0" w:type="auto"/>
            <w:gridSpan w:val="3"/>
            <w:shd w:val="clear" w:color="auto" w:fill="FFFFFF"/>
            <w:tcMar>
              <w:top w:w="40" w:type="dxa"/>
              <w:left w:w="260" w:type="dxa"/>
              <w:bottom w:w="40" w:type="dxa"/>
              <w:right w:w="20" w:type="dxa"/>
            </w:tcMar>
          </w:tcPr>
          <w:p w14:paraId="518B6A06" w14:textId="77777777" w:rsidR="005C332D" w:rsidRDefault="00B93EAE">
            <w:pPr>
              <w:textAlignment w:val="top"/>
            </w:pPr>
            <w:r>
              <w:rPr>
                <w:rFonts w:ascii="Times New Roman" w:eastAsia="宋体" w:hAnsi="Times New Roman"/>
                <w:b/>
                <w:bCs/>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518B6A07"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0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0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0A"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0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0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0D" w14:textId="77777777" w:rsidR="005C332D" w:rsidRDefault="00B93EAE">
            <w:pPr>
              <w:jc w:val="right"/>
              <w:textAlignment w:val="bottom"/>
            </w:pPr>
            <w:r>
              <w:rPr>
                <w:rFonts w:ascii="Times New Roman" w:eastAsia="宋体" w:hAnsi="Times New Roman"/>
                <w:b/>
                <w:bCs/>
                <w:color w:val="000000"/>
                <w:sz w:val="20"/>
                <w:szCs w:val="20"/>
              </w:rPr>
              <w:t>71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0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0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10" w14:textId="77777777" w:rsidR="005C332D" w:rsidRDefault="00B93EAE">
            <w:pPr>
              <w:jc w:val="right"/>
              <w:textAlignment w:val="bottom"/>
            </w:pPr>
            <w:r>
              <w:rPr>
                <w:rFonts w:ascii="Times New Roman" w:eastAsia="宋体" w:hAnsi="Times New Roman"/>
                <w:b/>
                <w:bCs/>
                <w:color w:val="000000"/>
                <w:sz w:val="20"/>
                <w:szCs w:val="20"/>
              </w:rPr>
              <w:t>242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1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1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13" w14:textId="77777777" w:rsidR="005C332D" w:rsidRDefault="00B93EAE">
            <w:pPr>
              <w:jc w:val="right"/>
              <w:textAlignment w:val="bottom"/>
            </w:pPr>
            <w:r>
              <w:rPr>
                <w:rFonts w:ascii="Times New Roman" w:eastAsia="宋体" w:hAnsi="Times New Roman"/>
                <w:b/>
                <w:bCs/>
                <w:color w:val="000000"/>
                <w:sz w:val="20"/>
                <w:szCs w:val="20"/>
              </w:rPr>
              <w:t>465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1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1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16" w14:textId="77777777" w:rsidR="005C332D" w:rsidRDefault="00B93EAE">
            <w:pPr>
              <w:jc w:val="right"/>
              <w:textAlignment w:val="bottom"/>
            </w:pPr>
            <w:r>
              <w:rPr>
                <w:rFonts w:ascii="Times New Roman" w:eastAsia="宋体" w:hAnsi="Times New Roman"/>
                <w:b/>
                <w:bCs/>
                <w:color w:val="000000"/>
                <w:sz w:val="20"/>
                <w:szCs w:val="20"/>
              </w:rPr>
              <w:t>733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1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1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19" w14:textId="77777777" w:rsidR="005C332D" w:rsidRDefault="00B93EAE">
            <w:pPr>
              <w:jc w:val="right"/>
              <w:textAlignment w:val="bottom"/>
            </w:pPr>
            <w:r>
              <w:rPr>
                <w:rFonts w:ascii="Times New Roman" w:eastAsia="宋体" w:hAnsi="Times New Roman"/>
                <w:b/>
                <w:bCs/>
                <w:color w:val="000000"/>
                <w:sz w:val="20"/>
                <w:szCs w:val="20"/>
              </w:rPr>
              <w:t>1,522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1A" w14:textId="77777777" w:rsidR="005C332D" w:rsidRDefault="005C332D">
            <w:pPr>
              <w:jc w:val="right"/>
              <w:rPr>
                <w:rFonts w:ascii="宋体"/>
              </w:rPr>
            </w:pPr>
          </w:p>
        </w:tc>
      </w:tr>
      <w:tr w:rsidR="005C332D" w14:paraId="518B6A31" w14:textId="77777777">
        <w:tc>
          <w:tcPr>
            <w:tcW w:w="0" w:type="auto"/>
            <w:gridSpan w:val="3"/>
            <w:shd w:val="clear" w:color="auto" w:fill="CCEEFF"/>
            <w:tcMar>
              <w:top w:w="40" w:type="dxa"/>
              <w:left w:w="260" w:type="dxa"/>
              <w:bottom w:w="40" w:type="dxa"/>
              <w:right w:w="20" w:type="dxa"/>
            </w:tcMar>
          </w:tcPr>
          <w:p w14:paraId="518B6A1C" w14:textId="77777777" w:rsidR="005C332D" w:rsidRDefault="00B93EAE">
            <w:pPr>
              <w:textAlignment w:val="top"/>
            </w:pPr>
            <w:r>
              <w:rPr>
                <w:rFonts w:ascii="Times New Roman" w:eastAsia="宋体" w:hAnsi="Times New Roman"/>
                <w:b/>
                <w:bCs/>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518B6A1D"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1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1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20"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2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2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23" w14:textId="77777777" w:rsidR="005C332D" w:rsidRDefault="00B93EAE">
            <w:pPr>
              <w:jc w:val="right"/>
              <w:textAlignment w:val="bottom"/>
            </w:pPr>
            <w:r>
              <w:rPr>
                <w:rFonts w:ascii="Times New Roman" w:eastAsia="宋体" w:hAnsi="Times New Roman"/>
                <w:b/>
                <w:bCs/>
                <w:color w:val="000000"/>
                <w:sz w:val="20"/>
                <w:szCs w:val="20"/>
              </w:rPr>
              <w:t>20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2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2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26" w14:textId="77777777" w:rsidR="005C332D" w:rsidRDefault="00B93EAE">
            <w:pPr>
              <w:jc w:val="right"/>
              <w:textAlignment w:val="bottom"/>
            </w:pPr>
            <w:r>
              <w:rPr>
                <w:rFonts w:ascii="Times New Roman" w:eastAsia="宋体" w:hAnsi="Times New Roman"/>
                <w:b/>
                <w:bCs/>
                <w:color w:val="000000"/>
                <w:sz w:val="20"/>
                <w:szCs w:val="20"/>
              </w:rPr>
              <w:t>38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2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2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29" w14:textId="77777777" w:rsidR="005C332D" w:rsidRDefault="00B93EAE">
            <w:pPr>
              <w:jc w:val="right"/>
              <w:textAlignment w:val="bottom"/>
            </w:pPr>
            <w:r>
              <w:rPr>
                <w:rFonts w:ascii="Times New Roman" w:eastAsia="宋体" w:hAnsi="Times New Roman"/>
                <w:b/>
                <w:bCs/>
                <w:color w:val="000000"/>
                <w:sz w:val="20"/>
                <w:szCs w:val="20"/>
              </w:rPr>
              <w:t>37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2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2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2C" w14:textId="77777777" w:rsidR="005C332D" w:rsidRDefault="00B93EAE">
            <w:pPr>
              <w:jc w:val="right"/>
              <w:textAlignment w:val="bottom"/>
            </w:pPr>
            <w:r>
              <w:rPr>
                <w:rFonts w:ascii="Times New Roman" w:eastAsia="宋体" w:hAnsi="Times New Roman"/>
                <w:b/>
                <w:bCs/>
                <w:color w:val="000000"/>
                <w:sz w:val="20"/>
                <w:szCs w:val="20"/>
              </w:rPr>
              <w:t>12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2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2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2F" w14:textId="77777777" w:rsidR="005C332D" w:rsidRDefault="00B93EAE">
            <w:pPr>
              <w:jc w:val="right"/>
              <w:textAlignment w:val="bottom"/>
            </w:pPr>
            <w:r>
              <w:rPr>
                <w:rFonts w:ascii="Times New Roman" w:eastAsia="宋体" w:hAnsi="Times New Roman"/>
                <w:b/>
                <w:bCs/>
                <w:color w:val="000000"/>
                <w:sz w:val="20"/>
                <w:szCs w:val="20"/>
              </w:rPr>
              <w:t>109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30" w14:textId="77777777" w:rsidR="005C332D" w:rsidRDefault="005C332D">
            <w:pPr>
              <w:jc w:val="right"/>
              <w:rPr>
                <w:rFonts w:ascii="宋体"/>
              </w:rPr>
            </w:pPr>
          </w:p>
        </w:tc>
      </w:tr>
      <w:tr w:rsidR="005C332D" w14:paraId="518B6A4E" w14:textId="77777777">
        <w:tc>
          <w:tcPr>
            <w:tcW w:w="0" w:type="auto"/>
            <w:gridSpan w:val="3"/>
            <w:shd w:val="clear" w:color="auto" w:fill="FFFFFF"/>
            <w:tcMar>
              <w:top w:w="40" w:type="dxa"/>
              <w:left w:w="500" w:type="dxa"/>
              <w:bottom w:w="40" w:type="dxa"/>
              <w:right w:w="20" w:type="dxa"/>
            </w:tcMar>
          </w:tcPr>
          <w:p w14:paraId="518B6A32" w14:textId="77777777" w:rsidR="005C332D" w:rsidRDefault="00B93EAE">
            <w:pPr>
              <w:textAlignment w:val="top"/>
            </w:pPr>
            <w:r>
              <w:rPr>
                <w:rFonts w:ascii="Times New Roman" w:eastAsia="宋体" w:hAnsi="Times New Roman"/>
                <w:b/>
                <w:bCs/>
                <w:color w:val="000000"/>
                <w:sz w:val="20"/>
                <w:szCs w:val="20"/>
              </w:rPr>
              <w:t>Total Loan Receivables</w:t>
            </w:r>
          </w:p>
        </w:tc>
        <w:tc>
          <w:tcPr>
            <w:tcW w:w="0" w:type="auto"/>
            <w:tcBorders>
              <w:top w:val="single" w:sz="8" w:space="0" w:color="000000"/>
            </w:tcBorders>
            <w:shd w:val="clear" w:color="auto" w:fill="FFFFFF"/>
            <w:tcMar>
              <w:top w:w="40" w:type="dxa"/>
              <w:left w:w="20" w:type="dxa"/>
              <w:bottom w:w="40" w:type="dxa"/>
              <w:right w:w="0" w:type="dxa"/>
            </w:tcMar>
            <w:vAlign w:val="bottom"/>
          </w:tcPr>
          <w:p w14:paraId="518B6A3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A34" w14:textId="77777777" w:rsidR="005C332D" w:rsidRDefault="00B93EAE">
            <w:pPr>
              <w:jc w:val="right"/>
              <w:textAlignment w:val="bottom"/>
            </w:pPr>
            <w:r>
              <w:rPr>
                <w:rFonts w:ascii="Times New Roman" w:eastAsia="宋体" w:hAnsi="Times New Roman"/>
                <w:b/>
                <w:bCs/>
                <w:color w:val="000000"/>
                <w:sz w:val="20"/>
                <w:szCs w:val="20"/>
              </w:rPr>
              <w:t>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A3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36"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A3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A38" w14:textId="77777777" w:rsidR="005C332D" w:rsidRDefault="00B93EAE">
            <w:pPr>
              <w:jc w:val="right"/>
              <w:textAlignment w:val="bottom"/>
            </w:pPr>
            <w:r>
              <w:rPr>
                <w:rFonts w:ascii="Times New Roman" w:eastAsia="宋体" w:hAnsi="Times New Roman"/>
                <w:b/>
                <w:bCs/>
                <w:color w:val="000000"/>
                <w:sz w:val="20"/>
                <w:szCs w:val="20"/>
              </w:rPr>
              <w:t>57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A3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3A"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A3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A3C" w14:textId="77777777" w:rsidR="005C332D" w:rsidRDefault="00B93EAE">
            <w:pPr>
              <w:jc w:val="right"/>
              <w:textAlignment w:val="bottom"/>
            </w:pPr>
            <w:r>
              <w:rPr>
                <w:rFonts w:ascii="Times New Roman" w:eastAsia="宋体" w:hAnsi="Times New Roman"/>
                <w:b/>
                <w:bCs/>
                <w:color w:val="000000"/>
                <w:sz w:val="20"/>
                <w:szCs w:val="20"/>
              </w:rPr>
              <w:t>227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A3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3E"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A3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A40" w14:textId="77777777" w:rsidR="005C332D" w:rsidRDefault="00B93EAE">
            <w:pPr>
              <w:jc w:val="right"/>
              <w:textAlignment w:val="bottom"/>
            </w:pPr>
            <w:r>
              <w:rPr>
                <w:rFonts w:ascii="Times New Roman" w:eastAsia="宋体" w:hAnsi="Times New Roman"/>
                <w:b/>
                <w:bCs/>
                <w:color w:val="000000"/>
                <w:sz w:val="20"/>
                <w:szCs w:val="20"/>
              </w:rPr>
              <w:t>738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A4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42"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A4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A44" w14:textId="77777777" w:rsidR="005C332D" w:rsidRDefault="00B93EAE">
            <w:pPr>
              <w:jc w:val="right"/>
              <w:textAlignment w:val="bottom"/>
            </w:pPr>
            <w:r>
              <w:rPr>
                <w:rFonts w:ascii="Times New Roman" w:eastAsia="宋体" w:hAnsi="Times New Roman"/>
                <w:b/>
                <w:bCs/>
                <w:color w:val="000000"/>
                <w:sz w:val="20"/>
                <w:szCs w:val="20"/>
              </w:rPr>
              <w:t>1,398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A4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46"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A4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A48" w14:textId="77777777" w:rsidR="005C332D" w:rsidRDefault="00B93EAE">
            <w:pPr>
              <w:jc w:val="right"/>
              <w:textAlignment w:val="bottom"/>
            </w:pPr>
            <w:r>
              <w:rPr>
                <w:rFonts w:ascii="Times New Roman" w:eastAsia="宋体" w:hAnsi="Times New Roman"/>
                <w:b/>
                <w:bCs/>
                <w:color w:val="000000"/>
                <w:sz w:val="20"/>
                <w:szCs w:val="20"/>
              </w:rPr>
              <w:t>2,233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A4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4A"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A4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A4C" w14:textId="77777777" w:rsidR="005C332D" w:rsidRDefault="00B93EAE">
            <w:pPr>
              <w:jc w:val="right"/>
              <w:textAlignment w:val="bottom"/>
            </w:pPr>
            <w:r>
              <w:rPr>
                <w:rFonts w:ascii="Times New Roman" w:eastAsia="宋体" w:hAnsi="Times New Roman"/>
                <w:b/>
                <w:bCs/>
                <w:color w:val="000000"/>
                <w:sz w:val="20"/>
                <w:szCs w:val="20"/>
              </w:rPr>
              <w:t>4,656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A4D" w14:textId="77777777" w:rsidR="005C332D" w:rsidRDefault="005C332D">
            <w:pPr>
              <w:jc w:val="right"/>
              <w:rPr>
                <w:rFonts w:ascii="宋体"/>
              </w:rPr>
            </w:pPr>
          </w:p>
        </w:tc>
      </w:tr>
      <w:tr w:rsidR="005C332D" w14:paraId="518B6A5D" w14:textId="77777777">
        <w:tc>
          <w:tcPr>
            <w:tcW w:w="0" w:type="auto"/>
            <w:gridSpan w:val="3"/>
            <w:shd w:val="clear" w:color="auto" w:fill="CCEEFF"/>
            <w:tcMar>
              <w:top w:w="40" w:type="dxa"/>
              <w:left w:w="20" w:type="dxa"/>
              <w:bottom w:w="40" w:type="dxa"/>
              <w:right w:w="20" w:type="dxa"/>
            </w:tcMar>
          </w:tcPr>
          <w:p w14:paraId="518B6A4F" w14:textId="77777777" w:rsidR="005C332D" w:rsidRDefault="00B93EAE">
            <w:pPr>
              <w:textAlignment w:val="top"/>
            </w:pPr>
            <w:r>
              <w:rPr>
                <w:rFonts w:ascii="Times New Roman" w:eastAsia="宋体" w:hAnsi="Times New Roman"/>
                <w:b/>
                <w:bCs/>
                <w:color w:val="000000"/>
                <w:sz w:val="20"/>
                <w:szCs w:val="20"/>
              </w:rPr>
              <w:t>Financed Service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A5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A51"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A5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A53"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A5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A55"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A5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A57"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A5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A59"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A5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A5B"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A5C" w14:textId="77777777" w:rsidR="005C332D" w:rsidRDefault="005C332D">
            <w:pPr>
              <w:rPr>
                <w:rFonts w:ascii="宋体"/>
              </w:rPr>
            </w:pPr>
          </w:p>
        </w:tc>
      </w:tr>
      <w:tr w:rsidR="005C332D" w14:paraId="518B6A7A" w14:textId="77777777">
        <w:tc>
          <w:tcPr>
            <w:tcW w:w="0" w:type="auto"/>
            <w:gridSpan w:val="3"/>
            <w:shd w:val="clear" w:color="auto" w:fill="FFFFFF"/>
            <w:tcMar>
              <w:top w:w="40" w:type="dxa"/>
              <w:left w:w="260" w:type="dxa"/>
              <w:bottom w:w="40" w:type="dxa"/>
              <w:right w:w="20" w:type="dxa"/>
            </w:tcMar>
          </w:tcPr>
          <w:p w14:paraId="518B6A5E" w14:textId="77777777" w:rsidR="005C332D" w:rsidRDefault="00B93EAE">
            <w:pPr>
              <w:textAlignment w:val="top"/>
            </w:pPr>
            <w:r>
              <w:rPr>
                <w:rFonts w:ascii="Times New Roman" w:eastAsia="宋体" w:hAnsi="Times New Roman"/>
                <w:b/>
                <w:bCs/>
                <w:color w:val="000000"/>
                <w:sz w:val="20"/>
                <w:szCs w:val="20"/>
              </w:rPr>
              <w:t>1 to 4</w:t>
            </w:r>
          </w:p>
        </w:tc>
        <w:tc>
          <w:tcPr>
            <w:tcW w:w="0" w:type="auto"/>
            <w:shd w:val="clear" w:color="auto" w:fill="FFFFFF"/>
            <w:tcMar>
              <w:top w:w="40" w:type="dxa"/>
              <w:left w:w="20" w:type="dxa"/>
              <w:bottom w:w="40" w:type="dxa"/>
              <w:right w:w="0" w:type="dxa"/>
            </w:tcMar>
            <w:vAlign w:val="bottom"/>
          </w:tcPr>
          <w:p w14:paraId="518B6A5F"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A60"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6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62"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A63"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A64" w14:textId="77777777" w:rsidR="005C332D" w:rsidRDefault="00B93EAE">
            <w:pPr>
              <w:jc w:val="right"/>
              <w:textAlignment w:val="bottom"/>
            </w:pPr>
            <w:r>
              <w:rPr>
                <w:rFonts w:ascii="Times New Roman" w:eastAsia="宋体" w:hAnsi="Times New Roman"/>
                <w:b/>
                <w:bCs/>
                <w:color w:val="000000"/>
                <w:sz w:val="20"/>
                <w:szCs w:val="20"/>
              </w:rPr>
              <w:t>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6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66"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A67"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A68" w14:textId="77777777" w:rsidR="005C332D" w:rsidRDefault="00B93EAE">
            <w:pPr>
              <w:jc w:val="right"/>
              <w:textAlignment w:val="bottom"/>
            </w:pPr>
            <w:r>
              <w:rPr>
                <w:rFonts w:ascii="Times New Roman" w:eastAsia="宋体" w:hAnsi="Times New Roman"/>
                <w:b/>
                <w:bCs/>
                <w:color w:val="000000"/>
                <w:sz w:val="20"/>
                <w:szCs w:val="20"/>
              </w:rPr>
              <w:t>37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6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6A"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A6B"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A6C" w14:textId="77777777" w:rsidR="005C332D" w:rsidRDefault="00B93EAE">
            <w:pPr>
              <w:jc w:val="right"/>
              <w:textAlignment w:val="bottom"/>
            </w:pPr>
            <w:r>
              <w:rPr>
                <w:rFonts w:ascii="Times New Roman" w:eastAsia="宋体" w:hAnsi="Times New Roman"/>
                <w:b/>
                <w:bCs/>
                <w:color w:val="000000"/>
                <w:sz w:val="20"/>
                <w:szCs w:val="20"/>
              </w:rPr>
              <w:t>78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6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6E"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A6F"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A70" w14:textId="77777777" w:rsidR="005C332D" w:rsidRDefault="00B93EAE">
            <w:pPr>
              <w:jc w:val="right"/>
              <w:textAlignment w:val="bottom"/>
            </w:pPr>
            <w:r>
              <w:rPr>
                <w:rFonts w:ascii="Times New Roman" w:eastAsia="宋体" w:hAnsi="Times New Roman"/>
                <w:b/>
                <w:bCs/>
                <w:color w:val="000000"/>
                <w:sz w:val="20"/>
                <w:szCs w:val="20"/>
              </w:rPr>
              <w:t>562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7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72"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A73"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A74" w14:textId="77777777" w:rsidR="005C332D" w:rsidRDefault="00B93EAE">
            <w:pPr>
              <w:jc w:val="right"/>
              <w:textAlignment w:val="bottom"/>
            </w:pPr>
            <w:r>
              <w:rPr>
                <w:rFonts w:ascii="Times New Roman" w:eastAsia="宋体" w:hAnsi="Times New Roman"/>
                <w:b/>
                <w:bCs/>
                <w:color w:val="000000"/>
                <w:sz w:val="20"/>
                <w:szCs w:val="20"/>
              </w:rPr>
              <w:t>799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7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76"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A77"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6A78" w14:textId="77777777" w:rsidR="005C332D" w:rsidRDefault="00B93EAE">
            <w:pPr>
              <w:jc w:val="right"/>
              <w:textAlignment w:val="bottom"/>
            </w:pPr>
            <w:r>
              <w:rPr>
                <w:rFonts w:ascii="Times New Roman" w:eastAsia="宋体" w:hAnsi="Times New Roman"/>
                <w:b/>
                <w:bCs/>
                <w:color w:val="000000"/>
                <w:sz w:val="20"/>
                <w:szCs w:val="20"/>
              </w:rPr>
              <w:t>1,480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79" w14:textId="77777777" w:rsidR="005C332D" w:rsidRDefault="005C332D">
            <w:pPr>
              <w:jc w:val="right"/>
              <w:rPr>
                <w:rFonts w:ascii="宋体"/>
              </w:rPr>
            </w:pPr>
          </w:p>
        </w:tc>
      </w:tr>
      <w:tr w:rsidR="005C332D" w14:paraId="518B6A90" w14:textId="77777777">
        <w:tc>
          <w:tcPr>
            <w:tcW w:w="0" w:type="auto"/>
            <w:gridSpan w:val="3"/>
            <w:shd w:val="clear" w:color="auto" w:fill="CCEEFF"/>
            <w:tcMar>
              <w:top w:w="40" w:type="dxa"/>
              <w:left w:w="260" w:type="dxa"/>
              <w:bottom w:w="40" w:type="dxa"/>
              <w:right w:w="20" w:type="dxa"/>
            </w:tcMar>
          </w:tcPr>
          <w:p w14:paraId="518B6A7B" w14:textId="77777777" w:rsidR="005C332D" w:rsidRDefault="00B93EAE">
            <w:pPr>
              <w:textAlignment w:val="top"/>
            </w:pPr>
            <w:r>
              <w:rPr>
                <w:rFonts w:ascii="Times New Roman" w:eastAsia="宋体" w:hAnsi="Times New Roman"/>
                <w:b/>
                <w:bCs/>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518B6A7C"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7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7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7F" w14:textId="77777777" w:rsidR="005C332D" w:rsidRDefault="00B93EAE">
            <w:pPr>
              <w:jc w:val="right"/>
              <w:textAlignment w:val="bottom"/>
            </w:pPr>
            <w:r>
              <w:rPr>
                <w:rFonts w:ascii="Times New Roman" w:eastAsia="宋体" w:hAnsi="Times New Roman"/>
                <w:b/>
                <w:bCs/>
                <w:color w:val="000000"/>
                <w:sz w:val="20"/>
                <w:szCs w:val="20"/>
              </w:rPr>
              <w:t>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8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8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82" w14:textId="77777777" w:rsidR="005C332D" w:rsidRDefault="00B93EAE">
            <w:pPr>
              <w:jc w:val="right"/>
              <w:textAlignment w:val="bottom"/>
            </w:pPr>
            <w:r>
              <w:rPr>
                <w:rFonts w:ascii="Times New Roman" w:eastAsia="宋体" w:hAnsi="Times New Roman"/>
                <w:b/>
                <w:bCs/>
                <w:color w:val="000000"/>
                <w:sz w:val="20"/>
                <w:szCs w:val="20"/>
              </w:rPr>
              <w:t>44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8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8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85" w14:textId="77777777" w:rsidR="005C332D" w:rsidRDefault="00B93EAE">
            <w:pPr>
              <w:jc w:val="right"/>
              <w:textAlignment w:val="bottom"/>
            </w:pPr>
            <w:r>
              <w:rPr>
                <w:rFonts w:ascii="Times New Roman" w:eastAsia="宋体" w:hAnsi="Times New Roman"/>
                <w:b/>
                <w:bCs/>
                <w:color w:val="000000"/>
                <w:sz w:val="20"/>
                <w:szCs w:val="20"/>
              </w:rPr>
              <w:t>103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8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8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88" w14:textId="77777777" w:rsidR="005C332D" w:rsidRDefault="00B93EAE">
            <w:pPr>
              <w:jc w:val="right"/>
              <w:textAlignment w:val="bottom"/>
            </w:pPr>
            <w:r>
              <w:rPr>
                <w:rFonts w:ascii="Times New Roman" w:eastAsia="宋体" w:hAnsi="Times New Roman"/>
                <w:b/>
                <w:bCs/>
                <w:color w:val="000000"/>
                <w:sz w:val="20"/>
                <w:szCs w:val="20"/>
              </w:rPr>
              <w:t>244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8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8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8B" w14:textId="77777777" w:rsidR="005C332D" w:rsidRDefault="00B93EAE">
            <w:pPr>
              <w:jc w:val="right"/>
              <w:textAlignment w:val="bottom"/>
            </w:pPr>
            <w:r>
              <w:rPr>
                <w:rFonts w:ascii="Times New Roman" w:eastAsia="宋体" w:hAnsi="Times New Roman"/>
                <w:b/>
                <w:bCs/>
                <w:color w:val="000000"/>
                <w:sz w:val="20"/>
                <w:szCs w:val="20"/>
              </w:rPr>
              <w:t>297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8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8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A8E" w14:textId="77777777" w:rsidR="005C332D" w:rsidRDefault="00B93EAE">
            <w:pPr>
              <w:jc w:val="right"/>
              <w:textAlignment w:val="bottom"/>
            </w:pPr>
            <w:r>
              <w:rPr>
                <w:rFonts w:ascii="Times New Roman" w:eastAsia="宋体" w:hAnsi="Times New Roman"/>
                <w:b/>
                <w:bCs/>
                <w:color w:val="000000"/>
                <w:sz w:val="20"/>
                <w:szCs w:val="20"/>
              </w:rPr>
              <w:t>695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A8F" w14:textId="77777777" w:rsidR="005C332D" w:rsidRDefault="005C332D">
            <w:pPr>
              <w:jc w:val="right"/>
              <w:rPr>
                <w:rFonts w:ascii="宋体"/>
              </w:rPr>
            </w:pPr>
          </w:p>
        </w:tc>
      </w:tr>
      <w:tr w:rsidR="005C332D" w14:paraId="518B6AA6" w14:textId="77777777">
        <w:tc>
          <w:tcPr>
            <w:tcW w:w="0" w:type="auto"/>
            <w:gridSpan w:val="3"/>
            <w:shd w:val="clear" w:color="auto" w:fill="FFFFFF"/>
            <w:tcMar>
              <w:top w:w="40" w:type="dxa"/>
              <w:left w:w="260" w:type="dxa"/>
              <w:bottom w:w="40" w:type="dxa"/>
              <w:right w:w="20" w:type="dxa"/>
            </w:tcMar>
          </w:tcPr>
          <w:p w14:paraId="518B6A91" w14:textId="77777777" w:rsidR="005C332D" w:rsidRDefault="00B93EAE">
            <w:pPr>
              <w:textAlignment w:val="top"/>
            </w:pPr>
            <w:r>
              <w:rPr>
                <w:rFonts w:ascii="Times New Roman" w:eastAsia="宋体" w:hAnsi="Times New Roman"/>
                <w:b/>
                <w:bCs/>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518B6A92"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9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9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95"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9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9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98" w14:textId="77777777" w:rsidR="005C332D" w:rsidRDefault="00B93EAE">
            <w:pPr>
              <w:jc w:val="right"/>
              <w:textAlignment w:val="bottom"/>
            </w:pPr>
            <w:r>
              <w:rPr>
                <w:rFonts w:ascii="Times New Roman" w:eastAsia="宋体" w:hAnsi="Times New Roman"/>
                <w:b/>
                <w:bCs/>
                <w:color w:val="000000"/>
                <w:sz w:val="20"/>
                <w:szCs w:val="20"/>
              </w:rPr>
              <w:t>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9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9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9B" w14:textId="77777777" w:rsidR="005C332D" w:rsidRDefault="00B93EAE">
            <w:pPr>
              <w:jc w:val="right"/>
              <w:textAlignment w:val="bottom"/>
            </w:pPr>
            <w:r>
              <w:rPr>
                <w:rFonts w:ascii="Times New Roman" w:eastAsia="宋体" w:hAnsi="Times New Roman"/>
                <w:b/>
                <w:bCs/>
                <w:color w:val="000000"/>
                <w:sz w:val="20"/>
                <w:szCs w:val="20"/>
              </w:rPr>
              <w:t>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9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9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9E" w14:textId="77777777" w:rsidR="005C332D" w:rsidRDefault="00B93EAE">
            <w:pPr>
              <w:jc w:val="right"/>
              <w:textAlignment w:val="bottom"/>
            </w:pPr>
            <w:r>
              <w:rPr>
                <w:rFonts w:ascii="Times New Roman" w:eastAsia="宋体" w:hAnsi="Times New Roman"/>
                <w:b/>
                <w:bCs/>
                <w:color w:val="000000"/>
                <w:sz w:val="20"/>
                <w:szCs w:val="20"/>
              </w:rPr>
              <w:t>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9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A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A1"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A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A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AA4" w14:textId="77777777" w:rsidR="005C332D" w:rsidRDefault="00B93EAE">
            <w:pPr>
              <w:jc w:val="right"/>
              <w:textAlignment w:val="bottom"/>
            </w:pPr>
            <w:r>
              <w:rPr>
                <w:rFonts w:ascii="Times New Roman" w:eastAsia="宋体" w:hAnsi="Times New Roman"/>
                <w:b/>
                <w:bCs/>
                <w:color w:val="000000"/>
                <w:sz w:val="20"/>
                <w:szCs w:val="20"/>
              </w:rPr>
              <w:t>11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AA5" w14:textId="77777777" w:rsidR="005C332D" w:rsidRDefault="005C332D">
            <w:pPr>
              <w:jc w:val="right"/>
              <w:rPr>
                <w:rFonts w:ascii="宋体"/>
              </w:rPr>
            </w:pPr>
          </w:p>
        </w:tc>
      </w:tr>
      <w:tr w:rsidR="005C332D" w14:paraId="518B6AC3" w14:textId="77777777">
        <w:tc>
          <w:tcPr>
            <w:tcW w:w="0" w:type="auto"/>
            <w:gridSpan w:val="3"/>
            <w:shd w:val="clear" w:color="auto" w:fill="CCEEFF"/>
            <w:tcMar>
              <w:top w:w="40" w:type="dxa"/>
              <w:left w:w="500" w:type="dxa"/>
              <w:bottom w:w="40" w:type="dxa"/>
              <w:right w:w="20" w:type="dxa"/>
            </w:tcMar>
          </w:tcPr>
          <w:p w14:paraId="518B6AA7" w14:textId="77777777" w:rsidR="005C332D" w:rsidRDefault="00B93EAE">
            <w:pPr>
              <w:textAlignment w:val="top"/>
            </w:pPr>
            <w:r>
              <w:rPr>
                <w:rFonts w:ascii="Times New Roman" w:eastAsia="宋体" w:hAnsi="Times New Roman"/>
                <w:b/>
                <w:bCs/>
                <w:color w:val="000000"/>
                <w:sz w:val="20"/>
                <w:szCs w:val="20"/>
              </w:rPr>
              <w:t>Total Financed Service Contracts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AA8"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AA9"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AA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A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AA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AAD"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AA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A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AB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AB1" w14:textId="77777777" w:rsidR="005C332D" w:rsidRDefault="00B93EAE">
            <w:pPr>
              <w:jc w:val="right"/>
              <w:textAlignment w:val="bottom"/>
            </w:pPr>
            <w:r>
              <w:rPr>
                <w:rFonts w:ascii="Times New Roman" w:eastAsia="宋体" w:hAnsi="Times New Roman"/>
                <w:b/>
                <w:bCs/>
                <w:color w:val="000000"/>
                <w:sz w:val="20"/>
                <w:szCs w:val="20"/>
              </w:rPr>
              <w:t>83</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AB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B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AB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AB5" w14:textId="77777777" w:rsidR="005C332D" w:rsidRDefault="00B93EAE">
            <w:pPr>
              <w:jc w:val="right"/>
              <w:textAlignment w:val="bottom"/>
            </w:pPr>
            <w:r>
              <w:rPr>
                <w:rFonts w:ascii="Times New Roman" w:eastAsia="宋体" w:hAnsi="Times New Roman"/>
                <w:b/>
                <w:bCs/>
                <w:color w:val="000000"/>
                <w:sz w:val="20"/>
                <w:szCs w:val="20"/>
              </w:rPr>
              <w:t>188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AB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B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AB8"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AB9" w14:textId="77777777" w:rsidR="005C332D" w:rsidRDefault="00B93EAE">
            <w:pPr>
              <w:jc w:val="right"/>
              <w:textAlignment w:val="bottom"/>
            </w:pPr>
            <w:r>
              <w:rPr>
                <w:rFonts w:ascii="Times New Roman" w:eastAsia="宋体" w:hAnsi="Times New Roman"/>
                <w:b/>
                <w:bCs/>
                <w:color w:val="000000"/>
                <w:sz w:val="20"/>
                <w:szCs w:val="20"/>
              </w:rPr>
              <w:t>808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AB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B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AB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ABD" w14:textId="77777777" w:rsidR="005C332D" w:rsidRDefault="00B93EAE">
            <w:pPr>
              <w:jc w:val="right"/>
              <w:textAlignment w:val="bottom"/>
            </w:pPr>
            <w:r>
              <w:rPr>
                <w:rFonts w:ascii="Times New Roman" w:eastAsia="宋体" w:hAnsi="Times New Roman"/>
                <w:b/>
                <w:bCs/>
                <w:color w:val="000000"/>
                <w:sz w:val="20"/>
                <w:szCs w:val="20"/>
              </w:rPr>
              <w:t>1,096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AB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AB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AC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AC1" w14:textId="77777777" w:rsidR="005C332D" w:rsidRDefault="00B93EAE">
            <w:pPr>
              <w:jc w:val="right"/>
              <w:textAlignment w:val="bottom"/>
            </w:pPr>
            <w:r>
              <w:rPr>
                <w:rFonts w:ascii="Times New Roman" w:eastAsia="宋体" w:hAnsi="Times New Roman"/>
                <w:b/>
                <w:bCs/>
                <w:color w:val="000000"/>
                <w:sz w:val="20"/>
                <w:szCs w:val="20"/>
              </w:rPr>
              <w:t>2,186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AC2" w14:textId="77777777" w:rsidR="005C332D" w:rsidRDefault="005C332D">
            <w:pPr>
              <w:jc w:val="right"/>
              <w:rPr>
                <w:rFonts w:ascii="宋体"/>
              </w:rPr>
            </w:pPr>
          </w:p>
        </w:tc>
      </w:tr>
      <w:tr w:rsidR="005C332D" w14:paraId="518B6AE0" w14:textId="77777777">
        <w:tc>
          <w:tcPr>
            <w:tcW w:w="0" w:type="auto"/>
            <w:gridSpan w:val="3"/>
            <w:shd w:val="clear" w:color="auto" w:fill="FFFFFF"/>
            <w:tcMar>
              <w:top w:w="40" w:type="dxa"/>
              <w:left w:w="860" w:type="dxa"/>
              <w:bottom w:w="40" w:type="dxa"/>
              <w:right w:w="20" w:type="dxa"/>
            </w:tcMar>
          </w:tcPr>
          <w:p w14:paraId="518B6AC4" w14:textId="77777777" w:rsidR="005C332D" w:rsidRDefault="00B93EAE">
            <w:pPr>
              <w:textAlignment w:val="top"/>
            </w:pPr>
            <w:r>
              <w:rPr>
                <w:rFonts w:ascii="Times New Roman" w:eastAsia="宋体" w:hAnsi="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AC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AC6" w14:textId="77777777" w:rsidR="005C332D" w:rsidRDefault="00B93EAE">
            <w:pPr>
              <w:jc w:val="right"/>
              <w:textAlignment w:val="bottom"/>
            </w:pPr>
            <w:r>
              <w:rPr>
                <w:rFonts w:ascii="Times New Roman" w:eastAsia="宋体" w:hAnsi="Times New Roman"/>
                <w:b/>
                <w:bCs/>
                <w:color w:val="000000"/>
                <w:sz w:val="20"/>
                <w:szCs w:val="20"/>
              </w:rPr>
              <w:t>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AC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C8"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AC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ACA" w14:textId="77777777" w:rsidR="005C332D" w:rsidRDefault="00B93EAE">
            <w:pPr>
              <w:jc w:val="right"/>
              <w:textAlignment w:val="bottom"/>
            </w:pPr>
            <w:r>
              <w:rPr>
                <w:rFonts w:ascii="Times New Roman" w:eastAsia="宋体" w:hAnsi="Times New Roman"/>
                <w:b/>
                <w:bCs/>
                <w:color w:val="000000"/>
                <w:sz w:val="20"/>
                <w:szCs w:val="20"/>
              </w:rPr>
              <w:t>103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AC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CC"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AC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ACE" w14:textId="77777777" w:rsidR="005C332D" w:rsidRDefault="00B93EAE">
            <w:pPr>
              <w:jc w:val="right"/>
              <w:textAlignment w:val="bottom"/>
            </w:pPr>
            <w:r>
              <w:rPr>
                <w:rFonts w:ascii="Times New Roman" w:eastAsia="宋体" w:hAnsi="Times New Roman"/>
                <w:b/>
                <w:bCs/>
                <w:color w:val="000000"/>
                <w:sz w:val="20"/>
                <w:szCs w:val="20"/>
              </w:rPr>
              <w:t>455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AC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D0"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AD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AD2" w14:textId="77777777" w:rsidR="005C332D" w:rsidRDefault="00B93EAE">
            <w:pPr>
              <w:jc w:val="right"/>
              <w:textAlignment w:val="bottom"/>
            </w:pPr>
            <w:r>
              <w:rPr>
                <w:rFonts w:ascii="Times New Roman" w:eastAsia="宋体" w:hAnsi="Times New Roman"/>
                <w:b/>
                <w:bCs/>
                <w:color w:val="000000"/>
                <w:sz w:val="20"/>
                <w:szCs w:val="20"/>
              </w:rPr>
              <w:t>1,208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AD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D4"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AD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AD6" w14:textId="77777777" w:rsidR="005C332D" w:rsidRDefault="00B93EAE">
            <w:pPr>
              <w:jc w:val="right"/>
              <w:textAlignment w:val="bottom"/>
            </w:pPr>
            <w:r>
              <w:rPr>
                <w:rFonts w:ascii="Times New Roman" w:eastAsia="宋体" w:hAnsi="Times New Roman"/>
                <w:b/>
                <w:bCs/>
                <w:color w:val="000000"/>
                <w:sz w:val="20"/>
                <w:szCs w:val="20"/>
              </w:rPr>
              <w:t>2,549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AD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D8"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AD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ADA" w14:textId="77777777" w:rsidR="005C332D" w:rsidRDefault="00B93EAE">
            <w:pPr>
              <w:jc w:val="right"/>
              <w:textAlignment w:val="bottom"/>
            </w:pPr>
            <w:r>
              <w:rPr>
                <w:rFonts w:ascii="Times New Roman" w:eastAsia="宋体" w:hAnsi="Times New Roman"/>
                <w:b/>
                <w:bCs/>
                <w:color w:val="000000"/>
                <w:sz w:val="20"/>
                <w:szCs w:val="20"/>
              </w:rPr>
              <w:t>3,642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AD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ADC"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AD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ADE" w14:textId="77777777" w:rsidR="005C332D" w:rsidRDefault="00B93EAE">
            <w:pPr>
              <w:jc w:val="right"/>
              <w:textAlignment w:val="bottom"/>
            </w:pPr>
            <w:r>
              <w:rPr>
                <w:rFonts w:ascii="Times New Roman" w:eastAsia="宋体" w:hAnsi="Times New Roman"/>
                <w:b/>
                <w:bCs/>
                <w:color w:val="000000"/>
                <w:sz w:val="20"/>
                <w:szCs w:val="20"/>
              </w:rPr>
              <w:t>7,964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ADF" w14:textId="77777777" w:rsidR="005C332D" w:rsidRDefault="005C332D">
            <w:pPr>
              <w:jc w:val="right"/>
              <w:rPr>
                <w:rFonts w:ascii="宋体"/>
              </w:rPr>
            </w:pPr>
          </w:p>
        </w:tc>
      </w:tr>
    </w:tbl>
    <w:p w14:paraId="518B6AE1" w14:textId="77777777" w:rsidR="005C332D" w:rsidRDefault="00B93EAE">
      <w:pPr>
        <w:jc w:val="center"/>
      </w:pPr>
      <w:r>
        <w:rPr>
          <w:rFonts w:ascii="Times New Roman" w:eastAsia="宋体" w:hAnsi="Times New Roman"/>
          <w:color w:val="000000"/>
          <w:sz w:val="20"/>
          <w:szCs w:val="20"/>
        </w:rPr>
        <w:t>79</w:t>
      </w:r>
    </w:p>
    <w:p w14:paraId="518B6AE2" w14:textId="77777777" w:rsidR="005C332D" w:rsidRDefault="00B93EAE">
      <w:r>
        <w:pict w14:anchorId="518B8764">
          <v:rect id="_x0000_i1105" style="width:415.3pt;height:1.5pt" o:hralign="center" o:hrstd="t" o:hr="t" fillcolor="#a0a0a0" stroked="f"/>
        </w:pict>
      </w:r>
    </w:p>
    <w:p w14:paraId="518B6AE3" w14:textId="77777777" w:rsidR="005C332D" w:rsidRDefault="005C332D"/>
    <w:tbl>
      <w:tblPr>
        <w:tblW w:w="5000" w:type="pct"/>
        <w:tblCellMar>
          <w:top w:w="15" w:type="dxa"/>
          <w:left w:w="15" w:type="dxa"/>
          <w:bottom w:w="15" w:type="dxa"/>
          <w:right w:w="15" w:type="dxa"/>
        </w:tblCellMar>
        <w:tblLook w:val="04A0" w:firstRow="1" w:lastRow="0" w:firstColumn="1" w:lastColumn="0" w:noHBand="0" w:noVBand="1"/>
      </w:tblPr>
      <w:tblGrid>
        <w:gridCol w:w="43"/>
        <w:gridCol w:w="2785"/>
        <w:gridCol w:w="39"/>
        <w:gridCol w:w="120"/>
        <w:gridCol w:w="496"/>
        <w:gridCol w:w="36"/>
        <w:gridCol w:w="36"/>
        <w:gridCol w:w="36"/>
        <w:gridCol w:w="36"/>
        <w:gridCol w:w="120"/>
        <w:gridCol w:w="530"/>
        <w:gridCol w:w="36"/>
        <w:gridCol w:w="36"/>
        <w:gridCol w:w="36"/>
        <w:gridCol w:w="36"/>
        <w:gridCol w:w="120"/>
        <w:gridCol w:w="530"/>
        <w:gridCol w:w="36"/>
        <w:gridCol w:w="36"/>
        <w:gridCol w:w="36"/>
        <w:gridCol w:w="36"/>
        <w:gridCol w:w="120"/>
        <w:gridCol w:w="530"/>
        <w:gridCol w:w="36"/>
        <w:gridCol w:w="36"/>
        <w:gridCol w:w="36"/>
        <w:gridCol w:w="36"/>
        <w:gridCol w:w="120"/>
        <w:gridCol w:w="581"/>
        <w:gridCol w:w="36"/>
        <w:gridCol w:w="36"/>
        <w:gridCol w:w="36"/>
        <w:gridCol w:w="36"/>
        <w:gridCol w:w="120"/>
        <w:gridCol w:w="530"/>
        <w:gridCol w:w="36"/>
        <w:gridCol w:w="36"/>
        <w:gridCol w:w="36"/>
        <w:gridCol w:w="36"/>
        <w:gridCol w:w="120"/>
        <w:gridCol w:w="532"/>
        <w:gridCol w:w="36"/>
      </w:tblGrid>
      <w:tr w:rsidR="005C332D" w14:paraId="518B6B0E" w14:textId="77777777">
        <w:tc>
          <w:tcPr>
            <w:tcW w:w="50" w:type="pct"/>
            <w:shd w:val="clear" w:color="auto" w:fill="auto"/>
            <w:vAlign w:val="bottom"/>
          </w:tcPr>
          <w:p w14:paraId="518B6AE4" w14:textId="77777777" w:rsidR="005C332D" w:rsidRDefault="005C332D">
            <w:pPr>
              <w:rPr>
                <w:rFonts w:ascii="宋体"/>
              </w:rPr>
            </w:pPr>
          </w:p>
        </w:tc>
        <w:tc>
          <w:tcPr>
            <w:tcW w:w="1714" w:type="pct"/>
            <w:shd w:val="clear" w:color="auto" w:fill="auto"/>
            <w:vAlign w:val="bottom"/>
          </w:tcPr>
          <w:p w14:paraId="518B6AE5" w14:textId="77777777" w:rsidR="005C332D" w:rsidRDefault="005C332D">
            <w:pPr>
              <w:rPr>
                <w:rFonts w:ascii="宋体"/>
              </w:rPr>
            </w:pPr>
          </w:p>
        </w:tc>
        <w:tc>
          <w:tcPr>
            <w:tcW w:w="5" w:type="pct"/>
            <w:shd w:val="clear" w:color="auto" w:fill="auto"/>
            <w:vAlign w:val="bottom"/>
          </w:tcPr>
          <w:p w14:paraId="518B6AE6" w14:textId="77777777" w:rsidR="005C332D" w:rsidRDefault="005C332D">
            <w:pPr>
              <w:rPr>
                <w:rFonts w:ascii="宋体"/>
              </w:rPr>
            </w:pPr>
          </w:p>
        </w:tc>
        <w:tc>
          <w:tcPr>
            <w:tcW w:w="50" w:type="pct"/>
            <w:shd w:val="clear" w:color="auto" w:fill="auto"/>
            <w:vAlign w:val="bottom"/>
          </w:tcPr>
          <w:p w14:paraId="518B6AE7" w14:textId="77777777" w:rsidR="005C332D" w:rsidRDefault="005C332D">
            <w:pPr>
              <w:rPr>
                <w:rFonts w:ascii="宋体"/>
              </w:rPr>
            </w:pPr>
          </w:p>
        </w:tc>
        <w:tc>
          <w:tcPr>
            <w:tcW w:w="332" w:type="pct"/>
            <w:shd w:val="clear" w:color="auto" w:fill="auto"/>
            <w:vAlign w:val="bottom"/>
          </w:tcPr>
          <w:p w14:paraId="518B6AE8" w14:textId="77777777" w:rsidR="005C332D" w:rsidRDefault="005C332D">
            <w:pPr>
              <w:rPr>
                <w:rFonts w:ascii="宋体"/>
              </w:rPr>
            </w:pPr>
          </w:p>
        </w:tc>
        <w:tc>
          <w:tcPr>
            <w:tcW w:w="5" w:type="pct"/>
            <w:shd w:val="clear" w:color="auto" w:fill="auto"/>
            <w:vAlign w:val="bottom"/>
          </w:tcPr>
          <w:p w14:paraId="518B6AE9" w14:textId="77777777" w:rsidR="005C332D" w:rsidRDefault="005C332D">
            <w:pPr>
              <w:rPr>
                <w:rFonts w:ascii="宋体"/>
              </w:rPr>
            </w:pPr>
          </w:p>
        </w:tc>
        <w:tc>
          <w:tcPr>
            <w:tcW w:w="5" w:type="pct"/>
            <w:shd w:val="clear" w:color="auto" w:fill="auto"/>
            <w:vAlign w:val="bottom"/>
          </w:tcPr>
          <w:p w14:paraId="518B6AEA" w14:textId="77777777" w:rsidR="005C332D" w:rsidRDefault="005C332D">
            <w:pPr>
              <w:rPr>
                <w:rFonts w:ascii="宋体"/>
              </w:rPr>
            </w:pPr>
          </w:p>
        </w:tc>
        <w:tc>
          <w:tcPr>
            <w:tcW w:w="26" w:type="pct"/>
            <w:shd w:val="clear" w:color="auto" w:fill="auto"/>
            <w:vAlign w:val="bottom"/>
          </w:tcPr>
          <w:p w14:paraId="518B6AEB" w14:textId="77777777" w:rsidR="005C332D" w:rsidRDefault="005C332D">
            <w:pPr>
              <w:rPr>
                <w:rFonts w:ascii="宋体"/>
              </w:rPr>
            </w:pPr>
          </w:p>
        </w:tc>
        <w:tc>
          <w:tcPr>
            <w:tcW w:w="5" w:type="pct"/>
            <w:shd w:val="clear" w:color="auto" w:fill="auto"/>
            <w:vAlign w:val="bottom"/>
          </w:tcPr>
          <w:p w14:paraId="518B6AEC" w14:textId="77777777" w:rsidR="005C332D" w:rsidRDefault="005C332D">
            <w:pPr>
              <w:rPr>
                <w:rFonts w:ascii="宋体"/>
              </w:rPr>
            </w:pPr>
          </w:p>
        </w:tc>
        <w:tc>
          <w:tcPr>
            <w:tcW w:w="50" w:type="pct"/>
            <w:shd w:val="clear" w:color="auto" w:fill="auto"/>
            <w:vAlign w:val="bottom"/>
          </w:tcPr>
          <w:p w14:paraId="518B6AED" w14:textId="77777777" w:rsidR="005C332D" w:rsidRDefault="005C332D">
            <w:pPr>
              <w:rPr>
                <w:rFonts w:ascii="宋体"/>
              </w:rPr>
            </w:pPr>
          </w:p>
        </w:tc>
        <w:tc>
          <w:tcPr>
            <w:tcW w:w="383" w:type="pct"/>
            <w:shd w:val="clear" w:color="auto" w:fill="auto"/>
            <w:vAlign w:val="bottom"/>
          </w:tcPr>
          <w:p w14:paraId="518B6AEE" w14:textId="77777777" w:rsidR="005C332D" w:rsidRDefault="005C332D">
            <w:pPr>
              <w:rPr>
                <w:rFonts w:ascii="宋体"/>
              </w:rPr>
            </w:pPr>
          </w:p>
        </w:tc>
        <w:tc>
          <w:tcPr>
            <w:tcW w:w="5" w:type="pct"/>
            <w:shd w:val="clear" w:color="auto" w:fill="auto"/>
            <w:vAlign w:val="bottom"/>
          </w:tcPr>
          <w:p w14:paraId="518B6AEF" w14:textId="77777777" w:rsidR="005C332D" w:rsidRDefault="005C332D">
            <w:pPr>
              <w:rPr>
                <w:rFonts w:ascii="宋体"/>
              </w:rPr>
            </w:pPr>
          </w:p>
        </w:tc>
        <w:tc>
          <w:tcPr>
            <w:tcW w:w="5" w:type="pct"/>
            <w:shd w:val="clear" w:color="auto" w:fill="auto"/>
            <w:vAlign w:val="bottom"/>
          </w:tcPr>
          <w:p w14:paraId="518B6AF0" w14:textId="77777777" w:rsidR="005C332D" w:rsidRDefault="005C332D">
            <w:pPr>
              <w:rPr>
                <w:rFonts w:ascii="宋体"/>
              </w:rPr>
            </w:pPr>
          </w:p>
        </w:tc>
        <w:tc>
          <w:tcPr>
            <w:tcW w:w="26" w:type="pct"/>
            <w:shd w:val="clear" w:color="auto" w:fill="auto"/>
            <w:vAlign w:val="bottom"/>
          </w:tcPr>
          <w:p w14:paraId="518B6AF1" w14:textId="77777777" w:rsidR="005C332D" w:rsidRDefault="005C332D">
            <w:pPr>
              <w:rPr>
                <w:rFonts w:ascii="宋体"/>
              </w:rPr>
            </w:pPr>
          </w:p>
        </w:tc>
        <w:tc>
          <w:tcPr>
            <w:tcW w:w="5" w:type="pct"/>
            <w:shd w:val="clear" w:color="auto" w:fill="auto"/>
            <w:vAlign w:val="bottom"/>
          </w:tcPr>
          <w:p w14:paraId="518B6AF2" w14:textId="77777777" w:rsidR="005C332D" w:rsidRDefault="005C332D">
            <w:pPr>
              <w:rPr>
                <w:rFonts w:ascii="宋体"/>
              </w:rPr>
            </w:pPr>
          </w:p>
        </w:tc>
        <w:tc>
          <w:tcPr>
            <w:tcW w:w="50" w:type="pct"/>
            <w:shd w:val="clear" w:color="auto" w:fill="auto"/>
            <w:vAlign w:val="bottom"/>
          </w:tcPr>
          <w:p w14:paraId="518B6AF3" w14:textId="77777777" w:rsidR="005C332D" w:rsidRDefault="005C332D">
            <w:pPr>
              <w:rPr>
                <w:rFonts w:ascii="宋体"/>
              </w:rPr>
            </w:pPr>
          </w:p>
        </w:tc>
        <w:tc>
          <w:tcPr>
            <w:tcW w:w="383" w:type="pct"/>
            <w:shd w:val="clear" w:color="auto" w:fill="auto"/>
            <w:vAlign w:val="bottom"/>
          </w:tcPr>
          <w:p w14:paraId="518B6AF4" w14:textId="77777777" w:rsidR="005C332D" w:rsidRDefault="005C332D">
            <w:pPr>
              <w:rPr>
                <w:rFonts w:ascii="宋体"/>
              </w:rPr>
            </w:pPr>
          </w:p>
        </w:tc>
        <w:tc>
          <w:tcPr>
            <w:tcW w:w="5" w:type="pct"/>
            <w:shd w:val="clear" w:color="auto" w:fill="auto"/>
            <w:vAlign w:val="bottom"/>
          </w:tcPr>
          <w:p w14:paraId="518B6AF5" w14:textId="77777777" w:rsidR="005C332D" w:rsidRDefault="005C332D">
            <w:pPr>
              <w:rPr>
                <w:rFonts w:ascii="宋体"/>
              </w:rPr>
            </w:pPr>
          </w:p>
        </w:tc>
        <w:tc>
          <w:tcPr>
            <w:tcW w:w="5" w:type="pct"/>
            <w:shd w:val="clear" w:color="auto" w:fill="auto"/>
            <w:vAlign w:val="bottom"/>
          </w:tcPr>
          <w:p w14:paraId="518B6AF6" w14:textId="77777777" w:rsidR="005C332D" w:rsidRDefault="005C332D">
            <w:pPr>
              <w:rPr>
                <w:rFonts w:ascii="宋体"/>
              </w:rPr>
            </w:pPr>
          </w:p>
        </w:tc>
        <w:tc>
          <w:tcPr>
            <w:tcW w:w="26" w:type="pct"/>
            <w:shd w:val="clear" w:color="auto" w:fill="auto"/>
            <w:vAlign w:val="bottom"/>
          </w:tcPr>
          <w:p w14:paraId="518B6AF7" w14:textId="77777777" w:rsidR="005C332D" w:rsidRDefault="005C332D">
            <w:pPr>
              <w:rPr>
                <w:rFonts w:ascii="宋体"/>
              </w:rPr>
            </w:pPr>
          </w:p>
        </w:tc>
        <w:tc>
          <w:tcPr>
            <w:tcW w:w="5" w:type="pct"/>
            <w:shd w:val="clear" w:color="auto" w:fill="auto"/>
            <w:vAlign w:val="bottom"/>
          </w:tcPr>
          <w:p w14:paraId="518B6AF8" w14:textId="77777777" w:rsidR="005C332D" w:rsidRDefault="005C332D">
            <w:pPr>
              <w:rPr>
                <w:rFonts w:ascii="宋体"/>
              </w:rPr>
            </w:pPr>
          </w:p>
        </w:tc>
        <w:tc>
          <w:tcPr>
            <w:tcW w:w="50" w:type="pct"/>
            <w:shd w:val="clear" w:color="auto" w:fill="auto"/>
            <w:vAlign w:val="bottom"/>
          </w:tcPr>
          <w:p w14:paraId="518B6AF9" w14:textId="77777777" w:rsidR="005C332D" w:rsidRDefault="005C332D">
            <w:pPr>
              <w:rPr>
                <w:rFonts w:ascii="宋体"/>
              </w:rPr>
            </w:pPr>
          </w:p>
        </w:tc>
        <w:tc>
          <w:tcPr>
            <w:tcW w:w="383" w:type="pct"/>
            <w:shd w:val="clear" w:color="auto" w:fill="auto"/>
            <w:vAlign w:val="bottom"/>
          </w:tcPr>
          <w:p w14:paraId="518B6AFA" w14:textId="77777777" w:rsidR="005C332D" w:rsidRDefault="005C332D">
            <w:pPr>
              <w:rPr>
                <w:rFonts w:ascii="宋体"/>
              </w:rPr>
            </w:pPr>
          </w:p>
        </w:tc>
        <w:tc>
          <w:tcPr>
            <w:tcW w:w="5" w:type="pct"/>
            <w:shd w:val="clear" w:color="auto" w:fill="auto"/>
            <w:vAlign w:val="bottom"/>
          </w:tcPr>
          <w:p w14:paraId="518B6AFB" w14:textId="77777777" w:rsidR="005C332D" w:rsidRDefault="005C332D">
            <w:pPr>
              <w:rPr>
                <w:rFonts w:ascii="宋体"/>
              </w:rPr>
            </w:pPr>
          </w:p>
        </w:tc>
        <w:tc>
          <w:tcPr>
            <w:tcW w:w="5" w:type="pct"/>
            <w:shd w:val="clear" w:color="auto" w:fill="auto"/>
            <w:vAlign w:val="bottom"/>
          </w:tcPr>
          <w:p w14:paraId="518B6AFC" w14:textId="77777777" w:rsidR="005C332D" w:rsidRDefault="005C332D">
            <w:pPr>
              <w:rPr>
                <w:rFonts w:ascii="宋体"/>
              </w:rPr>
            </w:pPr>
          </w:p>
        </w:tc>
        <w:tc>
          <w:tcPr>
            <w:tcW w:w="19" w:type="pct"/>
            <w:shd w:val="clear" w:color="auto" w:fill="auto"/>
            <w:vAlign w:val="bottom"/>
          </w:tcPr>
          <w:p w14:paraId="518B6AFD" w14:textId="77777777" w:rsidR="005C332D" w:rsidRDefault="005C332D">
            <w:pPr>
              <w:rPr>
                <w:rFonts w:ascii="宋体"/>
              </w:rPr>
            </w:pPr>
          </w:p>
        </w:tc>
        <w:tc>
          <w:tcPr>
            <w:tcW w:w="5" w:type="pct"/>
            <w:shd w:val="clear" w:color="auto" w:fill="auto"/>
            <w:vAlign w:val="bottom"/>
          </w:tcPr>
          <w:p w14:paraId="518B6AFE" w14:textId="77777777" w:rsidR="005C332D" w:rsidRDefault="005C332D">
            <w:pPr>
              <w:rPr>
                <w:rFonts w:ascii="宋体"/>
              </w:rPr>
            </w:pPr>
          </w:p>
        </w:tc>
        <w:tc>
          <w:tcPr>
            <w:tcW w:w="50" w:type="pct"/>
            <w:shd w:val="clear" w:color="auto" w:fill="auto"/>
            <w:vAlign w:val="bottom"/>
          </w:tcPr>
          <w:p w14:paraId="518B6AFF" w14:textId="77777777" w:rsidR="005C332D" w:rsidRDefault="005C332D">
            <w:pPr>
              <w:rPr>
                <w:rFonts w:ascii="宋体"/>
              </w:rPr>
            </w:pPr>
          </w:p>
        </w:tc>
        <w:tc>
          <w:tcPr>
            <w:tcW w:w="383" w:type="pct"/>
            <w:shd w:val="clear" w:color="auto" w:fill="auto"/>
            <w:vAlign w:val="bottom"/>
          </w:tcPr>
          <w:p w14:paraId="518B6B00" w14:textId="77777777" w:rsidR="005C332D" w:rsidRDefault="005C332D">
            <w:pPr>
              <w:rPr>
                <w:rFonts w:ascii="宋体"/>
              </w:rPr>
            </w:pPr>
          </w:p>
        </w:tc>
        <w:tc>
          <w:tcPr>
            <w:tcW w:w="5" w:type="pct"/>
            <w:shd w:val="clear" w:color="auto" w:fill="auto"/>
            <w:vAlign w:val="bottom"/>
          </w:tcPr>
          <w:p w14:paraId="518B6B01" w14:textId="77777777" w:rsidR="005C332D" w:rsidRDefault="005C332D">
            <w:pPr>
              <w:rPr>
                <w:rFonts w:ascii="宋体"/>
              </w:rPr>
            </w:pPr>
          </w:p>
        </w:tc>
        <w:tc>
          <w:tcPr>
            <w:tcW w:w="5" w:type="pct"/>
            <w:shd w:val="clear" w:color="auto" w:fill="auto"/>
            <w:vAlign w:val="bottom"/>
          </w:tcPr>
          <w:p w14:paraId="518B6B02" w14:textId="77777777" w:rsidR="005C332D" w:rsidRDefault="005C332D">
            <w:pPr>
              <w:rPr>
                <w:rFonts w:ascii="宋体"/>
              </w:rPr>
            </w:pPr>
          </w:p>
        </w:tc>
        <w:tc>
          <w:tcPr>
            <w:tcW w:w="26" w:type="pct"/>
            <w:shd w:val="clear" w:color="auto" w:fill="auto"/>
            <w:vAlign w:val="bottom"/>
          </w:tcPr>
          <w:p w14:paraId="518B6B03" w14:textId="77777777" w:rsidR="005C332D" w:rsidRDefault="005C332D">
            <w:pPr>
              <w:rPr>
                <w:rFonts w:ascii="宋体"/>
              </w:rPr>
            </w:pPr>
          </w:p>
        </w:tc>
        <w:tc>
          <w:tcPr>
            <w:tcW w:w="5" w:type="pct"/>
            <w:shd w:val="clear" w:color="auto" w:fill="auto"/>
            <w:vAlign w:val="bottom"/>
          </w:tcPr>
          <w:p w14:paraId="518B6B04" w14:textId="77777777" w:rsidR="005C332D" w:rsidRDefault="005C332D">
            <w:pPr>
              <w:rPr>
                <w:rFonts w:ascii="宋体"/>
              </w:rPr>
            </w:pPr>
          </w:p>
        </w:tc>
        <w:tc>
          <w:tcPr>
            <w:tcW w:w="50" w:type="pct"/>
            <w:shd w:val="clear" w:color="auto" w:fill="auto"/>
            <w:vAlign w:val="bottom"/>
          </w:tcPr>
          <w:p w14:paraId="518B6B05" w14:textId="77777777" w:rsidR="005C332D" w:rsidRDefault="005C332D">
            <w:pPr>
              <w:rPr>
                <w:rFonts w:ascii="宋体"/>
              </w:rPr>
            </w:pPr>
          </w:p>
        </w:tc>
        <w:tc>
          <w:tcPr>
            <w:tcW w:w="383" w:type="pct"/>
            <w:shd w:val="clear" w:color="auto" w:fill="auto"/>
            <w:vAlign w:val="bottom"/>
          </w:tcPr>
          <w:p w14:paraId="518B6B06" w14:textId="77777777" w:rsidR="005C332D" w:rsidRDefault="005C332D">
            <w:pPr>
              <w:rPr>
                <w:rFonts w:ascii="宋体"/>
              </w:rPr>
            </w:pPr>
          </w:p>
        </w:tc>
        <w:tc>
          <w:tcPr>
            <w:tcW w:w="5" w:type="pct"/>
            <w:shd w:val="clear" w:color="auto" w:fill="auto"/>
            <w:vAlign w:val="bottom"/>
          </w:tcPr>
          <w:p w14:paraId="518B6B07" w14:textId="77777777" w:rsidR="005C332D" w:rsidRDefault="005C332D">
            <w:pPr>
              <w:rPr>
                <w:rFonts w:ascii="宋体"/>
              </w:rPr>
            </w:pPr>
          </w:p>
        </w:tc>
        <w:tc>
          <w:tcPr>
            <w:tcW w:w="5" w:type="pct"/>
            <w:shd w:val="clear" w:color="auto" w:fill="auto"/>
            <w:vAlign w:val="bottom"/>
          </w:tcPr>
          <w:p w14:paraId="518B6B08" w14:textId="77777777" w:rsidR="005C332D" w:rsidRDefault="005C332D">
            <w:pPr>
              <w:rPr>
                <w:rFonts w:ascii="宋体"/>
              </w:rPr>
            </w:pPr>
          </w:p>
        </w:tc>
        <w:tc>
          <w:tcPr>
            <w:tcW w:w="26" w:type="pct"/>
            <w:shd w:val="clear" w:color="auto" w:fill="auto"/>
            <w:vAlign w:val="bottom"/>
          </w:tcPr>
          <w:p w14:paraId="518B6B09" w14:textId="77777777" w:rsidR="005C332D" w:rsidRDefault="005C332D">
            <w:pPr>
              <w:rPr>
                <w:rFonts w:ascii="宋体"/>
              </w:rPr>
            </w:pPr>
          </w:p>
        </w:tc>
        <w:tc>
          <w:tcPr>
            <w:tcW w:w="5" w:type="pct"/>
            <w:shd w:val="clear" w:color="auto" w:fill="auto"/>
            <w:vAlign w:val="bottom"/>
          </w:tcPr>
          <w:p w14:paraId="518B6B0A" w14:textId="77777777" w:rsidR="005C332D" w:rsidRDefault="005C332D">
            <w:pPr>
              <w:rPr>
                <w:rFonts w:ascii="宋体"/>
              </w:rPr>
            </w:pPr>
          </w:p>
        </w:tc>
        <w:tc>
          <w:tcPr>
            <w:tcW w:w="50" w:type="pct"/>
            <w:shd w:val="clear" w:color="auto" w:fill="auto"/>
            <w:vAlign w:val="bottom"/>
          </w:tcPr>
          <w:p w14:paraId="518B6B0B" w14:textId="77777777" w:rsidR="005C332D" w:rsidRDefault="005C332D">
            <w:pPr>
              <w:rPr>
                <w:rFonts w:ascii="宋体"/>
              </w:rPr>
            </w:pPr>
          </w:p>
        </w:tc>
        <w:tc>
          <w:tcPr>
            <w:tcW w:w="384" w:type="pct"/>
            <w:shd w:val="clear" w:color="auto" w:fill="auto"/>
            <w:vAlign w:val="bottom"/>
          </w:tcPr>
          <w:p w14:paraId="518B6B0C" w14:textId="77777777" w:rsidR="005C332D" w:rsidRDefault="005C332D">
            <w:pPr>
              <w:rPr>
                <w:rFonts w:ascii="宋体"/>
              </w:rPr>
            </w:pPr>
          </w:p>
        </w:tc>
        <w:tc>
          <w:tcPr>
            <w:tcW w:w="5" w:type="pct"/>
            <w:shd w:val="clear" w:color="auto" w:fill="auto"/>
            <w:vAlign w:val="bottom"/>
          </w:tcPr>
          <w:p w14:paraId="518B6B0D" w14:textId="77777777" w:rsidR="005C332D" w:rsidRDefault="005C332D">
            <w:pPr>
              <w:rPr>
                <w:rFonts w:ascii="宋体"/>
              </w:rPr>
            </w:pPr>
          </w:p>
        </w:tc>
      </w:tr>
      <w:tr w:rsidR="005C332D" w14:paraId="518B6B15" w14:textId="77777777">
        <w:tc>
          <w:tcPr>
            <w:tcW w:w="0" w:type="auto"/>
            <w:gridSpan w:val="3"/>
            <w:shd w:val="clear" w:color="auto" w:fill="auto"/>
            <w:tcMar>
              <w:top w:w="40" w:type="dxa"/>
              <w:left w:w="20" w:type="dxa"/>
              <w:bottom w:w="40" w:type="dxa"/>
              <w:right w:w="20" w:type="dxa"/>
            </w:tcMar>
            <w:vAlign w:val="bottom"/>
          </w:tcPr>
          <w:p w14:paraId="518B6B0F" w14:textId="77777777" w:rsidR="005C332D" w:rsidRDefault="00B93EAE">
            <w:pPr>
              <w:textAlignment w:val="bottom"/>
            </w:pPr>
            <w:r>
              <w:rPr>
                <w:rFonts w:ascii="Times New Roman" w:eastAsia="宋体" w:hAnsi="Times New Roman"/>
                <w:color w:val="000000"/>
                <w:sz w:val="16"/>
                <w:szCs w:val="16"/>
                <w:u w:val="single"/>
              </w:rPr>
              <w:t>July 31, 2021</w:t>
            </w:r>
          </w:p>
        </w:tc>
        <w:tc>
          <w:tcPr>
            <w:tcW w:w="0" w:type="auto"/>
            <w:gridSpan w:val="3"/>
            <w:shd w:val="clear" w:color="auto" w:fill="auto"/>
            <w:tcMar>
              <w:top w:w="0" w:type="dxa"/>
              <w:left w:w="20" w:type="dxa"/>
              <w:bottom w:w="0" w:type="dxa"/>
              <w:right w:w="20" w:type="dxa"/>
            </w:tcMar>
            <w:vAlign w:val="bottom"/>
          </w:tcPr>
          <w:p w14:paraId="518B6B10"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B11" w14:textId="77777777" w:rsidR="005C332D" w:rsidRDefault="005C332D">
            <w:pPr>
              <w:rPr>
                <w:rFonts w:ascii="宋体"/>
              </w:rPr>
            </w:pPr>
          </w:p>
        </w:tc>
        <w:tc>
          <w:tcPr>
            <w:tcW w:w="0" w:type="auto"/>
            <w:gridSpan w:val="27"/>
            <w:shd w:val="clear" w:color="auto" w:fill="auto"/>
            <w:tcMar>
              <w:top w:w="40" w:type="dxa"/>
              <w:left w:w="20" w:type="dxa"/>
              <w:bottom w:w="40" w:type="dxa"/>
              <w:right w:w="20" w:type="dxa"/>
            </w:tcMar>
            <w:vAlign w:val="bottom"/>
          </w:tcPr>
          <w:p w14:paraId="518B6B12" w14:textId="77777777" w:rsidR="005C332D" w:rsidRDefault="00B93EAE">
            <w:pPr>
              <w:jc w:val="center"/>
              <w:textAlignment w:val="bottom"/>
            </w:pPr>
            <w:r>
              <w:rPr>
                <w:rFonts w:ascii="Times New Roman" w:eastAsia="宋体" w:hAnsi="Times New Roman"/>
                <w:color w:val="000000"/>
                <w:sz w:val="14"/>
                <w:szCs w:val="14"/>
              </w:rPr>
              <w:t>Fiscal Year</w:t>
            </w:r>
          </w:p>
        </w:tc>
        <w:tc>
          <w:tcPr>
            <w:tcW w:w="0" w:type="auto"/>
            <w:gridSpan w:val="3"/>
            <w:shd w:val="clear" w:color="auto" w:fill="auto"/>
            <w:tcMar>
              <w:top w:w="0" w:type="dxa"/>
              <w:left w:w="20" w:type="dxa"/>
              <w:bottom w:w="0" w:type="dxa"/>
              <w:right w:w="20" w:type="dxa"/>
            </w:tcMar>
            <w:vAlign w:val="bottom"/>
          </w:tcPr>
          <w:p w14:paraId="518B6B1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B14" w14:textId="77777777" w:rsidR="005C332D" w:rsidRDefault="005C332D">
            <w:pPr>
              <w:rPr>
                <w:rFonts w:ascii="宋体"/>
              </w:rPr>
            </w:pPr>
          </w:p>
        </w:tc>
      </w:tr>
      <w:tr w:rsidR="005C332D" w14:paraId="518B6B24" w14:textId="77777777">
        <w:tc>
          <w:tcPr>
            <w:tcW w:w="0" w:type="auto"/>
            <w:gridSpan w:val="3"/>
            <w:shd w:val="clear" w:color="auto" w:fill="auto"/>
            <w:tcMar>
              <w:top w:w="40" w:type="dxa"/>
              <w:left w:w="20" w:type="dxa"/>
              <w:bottom w:w="40" w:type="dxa"/>
              <w:right w:w="20" w:type="dxa"/>
            </w:tcMar>
            <w:vAlign w:val="bottom"/>
          </w:tcPr>
          <w:p w14:paraId="518B6B16" w14:textId="77777777" w:rsidR="005C332D" w:rsidRDefault="00B93EAE">
            <w:pPr>
              <w:textAlignment w:val="bottom"/>
            </w:pPr>
            <w:r>
              <w:rPr>
                <w:rFonts w:ascii="Times New Roman" w:eastAsia="宋体" w:hAnsi="Times New Roman"/>
                <w:color w:val="000000"/>
                <w:sz w:val="16"/>
                <w:szCs w:val="16"/>
                <w:u w:val="single"/>
              </w:rPr>
              <w:t xml:space="preserve">Internal </w:t>
            </w:r>
            <w:r>
              <w:rPr>
                <w:rFonts w:ascii="Times New Roman" w:eastAsia="宋体" w:hAnsi="Times New Roman"/>
                <w:color w:val="000000"/>
                <w:sz w:val="16"/>
                <w:szCs w:val="16"/>
                <w:u w:val="single"/>
              </w:rPr>
              <w:t>Credit Risk Rating</w:t>
            </w:r>
          </w:p>
        </w:tc>
        <w:tc>
          <w:tcPr>
            <w:tcW w:w="0" w:type="auto"/>
            <w:gridSpan w:val="3"/>
            <w:shd w:val="clear" w:color="auto" w:fill="auto"/>
            <w:tcMar>
              <w:top w:w="40" w:type="dxa"/>
              <w:left w:w="20" w:type="dxa"/>
              <w:bottom w:w="40" w:type="dxa"/>
              <w:right w:w="20" w:type="dxa"/>
            </w:tcMar>
            <w:vAlign w:val="bottom"/>
          </w:tcPr>
          <w:p w14:paraId="518B6B17" w14:textId="77777777" w:rsidR="005C332D" w:rsidRDefault="00B93EAE">
            <w:pPr>
              <w:jc w:val="center"/>
              <w:textAlignment w:val="bottom"/>
            </w:pPr>
            <w:r>
              <w:rPr>
                <w:rFonts w:ascii="Times New Roman" w:eastAsia="宋体" w:hAnsi="Times New Roman"/>
                <w:color w:val="000000"/>
                <w:sz w:val="16"/>
                <w:szCs w:val="16"/>
              </w:rPr>
              <w:t>Prior</w:t>
            </w:r>
          </w:p>
        </w:tc>
        <w:tc>
          <w:tcPr>
            <w:tcW w:w="0" w:type="auto"/>
            <w:gridSpan w:val="3"/>
            <w:shd w:val="clear" w:color="auto" w:fill="auto"/>
            <w:tcMar>
              <w:top w:w="0" w:type="dxa"/>
              <w:left w:w="20" w:type="dxa"/>
              <w:bottom w:w="0" w:type="dxa"/>
              <w:right w:w="20" w:type="dxa"/>
            </w:tcMar>
            <w:vAlign w:val="bottom"/>
          </w:tcPr>
          <w:p w14:paraId="518B6B1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B19" w14:textId="77777777" w:rsidR="005C332D" w:rsidRDefault="00B93EAE">
            <w:pPr>
              <w:jc w:val="center"/>
              <w:textAlignment w:val="bottom"/>
            </w:pPr>
            <w:r>
              <w:rPr>
                <w:rFonts w:ascii="Times New Roman" w:eastAsia="宋体" w:hAnsi="Times New Roman"/>
                <w:color w:val="000000"/>
                <w:sz w:val="16"/>
                <w:szCs w:val="16"/>
              </w:rPr>
              <w:t>July 29, 2017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B1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B1B" w14:textId="77777777" w:rsidR="005C332D" w:rsidRDefault="00B93EAE">
            <w:pPr>
              <w:jc w:val="center"/>
              <w:textAlignment w:val="bottom"/>
            </w:pPr>
            <w:r>
              <w:rPr>
                <w:rFonts w:ascii="Times New Roman" w:eastAsia="宋体" w:hAnsi="Times New Roman"/>
                <w:color w:val="000000"/>
                <w:sz w:val="16"/>
                <w:szCs w:val="16"/>
              </w:rPr>
              <w:t>July 28, 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B1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B1D" w14:textId="77777777" w:rsidR="005C332D" w:rsidRDefault="00B93EAE">
            <w:pPr>
              <w:jc w:val="center"/>
              <w:textAlignment w:val="bottom"/>
            </w:pPr>
            <w:r>
              <w:rPr>
                <w:rFonts w:ascii="Times New Roman" w:eastAsia="宋体" w:hAnsi="Times New Roman"/>
                <w:color w:val="000000"/>
                <w:sz w:val="16"/>
                <w:szCs w:val="16"/>
              </w:rPr>
              <w:t>July 27, 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B1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B1F" w14:textId="77777777" w:rsidR="005C332D" w:rsidRDefault="00B93EAE">
            <w:pPr>
              <w:jc w:val="center"/>
              <w:textAlignment w:val="bottom"/>
            </w:pPr>
            <w:r>
              <w:rPr>
                <w:rFonts w:ascii="Times New Roman" w:eastAsia="宋体" w:hAnsi="Times New Roman"/>
                <w:color w:val="000000"/>
                <w:sz w:val="16"/>
                <w:szCs w:val="16"/>
              </w:rPr>
              <w:t>July 25,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B2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B21" w14:textId="77777777" w:rsidR="005C332D" w:rsidRDefault="00B93EAE">
            <w:pPr>
              <w:jc w:val="center"/>
              <w:textAlignment w:val="bottom"/>
            </w:pPr>
            <w:r>
              <w:rPr>
                <w:rFonts w:ascii="Times New Roman" w:eastAsia="宋体" w:hAnsi="Times New Roman"/>
                <w:color w:val="000000"/>
                <w:sz w:val="16"/>
                <w:szCs w:val="16"/>
              </w:rPr>
              <w:t>July 31, 2021</w:t>
            </w:r>
          </w:p>
        </w:tc>
        <w:tc>
          <w:tcPr>
            <w:tcW w:w="0" w:type="auto"/>
            <w:gridSpan w:val="3"/>
            <w:shd w:val="clear" w:color="auto" w:fill="auto"/>
            <w:tcMar>
              <w:top w:w="0" w:type="dxa"/>
              <w:left w:w="20" w:type="dxa"/>
              <w:bottom w:w="0" w:type="dxa"/>
              <w:right w:w="20" w:type="dxa"/>
            </w:tcMar>
            <w:vAlign w:val="bottom"/>
          </w:tcPr>
          <w:p w14:paraId="518B6B2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B23" w14:textId="77777777" w:rsidR="005C332D" w:rsidRDefault="00B93EAE">
            <w:pPr>
              <w:jc w:val="center"/>
              <w:textAlignment w:val="bottom"/>
            </w:pPr>
            <w:r>
              <w:rPr>
                <w:rFonts w:ascii="Times New Roman" w:eastAsia="宋体" w:hAnsi="Times New Roman"/>
                <w:color w:val="000000"/>
                <w:sz w:val="16"/>
                <w:szCs w:val="16"/>
              </w:rPr>
              <w:t>Total</w:t>
            </w:r>
          </w:p>
        </w:tc>
      </w:tr>
      <w:tr w:rsidR="005C332D" w14:paraId="518B6B33" w14:textId="77777777">
        <w:tc>
          <w:tcPr>
            <w:tcW w:w="0" w:type="auto"/>
            <w:gridSpan w:val="3"/>
            <w:shd w:val="clear" w:color="auto" w:fill="CCEEFF"/>
            <w:tcMar>
              <w:top w:w="40" w:type="dxa"/>
              <w:left w:w="20" w:type="dxa"/>
              <w:bottom w:w="40" w:type="dxa"/>
              <w:right w:w="20" w:type="dxa"/>
            </w:tcMar>
            <w:vAlign w:val="bottom"/>
          </w:tcPr>
          <w:p w14:paraId="518B6B25" w14:textId="77777777" w:rsidR="005C332D" w:rsidRDefault="00B93EAE">
            <w:pPr>
              <w:textAlignment w:val="bottom"/>
            </w:pPr>
            <w:r>
              <w:rPr>
                <w:rFonts w:ascii="Times New Roman" w:eastAsia="宋体" w:hAnsi="Times New Roman"/>
                <w:color w:val="000000"/>
                <w:sz w:val="20"/>
                <w:szCs w:val="20"/>
              </w:rPr>
              <w:t>Lease Receivables: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B2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B27"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B2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B29"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B2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B2B"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B2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B2D"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B2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B2F"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B3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B31"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B32" w14:textId="77777777" w:rsidR="005C332D" w:rsidRDefault="005C332D">
            <w:pPr>
              <w:rPr>
                <w:rFonts w:ascii="宋体"/>
              </w:rPr>
            </w:pPr>
          </w:p>
        </w:tc>
      </w:tr>
      <w:tr w:rsidR="005C332D" w14:paraId="518B6B50" w14:textId="77777777">
        <w:tc>
          <w:tcPr>
            <w:tcW w:w="0" w:type="auto"/>
            <w:gridSpan w:val="3"/>
            <w:shd w:val="clear" w:color="auto" w:fill="FFFFFF"/>
            <w:tcMar>
              <w:top w:w="40" w:type="dxa"/>
              <w:left w:w="260" w:type="dxa"/>
              <w:bottom w:w="40" w:type="dxa"/>
              <w:right w:w="20" w:type="dxa"/>
            </w:tcMar>
          </w:tcPr>
          <w:p w14:paraId="518B6B34" w14:textId="77777777" w:rsidR="005C332D" w:rsidRDefault="00B93EAE">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518B6B35"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B36" w14:textId="77777777" w:rsidR="005C332D" w:rsidRDefault="00B93EAE">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518B6B3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38"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B3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B3A" w14:textId="77777777" w:rsidR="005C332D" w:rsidRDefault="00B93EAE">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518B6B3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3C"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B3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B3E" w14:textId="77777777" w:rsidR="005C332D" w:rsidRDefault="00B93EAE">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518B6B3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40"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B4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B42" w14:textId="77777777" w:rsidR="005C332D" w:rsidRDefault="00B93EAE">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bottom"/>
          </w:tcPr>
          <w:p w14:paraId="518B6B4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44"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B45"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B46" w14:textId="77777777" w:rsidR="005C332D" w:rsidRDefault="00B93EAE">
            <w:pPr>
              <w:jc w:val="right"/>
              <w:textAlignment w:val="bottom"/>
            </w:pPr>
            <w:r>
              <w:rPr>
                <w:rFonts w:ascii="Times New Roman" w:eastAsia="宋体" w:hAnsi="Times New Roman"/>
                <w:color w:val="000000"/>
                <w:sz w:val="20"/>
                <w:szCs w:val="20"/>
              </w:rPr>
              <w:t>282 </w:t>
            </w:r>
          </w:p>
        </w:tc>
        <w:tc>
          <w:tcPr>
            <w:tcW w:w="0" w:type="auto"/>
            <w:shd w:val="clear" w:color="auto" w:fill="FFFFFF"/>
            <w:tcMar>
              <w:top w:w="40" w:type="dxa"/>
              <w:left w:w="0" w:type="dxa"/>
              <w:bottom w:w="40" w:type="dxa"/>
              <w:right w:w="20" w:type="dxa"/>
            </w:tcMar>
            <w:vAlign w:val="bottom"/>
          </w:tcPr>
          <w:p w14:paraId="518B6B4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48"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B4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B4A" w14:textId="77777777" w:rsidR="005C332D" w:rsidRDefault="00B93EAE">
            <w:pPr>
              <w:jc w:val="right"/>
              <w:textAlignment w:val="bottom"/>
            </w:pPr>
            <w:r>
              <w:rPr>
                <w:rFonts w:ascii="Times New Roman" w:eastAsia="宋体" w:hAnsi="Times New Roman"/>
                <w:color w:val="000000"/>
                <w:sz w:val="20"/>
                <w:szCs w:val="20"/>
              </w:rPr>
              <w:t>227 </w:t>
            </w:r>
          </w:p>
        </w:tc>
        <w:tc>
          <w:tcPr>
            <w:tcW w:w="0" w:type="auto"/>
            <w:shd w:val="clear" w:color="auto" w:fill="FFFFFF"/>
            <w:tcMar>
              <w:top w:w="40" w:type="dxa"/>
              <w:left w:w="0" w:type="dxa"/>
              <w:bottom w:w="40" w:type="dxa"/>
              <w:right w:w="20" w:type="dxa"/>
            </w:tcMar>
            <w:vAlign w:val="bottom"/>
          </w:tcPr>
          <w:p w14:paraId="518B6B4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4C"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B4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B4E" w14:textId="77777777" w:rsidR="005C332D" w:rsidRDefault="00B93EAE">
            <w:pPr>
              <w:jc w:val="right"/>
              <w:textAlignment w:val="bottom"/>
            </w:pPr>
            <w:r>
              <w:rPr>
                <w:rFonts w:ascii="Times New Roman" w:eastAsia="宋体" w:hAnsi="Times New Roman"/>
                <w:color w:val="000000"/>
                <w:sz w:val="20"/>
                <w:szCs w:val="20"/>
              </w:rPr>
              <w:t>799 </w:t>
            </w:r>
          </w:p>
        </w:tc>
        <w:tc>
          <w:tcPr>
            <w:tcW w:w="0" w:type="auto"/>
            <w:shd w:val="clear" w:color="auto" w:fill="FFFFFF"/>
            <w:tcMar>
              <w:top w:w="40" w:type="dxa"/>
              <w:left w:w="0" w:type="dxa"/>
              <w:bottom w:w="40" w:type="dxa"/>
              <w:right w:w="20" w:type="dxa"/>
            </w:tcMar>
            <w:vAlign w:val="bottom"/>
          </w:tcPr>
          <w:p w14:paraId="518B6B4F" w14:textId="77777777" w:rsidR="005C332D" w:rsidRDefault="005C332D">
            <w:pPr>
              <w:jc w:val="right"/>
              <w:rPr>
                <w:rFonts w:ascii="宋体"/>
              </w:rPr>
            </w:pPr>
          </w:p>
        </w:tc>
      </w:tr>
      <w:tr w:rsidR="005C332D" w14:paraId="518B6B66" w14:textId="77777777">
        <w:tc>
          <w:tcPr>
            <w:tcW w:w="0" w:type="auto"/>
            <w:gridSpan w:val="3"/>
            <w:shd w:val="clear" w:color="auto" w:fill="CCEEFF"/>
            <w:tcMar>
              <w:top w:w="40" w:type="dxa"/>
              <w:left w:w="260" w:type="dxa"/>
              <w:bottom w:w="40" w:type="dxa"/>
              <w:right w:w="20" w:type="dxa"/>
            </w:tcMar>
          </w:tcPr>
          <w:p w14:paraId="518B6B51" w14:textId="77777777" w:rsidR="005C332D" w:rsidRDefault="00B93EAE">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518B6B52"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518B6B5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5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55" w14:textId="77777777" w:rsidR="005C332D" w:rsidRDefault="00B93EAE">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518B6B5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5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58" w14:textId="77777777" w:rsidR="005C332D" w:rsidRDefault="00B93EAE">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518B6B5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5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5B" w14:textId="77777777" w:rsidR="005C332D" w:rsidRDefault="00B93EAE">
            <w:pPr>
              <w:jc w:val="right"/>
              <w:textAlignment w:val="bottom"/>
            </w:pPr>
            <w:r>
              <w:rPr>
                <w:rFonts w:ascii="Times New Roman" w:eastAsia="宋体" w:hAnsi="Times New Roman"/>
                <w:color w:val="000000"/>
                <w:sz w:val="20"/>
                <w:szCs w:val="20"/>
              </w:rPr>
              <w:t>187 </w:t>
            </w:r>
          </w:p>
        </w:tc>
        <w:tc>
          <w:tcPr>
            <w:tcW w:w="0" w:type="auto"/>
            <w:shd w:val="clear" w:color="auto" w:fill="CCEEFF"/>
            <w:tcMar>
              <w:top w:w="40" w:type="dxa"/>
              <w:left w:w="0" w:type="dxa"/>
              <w:bottom w:w="40" w:type="dxa"/>
              <w:right w:w="20" w:type="dxa"/>
            </w:tcMar>
            <w:vAlign w:val="bottom"/>
          </w:tcPr>
          <w:p w14:paraId="518B6B5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5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5E" w14:textId="77777777" w:rsidR="005C332D" w:rsidRDefault="00B93EAE">
            <w:pPr>
              <w:jc w:val="right"/>
              <w:textAlignment w:val="bottom"/>
            </w:pPr>
            <w:r>
              <w:rPr>
                <w:rFonts w:ascii="Times New Roman" w:eastAsia="宋体" w:hAnsi="Times New Roman"/>
                <w:color w:val="000000"/>
                <w:sz w:val="20"/>
                <w:szCs w:val="20"/>
              </w:rPr>
              <w:t>285 </w:t>
            </w:r>
          </w:p>
        </w:tc>
        <w:tc>
          <w:tcPr>
            <w:tcW w:w="0" w:type="auto"/>
            <w:shd w:val="clear" w:color="auto" w:fill="CCEEFF"/>
            <w:tcMar>
              <w:top w:w="40" w:type="dxa"/>
              <w:left w:w="0" w:type="dxa"/>
              <w:bottom w:w="40" w:type="dxa"/>
              <w:right w:w="20" w:type="dxa"/>
            </w:tcMar>
            <w:vAlign w:val="bottom"/>
          </w:tcPr>
          <w:p w14:paraId="518B6B5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6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61" w14:textId="77777777" w:rsidR="005C332D" w:rsidRDefault="00B93EAE">
            <w:pPr>
              <w:jc w:val="right"/>
              <w:textAlignment w:val="bottom"/>
            </w:pPr>
            <w:r>
              <w:rPr>
                <w:rFonts w:ascii="Times New Roman" w:eastAsia="宋体" w:hAnsi="Times New Roman"/>
                <w:color w:val="000000"/>
                <w:sz w:val="20"/>
                <w:szCs w:val="20"/>
              </w:rPr>
              <w:t>231 </w:t>
            </w:r>
          </w:p>
        </w:tc>
        <w:tc>
          <w:tcPr>
            <w:tcW w:w="0" w:type="auto"/>
            <w:shd w:val="clear" w:color="auto" w:fill="CCEEFF"/>
            <w:tcMar>
              <w:top w:w="40" w:type="dxa"/>
              <w:left w:w="0" w:type="dxa"/>
              <w:bottom w:w="40" w:type="dxa"/>
              <w:right w:w="20" w:type="dxa"/>
            </w:tcMar>
            <w:vAlign w:val="bottom"/>
          </w:tcPr>
          <w:p w14:paraId="518B6B6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6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64" w14:textId="77777777" w:rsidR="005C332D" w:rsidRDefault="00B93EAE">
            <w:pPr>
              <w:jc w:val="right"/>
              <w:textAlignment w:val="bottom"/>
            </w:pPr>
            <w:r>
              <w:rPr>
                <w:rFonts w:ascii="Times New Roman" w:eastAsia="宋体" w:hAnsi="Times New Roman"/>
                <w:color w:val="000000"/>
                <w:sz w:val="20"/>
                <w:szCs w:val="20"/>
              </w:rPr>
              <w:t>786 </w:t>
            </w:r>
          </w:p>
        </w:tc>
        <w:tc>
          <w:tcPr>
            <w:tcW w:w="0" w:type="auto"/>
            <w:shd w:val="clear" w:color="auto" w:fill="CCEEFF"/>
            <w:tcMar>
              <w:top w:w="40" w:type="dxa"/>
              <w:left w:w="0" w:type="dxa"/>
              <w:bottom w:w="40" w:type="dxa"/>
              <w:right w:w="20" w:type="dxa"/>
            </w:tcMar>
            <w:vAlign w:val="bottom"/>
          </w:tcPr>
          <w:p w14:paraId="518B6B65" w14:textId="77777777" w:rsidR="005C332D" w:rsidRDefault="005C332D">
            <w:pPr>
              <w:jc w:val="right"/>
              <w:rPr>
                <w:rFonts w:ascii="宋体"/>
              </w:rPr>
            </w:pPr>
          </w:p>
        </w:tc>
      </w:tr>
      <w:tr w:rsidR="005C332D" w14:paraId="518B6B7C" w14:textId="77777777">
        <w:tc>
          <w:tcPr>
            <w:tcW w:w="0" w:type="auto"/>
            <w:gridSpan w:val="3"/>
            <w:shd w:val="clear" w:color="auto" w:fill="FFFFFF"/>
            <w:tcMar>
              <w:top w:w="40" w:type="dxa"/>
              <w:left w:w="260" w:type="dxa"/>
              <w:bottom w:w="40" w:type="dxa"/>
              <w:right w:w="20" w:type="dxa"/>
            </w:tcMar>
          </w:tcPr>
          <w:p w14:paraId="518B6B67" w14:textId="77777777" w:rsidR="005C332D" w:rsidRDefault="00B93EAE">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518B6B68"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B6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6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6B" w14:textId="77777777" w:rsidR="005C332D" w:rsidRDefault="00B93EAE">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518B6B6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6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6E"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518B6B6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7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71" w14:textId="77777777" w:rsidR="005C332D" w:rsidRDefault="00B93EAE">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518B6B7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7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74" w14:textId="77777777" w:rsidR="005C332D" w:rsidRDefault="00B93EAE">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518B6B7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7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77" w14:textId="77777777" w:rsidR="005C332D" w:rsidRDefault="00B93EAE">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518B6B7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7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7A" w14:textId="77777777" w:rsidR="005C332D" w:rsidRDefault="00B93EAE">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518B6B7B" w14:textId="77777777" w:rsidR="005C332D" w:rsidRDefault="005C332D">
            <w:pPr>
              <w:jc w:val="right"/>
              <w:rPr>
                <w:rFonts w:ascii="宋体"/>
              </w:rPr>
            </w:pPr>
          </w:p>
        </w:tc>
      </w:tr>
      <w:tr w:rsidR="005C332D" w14:paraId="518B6B99" w14:textId="77777777">
        <w:tc>
          <w:tcPr>
            <w:tcW w:w="0" w:type="auto"/>
            <w:gridSpan w:val="3"/>
            <w:shd w:val="clear" w:color="auto" w:fill="CCEEFF"/>
            <w:tcMar>
              <w:top w:w="40" w:type="dxa"/>
              <w:left w:w="500" w:type="dxa"/>
              <w:bottom w:w="40" w:type="dxa"/>
              <w:right w:w="20" w:type="dxa"/>
            </w:tcMar>
          </w:tcPr>
          <w:p w14:paraId="518B6B7D" w14:textId="77777777" w:rsidR="005C332D" w:rsidRDefault="00B93EAE">
            <w:pPr>
              <w:textAlignment w:val="top"/>
            </w:pPr>
            <w:r>
              <w:rPr>
                <w:rFonts w:ascii="Times New Roman" w:eastAsia="宋体" w:hAnsi="Times New Roman"/>
                <w:color w:val="000000"/>
                <w:sz w:val="20"/>
                <w:szCs w:val="20"/>
              </w:rPr>
              <w:t>Total 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B7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B7F" w14:textId="77777777" w:rsidR="005C332D" w:rsidRDefault="00B93EAE">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B8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8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B8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B83" w14:textId="77777777" w:rsidR="005C332D" w:rsidRDefault="00B93EAE">
            <w:pPr>
              <w:jc w:val="right"/>
              <w:textAlignment w:val="bottom"/>
            </w:pPr>
            <w:r>
              <w:rPr>
                <w:rFonts w:ascii="Times New Roman" w:eastAsia="宋体" w:hAnsi="Times New Roman"/>
                <w:color w:val="000000"/>
                <w:sz w:val="20"/>
                <w:szCs w:val="20"/>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B8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8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B8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B87" w14:textId="77777777" w:rsidR="005C332D" w:rsidRDefault="00B93EAE">
            <w:pPr>
              <w:jc w:val="right"/>
              <w:textAlignment w:val="bottom"/>
            </w:pPr>
            <w:r>
              <w:rPr>
                <w:rFonts w:ascii="Times New Roman" w:eastAsia="宋体" w:hAnsi="Times New Roman"/>
                <w:color w:val="000000"/>
                <w:sz w:val="20"/>
                <w:szCs w:val="20"/>
              </w:rPr>
              <w:t>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B8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8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B8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B8B" w14:textId="77777777" w:rsidR="005C332D" w:rsidRDefault="00B93EAE">
            <w:pPr>
              <w:jc w:val="right"/>
              <w:textAlignment w:val="bottom"/>
            </w:pPr>
            <w:r>
              <w:rPr>
                <w:rFonts w:ascii="Times New Roman" w:eastAsia="宋体" w:hAnsi="Times New Roman"/>
                <w:color w:val="000000"/>
                <w:sz w:val="20"/>
                <w:szCs w:val="20"/>
              </w:rPr>
              <w:t>367 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B8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8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B8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B8F" w14:textId="77777777" w:rsidR="005C332D" w:rsidRDefault="00B93EAE">
            <w:pPr>
              <w:jc w:val="right"/>
              <w:textAlignment w:val="bottom"/>
            </w:pPr>
            <w:r>
              <w:rPr>
                <w:rFonts w:ascii="Times New Roman" w:eastAsia="宋体" w:hAnsi="Times New Roman"/>
                <w:color w:val="000000"/>
                <w:sz w:val="20"/>
                <w:szCs w:val="20"/>
              </w:rPr>
              <w:t>590 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B9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9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B9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B93" w14:textId="77777777" w:rsidR="005C332D" w:rsidRDefault="00B93EAE">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B9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9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B9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B97" w14:textId="77777777" w:rsidR="005C332D" w:rsidRDefault="00B93EAE">
            <w:pPr>
              <w:jc w:val="right"/>
              <w:textAlignment w:val="bottom"/>
            </w:pPr>
            <w:r>
              <w:rPr>
                <w:rFonts w:ascii="Times New Roman" w:eastAsia="宋体" w:hAnsi="Times New Roman"/>
                <w:color w:val="000000"/>
                <w:sz w:val="20"/>
                <w:szCs w:val="20"/>
              </w:rPr>
              <w:t>1,632 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B98" w14:textId="77777777" w:rsidR="005C332D" w:rsidRDefault="005C332D">
            <w:pPr>
              <w:jc w:val="right"/>
              <w:rPr>
                <w:rFonts w:ascii="宋体"/>
              </w:rPr>
            </w:pPr>
          </w:p>
        </w:tc>
      </w:tr>
      <w:tr w:rsidR="005C332D" w14:paraId="518B6BA8" w14:textId="77777777">
        <w:tc>
          <w:tcPr>
            <w:tcW w:w="0" w:type="auto"/>
            <w:gridSpan w:val="3"/>
            <w:shd w:val="clear" w:color="auto" w:fill="FFFFFF"/>
            <w:tcMar>
              <w:top w:w="40" w:type="dxa"/>
              <w:left w:w="20" w:type="dxa"/>
              <w:bottom w:w="40" w:type="dxa"/>
              <w:right w:w="20" w:type="dxa"/>
            </w:tcMar>
          </w:tcPr>
          <w:p w14:paraId="518B6B9A" w14:textId="77777777" w:rsidR="005C332D" w:rsidRDefault="00B93EAE">
            <w:pPr>
              <w:textAlignment w:val="top"/>
            </w:pPr>
            <w:r>
              <w:rPr>
                <w:rFonts w:ascii="Times New Roman" w:eastAsia="宋体" w:hAnsi="Times New Roman"/>
                <w:color w:val="000000"/>
                <w:sz w:val="20"/>
                <w:szCs w:val="20"/>
              </w:rPr>
              <w:t>Loan Receivables: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B9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B9C"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B9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B9E"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B9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BA0"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BA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BA2"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BA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BA4"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BA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6BA6"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6BA7" w14:textId="77777777" w:rsidR="005C332D" w:rsidRDefault="005C332D">
            <w:pPr>
              <w:rPr>
                <w:rFonts w:ascii="宋体"/>
              </w:rPr>
            </w:pPr>
          </w:p>
        </w:tc>
      </w:tr>
      <w:tr w:rsidR="005C332D" w14:paraId="518B6BC5" w14:textId="77777777">
        <w:tc>
          <w:tcPr>
            <w:tcW w:w="0" w:type="auto"/>
            <w:gridSpan w:val="3"/>
            <w:shd w:val="clear" w:color="auto" w:fill="CCEEFF"/>
            <w:tcMar>
              <w:top w:w="40" w:type="dxa"/>
              <w:left w:w="260" w:type="dxa"/>
              <w:bottom w:w="40" w:type="dxa"/>
              <w:right w:w="20" w:type="dxa"/>
            </w:tcMar>
          </w:tcPr>
          <w:p w14:paraId="518B6BA9" w14:textId="77777777" w:rsidR="005C332D" w:rsidRDefault="00B93EAE">
            <w:pPr>
              <w:textAlignment w:val="top"/>
            </w:pPr>
            <w:r>
              <w:rPr>
                <w:rFonts w:ascii="Times New Roman" w:eastAsia="宋体" w:hAnsi="Times New Roman"/>
                <w:color w:val="000000"/>
                <w:sz w:val="20"/>
                <w:szCs w:val="20"/>
              </w:rPr>
              <w:t>1 to 4</w:t>
            </w:r>
          </w:p>
        </w:tc>
        <w:tc>
          <w:tcPr>
            <w:tcW w:w="0" w:type="auto"/>
            <w:shd w:val="clear" w:color="auto" w:fill="CCEEFF"/>
            <w:tcMar>
              <w:top w:w="40" w:type="dxa"/>
              <w:left w:w="20" w:type="dxa"/>
              <w:bottom w:w="40" w:type="dxa"/>
              <w:right w:w="0" w:type="dxa"/>
            </w:tcMar>
            <w:vAlign w:val="bottom"/>
          </w:tcPr>
          <w:p w14:paraId="518B6BA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BAB" w14:textId="77777777" w:rsidR="005C332D" w:rsidRDefault="00B93EAE">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518B6BA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A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BA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BAF" w14:textId="77777777" w:rsidR="005C332D" w:rsidRDefault="00B93EAE">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bottom"/>
          </w:tcPr>
          <w:p w14:paraId="518B6BB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B1"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BB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BB3" w14:textId="77777777" w:rsidR="005C332D" w:rsidRDefault="00B93EAE">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518B6BB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B5"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BB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BB7" w14:textId="77777777" w:rsidR="005C332D" w:rsidRDefault="00B93EAE">
            <w:pPr>
              <w:jc w:val="right"/>
              <w:textAlignment w:val="bottom"/>
            </w:pPr>
            <w:r>
              <w:rPr>
                <w:rFonts w:ascii="Times New Roman" w:eastAsia="宋体" w:hAnsi="Times New Roman"/>
                <w:color w:val="000000"/>
                <w:sz w:val="20"/>
                <w:szCs w:val="20"/>
              </w:rPr>
              <w:t>577 </w:t>
            </w:r>
          </w:p>
        </w:tc>
        <w:tc>
          <w:tcPr>
            <w:tcW w:w="0" w:type="auto"/>
            <w:shd w:val="clear" w:color="auto" w:fill="CCEEFF"/>
            <w:tcMar>
              <w:top w:w="40" w:type="dxa"/>
              <w:left w:w="0" w:type="dxa"/>
              <w:bottom w:w="40" w:type="dxa"/>
              <w:right w:w="20" w:type="dxa"/>
            </w:tcMar>
            <w:vAlign w:val="bottom"/>
          </w:tcPr>
          <w:p w14:paraId="518B6BB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B9"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BB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BBB" w14:textId="77777777" w:rsidR="005C332D" w:rsidRDefault="00B93EAE">
            <w:pPr>
              <w:jc w:val="right"/>
              <w:textAlignment w:val="bottom"/>
            </w:pPr>
            <w:r>
              <w:rPr>
                <w:rFonts w:ascii="Times New Roman" w:eastAsia="宋体" w:hAnsi="Times New Roman"/>
                <w:color w:val="000000"/>
                <w:sz w:val="20"/>
                <w:szCs w:val="20"/>
              </w:rPr>
              <w:t>990 </w:t>
            </w:r>
          </w:p>
        </w:tc>
        <w:tc>
          <w:tcPr>
            <w:tcW w:w="0" w:type="auto"/>
            <w:shd w:val="clear" w:color="auto" w:fill="CCEEFF"/>
            <w:tcMar>
              <w:top w:w="40" w:type="dxa"/>
              <w:left w:w="0" w:type="dxa"/>
              <w:bottom w:w="40" w:type="dxa"/>
              <w:right w:w="20" w:type="dxa"/>
            </w:tcMar>
            <w:vAlign w:val="bottom"/>
          </w:tcPr>
          <w:p w14:paraId="518B6BB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B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BB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BBF" w14:textId="77777777" w:rsidR="005C332D" w:rsidRDefault="00B93EAE">
            <w:pPr>
              <w:jc w:val="right"/>
              <w:textAlignment w:val="bottom"/>
            </w:pPr>
            <w:r>
              <w:rPr>
                <w:rFonts w:ascii="Times New Roman" w:eastAsia="宋体" w:hAnsi="Times New Roman"/>
                <w:color w:val="000000"/>
                <w:sz w:val="20"/>
                <w:szCs w:val="20"/>
              </w:rPr>
              <w:t>1,552 </w:t>
            </w:r>
          </w:p>
        </w:tc>
        <w:tc>
          <w:tcPr>
            <w:tcW w:w="0" w:type="auto"/>
            <w:shd w:val="clear" w:color="auto" w:fill="CCEEFF"/>
            <w:tcMar>
              <w:top w:w="40" w:type="dxa"/>
              <w:left w:w="0" w:type="dxa"/>
              <w:bottom w:w="40" w:type="dxa"/>
              <w:right w:w="20" w:type="dxa"/>
            </w:tcMar>
            <w:vAlign w:val="bottom"/>
          </w:tcPr>
          <w:p w14:paraId="518B6BC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C1"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6BC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6BC3" w14:textId="77777777" w:rsidR="005C332D" w:rsidRDefault="00B93EAE">
            <w:pPr>
              <w:jc w:val="right"/>
              <w:textAlignment w:val="bottom"/>
            </w:pPr>
            <w:r>
              <w:rPr>
                <w:rFonts w:ascii="Times New Roman" w:eastAsia="宋体" w:hAnsi="Times New Roman"/>
                <w:color w:val="000000"/>
                <w:sz w:val="20"/>
                <w:szCs w:val="20"/>
              </w:rPr>
              <w:t>3,343 </w:t>
            </w:r>
          </w:p>
        </w:tc>
        <w:tc>
          <w:tcPr>
            <w:tcW w:w="0" w:type="auto"/>
            <w:shd w:val="clear" w:color="auto" w:fill="CCEEFF"/>
            <w:tcMar>
              <w:top w:w="40" w:type="dxa"/>
              <w:left w:w="0" w:type="dxa"/>
              <w:bottom w:w="40" w:type="dxa"/>
              <w:right w:w="20" w:type="dxa"/>
            </w:tcMar>
            <w:vAlign w:val="bottom"/>
          </w:tcPr>
          <w:p w14:paraId="518B6BC4" w14:textId="77777777" w:rsidR="005C332D" w:rsidRDefault="005C332D">
            <w:pPr>
              <w:jc w:val="right"/>
              <w:rPr>
                <w:rFonts w:ascii="宋体"/>
              </w:rPr>
            </w:pPr>
          </w:p>
        </w:tc>
      </w:tr>
      <w:tr w:rsidR="005C332D" w14:paraId="518B6BDB" w14:textId="77777777">
        <w:tc>
          <w:tcPr>
            <w:tcW w:w="0" w:type="auto"/>
            <w:gridSpan w:val="3"/>
            <w:shd w:val="clear" w:color="auto" w:fill="FFFFFF"/>
            <w:tcMar>
              <w:top w:w="40" w:type="dxa"/>
              <w:left w:w="260" w:type="dxa"/>
              <w:bottom w:w="40" w:type="dxa"/>
              <w:right w:w="20" w:type="dxa"/>
            </w:tcMar>
          </w:tcPr>
          <w:p w14:paraId="518B6BC6" w14:textId="77777777" w:rsidR="005C332D" w:rsidRDefault="00B93EAE">
            <w:pPr>
              <w:textAlignment w:val="top"/>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518B6BC7"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BC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C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CA" w14:textId="77777777" w:rsidR="005C332D" w:rsidRDefault="00B93EAE">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518B6BC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C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CD" w14:textId="77777777" w:rsidR="005C332D" w:rsidRDefault="00B93EAE">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518B6BC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C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D0" w14:textId="77777777" w:rsidR="005C332D" w:rsidRDefault="00B93EAE">
            <w:pPr>
              <w:jc w:val="right"/>
              <w:textAlignment w:val="bottom"/>
            </w:pPr>
            <w:r>
              <w:rPr>
                <w:rFonts w:ascii="Times New Roman" w:eastAsia="宋体" w:hAnsi="Times New Roman"/>
                <w:color w:val="000000"/>
                <w:sz w:val="20"/>
                <w:szCs w:val="20"/>
              </w:rPr>
              <w:t>202 </w:t>
            </w:r>
          </w:p>
        </w:tc>
        <w:tc>
          <w:tcPr>
            <w:tcW w:w="0" w:type="auto"/>
            <w:shd w:val="clear" w:color="auto" w:fill="FFFFFF"/>
            <w:tcMar>
              <w:top w:w="40" w:type="dxa"/>
              <w:left w:w="0" w:type="dxa"/>
              <w:bottom w:w="40" w:type="dxa"/>
              <w:right w:w="20" w:type="dxa"/>
            </w:tcMar>
            <w:vAlign w:val="bottom"/>
          </w:tcPr>
          <w:p w14:paraId="518B6BD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D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D3" w14:textId="77777777" w:rsidR="005C332D" w:rsidRDefault="00B93EAE">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518B6BD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D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D6" w14:textId="77777777" w:rsidR="005C332D" w:rsidRDefault="00B93EAE">
            <w:pPr>
              <w:jc w:val="right"/>
              <w:textAlignment w:val="bottom"/>
            </w:pPr>
            <w:r>
              <w:rPr>
                <w:rFonts w:ascii="Times New Roman" w:eastAsia="宋体" w:hAnsi="Times New Roman"/>
                <w:color w:val="000000"/>
                <w:sz w:val="20"/>
                <w:szCs w:val="20"/>
              </w:rPr>
              <w:t>925 </w:t>
            </w:r>
          </w:p>
        </w:tc>
        <w:tc>
          <w:tcPr>
            <w:tcW w:w="0" w:type="auto"/>
            <w:shd w:val="clear" w:color="auto" w:fill="FFFFFF"/>
            <w:tcMar>
              <w:top w:w="40" w:type="dxa"/>
              <w:left w:w="0" w:type="dxa"/>
              <w:bottom w:w="40" w:type="dxa"/>
              <w:right w:w="20" w:type="dxa"/>
            </w:tcMar>
            <w:vAlign w:val="bottom"/>
          </w:tcPr>
          <w:p w14:paraId="518B6BD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D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BD9" w14:textId="77777777" w:rsidR="005C332D" w:rsidRDefault="00B93EAE">
            <w:pPr>
              <w:jc w:val="right"/>
              <w:textAlignment w:val="bottom"/>
            </w:pPr>
            <w:r>
              <w:rPr>
                <w:rFonts w:ascii="Times New Roman" w:eastAsia="宋体" w:hAnsi="Times New Roman"/>
                <w:color w:val="000000"/>
                <w:sz w:val="20"/>
                <w:szCs w:val="20"/>
              </w:rPr>
              <w:t>1,726 </w:t>
            </w:r>
          </w:p>
        </w:tc>
        <w:tc>
          <w:tcPr>
            <w:tcW w:w="0" w:type="auto"/>
            <w:shd w:val="clear" w:color="auto" w:fill="FFFFFF"/>
            <w:tcMar>
              <w:top w:w="40" w:type="dxa"/>
              <w:left w:w="0" w:type="dxa"/>
              <w:bottom w:w="40" w:type="dxa"/>
              <w:right w:w="20" w:type="dxa"/>
            </w:tcMar>
            <w:vAlign w:val="bottom"/>
          </w:tcPr>
          <w:p w14:paraId="518B6BDA" w14:textId="77777777" w:rsidR="005C332D" w:rsidRDefault="005C332D">
            <w:pPr>
              <w:jc w:val="right"/>
              <w:rPr>
                <w:rFonts w:ascii="宋体"/>
              </w:rPr>
            </w:pPr>
          </w:p>
        </w:tc>
      </w:tr>
      <w:tr w:rsidR="005C332D" w14:paraId="518B6BF1" w14:textId="77777777">
        <w:tc>
          <w:tcPr>
            <w:tcW w:w="0" w:type="auto"/>
            <w:gridSpan w:val="3"/>
            <w:shd w:val="clear" w:color="auto" w:fill="CCEEFF"/>
            <w:tcMar>
              <w:top w:w="40" w:type="dxa"/>
              <w:left w:w="260" w:type="dxa"/>
              <w:bottom w:w="40" w:type="dxa"/>
              <w:right w:w="20" w:type="dxa"/>
            </w:tcMar>
          </w:tcPr>
          <w:p w14:paraId="518B6BDC" w14:textId="77777777" w:rsidR="005C332D" w:rsidRDefault="00B93EAE">
            <w:pPr>
              <w:textAlignment w:val="top"/>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518B6BDD"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518B6BD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D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E0" w14:textId="77777777" w:rsidR="005C332D" w:rsidRDefault="00B93EAE">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518B6BE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E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E3" w14:textId="77777777" w:rsidR="005C332D" w:rsidRDefault="00B93EAE">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518B6BE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E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E6" w14:textId="77777777" w:rsidR="005C332D" w:rsidRDefault="00B93EAE">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518B6BE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E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E9" w14:textId="77777777" w:rsidR="005C332D" w:rsidRDefault="00B93EAE">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518B6BE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E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EC" w14:textId="77777777" w:rsidR="005C332D" w:rsidRDefault="00B93EAE">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518B6BE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BE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BEF" w14:textId="77777777" w:rsidR="005C332D" w:rsidRDefault="00B93EAE">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518B6BF0" w14:textId="77777777" w:rsidR="005C332D" w:rsidRDefault="005C332D">
            <w:pPr>
              <w:jc w:val="right"/>
              <w:rPr>
                <w:rFonts w:ascii="宋体"/>
              </w:rPr>
            </w:pPr>
          </w:p>
        </w:tc>
      </w:tr>
      <w:tr w:rsidR="005C332D" w14:paraId="518B6C0E" w14:textId="77777777">
        <w:tc>
          <w:tcPr>
            <w:tcW w:w="0" w:type="auto"/>
            <w:gridSpan w:val="3"/>
            <w:shd w:val="clear" w:color="auto" w:fill="FFFFFF"/>
            <w:tcMar>
              <w:top w:w="40" w:type="dxa"/>
              <w:left w:w="500" w:type="dxa"/>
              <w:bottom w:w="40" w:type="dxa"/>
              <w:right w:w="20" w:type="dxa"/>
            </w:tcMar>
          </w:tcPr>
          <w:p w14:paraId="518B6BF2" w14:textId="77777777" w:rsidR="005C332D" w:rsidRDefault="00B93EAE">
            <w:pPr>
              <w:textAlignment w:val="top"/>
            </w:pPr>
            <w:r>
              <w:rPr>
                <w:rFonts w:ascii="Times New Roman" w:eastAsia="宋体" w:hAnsi="Times New Roman"/>
                <w:color w:val="000000"/>
                <w:sz w:val="20"/>
                <w:szCs w:val="20"/>
              </w:rPr>
              <w:t>Total Loan Receivables</w:t>
            </w:r>
          </w:p>
        </w:tc>
        <w:tc>
          <w:tcPr>
            <w:tcW w:w="0" w:type="auto"/>
            <w:tcBorders>
              <w:top w:val="single" w:sz="8" w:space="0" w:color="000000"/>
            </w:tcBorders>
            <w:shd w:val="clear" w:color="auto" w:fill="FFFFFF"/>
            <w:tcMar>
              <w:top w:w="40" w:type="dxa"/>
              <w:left w:w="20" w:type="dxa"/>
              <w:bottom w:w="40" w:type="dxa"/>
              <w:right w:w="0" w:type="dxa"/>
            </w:tcMar>
            <w:vAlign w:val="bottom"/>
          </w:tcPr>
          <w:p w14:paraId="518B6BF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BF4" w14:textId="77777777" w:rsidR="005C332D" w:rsidRDefault="00B93EAE">
            <w:pPr>
              <w:jc w:val="right"/>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BF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F6"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BF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BF8" w14:textId="77777777" w:rsidR="005C332D" w:rsidRDefault="00B93EAE">
            <w:pPr>
              <w:jc w:val="right"/>
              <w:textAlignment w:val="bottom"/>
            </w:pPr>
            <w:r>
              <w:rPr>
                <w:rFonts w:ascii="Times New Roman" w:eastAsia="宋体" w:hAnsi="Times New Roman"/>
                <w:color w:val="000000"/>
                <w:sz w:val="20"/>
                <w:szCs w:val="20"/>
              </w:rPr>
              <w:t>107 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BF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FA"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BF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BFC" w14:textId="77777777" w:rsidR="005C332D" w:rsidRDefault="00B93EAE">
            <w:pPr>
              <w:jc w:val="right"/>
              <w:textAlignment w:val="bottom"/>
            </w:pPr>
            <w:r>
              <w:rPr>
                <w:rFonts w:ascii="Times New Roman" w:eastAsia="宋体" w:hAnsi="Times New Roman"/>
                <w:color w:val="000000"/>
                <w:sz w:val="20"/>
                <w:szCs w:val="20"/>
              </w:rPr>
              <w:t>213 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BF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BFE"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BF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C00" w14:textId="77777777" w:rsidR="005C332D" w:rsidRDefault="00B93EAE">
            <w:pPr>
              <w:jc w:val="right"/>
              <w:textAlignment w:val="bottom"/>
            </w:pPr>
            <w:r>
              <w:rPr>
                <w:rFonts w:ascii="Times New Roman" w:eastAsia="宋体" w:hAnsi="Times New Roman"/>
                <w:color w:val="000000"/>
                <w:sz w:val="20"/>
                <w:szCs w:val="20"/>
              </w:rPr>
              <w:t>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C0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02"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C0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C04" w14:textId="77777777" w:rsidR="005C332D" w:rsidRDefault="00B93EAE">
            <w:pPr>
              <w:jc w:val="right"/>
              <w:textAlignment w:val="bottom"/>
            </w:pPr>
            <w:r>
              <w:rPr>
                <w:rFonts w:ascii="Times New Roman" w:eastAsia="宋体" w:hAnsi="Times New Roman"/>
                <w:color w:val="000000"/>
                <w:sz w:val="20"/>
                <w:szCs w:val="20"/>
              </w:rPr>
              <w:t>1,538 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C0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06"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C0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C08" w14:textId="77777777" w:rsidR="005C332D" w:rsidRDefault="00B93EAE">
            <w:pPr>
              <w:jc w:val="right"/>
              <w:textAlignment w:val="bottom"/>
            </w:pPr>
            <w:r>
              <w:rPr>
                <w:rFonts w:ascii="Times New Roman" w:eastAsia="宋体" w:hAnsi="Times New Roman"/>
                <w:color w:val="000000"/>
                <w:sz w:val="20"/>
                <w:szCs w:val="20"/>
              </w:rPr>
              <w:t>2,511 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C0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0A"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6C0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6C0C" w14:textId="77777777" w:rsidR="005C332D" w:rsidRDefault="00B93EAE">
            <w:pPr>
              <w:jc w:val="right"/>
              <w:textAlignment w:val="bottom"/>
            </w:pPr>
            <w:r>
              <w:rPr>
                <w:rFonts w:ascii="Times New Roman" w:eastAsia="宋体" w:hAnsi="Times New Roman"/>
                <w:color w:val="000000"/>
                <w:sz w:val="20"/>
                <w:szCs w:val="20"/>
              </w:rPr>
              <w:t>5,203 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6C0D" w14:textId="77777777" w:rsidR="005C332D" w:rsidRDefault="005C332D">
            <w:pPr>
              <w:jc w:val="right"/>
              <w:rPr>
                <w:rFonts w:ascii="宋体"/>
              </w:rPr>
            </w:pPr>
          </w:p>
        </w:tc>
      </w:tr>
      <w:tr w:rsidR="005C332D" w14:paraId="518B6C1D" w14:textId="77777777">
        <w:tc>
          <w:tcPr>
            <w:tcW w:w="0" w:type="auto"/>
            <w:gridSpan w:val="3"/>
            <w:shd w:val="clear" w:color="auto" w:fill="CCEEFF"/>
            <w:tcMar>
              <w:top w:w="40" w:type="dxa"/>
              <w:left w:w="20" w:type="dxa"/>
              <w:bottom w:w="40" w:type="dxa"/>
              <w:right w:w="20" w:type="dxa"/>
            </w:tcMar>
          </w:tcPr>
          <w:p w14:paraId="518B6C0F" w14:textId="77777777" w:rsidR="005C332D" w:rsidRDefault="00B93EAE">
            <w:pPr>
              <w:textAlignment w:val="top"/>
            </w:pPr>
            <w:r>
              <w:rPr>
                <w:rFonts w:ascii="Times New Roman" w:eastAsia="宋体" w:hAnsi="Times New Roman"/>
                <w:color w:val="000000"/>
                <w:sz w:val="20"/>
                <w:szCs w:val="20"/>
              </w:rPr>
              <w:t>Financed Service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C1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C11"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C1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C13"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C1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C15"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C1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C17"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C1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C19"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C1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6C1B"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6C1C" w14:textId="77777777" w:rsidR="005C332D" w:rsidRDefault="005C332D">
            <w:pPr>
              <w:rPr>
                <w:rFonts w:ascii="宋体"/>
              </w:rPr>
            </w:pPr>
          </w:p>
        </w:tc>
      </w:tr>
      <w:tr w:rsidR="005C332D" w14:paraId="518B6C3A" w14:textId="77777777">
        <w:tc>
          <w:tcPr>
            <w:tcW w:w="0" w:type="auto"/>
            <w:gridSpan w:val="3"/>
            <w:shd w:val="clear" w:color="auto" w:fill="FFFFFF"/>
            <w:tcMar>
              <w:top w:w="40" w:type="dxa"/>
              <w:left w:w="260" w:type="dxa"/>
              <w:bottom w:w="40" w:type="dxa"/>
              <w:right w:w="20" w:type="dxa"/>
            </w:tcMar>
          </w:tcPr>
          <w:p w14:paraId="518B6C1E" w14:textId="77777777" w:rsidR="005C332D" w:rsidRDefault="00B93EAE">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518B6C1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C20"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C2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22"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C23"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C24" w14:textId="77777777" w:rsidR="005C332D" w:rsidRDefault="00B93EAE">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518B6C2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26"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C2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C28" w14:textId="77777777" w:rsidR="005C332D" w:rsidRDefault="00B93EAE">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518B6C2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2A"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C2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C2C" w14:textId="77777777" w:rsidR="005C332D" w:rsidRDefault="00B93EAE">
            <w:pPr>
              <w:jc w:val="right"/>
              <w:textAlignment w:val="bottom"/>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bottom"/>
          </w:tcPr>
          <w:p w14:paraId="518B6C2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2E"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C2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C30" w14:textId="77777777" w:rsidR="005C332D" w:rsidRDefault="00B93EAE">
            <w:pPr>
              <w:jc w:val="right"/>
              <w:textAlignment w:val="bottom"/>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vAlign w:val="bottom"/>
          </w:tcPr>
          <w:p w14:paraId="518B6C3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32"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C33"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C34" w14:textId="77777777" w:rsidR="005C332D" w:rsidRDefault="00B93EAE">
            <w:pPr>
              <w:jc w:val="right"/>
              <w:textAlignment w:val="bottom"/>
            </w:pPr>
            <w:r>
              <w:rPr>
                <w:rFonts w:ascii="Times New Roman" w:eastAsia="宋体" w:hAnsi="Times New Roman"/>
                <w:color w:val="000000"/>
                <w:sz w:val="20"/>
                <w:szCs w:val="20"/>
              </w:rPr>
              <w:t>1,053 </w:t>
            </w:r>
          </w:p>
        </w:tc>
        <w:tc>
          <w:tcPr>
            <w:tcW w:w="0" w:type="auto"/>
            <w:shd w:val="clear" w:color="auto" w:fill="FFFFFF"/>
            <w:tcMar>
              <w:top w:w="40" w:type="dxa"/>
              <w:left w:w="0" w:type="dxa"/>
              <w:bottom w:w="40" w:type="dxa"/>
              <w:right w:w="20" w:type="dxa"/>
            </w:tcMar>
            <w:vAlign w:val="bottom"/>
          </w:tcPr>
          <w:p w14:paraId="518B6C3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36"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6C3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6C38" w14:textId="77777777" w:rsidR="005C332D" w:rsidRDefault="00B93EAE">
            <w:pPr>
              <w:jc w:val="right"/>
              <w:textAlignment w:val="bottom"/>
            </w:pPr>
            <w:r>
              <w:rPr>
                <w:rFonts w:ascii="Times New Roman" w:eastAsia="宋体" w:hAnsi="Times New Roman"/>
                <w:color w:val="000000"/>
                <w:sz w:val="20"/>
                <w:szCs w:val="20"/>
              </w:rPr>
              <w:t>1,475 </w:t>
            </w:r>
          </w:p>
        </w:tc>
        <w:tc>
          <w:tcPr>
            <w:tcW w:w="0" w:type="auto"/>
            <w:shd w:val="clear" w:color="auto" w:fill="FFFFFF"/>
            <w:tcMar>
              <w:top w:w="40" w:type="dxa"/>
              <w:left w:w="0" w:type="dxa"/>
              <w:bottom w:w="40" w:type="dxa"/>
              <w:right w:w="20" w:type="dxa"/>
            </w:tcMar>
            <w:vAlign w:val="bottom"/>
          </w:tcPr>
          <w:p w14:paraId="518B6C39" w14:textId="77777777" w:rsidR="005C332D" w:rsidRDefault="005C332D">
            <w:pPr>
              <w:jc w:val="right"/>
              <w:rPr>
                <w:rFonts w:ascii="宋体"/>
              </w:rPr>
            </w:pPr>
          </w:p>
        </w:tc>
      </w:tr>
      <w:tr w:rsidR="005C332D" w14:paraId="518B6C50" w14:textId="77777777">
        <w:tc>
          <w:tcPr>
            <w:tcW w:w="0" w:type="auto"/>
            <w:gridSpan w:val="3"/>
            <w:shd w:val="clear" w:color="auto" w:fill="CCEEFF"/>
            <w:tcMar>
              <w:top w:w="40" w:type="dxa"/>
              <w:left w:w="260" w:type="dxa"/>
              <w:bottom w:w="40" w:type="dxa"/>
              <w:right w:w="20" w:type="dxa"/>
            </w:tcMar>
          </w:tcPr>
          <w:p w14:paraId="518B6C3B" w14:textId="77777777" w:rsidR="005C332D" w:rsidRDefault="00B93EAE">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518B6C3C"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C3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3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C3F"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518B6C4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4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C42" w14:textId="77777777" w:rsidR="005C332D" w:rsidRDefault="00B93EAE">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518B6C4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4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C45" w14:textId="77777777" w:rsidR="005C332D" w:rsidRDefault="00B93EAE">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left w:w="0" w:type="dxa"/>
              <w:bottom w:w="40" w:type="dxa"/>
              <w:right w:w="20" w:type="dxa"/>
            </w:tcMar>
            <w:vAlign w:val="bottom"/>
          </w:tcPr>
          <w:p w14:paraId="518B6C4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4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C48" w14:textId="77777777" w:rsidR="005C332D" w:rsidRDefault="00B93EAE">
            <w:pPr>
              <w:jc w:val="right"/>
              <w:textAlignment w:val="bottom"/>
            </w:pPr>
            <w:r>
              <w:rPr>
                <w:rFonts w:ascii="Times New Roman" w:eastAsia="宋体" w:hAnsi="Times New Roman"/>
                <w:color w:val="000000"/>
                <w:sz w:val="20"/>
                <w:szCs w:val="20"/>
              </w:rPr>
              <w:t>302 </w:t>
            </w:r>
          </w:p>
        </w:tc>
        <w:tc>
          <w:tcPr>
            <w:tcW w:w="0" w:type="auto"/>
            <w:shd w:val="clear" w:color="auto" w:fill="CCEEFF"/>
            <w:tcMar>
              <w:top w:w="40" w:type="dxa"/>
              <w:left w:w="0" w:type="dxa"/>
              <w:bottom w:w="40" w:type="dxa"/>
              <w:right w:w="20" w:type="dxa"/>
            </w:tcMar>
            <w:vAlign w:val="bottom"/>
          </w:tcPr>
          <w:p w14:paraId="518B6C4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4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C4B" w14:textId="77777777" w:rsidR="005C332D" w:rsidRDefault="00B93EAE">
            <w:pPr>
              <w:jc w:val="right"/>
              <w:textAlignment w:val="bottom"/>
            </w:pPr>
            <w:r>
              <w:rPr>
                <w:rFonts w:ascii="Times New Roman" w:eastAsia="宋体" w:hAnsi="Times New Roman"/>
                <w:color w:val="000000"/>
                <w:sz w:val="20"/>
                <w:szCs w:val="20"/>
              </w:rPr>
              <w:t>520 </w:t>
            </w:r>
          </w:p>
        </w:tc>
        <w:tc>
          <w:tcPr>
            <w:tcW w:w="0" w:type="auto"/>
            <w:shd w:val="clear" w:color="auto" w:fill="CCEEFF"/>
            <w:tcMar>
              <w:top w:w="40" w:type="dxa"/>
              <w:left w:w="0" w:type="dxa"/>
              <w:bottom w:w="40" w:type="dxa"/>
              <w:right w:w="20" w:type="dxa"/>
            </w:tcMar>
            <w:vAlign w:val="bottom"/>
          </w:tcPr>
          <w:p w14:paraId="518B6C4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4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C4E" w14:textId="77777777" w:rsidR="005C332D" w:rsidRDefault="00B93EAE">
            <w:pPr>
              <w:jc w:val="right"/>
              <w:textAlignment w:val="bottom"/>
            </w:pPr>
            <w:r>
              <w:rPr>
                <w:rFonts w:ascii="Times New Roman" w:eastAsia="宋体" w:hAnsi="Times New Roman"/>
                <w:color w:val="000000"/>
                <w:sz w:val="20"/>
                <w:szCs w:val="20"/>
              </w:rPr>
              <w:t>959 </w:t>
            </w:r>
          </w:p>
        </w:tc>
        <w:tc>
          <w:tcPr>
            <w:tcW w:w="0" w:type="auto"/>
            <w:shd w:val="clear" w:color="auto" w:fill="CCEEFF"/>
            <w:tcMar>
              <w:top w:w="40" w:type="dxa"/>
              <w:left w:w="0" w:type="dxa"/>
              <w:bottom w:w="40" w:type="dxa"/>
              <w:right w:w="20" w:type="dxa"/>
            </w:tcMar>
            <w:vAlign w:val="bottom"/>
          </w:tcPr>
          <w:p w14:paraId="518B6C4F" w14:textId="77777777" w:rsidR="005C332D" w:rsidRDefault="005C332D">
            <w:pPr>
              <w:jc w:val="right"/>
              <w:rPr>
                <w:rFonts w:ascii="宋体"/>
              </w:rPr>
            </w:pPr>
          </w:p>
        </w:tc>
      </w:tr>
      <w:tr w:rsidR="005C332D" w14:paraId="518B6C66" w14:textId="77777777">
        <w:tc>
          <w:tcPr>
            <w:tcW w:w="0" w:type="auto"/>
            <w:gridSpan w:val="3"/>
            <w:shd w:val="clear" w:color="auto" w:fill="FFFFFF"/>
            <w:tcMar>
              <w:top w:w="40" w:type="dxa"/>
              <w:left w:w="260" w:type="dxa"/>
              <w:bottom w:w="40" w:type="dxa"/>
              <w:right w:w="20" w:type="dxa"/>
            </w:tcMar>
          </w:tcPr>
          <w:p w14:paraId="518B6C51" w14:textId="77777777" w:rsidR="005C332D" w:rsidRDefault="00B93EAE">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518B6C52"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C5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5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C55"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C5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5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C58"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518B6C5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5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C5B"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518B6C5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5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C5E" w14:textId="77777777" w:rsidR="005C332D" w:rsidRDefault="00B93EAE">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518B6C5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6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C61" w14:textId="77777777" w:rsidR="005C332D" w:rsidRDefault="00B93EAE">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518B6C6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6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C64" w14:textId="77777777" w:rsidR="005C332D" w:rsidRDefault="00B93EAE">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518B6C65" w14:textId="77777777" w:rsidR="005C332D" w:rsidRDefault="005C332D">
            <w:pPr>
              <w:jc w:val="right"/>
              <w:rPr>
                <w:rFonts w:ascii="宋体"/>
              </w:rPr>
            </w:pPr>
          </w:p>
        </w:tc>
      </w:tr>
      <w:tr w:rsidR="005C332D" w14:paraId="518B6C83" w14:textId="77777777">
        <w:tc>
          <w:tcPr>
            <w:tcW w:w="0" w:type="auto"/>
            <w:gridSpan w:val="3"/>
            <w:shd w:val="clear" w:color="auto" w:fill="CCEEFF"/>
            <w:tcMar>
              <w:top w:w="40" w:type="dxa"/>
              <w:left w:w="500" w:type="dxa"/>
              <w:bottom w:w="40" w:type="dxa"/>
              <w:right w:w="20" w:type="dxa"/>
            </w:tcMar>
          </w:tcPr>
          <w:p w14:paraId="518B6C67" w14:textId="77777777" w:rsidR="005C332D" w:rsidRDefault="00B93EAE">
            <w:pPr>
              <w:textAlignment w:val="top"/>
            </w:pPr>
            <w:r>
              <w:rPr>
                <w:rFonts w:ascii="Times New Roman" w:eastAsia="宋体" w:hAnsi="Times New Roman"/>
                <w:color w:val="000000"/>
                <w:sz w:val="20"/>
                <w:szCs w:val="20"/>
              </w:rPr>
              <w:t>Total Financed Service Contracts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C6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C69"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C6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6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C6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C6D" w14:textId="77777777" w:rsidR="005C332D" w:rsidRDefault="00B93EAE">
            <w:pPr>
              <w:jc w:val="right"/>
              <w:textAlignment w:val="bottom"/>
            </w:pPr>
            <w:r>
              <w:rPr>
                <w:rFonts w:ascii="Times New Roman" w:eastAsia="宋体" w:hAnsi="Times New Roman"/>
                <w:color w:val="000000"/>
                <w:sz w:val="20"/>
                <w:szCs w:val="20"/>
              </w:rPr>
              <w:t>44 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C6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6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C7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C71" w14:textId="77777777" w:rsidR="005C332D" w:rsidRDefault="00B93EAE">
            <w:pPr>
              <w:jc w:val="right"/>
              <w:textAlignment w:val="bottom"/>
            </w:pPr>
            <w:r>
              <w:rPr>
                <w:rFonts w:ascii="Times New Roman" w:eastAsia="宋体" w:hAnsi="Times New Roman"/>
                <w:color w:val="000000"/>
                <w:sz w:val="20"/>
                <w:szCs w:val="20"/>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C7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7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C7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C75" w14:textId="77777777" w:rsidR="005C332D" w:rsidRDefault="00B93EAE">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C7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7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C7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C79" w14:textId="77777777" w:rsidR="005C332D" w:rsidRDefault="00B93EAE">
            <w:pPr>
              <w:jc w:val="right"/>
              <w:textAlignment w:val="bottom"/>
            </w:pPr>
            <w:r>
              <w:rPr>
                <w:rFonts w:ascii="Times New Roman" w:eastAsia="宋体" w:hAnsi="Times New Roman"/>
                <w:color w:val="000000"/>
                <w:sz w:val="20"/>
                <w:szCs w:val="20"/>
              </w:rPr>
              <w:t>561 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C7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7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C7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C7D" w14:textId="77777777" w:rsidR="005C332D" w:rsidRDefault="00B93EAE">
            <w:pPr>
              <w:jc w:val="right"/>
              <w:textAlignment w:val="bottom"/>
            </w:pPr>
            <w:r>
              <w:rPr>
                <w:rFonts w:ascii="Times New Roman" w:eastAsia="宋体" w:hAnsi="Times New Roman"/>
                <w:color w:val="000000"/>
                <w:sz w:val="20"/>
                <w:szCs w:val="20"/>
              </w:rPr>
              <w:t>1,578 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C7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7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C8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C81" w14:textId="77777777" w:rsidR="005C332D" w:rsidRDefault="00B93EAE">
            <w:pPr>
              <w:jc w:val="right"/>
              <w:textAlignment w:val="bottom"/>
            </w:pPr>
            <w:r>
              <w:rPr>
                <w:rFonts w:ascii="Times New Roman" w:eastAsia="宋体" w:hAnsi="Times New Roman"/>
                <w:color w:val="000000"/>
                <w:sz w:val="20"/>
                <w:szCs w:val="20"/>
              </w:rPr>
              <w:t>2,453 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C82" w14:textId="77777777" w:rsidR="005C332D" w:rsidRDefault="005C332D">
            <w:pPr>
              <w:jc w:val="right"/>
              <w:rPr>
                <w:rFonts w:ascii="宋体"/>
              </w:rPr>
            </w:pPr>
          </w:p>
        </w:tc>
      </w:tr>
      <w:tr w:rsidR="005C332D" w14:paraId="518B6CA0" w14:textId="77777777">
        <w:tc>
          <w:tcPr>
            <w:tcW w:w="0" w:type="auto"/>
            <w:gridSpan w:val="3"/>
            <w:shd w:val="clear" w:color="auto" w:fill="FFFFFF"/>
            <w:tcMar>
              <w:top w:w="40" w:type="dxa"/>
              <w:left w:w="860" w:type="dxa"/>
              <w:bottom w:w="40" w:type="dxa"/>
              <w:right w:w="20" w:type="dxa"/>
            </w:tcMar>
          </w:tcPr>
          <w:p w14:paraId="518B6C84"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C8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C86" w14:textId="77777777" w:rsidR="005C332D" w:rsidRDefault="00B93EAE">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C8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88"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C8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C8A" w14:textId="77777777" w:rsidR="005C332D" w:rsidRDefault="00B93EAE">
            <w:pPr>
              <w:jc w:val="right"/>
              <w:textAlignment w:val="bottom"/>
            </w:pPr>
            <w:r>
              <w:rPr>
                <w:rFonts w:ascii="Times New Roman" w:eastAsia="宋体" w:hAnsi="Times New Roman"/>
                <w:color w:val="000000"/>
                <w:sz w:val="20"/>
                <w:szCs w:val="20"/>
              </w:rPr>
              <w:t>190 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C8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8C"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C8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C8E" w14:textId="77777777" w:rsidR="005C332D" w:rsidRDefault="00B93EAE">
            <w:pPr>
              <w:jc w:val="right"/>
              <w:textAlignment w:val="bottom"/>
            </w:pPr>
            <w:r>
              <w:rPr>
                <w:rFonts w:ascii="Times New Roman" w:eastAsia="宋体" w:hAnsi="Times New Roman"/>
                <w:color w:val="000000"/>
                <w:sz w:val="20"/>
                <w:szCs w:val="20"/>
              </w:rPr>
              <w:t>437 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C8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90"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C9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C92" w14:textId="77777777" w:rsidR="005C332D" w:rsidRDefault="00B93EAE">
            <w:pPr>
              <w:jc w:val="right"/>
              <w:textAlignment w:val="bottom"/>
            </w:pPr>
            <w:r>
              <w:rPr>
                <w:rFonts w:ascii="Times New Roman" w:eastAsia="宋体" w:hAnsi="Times New Roman"/>
                <w:color w:val="000000"/>
                <w:sz w:val="20"/>
                <w:szCs w:val="20"/>
              </w:rPr>
              <w:t>1,413 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C9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94"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C9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C96" w14:textId="77777777" w:rsidR="005C332D" w:rsidRDefault="00B93EAE">
            <w:pPr>
              <w:jc w:val="right"/>
              <w:textAlignment w:val="bottom"/>
            </w:pPr>
            <w:r>
              <w:rPr>
                <w:rFonts w:ascii="Times New Roman" w:eastAsia="宋体" w:hAnsi="Times New Roman"/>
                <w:color w:val="000000"/>
                <w:sz w:val="20"/>
                <w:szCs w:val="20"/>
              </w:rPr>
              <w:t>2,689 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C9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98"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C9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C9A" w14:textId="77777777" w:rsidR="005C332D" w:rsidRDefault="00B93EAE">
            <w:pPr>
              <w:jc w:val="right"/>
              <w:textAlignment w:val="bottom"/>
            </w:pPr>
            <w:r>
              <w:rPr>
                <w:rFonts w:ascii="Times New Roman" w:eastAsia="宋体" w:hAnsi="Times New Roman"/>
                <w:color w:val="000000"/>
                <w:sz w:val="20"/>
                <w:szCs w:val="20"/>
              </w:rPr>
              <w:t>4,551 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C9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C9C"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6C9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6C9E" w14:textId="77777777" w:rsidR="005C332D" w:rsidRDefault="00B93EAE">
            <w:pPr>
              <w:jc w:val="right"/>
              <w:textAlignment w:val="bottom"/>
            </w:pPr>
            <w:r>
              <w:rPr>
                <w:rFonts w:ascii="Times New Roman" w:eastAsia="宋体" w:hAnsi="Times New Roman"/>
                <w:color w:val="000000"/>
                <w:sz w:val="20"/>
                <w:szCs w:val="20"/>
              </w:rPr>
              <w:t>9,288 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6C9F" w14:textId="77777777" w:rsidR="005C332D" w:rsidRDefault="005C332D">
            <w:pPr>
              <w:jc w:val="right"/>
              <w:rPr>
                <w:rFonts w:ascii="宋体"/>
              </w:rPr>
            </w:pPr>
          </w:p>
        </w:tc>
      </w:tr>
    </w:tbl>
    <w:p w14:paraId="518B6CA1" w14:textId="77777777" w:rsidR="005C332D" w:rsidRDefault="00B93EAE">
      <w:pPr>
        <w:spacing w:before="120"/>
        <w:jc w:val="both"/>
      </w:pPr>
      <w:r>
        <w:rPr>
          <w:rFonts w:ascii="Times New Roman" w:eastAsia="宋体" w:hAnsi="Times New Roman"/>
          <w:color w:val="000000"/>
          <w:sz w:val="20"/>
          <w:szCs w:val="20"/>
        </w:rPr>
        <w:t xml:space="preserve">The following tables present the aging analysis of gross receivables as of July 30, 2022 and July 31, 2021 (in millions): </w:t>
      </w:r>
    </w:p>
    <w:tbl>
      <w:tblPr>
        <w:tblW w:w="5000" w:type="pct"/>
        <w:tblCellMar>
          <w:top w:w="15" w:type="dxa"/>
          <w:left w:w="15" w:type="dxa"/>
          <w:bottom w:w="15" w:type="dxa"/>
          <w:right w:w="15" w:type="dxa"/>
        </w:tblCellMar>
        <w:tblLook w:val="04A0" w:firstRow="1" w:lastRow="0" w:firstColumn="1" w:lastColumn="0" w:noHBand="0" w:noVBand="1"/>
      </w:tblPr>
      <w:tblGrid>
        <w:gridCol w:w="101"/>
        <w:gridCol w:w="1883"/>
        <w:gridCol w:w="36"/>
        <w:gridCol w:w="106"/>
        <w:gridCol w:w="300"/>
        <w:gridCol w:w="35"/>
        <w:gridCol w:w="36"/>
        <w:gridCol w:w="35"/>
        <w:gridCol w:w="35"/>
        <w:gridCol w:w="106"/>
        <w:gridCol w:w="215"/>
        <w:gridCol w:w="35"/>
        <w:gridCol w:w="36"/>
        <w:gridCol w:w="35"/>
        <w:gridCol w:w="36"/>
        <w:gridCol w:w="107"/>
        <w:gridCol w:w="301"/>
        <w:gridCol w:w="36"/>
        <w:gridCol w:w="36"/>
        <w:gridCol w:w="36"/>
        <w:gridCol w:w="36"/>
        <w:gridCol w:w="108"/>
        <w:gridCol w:w="531"/>
        <w:gridCol w:w="37"/>
        <w:gridCol w:w="36"/>
        <w:gridCol w:w="36"/>
        <w:gridCol w:w="36"/>
        <w:gridCol w:w="107"/>
        <w:gridCol w:w="430"/>
        <w:gridCol w:w="36"/>
        <w:gridCol w:w="36"/>
        <w:gridCol w:w="36"/>
        <w:gridCol w:w="36"/>
        <w:gridCol w:w="107"/>
        <w:gridCol w:w="430"/>
        <w:gridCol w:w="36"/>
        <w:gridCol w:w="36"/>
        <w:gridCol w:w="36"/>
        <w:gridCol w:w="36"/>
        <w:gridCol w:w="108"/>
        <w:gridCol w:w="556"/>
        <w:gridCol w:w="36"/>
        <w:gridCol w:w="36"/>
        <w:gridCol w:w="36"/>
        <w:gridCol w:w="36"/>
        <w:gridCol w:w="108"/>
        <w:gridCol w:w="702"/>
        <w:gridCol w:w="36"/>
        <w:gridCol w:w="36"/>
        <w:gridCol w:w="36"/>
        <w:gridCol w:w="36"/>
        <w:gridCol w:w="108"/>
        <w:gridCol w:w="702"/>
        <w:gridCol w:w="36"/>
      </w:tblGrid>
      <w:tr w:rsidR="005C332D" w14:paraId="518B6CD8" w14:textId="77777777">
        <w:tc>
          <w:tcPr>
            <w:tcW w:w="50" w:type="pct"/>
            <w:shd w:val="clear" w:color="auto" w:fill="auto"/>
            <w:vAlign w:val="bottom"/>
          </w:tcPr>
          <w:p w14:paraId="518B6CA2" w14:textId="77777777" w:rsidR="005C332D" w:rsidRDefault="005C332D">
            <w:pPr>
              <w:rPr>
                <w:rFonts w:ascii="宋体"/>
              </w:rPr>
            </w:pPr>
          </w:p>
        </w:tc>
        <w:tc>
          <w:tcPr>
            <w:tcW w:w="1070" w:type="pct"/>
            <w:shd w:val="clear" w:color="auto" w:fill="auto"/>
            <w:vAlign w:val="bottom"/>
          </w:tcPr>
          <w:p w14:paraId="518B6CA3" w14:textId="77777777" w:rsidR="005C332D" w:rsidRDefault="005C332D">
            <w:pPr>
              <w:rPr>
                <w:rFonts w:ascii="宋体"/>
              </w:rPr>
            </w:pPr>
          </w:p>
        </w:tc>
        <w:tc>
          <w:tcPr>
            <w:tcW w:w="5" w:type="pct"/>
            <w:shd w:val="clear" w:color="auto" w:fill="auto"/>
            <w:vAlign w:val="bottom"/>
          </w:tcPr>
          <w:p w14:paraId="518B6CA4" w14:textId="77777777" w:rsidR="005C332D" w:rsidRDefault="005C332D">
            <w:pPr>
              <w:rPr>
                <w:rFonts w:ascii="宋体"/>
              </w:rPr>
            </w:pPr>
          </w:p>
        </w:tc>
        <w:tc>
          <w:tcPr>
            <w:tcW w:w="50" w:type="pct"/>
            <w:shd w:val="clear" w:color="auto" w:fill="auto"/>
            <w:vAlign w:val="bottom"/>
          </w:tcPr>
          <w:p w14:paraId="518B6CA5" w14:textId="77777777" w:rsidR="005C332D" w:rsidRDefault="005C332D">
            <w:pPr>
              <w:rPr>
                <w:rFonts w:ascii="宋体"/>
              </w:rPr>
            </w:pPr>
          </w:p>
        </w:tc>
        <w:tc>
          <w:tcPr>
            <w:tcW w:w="317" w:type="pct"/>
            <w:shd w:val="clear" w:color="auto" w:fill="auto"/>
            <w:vAlign w:val="bottom"/>
          </w:tcPr>
          <w:p w14:paraId="518B6CA6" w14:textId="77777777" w:rsidR="005C332D" w:rsidRDefault="005C332D">
            <w:pPr>
              <w:rPr>
                <w:rFonts w:ascii="宋体"/>
              </w:rPr>
            </w:pPr>
          </w:p>
        </w:tc>
        <w:tc>
          <w:tcPr>
            <w:tcW w:w="5" w:type="pct"/>
            <w:shd w:val="clear" w:color="auto" w:fill="auto"/>
            <w:vAlign w:val="bottom"/>
          </w:tcPr>
          <w:p w14:paraId="518B6CA7" w14:textId="77777777" w:rsidR="005C332D" w:rsidRDefault="005C332D">
            <w:pPr>
              <w:rPr>
                <w:rFonts w:ascii="宋体"/>
              </w:rPr>
            </w:pPr>
          </w:p>
        </w:tc>
        <w:tc>
          <w:tcPr>
            <w:tcW w:w="5" w:type="pct"/>
            <w:shd w:val="clear" w:color="auto" w:fill="auto"/>
            <w:vAlign w:val="bottom"/>
          </w:tcPr>
          <w:p w14:paraId="518B6CA8" w14:textId="77777777" w:rsidR="005C332D" w:rsidRDefault="005C332D">
            <w:pPr>
              <w:rPr>
                <w:rFonts w:ascii="宋体"/>
              </w:rPr>
            </w:pPr>
          </w:p>
        </w:tc>
        <w:tc>
          <w:tcPr>
            <w:tcW w:w="26" w:type="pct"/>
            <w:shd w:val="clear" w:color="auto" w:fill="auto"/>
            <w:vAlign w:val="bottom"/>
          </w:tcPr>
          <w:p w14:paraId="518B6CA9" w14:textId="77777777" w:rsidR="005C332D" w:rsidRDefault="005C332D">
            <w:pPr>
              <w:rPr>
                <w:rFonts w:ascii="宋体"/>
              </w:rPr>
            </w:pPr>
          </w:p>
        </w:tc>
        <w:tc>
          <w:tcPr>
            <w:tcW w:w="5" w:type="pct"/>
            <w:shd w:val="clear" w:color="auto" w:fill="auto"/>
            <w:vAlign w:val="bottom"/>
          </w:tcPr>
          <w:p w14:paraId="518B6CAA" w14:textId="77777777" w:rsidR="005C332D" w:rsidRDefault="005C332D">
            <w:pPr>
              <w:rPr>
                <w:rFonts w:ascii="宋体"/>
              </w:rPr>
            </w:pPr>
          </w:p>
        </w:tc>
        <w:tc>
          <w:tcPr>
            <w:tcW w:w="50" w:type="pct"/>
            <w:shd w:val="clear" w:color="auto" w:fill="auto"/>
            <w:vAlign w:val="bottom"/>
          </w:tcPr>
          <w:p w14:paraId="518B6CAB" w14:textId="77777777" w:rsidR="005C332D" w:rsidRDefault="005C332D">
            <w:pPr>
              <w:rPr>
                <w:rFonts w:ascii="宋体"/>
              </w:rPr>
            </w:pPr>
          </w:p>
        </w:tc>
        <w:tc>
          <w:tcPr>
            <w:tcW w:w="317" w:type="pct"/>
            <w:shd w:val="clear" w:color="auto" w:fill="auto"/>
            <w:vAlign w:val="bottom"/>
          </w:tcPr>
          <w:p w14:paraId="518B6CAC" w14:textId="77777777" w:rsidR="005C332D" w:rsidRDefault="005C332D">
            <w:pPr>
              <w:rPr>
                <w:rFonts w:ascii="宋体"/>
              </w:rPr>
            </w:pPr>
          </w:p>
        </w:tc>
        <w:tc>
          <w:tcPr>
            <w:tcW w:w="5" w:type="pct"/>
            <w:shd w:val="clear" w:color="auto" w:fill="auto"/>
            <w:vAlign w:val="bottom"/>
          </w:tcPr>
          <w:p w14:paraId="518B6CAD" w14:textId="77777777" w:rsidR="005C332D" w:rsidRDefault="005C332D">
            <w:pPr>
              <w:rPr>
                <w:rFonts w:ascii="宋体"/>
              </w:rPr>
            </w:pPr>
          </w:p>
        </w:tc>
        <w:tc>
          <w:tcPr>
            <w:tcW w:w="5" w:type="pct"/>
            <w:shd w:val="clear" w:color="auto" w:fill="auto"/>
            <w:vAlign w:val="bottom"/>
          </w:tcPr>
          <w:p w14:paraId="518B6CAE" w14:textId="77777777" w:rsidR="005C332D" w:rsidRDefault="005C332D">
            <w:pPr>
              <w:rPr>
                <w:rFonts w:ascii="宋体"/>
              </w:rPr>
            </w:pPr>
          </w:p>
        </w:tc>
        <w:tc>
          <w:tcPr>
            <w:tcW w:w="26" w:type="pct"/>
            <w:shd w:val="clear" w:color="auto" w:fill="auto"/>
            <w:vAlign w:val="bottom"/>
          </w:tcPr>
          <w:p w14:paraId="518B6CAF" w14:textId="77777777" w:rsidR="005C332D" w:rsidRDefault="005C332D">
            <w:pPr>
              <w:rPr>
                <w:rFonts w:ascii="宋体"/>
              </w:rPr>
            </w:pPr>
          </w:p>
        </w:tc>
        <w:tc>
          <w:tcPr>
            <w:tcW w:w="5" w:type="pct"/>
            <w:shd w:val="clear" w:color="auto" w:fill="auto"/>
            <w:vAlign w:val="bottom"/>
          </w:tcPr>
          <w:p w14:paraId="518B6CB0" w14:textId="77777777" w:rsidR="005C332D" w:rsidRDefault="005C332D">
            <w:pPr>
              <w:rPr>
                <w:rFonts w:ascii="宋体"/>
              </w:rPr>
            </w:pPr>
          </w:p>
        </w:tc>
        <w:tc>
          <w:tcPr>
            <w:tcW w:w="50" w:type="pct"/>
            <w:shd w:val="clear" w:color="auto" w:fill="auto"/>
            <w:vAlign w:val="bottom"/>
          </w:tcPr>
          <w:p w14:paraId="518B6CB1" w14:textId="77777777" w:rsidR="005C332D" w:rsidRDefault="005C332D">
            <w:pPr>
              <w:rPr>
                <w:rFonts w:ascii="宋体"/>
              </w:rPr>
            </w:pPr>
          </w:p>
        </w:tc>
        <w:tc>
          <w:tcPr>
            <w:tcW w:w="317" w:type="pct"/>
            <w:shd w:val="clear" w:color="auto" w:fill="auto"/>
            <w:vAlign w:val="bottom"/>
          </w:tcPr>
          <w:p w14:paraId="518B6CB2" w14:textId="77777777" w:rsidR="005C332D" w:rsidRDefault="005C332D">
            <w:pPr>
              <w:rPr>
                <w:rFonts w:ascii="宋体"/>
              </w:rPr>
            </w:pPr>
          </w:p>
        </w:tc>
        <w:tc>
          <w:tcPr>
            <w:tcW w:w="5" w:type="pct"/>
            <w:shd w:val="clear" w:color="auto" w:fill="auto"/>
            <w:vAlign w:val="bottom"/>
          </w:tcPr>
          <w:p w14:paraId="518B6CB3" w14:textId="77777777" w:rsidR="005C332D" w:rsidRDefault="005C332D">
            <w:pPr>
              <w:rPr>
                <w:rFonts w:ascii="宋体"/>
              </w:rPr>
            </w:pPr>
          </w:p>
        </w:tc>
        <w:tc>
          <w:tcPr>
            <w:tcW w:w="5" w:type="pct"/>
            <w:shd w:val="clear" w:color="auto" w:fill="auto"/>
            <w:vAlign w:val="bottom"/>
          </w:tcPr>
          <w:p w14:paraId="518B6CB4" w14:textId="77777777" w:rsidR="005C332D" w:rsidRDefault="005C332D">
            <w:pPr>
              <w:rPr>
                <w:rFonts w:ascii="宋体"/>
              </w:rPr>
            </w:pPr>
          </w:p>
        </w:tc>
        <w:tc>
          <w:tcPr>
            <w:tcW w:w="26" w:type="pct"/>
            <w:shd w:val="clear" w:color="auto" w:fill="auto"/>
            <w:vAlign w:val="bottom"/>
          </w:tcPr>
          <w:p w14:paraId="518B6CB5" w14:textId="77777777" w:rsidR="005C332D" w:rsidRDefault="005C332D">
            <w:pPr>
              <w:rPr>
                <w:rFonts w:ascii="宋体"/>
              </w:rPr>
            </w:pPr>
          </w:p>
        </w:tc>
        <w:tc>
          <w:tcPr>
            <w:tcW w:w="5" w:type="pct"/>
            <w:shd w:val="clear" w:color="auto" w:fill="auto"/>
            <w:vAlign w:val="bottom"/>
          </w:tcPr>
          <w:p w14:paraId="518B6CB6" w14:textId="77777777" w:rsidR="005C332D" w:rsidRDefault="005C332D">
            <w:pPr>
              <w:rPr>
                <w:rFonts w:ascii="宋体"/>
              </w:rPr>
            </w:pPr>
          </w:p>
        </w:tc>
        <w:tc>
          <w:tcPr>
            <w:tcW w:w="50" w:type="pct"/>
            <w:shd w:val="clear" w:color="auto" w:fill="auto"/>
            <w:vAlign w:val="bottom"/>
          </w:tcPr>
          <w:p w14:paraId="518B6CB7" w14:textId="77777777" w:rsidR="005C332D" w:rsidRDefault="005C332D">
            <w:pPr>
              <w:rPr>
                <w:rFonts w:ascii="宋体"/>
              </w:rPr>
            </w:pPr>
          </w:p>
        </w:tc>
        <w:tc>
          <w:tcPr>
            <w:tcW w:w="332" w:type="pct"/>
            <w:shd w:val="clear" w:color="auto" w:fill="auto"/>
            <w:vAlign w:val="bottom"/>
          </w:tcPr>
          <w:p w14:paraId="518B6CB8" w14:textId="77777777" w:rsidR="005C332D" w:rsidRDefault="005C332D">
            <w:pPr>
              <w:rPr>
                <w:rFonts w:ascii="宋体"/>
              </w:rPr>
            </w:pPr>
          </w:p>
        </w:tc>
        <w:tc>
          <w:tcPr>
            <w:tcW w:w="5" w:type="pct"/>
            <w:shd w:val="clear" w:color="auto" w:fill="auto"/>
            <w:vAlign w:val="bottom"/>
          </w:tcPr>
          <w:p w14:paraId="518B6CB9" w14:textId="77777777" w:rsidR="005C332D" w:rsidRDefault="005C332D">
            <w:pPr>
              <w:rPr>
                <w:rFonts w:ascii="宋体"/>
              </w:rPr>
            </w:pPr>
          </w:p>
        </w:tc>
        <w:tc>
          <w:tcPr>
            <w:tcW w:w="5" w:type="pct"/>
            <w:shd w:val="clear" w:color="auto" w:fill="auto"/>
            <w:vAlign w:val="bottom"/>
          </w:tcPr>
          <w:p w14:paraId="518B6CBA" w14:textId="77777777" w:rsidR="005C332D" w:rsidRDefault="005C332D">
            <w:pPr>
              <w:rPr>
                <w:rFonts w:ascii="宋体"/>
              </w:rPr>
            </w:pPr>
          </w:p>
        </w:tc>
        <w:tc>
          <w:tcPr>
            <w:tcW w:w="26" w:type="pct"/>
            <w:shd w:val="clear" w:color="auto" w:fill="auto"/>
            <w:vAlign w:val="bottom"/>
          </w:tcPr>
          <w:p w14:paraId="518B6CBB" w14:textId="77777777" w:rsidR="005C332D" w:rsidRDefault="005C332D">
            <w:pPr>
              <w:rPr>
                <w:rFonts w:ascii="宋体"/>
              </w:rPr>
            </w:pPr>
          </w:p>
        </w:tc>
        <w:tc>
          <w:tcPr>
            <w:tcW w:w="5" w:type="pct"/>
            <w:shd w:val="clear" w:color="auto" w:fill="auto"/>
            <w:vAlign w:val="bottom"/>
          </w:tcPr>
          <w:p w14:paraId="518B6CBC" w14:textId="77777777" w:rsidR="005C332D" w:rsidRDefault="005C332D">
            <w:pPr>
              <w:rPr>
                <w:rFonts w:ascii="宋体"/>
              </w:rPr>
            </w:pPr>
          </w:p>
        </w:tc>
        <w:tc>
          <w:tcPr>
            <w:tcW w:w="50" w:type="pct"/>
            <w:shd w:val="clear" w:color="auto" w:fill="auto"/>
            <w:vAlign w:val="bottom"/>
          </w:tcPr>
          <w:p w14:paraId="518B6CBD" w14:textId="77777777" w:rsidR="005C332D" w:rsidRDefault="005C332D">
            <w:pPr>
              <w:rPr>
                <w:rFonts w:ascii="宋体"/>
              </w:rPr>
            </w:pPr>
          </w:p>
        </w:tc>
        <w:tc>
          <w:tcPr>
            <w:tcW w:w="332" w:type="pct"/>
            <w:shd w:val="clear" w:color="auto" w:fill="auto"/>
            <w:vAlign w:val="bottom"/>
          </w:tcPr>
          <w:p w14:paraId="518B6CBE" w14:textId="77777777" w:rsidR="005C332D" w:rsidRDefault="005C332D">
            <w:pPr>
              <w:rPr>
                <w:rFonts w:ascii="宋体"/>
              </w:rPr>
            </w:pPr>
          </w:p>
        </w:tc>
        <w:tc>
          <w:tcPr>
            <w:tcW w:w="5" w:type="pct"/>
            <w:shd w:val="clear" w:color="auto" w:fill="auto"/>
            <w:vAlign w:val="bottom"/>
          </w:tcPr>
          <w:p w14:paraId="518B6CBF" w14:textId="77777777" w:rsidR="005C332D" w:rsidRDefault="005C332D">
            <w:pPr>
              <w:rPr>
                <w:rFonts w:ascii="宋体"/>
              </w:rPr>
            </w:pPr>
          </w:p>
        </w:tc>
        <w:tc>
          <w:tcPr>
            <w:tcW w:w="5" w:type="pct"/>
            <w:shd w:val="clear" w:color="auto" w:fill="auto"/>
            <w:vAlign w:val="bottom"/>
          </w:tcPr>
          <w:p w14:paraId="518B6CC0" w14:textId="77777777" w:rsidR="005C332D" w:rsidRDefault="005C332D">
            <w:pPr>
              <w:rPr>
                <w:rFonts w:ascii="宋体"/>
              </w:rPr>
            </w:pPr>
          </w:p>
        </w:tc>
        <w:tc>
          <w:tcPr>
            <w:tcW w:w="26" w:type="pct"/>
            <w:shd w:val="clear" w:color="auto" w:fill="auto"/>
            <w:vAlign w:val="bottom"/>
          </w:tcPr>
          <w:p w14:paraId="518B6CC1" w14:textId="77777777" w:rsidR="005C332D" w:rsidRDefault="005C332D">
            <w:pPr>
              <w:rPr>
                <w:rFonts w:ascii="宋体"/>
              </w:rPr>
            </w:pPr>
          </w:p>
        </w:tc>
        <w:tc>
          <w:tcPr>
            <w:tcW w:w="5" w:type="pct"/>
            <w:shd w:val="clear" w:color="auto" w:fill="auto"/>
            <w:vAlign w:val="bottom"/>
          </w:tcPr>
          <w:p w14:paraId="518B6CC2" w14:textId="77777777" w:rsidR="005C332D" w:rsidRDefault="005C332D">
            <w:pPr>
              <w:rPr>
                <w:rFonts w:ascii="宋体"/>
              </w:rPr>
            </w:pPr>
          </w:p>
        </w:tc>
        <w:tc>
          <w:tcPr>
            <w:tcW w:w="50" w:type="pct"/>
            <w:shd w:val="clear" w:color="auto" w:fill="auto"/>
            <w:vAlign w:val="bottom"/>
          </w:tcPr>
          <w:p w14:paraId="518B6CC3" w14:textId="77777777" w:rsidR="005C332D" w:rsidRDefault="005C332D">
            <w:pPr>
              <w:rPr>
                <w:rFonts w:ascii="宋体"/>
              </w:rPr>
            </w:pPr>
          </w:p>
        </w:tc>
        <w:tc>
          <w:tcPr>
            <w:tcW w:w="332" w:type="pct"/>
            <w:shd w:val="clear" w:color="auto" w:fill="auto"/>
            <w:vAlign w:val="bottom"/>
          </w:tcPr>
          <w:p w14:paraId="518B6CC4" w14:textId="77777777" w:rsidR="005C332D" w:rsidRDefault="005C332D">
            <w:pPr>
              <w:rPr>
                <w:rFonts w:ascii="宋体"/>
              </w:rPr>
            </w:pPr>
          </w:p>
        </w:tc>
        <w:tc>
          <w:tcPr>
            <w:tcW w:w="5" w:type="pct"/>
            <w:shd w:val="clear" w:color="auto" w:fill="auto"/>
            <w:vAlign w:val="bottom"/>
          </w:tcPr>
          <w:p w14:paraId="518B6CC5" w14:textId="77777777" w:rsidR="005C332D" w:rsidRDefault="005C332D">
            <w:pPr>
              <w:rPr>
                <w:rFonts w:ascii="宋体"/>
              </w:rPr>
            </w:pPr>
          </w:p>
        </w:tc>
        <w:tc>
          <w:tcPr>
            <w:tcW w:w="5" w:type="pct"/>
            <w:shd w:val="clear" w:color="auto" w:fill="auto"/>
            <w:vAlign w:val="bottom"/>
          </w:tcPr>
          <w:p w14:paraId="518B6CC6" w14:textId="77777777" w:rsidR="005C332D" w:rsidRDefault="005C332D">
            <w:pPr>
              <w:rPr>
                <w:rFonts w:ascii="宋体"/>
              </w:rPr>
            </w:pPr>
          </w:p>
        </w:tc>
        <w:tc>
          <w:tcPr>
            <w:tcW w:w="26" w:type="pct"/>
            <w:shd w:val="clear" w:color="auto" w:fill="auto"/>
            <w:vAlign w:val="bottom"/>
          </w:tcPr>
          <w:p w14:paraId="518B6CC7" w14:textId="77777777" w:rsidR="005C332D" w:rsidRDefault="005C332D">
            <w:pPr>
              <w:rPr>
                <w:rFonts w:ascii="宋体"/>
              </w:rPr>
            </w:pPr>
          </w:p>
        </w:tc>
        <w:tc>
          <w:tcPr>
            <w:tcW w:w="5" w:type="pct"/>
            <w:shd w:val="clear" w:color="auto" w:fill="auto"/>
            <w:vAlign w:val="bottom"/>
          </w:tcPr>
          <w:p w14:paraId="518B6CC8" w14:textId="77777777" w:rsidR="005C332D" w:rsidRDefault="005C332D">
            <w:pPr>
              <w:rPr>
                <w:rFonts w:ascii="宋体"/>
              </w:rPr>
            </w:pPr>
          </w:p>
        </w:tc>
        <w:tc>
          <w:tcPr>
            <w:tcW w:w="50" w:type="pct"/>
            <w:shd w:val="clear" w:color="auto" w:fill="auto"/>
            <w:vAlign w:val="bottom"/>
          </w:tcPr>
          <w:p w14:paraId="518B6CC9" w14:textId="77777777" w:rsidR="005C332D" w:rsidRDefault="005C332D">
            <w:pPr>
              <w:rPr>
                <w:rFonts w:ascii="宋体"/>
              </w:rPr>
            </w:pPr>
          </w:p>
        </w:tc>
        <w:tc>
          <w:tcPr>
            <w:tcW w:w="361" w:type="pct"/>
            <w:shd w:val="clear" w:color="auto" w:fill="auto"/>
            <w:vAlign w:val="bottom"/>
          </w:tcPr>
          <w:p w14:paraId="518B6CCA" w14:textId="77777777" w:rsidR="005C332D" w:rsidRDefault="005C332D">
            <w:pPr>
              <w:rPr>
                <w:rFonts w:ascii="宋体"/>
              </w:rPr>
            </w:pPr>
          </w:p>
        </w:tc>
        <w:tc>
          <w:tcPr>
            <w:tcW w:w="5" w:type="pct"/>
            <w:shd w:val="clear" w:color="auto" w:fill="auto"/>
            <w:vAlign w:val="bottom"/>
          </w:tcPr>
          <w:p w14:paraId="518B6CCB" w14:textId="77777777" w:rsidR="005C332D" w:rsidRDefault="005C332D">
            <w:pPr>
              <w:rPr>
                <w:rFonts w:ascii="宋体"/>
              </w:rPr>
            </w:pPr>
          </w:p>
        </w:tc>
        <w:tc>
          <w:tcPr>
            <w:tcW w:w="5" w:type="pct"/>
            <w:shd w:val="clear" w:color="auto" w:fill="auto"/>
            <w:vAlign w:val="bottom"/>
          </w:tcPr>
          <w:p w14:paraId="518B6CCC" w14:textId="77777777" w:rsidR="005C332D" w:rsidRDefault="005C332D">
            <w:pPr>
              <w:rPr>
                <w:rFonts w:ascii="宋体"/>
              </w:rPr>
            </w:pPr>
          </w:p>
        </w:tc>
        <w:tc>
          <w:tcPr>
            <w:tcW w:w="19" w:type="pct"/>
            <w:shd w:val="clear" w:color="auto" w:fill="auto"/>
            <w:vAlign w:val="bottom"/>
          </w:tcPr>
          <w:p w14:paraId="518B6CCD" w14:textId="77777777" w:rsidR="005C332D" w:rsidRDefault="005C332D">
            <w:pPr>
              <w:rPr>
                <w:rFonts w:ascii="宋体"/>
              </w:rPr>
            </w:pPr>
          </w:p>
        </w:tc>
        <w:tc>
          <w:tcPr>
            <w:tcW w:w="5" w:type="pct"/>
            <w:shd w:val="clear" w:color="auto" w:fill="auto"/>
            <w:vAlign w:val="bottom"/>
          </w:tcPr>
          <w:p w14:paraId="518B6CCE" w14:textId="77777777" w:rsidR="005C332D" w:rsidRDefault="005C332D">
            <w:pPr>
              <w:rPr>
                <w:rFonts w:ascii="宋体"/>
              </w:rPr>
            </w:pPr>
          </w:p>
        </w:tc>
        <w:tc>
          <w:tcPr>
            <w:tcW w:w="50" w:type="pct"/>
            <w:shd w:val="clear" w:color="auto" w:fill="auto"/>
            <w:vAlign w:val="bottom"/>
          </w:tcPr>
          <w:p w14:paraId="518B6CCF" w14:textId="77777777" w:rsidR="005C332D" w:rsidRDefault="005C332D">
            <w:pPr>
              <w:rPr>
                <w:rFonts w:ascii="宋体"/>
              </w:rPr>
            </w:pPr>
          </w:p>
        </w:tc>
        <w:tc>
          <w:tcPr>
            <w:tcW w:w="390" w:type="pct"/>
            <w:shd w:val="clear" w:color="auto" w:fill="auto"/>
            <w:vAlign w:val="bottom"/>
          </w:tcPr>
          <w:p w14:paraId="518B6CD0" w14:textId="77777777" w:rsidR="005C332D" w:rsidRDefault="005C332D">
            <w:pPr>
              <w:rPr>
                <w:rFonts w:ascii="宋体"/>
              </w:rPr>
            </w:pPr>
          </w:p>
        </w:tc>
        <w:tc>
          <w:tcPr>
            <w:tcW w:w="5" w:type="pct"/>
            <w:shd w:val="clear" w:color="auto" w:fill="auto"/>
            <w:vAlign w:val="bottom"/>
          </w:tcPr>
          <w:p w14:paraId="518B6CD1" w14:textId="77777777" w:rsidR="005C332D" w:rsidRDefault="005C332D">
            <w:pPr>
              <w:rPr>
                <w:rFonts w:ascii="宋体"/>
              </w:rPr>
            </w:pPr>
          </w:p>
        </w:tc>
        <w:tc>
          <w:tcPr>
            <w:tcW w:w="5" w:type="pct"/>
            <w:shd w:val="clear" w:color="auto" w:fill="auto"/>
            <w:vAlign w:val="bottom"/>
          </w:tcPr>
          <w:p w14:paraId="518B6CD2" w14:textId="77777777" w:rsidR="005C332D" w:rsidRDefault="005C332D">
            <w:pPr>
              <w:rPr>
                <w:rFonts w:ascii="宋体"/>
              </w:rPr>
            </w:pPr>
          </w:p>
        </w:tc>
        <w:tc>
          <w:tcPr>
            <w:tcW w:w="26" w:type="pct"/>
            <w:shd w:val="clear" w:color="auto" w:fill="auto"/>
            <w:vAlign w:val="bottom"/>
          </w:tcPr>
          <w:p w14:paraId="518B6CD3" w14:textId="77777777" w:rsidR="005C332D" w:rsidRDefault="005C332D">
            <w:pPr>
              <w:rPr>
                <w:rFonts w:ascii="宋体"/>
              </w:rPr>
            </w:pPr>
          </w:p>
        </w:tc>
        <w:tc>
          <w:tcPr>
            <w:tcW w:w="5" w:type="pct"/>
            <w:shd w:val="clear" w:color="auto" w:fill="auto"/>
            <w:vAlign w:val="bottom"/>
          </w:tcPr>
          <w:p w14:paraId="518B6CD4" w14:textId="77777777" w:rsidR="005C332D" w:rsidRDefault="005C332D">
            <w:pPr>
              <w:rPr>
                <w:rFonts w:ascii="宋体"/>
              </w:rPr>
            </w:pPr>
          </w:p>
        </w:tc>
        <w:tc>
          <w:tcPr>
            <w:tcW w:w="50" w:type="pct"/>
            <w:shd w:val="clear" w:color="auto" w:fill="auto"/>
            <w:vAlign w:val="bottom"/>
          </w:tcPr>
          <w:p w14:paraId="518B6CD5" w14:textId="77777777" w:rsidR="005C332D" w:rsidRDefault="005C332D">
            <w:pPr>
              <w:rPr>
                <w:rFonts w:ascii="宋体"/>
              </w:rPr>
            </w:pPr>
          </w:p>
        </w:tc>
        <w:tc>
          <w:tcPr>
            <w:tcW w:w="391" w:type="pct"/>
            <w:shd w:val="clear" w:color="auto" w:fill="auto"/>
            <w:vAlign w:val="bottom"/>
          </w:tcPr>
          <w:p w14:paraId="518B6CD6" w14:textId="77777777" w:rsidR="005C332D" w:rsidRDefault="005C332D">
            <w:pPr>
              <w:rPr>
                <w:rFonts w:ascii="宋体"/>
              </w:rPr>
            </w:pPr>
          </w:p>
        </w:tc>
        <w:tc>
          <w:tcPr>
            <w:tcW w:w="5" w:type="pct"/>
            <w:shd w:val="clear" w:color="auto" w:fill="auto"/>
            <w:vAlign w:val="bottom"/>
          </w:tcPr>
          <w:p w14:paraId="518B6CD7" w14:textId="77777777" w:rsidR="005C332D" w:rsidRDefault="005C332D">
            <w:pPr>
              <w:rPr>
                <w:rFonts w:ascii="宋体"/>
              </w:rPr>
            </w:pPr>
          </w:p>
        </w:tc>
      </w:tr>
      <w:tr w:rsidR="005C332D" w14:paraId="518B6CE5" w14:textId="77777777">
        <w:tc>
          <w:tcPr>
            <w:tcW w:w="0" w:type="auto"/>
            <w:gridSpan w:val="3"/>
            <w:shd w:val="clear" w:color="auto" w:fill="auto"/>
            <w:tcMar>
              <w:top w:w="0" w:type="dxa"/>
              <w:left w:w="20" w:type="dxa"/>
              <w:bottom w:w="0" w:type="dxa"/>
              <w:right w:w="20" w:type="dxa"/>
            </w:tcMar>
            <w:vAlign w:val="bottom"/>
          </w:tcPr>
          <w:p w14:paraId="518B6CD9" w14:textId="77777777" w:rsidR="005C332D" w:rsidRDefault="005C332D">
            <w:pPr>
              <w:rPr>
                <w:rFonts w:ascii="宋体"/>
              </w:rPr>
            </w:pPr>
          </w:p>
        </w:tc>
        <w:tc>
          <w:tcPr>
            <w:tcW w:w="0" w:type="auto"/>
            <w:gridSpan w:val="21"/>
            <w:shd w:val="clear" w:color="auto" w:fill="auto"/>
            <w:tcMar>
              <w:top w:w="40" w:type="dxa"/>
              <w:left w:w="20" w:type="dxa"/>
              <w:bottom w:w="40" w:type="dxa"/>
              <w:right w:w="20" w:type="dxa"/>
            </w:tcMar>
            <w:vAlign w:val="bottom"/>
          </w:tcPr>
          <w:p w14:paraId="518B6CDA" w14:textId="77777777" w:rsidR="005C332D" w:rsidRDefault="00B93EAE">
            <w:pPr>
              <w:jc w:val="center"/>
              <w:textAlignment w:val="bottom"/>
            </w:pPr>
            <w:r>
              <w:rPr>
                <w:rFonts w:ascii="Times New Roman" w:eastAsia="宋体" w:hAnsi="Times New Roman"/>
                <w:b/>
                <w:bCs/>
                <w:color w:val="000000"/>
                <w:sz w:val="18"/>
                <w:szCs w:val="18"/>
              </w:rPr>
              <w:t xml:space="preserve">DAYS PAST DUE </w:t>
            </w:r>
            <w:r>
              <w:rPr>
                <w:rFonts w:ascii="Times New Roman" w:eastAsia="宋体" w:hAnsi="Times New Roman"/>
                <w:b/>
                <w:bCs/>
                <w:color w:val="000000"/>
                <w:sz w:val="18"/>
                <w:szCs w:val="18"/>
              </w:rPr>
              <w:br/>
              <w:t>(INCLUDES BILLED AND UNBILLED)</w:t>
            </w:r>
          </w:p>
        </w:tc>
        <w:tc>
          <w:tcPr>
            <w:tcW w:w="0" w:type="auto"/>
            <w:gridSpan w:val="3"/>
            <w:shd w:val="clear" w:color="auto" w:fill="auto"/>
            <w:tcMar>
              <w:top w:w="0" w:type="dxa"/>
              <w:left w:w="20" w:type="dxa"/>
              <w:bottom w:w="0" w:type="dxa"/>
              <w:right w:w="20" w:type="dxa"/>
            </w:tcMar>
            <w:vAlign w:val="bottom"/>
          </w:tcPr>
          <w:p w14:paraId="518B6CD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CDC"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CDD"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CDE"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CDF"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CE0"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CE1"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CE2"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CE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CE4" w14:textId="77777777" w:rsidR="005C332D" w:rsidRDefault="005C332D">
            <w:pPr>
              <w:rPr>
                <w:rFonts w:ascii="宋体"/>
              </w:rPr>
            </w:pPr>
          </w:p>
        </w:tc>
      </w:tr>
      <w:tr w:rsidR="005C332D" w14:paraId="518B6CF8" w14:textId="77777777">
        <w:tc>
          <w:tcPr>
            <w:tcW w:w="0" w:type="auto"/>
            <w:gridSpan w:val="3"/>
            <w:shd w:val="clear" w:color="auto" w:fill="auto"/>
            <w:tcMar>
              <w:top w:w="40" w:type="dxa"/>
              <w:left w:w="20" w:type="dxa"/>
              <w:bottom w:w="40" w:type="dxa"/>
              <w:right w:w="20" w:type="dxa"/>
            </w:tcMar>
            <w:vAlign w:val="bottom"/>
          </w:tcPr>
          <w:p w14:paraId="518B6CE6" w14:textId="77777777" w:rsidR="005C332D" w:rsidRDefault="00B93EAE">
            <w:pPr>
              <w:textAlignment w:val="bottom"/>
            </w:pPr>
            <w:r>
              <w:rPr>
                <w:rFonts w:ascii="Times New Roman" w:eastAsia="宋体" w:hAnsi="Times New Roman"/>
                <w:b/>
                <w:bCs/>
                <w:color w:val="000000"/>
                <w:sz w:val="16"/>
                <w:szCs w:val="16"/>
                <w:u w:val="single"/>
              </w:rPr>
              <w:t>July 30,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CE7" w14:textId="77777777" w:rsidR="005C332D" w:rsidRDefault="00B93EAE">
            <w:pPr>
              <w:jc w:val="center"/>
              <w:textAlignment w:val="bottom"/>
            </w:pPr>
            <w:r>
              <w:rPr>
                <w:rFonts w:ascii="Times New Roman" w:eastAsia="宋体" w:hAnsi="Times New Roman"/>
                <w:b/>
                <w:bCs/>
                <w:color w:val="000000"/>
                <w:sz w:val="16"/>
                <w:szCs w:val="16"/>
              </w:rPr>
              <w:t>31 - 60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CE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CE9" w14:textId="77777777" w:rsidR="005C332D" w:rsidRDefault="00B93EAE">
            <w:pPr>
              <w:jc w:val="center"/>
              <w:textAlignment w:val="bottom"/>
            </w:pPr>
            <w:r>
              <w:rPr>
                <w:rFonts w:ascii="Times New Roman" w:eastAsia="宋体" w:hAnsi="Times New Roman"/>
                <w:b/>
                <w:bCs/>
                <w:color w:val="000000"/>
                <w:sz w:val="16"/>
                <w:szCs w:val="16"/>
              </w:rPr>
              <w:t>61 - 90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CE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CEB" w14:textId="77777777" w:rsidR="005C332D" w:rsidRDefault="00B93EAE">
            <w:pPr>
              <w:jc w:val="center"/>
              <w:textAlignment w:val="bottom"/>
            </w:pPr>
            <w:r>
              <w:rPr>
                <w:rFonts w:ascii="Times New Roman" w:eastAsia="宋体" w:hAnsi="Times New Roman"/>
                <w:b/>
                <w:bCs/>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CE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CED" w14:textId="77777777" w:rsidR="005C332D" w:rsidRDefault="00B93EAE">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Past Due</w:t>
            </w:r>
          </w:p>
        </w:tc>
        <w:tc>
          <w:tcPr>
            <w:tcW w:w="0" w:type="auto"/>
            <w:gridSpan w:val="3"/>
            <w:shd w:val="clear" w:color="auto" w:fill="auto"/>
            <w:tcMar>
              <w:top w:w="0" w:type="dxa"/>
              <w:left w:w="20" w:type="dxa"/>
              <w:bottom w:w="0" w:type="dxa"/>
              <w:right w:w="20" w:type="dxa"/>
            </w:tcMar>
            <w:vAlign w:val="bottom"/>
          </w:tcPr>
          <w:p w14:paraId="518B6CE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CEF" w14:textId="77777777" w:rsidR="005C332D" w:rsidRDefault="00B93EAE">
            <w:pPr>
              <w:jc w:val="center"/>
              <w:textAlignment w:val="bottom"/>
            </w:pPr>
            <w:r>
              <w:rPr>
                <w:rFonts w:ascii="Times New Roman" w:eastAsia="宋体" w:hAnsi="Times New Roman"/>
                <w:b/>
                <w:bCs/>
                <w:color w:val="000000"/>
                <w:sz w:val="16"/>
                <w:szCs w:val="16"/>
              </w:rPr>
              <w:t>Current</w:t>
            </w:r>
          </w:p>
        </w:tc>
        <w:tc>
          <w:tcPr>
            <w:tcW w:w="0" w:type="auto"/>
            <w:gridSpan w:val="3"/>
            <w:shd w:val="clear" w:color="auto" w:fill="auto"/>
            <w:tcMar>
              <w:top w:w="0" w:type="dxa"/>
              <w:left w:w="20" w:type="dxa"/>
              <w:bottom w:w="0" w:type="dxa"/>
              <w:right w:w="20" w:type="dxa"/>
            </w:tcMar>
            <w:vAlign w:val="bottom"/>
          </w:tcPr>
          <w:p w14:paraId="518B6CF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CF1" w14:textId="77777777" w:rsidR="005C332D" w:rsidRDefault="00B93EAE">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518B6CF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CF3" w14:textId="77777777" w:rsidR="005C332D" w:rsidRDefault="00B93EAE">
            <w:pPr>
              <w:jc w:val="center"/>
              <w:textAlignment w:val="bottom"/>
            </w:pPr>
            <w:r>
              <w:rPr>
                <w:rFonts w:ascii="Times New Roman" w:eastAsia="宋体" w:hAnsi="Times New Roman"/>
                <w:b/>
                <w:bCs/>
                <w:color w:val="000000"/>
                <w:sz w:val="16"/>
                <w:szCs w:val="16"/>
              </w:rPr>
              <w:t>120+ Still Accruing</w:t>
            </w:r>
          </w:p>
        </w:tc>
        <w:tc>
          <w:tcPr>
            <w:tcW w:w="0" w:type="auto"/>
            <w:gridSpan w:val="3"/>
            <w:shd w:val="clear" w:color="auto" w:fill="auto"/>
            <w:tcMar>
              <w:top w:w="0" w:type="dxa"/>
              <w:left w:w="20" w:type="dxa"/>
              <w:bottom w:w="0" w:type="dxa"/>
              <w:right w:w="20" w:type="dxa"/>
            </w:tcMar>
            <w:vAlign w:val="bottom"/>
          </w:tcPr>
          <w:p w14:paraId="518B6CF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CF5" w14:textId="77777777" w:rsidR="005C332D" w:rsidRDefault="00B93EAE">
            <w:pPr>
              <w:jc w:val="center"/>
              <w:textAlignment w:val="bottom"/>
            </w:pPr>
            <w:r>
              <w:rPr>
                <w:rFonts w:ascii="Times New Roman" w:eastAsia="宋体" w:hAnsi="Times New Roman"/>
                <w:b/>
                <w:bCs/>
                <w:color w:val="000000"/>
                <w:sz w:val="16"/>
                <w:szCs w:val="16"/>
              </w:rPr>
              <w:t>Nonaccrual</w:t>
            </w:r>
            <w:r>
              <w:rPr>
                <w:rFonts w:ascii="Times New Roman" w:eastAsia="宋体" w:hAnsi="Times New Roman"/>
                <w:b/>
                <w:bCs/>
                <w:color w:val="000000"/>
                <w:sz w:val="16"/>
                <w:szCs w:val="16"/>
              </w:rPr>
              <w:br/>
              <w:t>Financing</w:t>
            </w:r>
            <w:r>
              <w:rPr>
                <w:rFonts w:ascii="Times New Roman" w:eastAsia="宋体" w:hAnsi="Times New Roman"/>
                <w:b/>
                <w:bCs/>
                <w:color w:val="000000"/>
                <w:sz w:val="16"/>
                <w:szCs w:val="16"/>
              </w:rPr>
              <w:br/>
            </w:r>
            <w:r>
              <w:rPr>
                <w:rFonts w:ascii="Times New Roman" w:eastAsia="宋体" w:hAnsi="Times New Roman"/>
                <w:b/>
                <w:bCs/>
                <w:color w:val="000000"/>
                <w:sz w:val="16"/>
                <w:szCs w:val="16"/>
              </w:rPr>
              <w:t>Receivables</w:t>
            </w:r>
          </w:p>
        </w:tc>
        <w:tc>
          <w:tcPr>
            <w:tcW w:w="0" w:type="auto"/>
            <w:gridSpan w:val="3"/>
            <w:shd w:val="clear" w:color="auto" w:fill="auto"/>
            <w:tcMar>
              <w:top w:w="0" w:type="dxa"/>
              <w:left w:w="20" w:type="dxa"/>
              <w:bottom w:w="0" w:type="dxa"/>
              <w:right w:w="20" w:type="dxa"/>
            </w:tcMar>
            <w:vAlign w:val="bottom"/>
          </w:tcPr>
          <w:p w14:paraId="518B6CF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CF7" w14:textId="77777777" w:rsidR="005C332D" w:rsidRDefault="00B93EAE">
            <w:pPr>
              <w:jc w:val="center"/>
              <w:textAlignment w:val="bottom"/>
            </w:pPr>
            <w:r>
              <w:rPr>
                <w:rFonts w:ascii="Times New Roman" w:eastAsia="宋体" w:hAnsi="Times New Roman"/>
                <w:b/>
                <w:bCs/>
                <w:color w:val="000000"/>
                <w:sz w:val="16"/>
                <w:szCs w:val="16"/>
              </w:rPr>
              <w:t>Impaired</w:t>
            </w:r>
            <w:r>
              <w:rPr>
                <w:rFonts w:ascii="Times New Roman" w:eastAsia="宋体" w:hAnsi="Times New Roman"/>
                <w:b/>
                <w:bCs/>
                <w:color w:val="000000"/>
                <w:sz w:val="16"/>
                <w:szCs w:val="16"/>
              </w:rPr>
              <w:br/>
              <w:t>Financing</w:t>
            </w:r>
            <w:r>
              <w:rPr>
                <w:rFonts w:ascii="Times New Roman" w:eastAsia="宋体" w:hAnsi="Times New Roman"/>
                <w:b/>
                <w:bCs/>
                <w:color w:val="000000"/>
                <w:sz w:val="16"/>
                <w:szCs w:val="16"/>
              </w:rPr>
              <w:br/>
              <w:t>Receivables</w:t>
            </w:r>
          </w:p>
        </w:tc>
      </w:tr>
      <w:tr w:rsidR="00B93EAE" w14:paraId="518B6D1D" w14:textId="77777777">
        <w:tc>
          <w:tcPr>
            <w:tcW w:w="0" w:type="auto"/>
            <w:gridSpan w:val="3"/>
            <w:shd w:val="clear" w:color="auto" w:fill="CCEEFF"/>
            <w:tcMar>
              <w:top w:w="40" w:type="dxa"/>
              <w:left w:w="20" w:type="dxa"/>
              <w:bottom w:w="40" w:type="dxa"/>
              <w:right w:w="20" w:type="dxa"/>
            </w:tcMar>
          </w:tcPr>
          <w:p w14:paraId="518B6CF9" w14:textId="77777777" w:rsidR="005C332D" w:rsidRDefault="00B93EAE">
            <w:pPr>
              <w:textAlignment w:val="top"/>
            </w:pPr>
            <w:r>
              <w:rPr>
                <w:rFonts w:ascii="Times New Roman" w:eastAsia="宋体" w:hAnsi="Times New Roman"/>
                <w:b/>
                <w:bCs/>
                <w:color w:val="000000"/>
                <w:sz w:val="18"/>
                <w:szCs w:val="18"/>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CFA"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CFB" w14:textId="77777777" w:rsidR="005C332D" w:rsidRDefault="00B93EAE">
            <w:pPr>
              <w:jc w:val="right"/>
              <w:textAlignment w:val="bottom"/>
            </w:pPr>
            <w:r>
              <w:rPr>
                <w:rFonts w:ascii="Times New Roman" w:eastAsia="宋体" w:hAnsi="Times New Roman"/>
                <w:b/>
                <w:bCs/>
                <w:color w:val="000000"/>
                <w:sz w:val="18"/>
                <w:szCs w:val="18"/>
              </w:rPr>
              <w:t>8</w:t>
            </w: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CF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CF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CFE"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CFF" w14:textId="77777777" w:rsidR="005C332D" w:rsidRDefault="00B93EAE">
            <w:pPr>
              <w:jc w:val="right"/>
              <w:textAlignment w:val="bottom"/>
            </w:pPr>
            <w:r>
              <w:rPr>
                <w:rFonts w:ascii="Times New Roman" w:eastAsia="宋体" w:hAnsi="Times New Roman"/>
                <w:b/>
                <w:bCs/>
                <w:color w:val="000000"/>
                <w:sz w:val="18"/>
                <w:szCs w:val="18"/>
              </w:rPr>
              <w:t>6</w:t>
            </w: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0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0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02"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03" w14:textId="77777777" w:rsidR="005C332D" w:rsidRDefault="00B93EAE">
            <w:pPr>
              <w:jc w:val="right"/>
              <w:textAlignment w:val="bottom"/>
            </w:pPr>
            <w:r>
              <w:rPr>
                <w:rFonts w:ascii="Times New Roman" w:eastAsia="宋体" w:hAnsi="Times New Roman"/>
                <w:b/>
                <w:bCs/>
                <w:color w:val="000000"/>
                <w:sz w:val="18"/>
                <w:szCs w:val="18"/>
              </w:rPr>
              <w:t>26</w:t>
            </w: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0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0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06"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07" w14:textId="77777777" w:rsidR="005C332D" w:rsidRDefault="00B93EAE">
            <w:pPr>
              <w:jc w:val="right"/>
              <w:textAlignment w:val="bottom"/>
            </w:pPr>
            <w:r>
              <w:rPr>
                <w:rFonts w:ascii="Times New Roman" w:eastAsia="宋体" w:hAnsi="Times New Roman"/>
                <w:b/>
                <w:bCs/>
                <w:color w:val="000000"/>
                <w:sz w:val="18"/>
                <w:szCs w:val="18"/>
              </w:rPr>
              <w:t>40</w:t>
            </w: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0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0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0A"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0B" w14:textId="77777777" w:rsidR="005C332D" w:rsidRDefault="00B93EAE">
            <w:pPr>
              <w:jc w:val="right"/>
              <w:textAlignment w:val="bottom"/>
            </w:pPr>
            <w:r>
              <w:rPr>
                <w:rFonts w:ascii="Times New Roman" w:eastAsia="宋体" w:hAnsi="Times New Roman"/>
                <w:b/>
                <w:bCs/>
                <w:color w:val="000000"/>
                <w:sz w:val="18"/>
                <w:szCs w:val="18"/>
              </w:rPr>
              <w:t>1,082</w:t>
            </w: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0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0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0E"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0F" w14:textId="77777777" w:rsidR="005C332D" w:rsidRDefault="00B93EAE">
            <w:pPr>
              <w:jc w:val="right"/>
              <w:textAlignment w:val="bottom"/>
            </w:pPr>
            <w:r>
              <w:rPr>
                <w:rFonts w:ascii="Times New Roman" w:eastAsia="宋体" w:hAnsi="Times New Roman"/>
                <w:b/>
                <w:bCs/>
                <w:color w:val="000000"/>
                <w:sz w:val="18"/>
                <w:szCs w:val="18"/>
              </w:rPr>
              <w:t>1,122</w:t>
            </w: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1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1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12"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13" w14:textId="77777777" w:rsidR="005C332D" w:rsidRDefault="00B93EAE">
            <w:pPr>
              <w:jc w:val="right"/>
              <w:textAlignment w:val="bottom"/>
            </w:pPr>
            <w:r>
              <w:rPr>
                <w:rFonts w:ascii="Times New Roman" w:eastAsia="宋体" w:hAnsi="Times New Roman"/>
                <w:b/>
                <w:bCs/>
                <w:color w:val="000000"/>
                <w:sz w:val="18"/>
                <w:szCs w:val="18"/>
              </w:rPr>
              <w:t>7</w:t>
            </w: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1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1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16"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17" w14:textId="77777777" w:rsidR="005C332D" w:rsidRDefault="00B93EAE">
            <w:pPr>
              <w:jc w:val="right"/>
              <w:textAlignment w:val="bottom"/>
            </w:pPr>
            <w:r>
              <w:rPr>
                <w:rFonts w:ascii="Times New Roman" w:eastAsia="宋体" w:hAnsi="Times New Roman"/>
                <w:b/>
                <w:bCs/>
                <w:color w:val="000000"/>
                <w:sz w:val="18"/>
                <w:szCs w:val="18"/>
              </w:rPr>
              <w:t>11</w:t>
            </w: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1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1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1A"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1B" w14:textId="77777777" w:rsidR="005C332D" w:rsidRDefault="00B93EAE">
            <w:pPr>
              <w:jc w:val="right"/>
              <w:textAlignment w:val="bottom"/>
            </w:pPr>
            <w:r>
              <w:rPr>
                <w:rFonts w:ascii="Times New Roman" w:eastAsia="宋体" w:hAnsi="Times New Roman"/>
                <w:b/>
                <w:bCs/>
                <w:color w:val="000000"/>
                <w:sz w:val="18"/>
                <w:szCs w:val="18"/>
              </w:rPr>
              <w:t>11</w:t>
            </w: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1C" w14:textId="77777777" w:rsidR="005C332D" w:rsidRDefault="005C332D">
            <w:pPr>
              <w:jc w:val="right"/>
              <w:rPr>
                <w:rFonts w:ascii="宋体"/>
              </w:rPr>
            </w:pPr>
          </w:p>
        </w:tc>
      </w:tr>
      <w:tr w:rsidR="005C332D" w14:paraId="518B6D39" w14:textId="77777777">
        <w:tc>
          <w:tcPr>
            <w:tcW w:w="0" w:type="auto"/>
            <w:gridSpan w:val="3"/>
            <w:shd w:val="clear" w:color="auto" w:fill="auto"/>
            <w:tcMar>
              <w:top w:w="40" w:type="dxa"/>
              <w:left w:w="20" w:type="dxa"/>
              <w:bottom w:w="40" w:type="dxa"/>
              <w:right w:w="20" w:type="dxa"/>
            </w:tcMar>
          </w:tcPr>
          <w:p w14:paraId="518B6D1E" w14:textId="77777777" w:rsidR="005C332D" w:rsidRDefault="00B93EAE">
            <w:pPr>
              <w:textAlignment w:val="top"/>
            </w:pPr>
            <w:r>
              <w:rPr>
                <w:rFonts w:ascii="Times New Roman" w:eastAsia="宋体" w:hAnsi="Times New Roman"/>
                <w:b/>
                <w:bCs/>
                <w:color w:val="000000"/>
                <w:sz w:val="18"/>
                <w:szCs w:val="18"/>
              </w:rPr>
              <w:t>Loan receivables</w:t>
            </w:r>
          </w:p>
        </w:tc>
        <w:tc>
          <w:tcPr>
            <w:tcW w:w="0" w:type="auto"/>
            <w:gridSpan w:val="2"/>
            <w:shd w:val="clear" w:color="auto" w:fill="auto"/>
            <w:tcMar>
              <w:top w:w="40" w:type="dxa"/>
              <w:left w:w="20" w:type="dxa"/>
              <w:bottom w:w="40" w:type="dxa"/>
              <w:right w:w="0" w:type="dxa"/>
            </w:tcMar>
            <w:vAlign w:val="bottom"/>
          </w:tcPr>
          <w:p w14:paraId="518B6D1F" w14:textId="77777777" w:rsidR="005C332D" w:rsidRDefault="00B93EAE">
            <w:pPr>
              <w:jc w:val="right"/>
              <w:textAlignment w:val="bottom"/>
            </w:pPr>
            <w:r>
              <w:rPr>
                <w:rFonts w:ascii="Times New Roman" w:eastAsia="宋体" w:hAnsi="Times New Roman"/>
                <w:b/>
                <w:bCs/>
                <w:color w:val="000000"/>
                <w:sz w:val="18"/>
                <w:szCs w:val="18"/>
              </w:rPr>
              <w:t>72</w:t>
            </w:r>
            <w:r>
              <w:rPr>
                <w:rFonts w:ascii="Times New Roman" w:eastAsia="宋体" w:hAnsi="Times New Roman"/>
                <w:color w:val="000000"/>
                <w:sz w:val="18"/>
                <w:szCs w:val="18"/>
              </w:rPr>
              <w:t> </w:t>
            </w:r>
          </w:p>
        </w:tc>
        <w:tc>
          <w:tcPr>
            <w:tcW w:w="0" w:type="auto"/>
            <w:shd w:val="clear" w:color="auto" w:fill="auto"/>
            <w:tcMar>
              <w:top w:w="40" w:type="dxa"/>
              <w:left w:w="0" w:type="dxa"/>
              <w:bottom w:w="40" w:type="dxa"/>
              <w:right w:w="20" w:type="dxa"/>
            </w:tcMar>
            <w:vAlign w:val="bottom"/>
          </w:tcPr>
          <w:p w14:paraId="518B6D20"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21"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D22" w14:textId="77777777" w:rsidR="005C332D" w:rsidRDefault="00B93EAE">
            <w:pPr>
              <w:jc w:val="right"/>
              <w:textAlignment w:val="bottom"/>
            </w:pPr>
            <w:r>
              <w:rPr>
                <w:rFonts w:ascii="Times New Roman" w:eastAsia="宋体" w:hAnsi="Times New Roman"/>
                <w:b/>
                <w:bCs/>
                <w:color w:val="000000"/>
                <w:sz w:val="18"/>
                <w:szCs w:val="18"/>
              </w:rPr>
              <w:t>36</w:t>
            </w:r>
            <w:r>
              <w:rPr>
                <w:rFonts w:ascii="Times New Roman" w:eastAsia="宋体" w:hAnsi="Times New Roman"/>
                <w:color w:val="000000"/>
                <w:sz w:val="18"/>
                <w:szCs w:val="18"/>
              </w:rPr>
              <w:t> </w:t>
            </w:r>
          </w:p>
        </w:tc>
        <w:tc>
          <w:tcPr>
            <w:tcW w:w="0" w:type="auto"/>
            <w:shd w:val="clear" w:color="auto" w:fill="auto"/>
            <w:tcMar>
              <w:top w:w="40" w:type="dxa"/>
              <w:left w:w="0" w:type="dxa"/>
              <w:bottom w:w="40" w:type="dxa"/>
              <w:right w:w="20" w:type="dxa"/>
            </w:tcMar>
            <w:vAlign w:val="bottom"/>
          </w:tcPr>
          <w:p w14:paraId="518B6D23"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24"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D25" w14:textId="77777777" w:rsidR="005C332D" w:rsidRDefault="00B93EAE">
            <w:pPr>
              <w:jc w:val="right"/>
              <w:textAlignment w:val="bottom"/>
            </w:pPr>
            <w:r>
              <w:rPr>
                <w:rFonts w:ascii="Times New Roman" w:eastAsia="宋体" w:hAnsi="Times New Roman"/>
                <w:b/>
                <w:bCs/>
                <w:color w:val="000000"/>
                <w:sz w:val="18"/>
                <w:szCs w:val="18"/>
              </w:rPr>
              <w:t>48</w:t>
            </w:r>
            <w:r>
              <w:rPr>
                <w:rFonts w:ascii="Times New Roman" w:eastAsia="宋体" w:hAnsi="Times New Roman"/>
                <w:color w:val="000000"/>
                <w:sz w:val="18"/>
                <w:szCs w:val="18"/>
              </w:rPr>
              <w:t> </w:t>
            </w:r>
          </w:p>
        </w:tc>
        <w:tc>
          <w:tcPr>
            <w:tcW w:w="0" w:type="auto"/>
            <w:shd w:val="clear" w:color="auto" w:fill="auto"/>
            <w:tcMar>
              <w:top w:w="40" w:type="dxa"/>
              <w:left w:w="0" w:type="dxa"/>
              <w:bottom w:w="40" w:type="dxa"/>
              <w:right w:w="20" w:type="dxa"/>
            </w:tcMar>
            <w:vAlign w:val="bottom"/>
          </w:tcPr>
          <w:p w14:paraId="518B6D26"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27"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D28" w14:textId="77777777" w:rsidR="005C332D" w:rsidRDefault="00B93EAE">
            <w:pPr>
              <w:jc w:val="right"/>
              <w:textAlignment w:val="bottom"/>
            </w:pPr>
            <w:r>
              <w:rPr>
                <w:rFonts w:ascii="Times New Roman" w:eastAsia="宋体" w:hAnsi="Times New Roman"/>
                <w:b/>
                <w:bCs/>
                <w:color w:val="000000"/>
                <w:sz w:val="18"/>
                <w:szCs w:val="18"/>
              </w:rPr>
              <w:t>156</w:t>
            </w:r>
            <w:r>
              <w:rPr>
                <w:rFonts w:ascii="Times New Roman" w:eastAsia="宋体" w:hAnsi="Times New Roman"/>
                <w:color w:val="000000"/>
                <w:sz w:val="18"/>
                <w:szCs w:val="18"/>
              </w:rPr>
              <w:t> </w:t>
            </w:r>
          </w:p>
        </w:tc>
        <w:tc>
          <w:tcPr>
            <w:tcW w:w="0" w:type="auto"/>
            <w:shd w:val="clear" w:color="auto" w:fill="auto"/>
            <w:tcMar>
              <w:top w:w="40" w:type="dxa"/>
              <w:left w:w="0" w:type="dxa"/>
              <w:bottom w:w="40" w:type="dxa"/>
              <w:right w:w="20" w:type="dxa"/>
            </w:tcMar>
            <w:vAlign w:val="bottom"/>
          </w:tcPr>
          <w:p w14:paraId="518B6D29"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2A"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D2B" w14:textId="77777777" w:rsidR="005C332D" w:rsidRDefault="00B93EAE">
            <w:pPr>
              <w:jc w:val="right"/>
              <w:textAlignment w:val="bottom"/>
            </w:pPr>
            <w:r>
              <w:rPr>
                <w:rFonts w:ascii="Times New Roman" w:eastAsia="宋体" w:hAnsi="Times New Roman"/>
                <w:b/>
                <w:bCs/>
                <w:color w:val="000000"/>
                <w:sz w:val="18"/>
                <w:szCs w:val="18"/>
              </w:rPr>
              <w:t>4,500</w:t>
            </w:r>
            <w:r>
              <w:rPr>
                <w:rFonts w:ascii="Times New Roman" w:eastAsia="宋体" w:hAnsi="Times New Roman"/>
                <w:color w:val="000000"/>
                <w:sz w:val="18"/>
                <w:szCs w:val="18"/>
              </w:rPr>
              <w:t> </w:t>
            </w:r>
          </w:p>
        </w:tc>
        <w:tc>
          <w:tcPr>
            <w:tcW w:w="0" w:type="auto"/>
            <w:shd w:val="clear" w:color="auto" w:fill="auto"/>
            <w:tcMar>
              <w:top w:w="40" w:type="dxa"/>
              <w:left w:w="0" w:type="dxa"/>
              <w:bottom w:w="40" w:type="dxa"/>
              <w:right w:w="20" w:type="dxa"/>
            </w:tcMar>
            <w:vAlign w:val="bottom"/>
          </w:tcPr>
          <w:p w14:paraId="518B6D2C"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2D"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D2E" w14:textId="77777777" w:rsidR="005C332D" w:rsidRDefault="00B93EAE">
            <w:pPr>
              <w:jc w:val="right"/>
              <w:textAlignment w:val="bottom"/>
            </w:pPr>
            <w:r>
              <w:rPr>
                <w:rFonts w:ascii="Times New Roman" w:eastAsia="宋体" w:hAnsi="Times New Roman"/>
                <w:b/>
                <w:bCs/>
                <w:color w:val="000000"/>
                <w:sz w:val="18"/>
                <w:szCs w:val="18"/>
              </w:rPr>
              <w:t>4,656</w:t>
            </w:r>
            <w:r>
              <w:rPr>
                <w:rFonts w:ascii="Times New Roman" w:eastAsia="宋体" w:hAnsi="Times New Roman"/>
                <w:color w:val="000000"/>
                <w:sz w:val="18"/>
                <w:szCs w:val="18"/>
              </w:rPr>
              <w:t> </w:t>
            </w:r>
          </w:p>
        </w:tc>
        <w:tc>
          <w:tcPr>
            <w:tcW w:w="0" w:type="auto"/>
            <w:shd w:val="clear" w:color="auto" w:fill="auto"/>
            <w:tcMar>
              <w:top w:w="40" w:type="dxa"/>
              <w:left w:w="0" w:type="dxa"/>
              <w:bottom w:w="40" w:type="dxa"/>
              <w:right w:w="20" w:type="dxa"/>
            </w:tcMar>
            <w:vAlign w:val="bottom"/>
          </w:tcPr>
          <w:p w14:paraId="518B6D2F"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30"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D31" w14:textId="77777777" w:rsidR="005C332D" w:rsidRDefault="00B93EAE">
            <w:pPr>
              <w:jc w:val="right"/>
              <w:textAlignment w:val="bottom"/>
            </w:pPr>
            <w:r>
              <w:rPr>
                <w:rFonts w:ascii="Times New Roman" w:eastAsia="宋体" w:hAnsi="Times New Roman"/>
                <w:b/>
                <w:bCs/>
                <w:color w:val="000000"/>
                <w:sz w:val="18"/>
                <w:szCs w:val="18"/>
              </w:rPr>
              <w:t>8</w:t>
            </w:r>
            <w:r>
              <w:rPr>
                <w:rFonts w:ascii="Times New Roman" w:eastAsia="宋体" w:hAnsi="Times New Roman"/>
                <w:color w:val="000000"/>
                <w:sz w:val="18"/>
                <w:szCs w:val="18"/>
              </w:rPr>
              <w:t> </w:t>
            </w:r>
          </w:p>
        </w:tc>
        <w:tc>
          <w:tcPr>
            <w:tcW w:w="0" w:type="auto"/>
            <w:shd w:val="clear" w:color="auto" w:fill="auto"/>
            <w:tcMar>
              <w:top w:w="40" w:type="dxa"/>
              <w:left w:w="0" w:type="dxa"/>
              <w:bottom w:w="40" w:type="dxa"/>
              <w:right w:w="20" w:type="dxa"/>
            </w:tcMar>
            <w:vAlign w:val="bottom"/>
          </w:tcPr>
          <w:p w14:paraId="518B6D32"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33"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D34" w14:textId="77777777" w:rsidR="005C332D" w:rsidRDefault="00B93EAE">
            <w:pPr>
              <w:jc w:val="right"/>
              <w:textAlignment w:val="bottom"/>
            </w:pPr>
            <w:r>
              <w:rPr>
                <w:rFonts w:ascii="Times New Roman" w:eastAsia="宋体" w:hAnsi="Times New Roman"/>
                <w:b/>
                <w:bCs/>
                <w:color w:val="000000"/>
                <w:sz w:val="18"/>
                <w:szCs w:val="18"/>
              </w:rPr>
              <w:t>58</w:t>
            </w:r>
            <w:r>
              <w:rPr>
                <w:rFonts w:ascii="Times New Roman" w:eastAsia="宋体" w:hAnsi="Times New Roman"/>
                <w:color w:val="000000"/>
                <w:sz w:val="18"/>
                <w:szCs w:val="18"/>
              </w:rPr>
              <w:t> </w:t>
            </w:r>
          </w:p>
        </w:tc>
        <w:tc>
          <w:tcPr>
            <w:tcW w:w="0" w:type="auto"/>
            <w:shd w:val="clear" w:color="auto" w:fill="auto"/>
            <w:tcMar>
              <w:top w:w="40" w:type="dxa"/>
              <w:left w:w="0" w:type="dxa"/>
              <w:bottom w:w="40" w:type="dxa"/>
              <w:right w:w="20" w:type="dxa"/>
            </w:tcMar>
            <w:vAlign w:val="bottom"/>
          </w:tcPr>
          <w:p w14:paraId="518B6D35"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36"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D37" w14:textId="77777777" w:rsidR="005C332D" w:rsidRDefault="00B93EAE">
            <w:pPr>
              <w:jc w:val="right"/>
              <w:textAlignment w:val="bottom"/>
            </w:pPr>
            <w:r>
              <w:rPr>
                <w:rFonts w:ascii="Times New Roman" w:eastAsia="宋体" w:hAnsi="Times New Roman"/>
                <w:b/>
                <w:bCs/>
                <w:color w:val="000000"/>
                <w:sz w:val="18"/>
                <w:szCs w:val="18"/>
              </w:rPr>
              <w:t>58</w:t>
            </w:r>
            <w:r>
              <w:rPr>
                <w:rFonts w:ascii="Times New Roman" w:eastAsia="宋体" w:hAnsi="Times New Roman"/>
                <w:color w:val="000000"/>
                <w:sz w:val="18"/>
                <w:szCs w:val="18"/>
              </w:rPr>
              <w:t> </w:t>
            </w:r>
          </w:p>
        </w:tc>
        <w:tc>
          <w:tcPr>
            <w:tcW w:w="0" w:type="auto"/>
            <w:shd w:val="clear" w:color="auto" w:fill="auto"/>
            <w:tcMar>
              <w:top w:w="40" w:type="dxa"/>
              <w:left w:w="0" w:type="dxa"/>
              <w:bottom w:w="40" w:type="dxa"/>
              <w:right w:w="20" w:type="dxa"/>
            </w:tcMar>
            <w:vAlign w:val="bottom"/>
          </w:tcPr>
          <w:p w14:paraId="518B6D38" w14:textId="77777777" w:rsidR="005C332D" w:rsidRDefault="005C332D">
            <w:pPr>
              <w:jc w:val="right"/>
              <w:rPr>
                <w:rFonts w:ascii="宋体"/>
              </w:rPr>
            </w:pPr>
          </w:p>
        </w:tc>
      </w:tr>
      <w:tr w:rsidR="005C332D" w14:paraId="518B6D55" w14:textId="77777777">
        <w:tc>
          <w:tcPr>
            <w:tcW w:w="0" w:type="auto"/>
            <w:gridSpan w:val="3"/>
            <w:shd w:val="clear" w:color="auto" w:fill="CCEEFF"/>
            <w:tcMar>
              <w:top w:w="40" w:type="dxa"/>
              <w:left w:w="20" w:type="dxa"/>
              <w:bottom w:w="40" w:type="dxa"/>
              <w:right w:w="20" w:type="dxa"/>
            </w:tcMar>
          </w:tcPr>
          <w:p w14:paraId="518B6D3A" w14:textId="77777777" w:rsidR="005C332D" w:rsidRDefault="00B93EAE">
            <w:pPr>
              <w:textAlignment w:val="top"/>
            </w:pPr>
            <w:r>
              <w:rPr>
                <w:rFonts w:ascii="Times New Roman" w:eastAsia="宋体" w:hAnsi="Times New Roman"/>
                <w:b/>
                <w:bCs/>
                <w:color w:val="000000"/>
                <w:sz w:val="18"/>
                <w:szCs w:val="18"/>
              </w:rPr>
              <w:t>Financed service contracts</w:t>
            </w:r>
          </w:p>
        </w:tc>
        <w:tc>
          <w:tcPr>
            <w:tcW w:w="0" w:type="auto"/>
            <w:gridSpan w:val="2"/>
            <w:shd w:val="clear" w:color="auto" w:fill="CCEEFF"/>
            <w:tcMar>
              <w:top w:w="40" w:type="dxa"/>
              <w:left w:w="20" w:type="dxa"/>
              <w:bottom w:w="40" w:type="dxa"/>
              <w:right w:w="0" w:type="dxa"/>
            </w:tcMar>
            <w:vAlign w:val="bottom"/>
          </w:tcPr>
          <w:p w14:paraId="518B6D3B" w14:textId="77777777" w:rsidR="005C332D" w:rsidRDefault="00B93EAE">
            <w:pPr>
              <w:jc w:val="right"/>
              <w:textAlignment w:val="bottom"/>
            </w:pPr>
            <w:r>
              <w:rPr>
                <w:rFonts w:ascii="Times New Roman" w:eastAsia="宋体" w:hAnsi="Times New Roman"/>
                <w:b/>
                <w:bCs/>
                <w:color w:val="000000"/>
                <w:sz w:val="18"/>
                <w:szCs w:val="18"/>
              </w:rPr>
              <w:t>26</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518B6D3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3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D3E" w14:textId="77777777" w:rsidR="005C332D" w:rsidRDefault="00B93EAE">
            <w:pPr>
              <w:jc w:val="right"/>
              <w:textAlignment w:val="bottom"/>
            </w:pPr>
            <w:r>
              <w:rPr>
                <w:rFonts w:ascii="Times New Roman" w:eastAsia="宋体" w:hAnsi="Times New Roman"/>
                <w:b/>
                <w:bCs/>
                <w:color w:val="000000"/>
                <w:sz w:val="18"/>
                <w:szCs w:val="18"/>
              </w:rPr>
              <w:t>26</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518B6D3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4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D41" w14:textId="77777777" w:rsidR="005C332D" w:rsidRDefault="00B93EAE">
            <w:pPr>
              <w:jc w:val="right"/>
              <w:textAlignment w:val="bottom"/>
            </w:pPr>
            <w:r>
              <w:rPr>
                <w:rFonts w:ascii="Times New Roman" w:eastAsia="宋体" w:hAnsi="Times New Roman"/>
                <w:b/>
                <w:bCs/>
                <w:color w:val="000000"/>
                <w:sz w:val="18"/>
                <w:szCs w:val="18"/>
              </w:rPr>
              <w:t>81</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518B6D4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4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D44" w14:textId="77777777" w:rsidR="005C332D" w:rsidRDefault="00B93EAE">
            <w:pPr>
              <w:jc w:val="right"/>
              <w:textAlignment w:val="bottom"/>
            </w:pPr>
            <w:r>
              <w:rPr>
                <w:rFonts w:ascii="Times New Roman" w:eastAsia="宋体" w:hAnsi="Times New Roman"/>
                <w:b/>
                <w:bCs/>
                <w:color w:val="000000"/>
                <w:sz w:val="18"/>
                <w:szCs w:val="18"/>
              </w:rPr>
              <w:t>133</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518B6D4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4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D47" w14:textId="77777777" w:rsidR="005C332D" w:rsidRDefault="00B93EAE">
            <w:pPr>
              <w:jc w:val="right"/>
              <w:textAlignment w:val="bottom"/>
            </w:pPr>
            <w:r>
              <w:rPr>
                <w:rFonts w:ascii="Times New Roman" w:eastAsia="宋体" w:hAnsi="Times New Roman"/>
                <w:b/>
                <w:bCs/>
                <w:color w:val="000000"/>
                <w:sz w:val="18"/>
                <w:szCs w:val="18"/>
              </w:rPr>
              <w:t>2,053</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518B6D4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4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D4A" w14:textId="77777777" w:rsidR="005C332D" w:rsidRDefault="00B93EAE">
            <w:pPr>
              <w:jc w:val="right"/>
              <w:textAlignment w:val="bottom"/>
            </w:pPr>
            <w:r>
              <w:rPr>
                <w:rFonts w:ascii="Times New Roman" w:eastAsia="宋体" w:hAnsi="Times New Roman"/>
                <w:b/>
                <w:bCs/>
                <w:color w:val="000000"/>
                <w:sz w:val="18"/>
                <w:szCs w:val="18"/>
              </w:rPr>
              <w:t>2,186</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518B6D4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4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D4D" w14:textId="77777777" w:rsidR="005C332D" w:rsidRDefault="00B93EAE">
            <w:pPr>
              <w:jc w:val="right"/>
              <w:textAlignment w:val="bottom"/>
            </w:pPr>
            <w:r>
              <w:rPr>
                <w:rFonts w:ascii="Times New Roman" w:eastAsia="宋体" w:hAnsi="Times New Roman"/>
                <w:b/>
                <w:bCs/>
                <w:color w:val="000000"/>
                <w:sz w:val="18"/>
                <w:szCs w:val="18"/>
              </w:rPr>
              <w:t>6</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518B6D4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4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D50" w14:textId="77777777" w:rsidR="005C332D" w:rsidRDefault="00B93EAE">
            <w:pPr>
              <w:jc w:val="right"/>
              <w:textAlignment w:val="bottom"/>
            </w:pPr>
            <w:r>
              <w:rPr>
                <w:rFonts w:ascii="Times New Roman" w:eastAsia="宋体" w:hAnsi="Times New Roman"/>
                <w:b/>
                <w:bCs/>
                <w:color w:val="000000"/>
                <w:sz w:val="18"/>
                <w:szCs w:val="18"/>
              </w:rPr>
              <w:t>2</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518B6D5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5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D53" w14:textId="77777777" w:rsidR="005C332D" w:rsidRDefault="00B93EAE">
            <w:pPr>
              <w:jc w:val="right"/>
              <w:textAlignment w:val="bottom"/>
            </w:pPr>
            <w:r>
              <w:rPr>
                <w:rFonts w:ascii="Times New Roman" w:eastAsia="宋体" w:hAnsi="Times New Roman"/>
                <w:b/>
                <w:bCs/>
                <w:color w:val="000000"/>
                <w:sz w:val="18"/>
                <w:szCs w:val="18"/>
              </w:rPr>
              <w:t>2</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518B6D54" w14:textId="77777777" w:rsidR="005C332D" w:rsidRDefault="005C332D">
            <w:pPr>
              <w:jc w:val="right"/>
              <w:rPr>
                <w:rFonts w:ascii="宋体"/>
              </w:rPr>
            </w:pPr>
          </w:p>
        </w:tc>
      </w:tr>
      <w:tr w:rsidR="005C332D" w14:paraId="518B6D7A" w14:textId="77777777">
        <w:tc>
          <w:tcPr>
            <w:tcW w:w="0" w:type="auto"/>
            <w:gridSpan w:val="3"/>
            <w:shd w:val="clear" w:color="auto" w:fill="auto"/>
            <w:tcMar>
              <w:top w:w="40" w:type="dxa"/>
              <w:left w:w="245" w:type="dxa"/>
              <w:bottom w:w="40" w:type="dxa"/>
              <w:right w:w="20" w:type="dxa"/>
            </w:tcMar>
          </w:tcPr>
          <w:p w14:paraId="518B6D56" w14:textId="77777777" w:rsidR="005C332D" w:rsidRDefault="00B93EAE">
            <w:pPr>
              <w:textAlignment w:val="top"/>
            </w:pPr>
            <w:r>
              <w:rPr>
                <w:rFonts w:ascii="Times New Roman" w:eastAsia="宋体" w:hAnsi="Times New Roman"/>
                <w:b/>
                <w:bCs/>
                <w:color w:val="000000"/>
                <w:sz w:val="18"/>
                <w:szCs w:val="18"/>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D57"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D58" w14:textId="77777777" w:rsidR="005C332D" w:rsidRDefault="00B93EAE">
            <w:pPr>
              <w:jc w:val="right"/>
              <w:textAlignment w:val="bottom"/>
            </w:pPr>
            <w:r>
              <w:rPr>
                <w:rFonts w:ascii="Times New Roman" w:eastAsia="宋体" w:hAnsi="Times New Roman"/>
                <w:b/>
                <w:bCs/>
                <w:color w:val="000000"/>
                <w:sz w:val="18"/>
                <w:szCs w:val="18"/>
              </w:rPr>
              <w:t>106</w:t>
            </w: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D59"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5A"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D5B"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D5C" w14:textId="77777777" w:rsidR="005C332D" w:rsidRDefault="00B93EAE">
            <w:pPr>
              <w:jc w:val="right"/>
              <w:textAlignment w:val="bottom"/>
            </w:pPr>
            <w:r>
              <w:rPr>
                <w:rFonts w:ascii="Times New Roman" w:eastAsia="宋体" w:hAnsi="Times New Roman"/>
                <w:b/>
                <w:bCs/>
                <w:color w:val="000000"/>
                <w:sz w:val="18"/>
                <w:szCs w:val="18"/>
              </w:rPr>
              <w:t>68</w:t>
            </w: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D5D"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5E"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D5F"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D60" w14:textId="77777777" w:rsidR="005C332D" w:rsidRDefault="00B93EAE">
            <w:pPr>
              <w:jc w:val="right"/>
              <w:textAlignment w:val="bottom"/>
            </w:pPr>
            <w:r>
              <w:rPr>
                <w:rFonts w:ascii="Times New Roman" w:eastAsia="宋体" w:hAnsi="Times New Roman"/>
                <w:b/>
                <w:bCs/>
                <w:color w:val="000000"/>
                <w:sz w:val="18"/>
                <w:szCs w:val="18"/>
              </w:rPr>
              <w:t>155</w:t>
            </w: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D61"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62"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D63"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D64" w14:textId="77777777" w:rsidR="005C332D" w:rsidRDefault="00B93EAE">
            <w:pPr>
              <w:jc w:val="right"/>
              <w:textAlignment w:val="bottom"/>
            </w:pPr>
            <w:r>
              <w:rPr>
                <w:rFonts w:ascii="Times New Roman" w:eastAsia="宋体" w:hAnsi="Times New Roman"/>
                <w:b/>
                <w:bCs/>
                <w:color w:val="000000"/>
                <w:sz w:val="18"/>
                <w:szCs w:val="18"/>
              </w:rPr>
              <w:t>329</w:t>
            </w: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D65"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66"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D67"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D68" w14:textId="77777777" w:rsidR="005C332D" w:rsidRDefault="00B93EAE">
            <w:pPr>
              <w:jc w:val="right"/>
              <w:textAlignment w:val="bottom"/>
            </w:pPr>
            <w:r>
              <w:rPr>
                <w:rFonts w:ascii="Times New Roman" w:eastAsia="宋体" w:hAnsi="Times New Roman"/>
                <w:b/>
                <w:bCs/>
                <w:color w:val="000000"/>
                <w:sz w:val="18"/>
                <w:szCs w:val="18"/>
              </w:rPr>
              <w:t>7,635</w:t>
            </w: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D69"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6A"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D6B"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D6C" w14:textId="77777777" w:rsidR="005C332D" w:rsidRDefault="00B93EAE">
            <w:pPr>
              <w:jc w:val="right"/>
              <w:textAlignment w:val="bottom"/>
            </w:pPr>
            <w:r>
              <w:rPr>
                <w:rFonts w:ascii="Times New Roman" w:eastAsia="宋体" w:hAnsi="Times New Roman"/>
                <w:b/>
                <w:bCs/>
                <w:color w:val="000000"/>
                <w:sz w:val="18"/>
                <w:szCs w:val="18"/>
              </w:rPr>
              <w:t>7,964</w:t>
            </w: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D6D"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6E"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D6F"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D70" w14:textId="77777777" w:rsidR="005C332D" w:rsidRDefault="00B93EAE">
            <w:pPr>
              <w:jc w:val="right"/>
              <w:textAlignment w:val="bottom"/>
            </w:pPr>
            <w:r>
              <w:rPr>
                <w:rFonts w:ascii="Times New Roman" w:eastAsia="宋体" w:hAnsi="Times New Roman"/>
                <w:b/>
                <w:bCs/>
                <w:color w:val="000000"/>
                <w:sz w:val="18"/>
                <w:szCs w:val="18"/>
              </w:rPr>
              <w:t>21</w:t>
            </w: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D71"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72"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D73"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D74" w14:textId="77777777" w:rsidR="005C332D" w:rsidRDefault="00B93EAE">
            <w:pPr>
              <w:jc w:val="right"/>
              <w:textAlignment w:val="bottom"/>
            </w:pPr>
            <w:r>
              <w:rPr>
                <w:rFonts w:ascii="Times New Roman" w:eastAsia="宋体" w:hAnsi="Times New Roman"/>
                <w:b/>
                <w:bCs/>
                <w:color w:val="000000"/>
                <w:sz w:val="18"/>
                <w:szCs w:val="18"/>
              </w:rPr>
              <w:t>71</w:t>
            </w: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D75"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76"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D77" w14:textId="77777777" w:rsidR="005C332D" w:rsidRDefault="00B93EAE">
            <w:pPr>
              <w:textAlignment w:val="bottom"/>
            </w:pPr>
            <w:r>
              <w:rPr>
                <w:rFonts w:ascii="Times New Roman" w:eastAsia="宋体" w:hAnsi="Times New Roman"/>
                <w:b/>
                <w:bCs/>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D78" w14:textId="77777777" w:rsidR="005C332D" w:rsidRDefault="00B93EAE">
            <w:pPr>
              <w:jc w:val="right"/>
              <w:textAlignment w:val="bottom"/>
            </w:pPr>
            <w:r>
              <w:rPr>
                <w:rFonts w:ascii="Times New Roman" w:eastAsia="宋体" w:hAnsi="Times New Roman"/>
                <w:b/>
                <w:bCs/>
                <w:color w:val="000000"/>
                <w:sz w:val="18"/>
                <w:szCs w:val="18"/>
              </w:rPr>
              <w:t>71</w:t>
            </w: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D79" w14:textId="77777777" w:rsidR="005C332D" w:rsidRDefault="005C332D">
            <w:pPr>
              <w:jc w:val="right"/>
              <w:rPr>
                <w:rFonts w:ascii="宋体"/>
              </w:rPr>
            </w:pPr>
          </w:p>
        </w:tc>
      </w:tr>
    </w:tbl>
    <w:p w14:paraId="518B6D7B" w14:textId="77777777" w:rsidR="005C332D" w:rsidRDefault="005C332D">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4"/>
        <w:gridCol w:w="1847"/>
        <w:gridCol w:w="37"/>
        <w:gridCol w:w="110"/>
        <w:gridCol w:w="315"/>
        <w:gridCol w:w="36"/>
        <w:gridCol w:w="36"/>
        <w:gridCol w:w="36"/>
        <w:gridCol w:w="36"/>
        <w:gridCol w:w="110"/>
        <w:gridCol w:w="226"/>
        <w:gridCol w:w="36"/>
        <w:gridCol w:w="36"/>
        <w:gridCol w:w="36"/>
        <w:gridCol w:w="36"/>
        <w:gridCol w:w="110"/>
        <w:gridCol w:w="228"/>
        <w:gridCol w:w="36"/>
        <w:gridCol w:w="36"/>
        <w:gridCol w:w="36"/>
        <w:gridCol w:w="36"/>
        <w:gridCol w:w="111"/>
        <w:gridCol w:w="531"/>
        <w:gridCol w:w="37"/>
        <w:gridCol w:w="36"/>
        <w:gridCol w:w="36"/>
        <w:gridCol w:w="36"/>
        <w:gridCol w:w="110"/>
        <w:gridCol w:w="450"/>
        <w:gridCol w:w="36"/>
        <w:gridCol w:w="36"/>
        <w:gridCol w:w="36"/>
        <w:gridCol w:w="36"/>
        <w:gridCol w:w="110"/>
        <w:gridCol w:w="450"/>
        <w:gridCol w:w="36"/>
        <w:gridCol w:w="36"/>
        <w:gridCol w:w="36"/>
        <w:gridCol w:w="36"/>
        <w:gridCol w:w="111"/>
        <w:gridCol w:w="551"/>
        <w:gridCol w:w="36"/>
        <w:gridCol w:w="36"/>
        <w:gridCol w:w="36"/>
        <w:gridCol w:w="36"/>
        <w:gridCol w:w="111"/>
        <w:gridCol w:w="712"/>
        <w:gridCol w:w="36"/>
        <w:gridCol w:w="36"/>
        <w:gridCol w:w="36"/>
        <w:gridCol w:w="36"/>
        <w:gridCol w:w="111"/>
        <w:gridCol w:w="712"/>
        <w:gridCol w:w="36"/>
      </w:tblGrid>
      <w:tr w:rsidR="005C332D" w14:paraId="518B6DB2" w14:textId="77777777">
        <w:tc>
          <w:tcPr>
            <w:tcW w:w="50" w:type="pct"/>
            <w:shd w:val="clear" w:color="auto" w:fill="auto"/>
            <w:vAlign w:val="bottom"/>
          </w:tcPr>
          <w:p w14:paraId="518B6D7C" w14:textId="77777777" w:rsidR="005C332D" w:rsidRDefault="005C332D">
            <w:pPr>
              <w:rPr>
                <w:rFonts w:ascii="宋体"/>
              </w:rPr>
            </w:pPr>
          </w:p>
        </w:tc>
        <w:tc>
          <w:tcPr>
            <w:tcW w:w="990" w:type="pct"/>
            <w:shd w:val="clear" w:color="auto" w:fill="auto"/>
            <w:vAlign w:val="bottom"/>
          </w:tcPr>
          <w:p w14:paraId="518B6D7D" w14:textId="77777777" w:rsidR="005C332D" w:rsidRDefault="005C332D">
            <w:pPr>
              <w:rPr>
                <w:rFonts w:ascii="宋体"/>
              </w:rPr>
            </w:pPr>
          </w:p>
        </w:tc>
        <w:tc>
          <w:tcPr>
            <w:tcW w:w="5" w:type="pct"/>
            <w:shd w:val="clear" w:color="auto" w:fill="auto"/>
            <w:vAlign w:val="bottom"/>
          </w:tcPr>
          <w:p w14:paraId="518B6D7E" w14:textId="77777777" w:rsidR="005C332D" w:rsidRDefault="005C332D">
            <w:pPr>
              <w:rPr>
                <w:rFonts w:ascii="宋体"/>
              </w:rPr>
            </w:pPr>
          </w:p>
        </w:tc>
        <w:tc>
          <w:tcPr>
            <w:tcW w:w="50" w:type="pct"/>
            <w:shd w:val="clear" w:color="auto" w:fill="auto"/>
            <w:vAlign w:val="bottom"/>
          </w:tcPr>
          <w:p w14:paraId="518B6D7F" w14:textId="77777777" w:rsidR="005C332D" w:rsidRDefault="005C332D">
            <w:pPr>
              <w:rPr>
                <w:rFonts w:ascii="宋体"/>
              </w:rPr>
            </w:pPr>
          </w:p>
        </w:tc>
        <w:tc>
          <w:tcPr>
            <w:tcW w:w="325" w:type="pct"/>
            <w:shd w:val="clear" w:color="auto" w:fill="auto"/>
            <w:vAlign w:val="bottom"/>
          </w:tcPr>
          <w:p w14:paraId="518B6D80" w14:textId="77777777" w:rsidR="005C332D" w:rsidRDefault="005C332D">
            <w:pPr>
              <w:rPr>
                <w:rFonts w:ascii="宋体"/>
              </w:rPr>
            </w:pPr>
          </w:p>
        </w:tc>
        <w:tc>
          <w:tcPr>
            <w:tcW w:w="5" w:type="pct"/>
            <w:shd w:val="clear" w:color="auto" w:fill="auto"/>
            <w:vAlign w:val="bottom"/>
          </w:tcPr>
          <w:p w14:paraId="518B6D81" w14:textId="77777777" w:rsidR="005C332D" w:rsidRDefault="005C332D">
            <w:pPr>
              <w:rPr>
                <w:rFonts w:ascii="宋体"/>
              </w:rPr>
            </w:pPr>
          </w:p>
        </w:tc>
        <w:tc>
          <w:tcPr>
            <w:tcW w:w="5" w:type="pct"/>
            <w:shd w:val="clear" w:color="auto" w:fill="auto"/>
            <w:vAlign w:val="bottom"/>
          </w:tcPr>
          <w:p w14:paraId="518B6D82" w14:textId="77777777" w:rsidR="005C332D" w:rsidRDefault="005C332D">
            <w:pPr>
              <w:rPr>
                <w:rFonts w:ascii="宋体"/>
              </w:rPr>
            </w:pPr>
          </w:p>
        </w:tc>
        <w:tc>
          <w:tcPr>
            <w:tcW w:w="26" w:type="pct"/>
            <w:shd w:val="clear" w:color="auto" w:fill="auto"/>
            <w:vAlign w:val="bottom"/>
          </w:tcPr>
          <w:p w14:paraId="518B6D83" w14:textId="77777777" w:rsidR="005C332D" w:rsidRDefault="005C332D">
            <w:pPr>
              <w:rPr>
                <w:rFonts w:ascii="宋体"/>
              </w:rPr>
            </w:pPr>
          </w:p>
        </w:tc>
        <w:tc>
          <w:tcPr>
            <w:tcW w:w="5" w:type="pct"/>
            <w:shd w:val="clear" w:color="auto" w:fill="auto"/>
            <w:vAlign w:val="bottom"/>
          </w:tcPr>
          <w:p w14:paraId="518B6D84" w14:textId="77777777" w:rsidR="005C332D" w:rsidRDefault="005C332D">
            <w:pPr>
              <w:rPr>
                <w:rFonts w:ascii="宋体"/>
              </w:rPr>
            </w:pPr>
          </w:p>
        </w:tc>
        <w:tc>
          <w:tcPr>
            <w:tcW w:w="50" w:type="pct"/>
            <w:shd w:val="clear" w:color="auto" w:fill="auto"/>
            <w:vAlign w:val="bottom"/>
          </w:tcPr>
          <w:p w14:paraId="518B6D85" w14:textId="77777777" w:rsidR="005C332D" w:rsidRDefault="005C332D">
            <w:pPr>
              <w:rPr>
                <w:rFonts w:ascii="宋体"/>
              </w:rPr>
            </w:pPr>
          </w:p>
        </w:tc>
        <w:tc>
          <w:tcPr>
            <w:tcW w:w="325" w:type="pct"/>
            <w:shd w:val="clear" w:color="auto" w:fill="auto"/>
            <w:vAlign w:val="bottom"/>
          </w:tcPr>
          <w:p w14:paraId="518B6D86" w14:textId="77777777" w:rsidR="005C332D" w:rsidRDefault="005C332D">
            <w:pPr>
              <w:rPr>
                <w:rFonts w:ascii="宋体"/>
              </w:rPr>
            </w:pPr>
          </w:p>
        </w:tc>
        <w:tc>
          <w:tcPr>
            <w:tcW w:w="5" w:type="pct"/>
            <w:shd w:val="clear" w:color="auto" w:fill="auto"/>
            <w:vAlign w:val="bottom"/>
          </w:tcPr>
          <w:p w14:paraId="518B6D87" w14:textId="77777777" w:rsidR="005C332D" w:rsidRDefault="005C332D">
            <w:pPr>
              <w:rPr>
                <w:rFonts w:ascii="宋体"/>
              </w:rPr>
            </w:pPr>
          </w:p>
        </w:tc>
        <w:tc>
          <w:tcPr>
            <w:tcW w:w="5" w:type="pct"/>
            <w:shd w:val="clear" w:color="auto" w:fill="auto"/>
            <w:vAlign w:val="bottom"/>
          </w:tcPr>
          <w:p w14:paraId="518B6D88" w14:textId="77777777" w:rsidR="005C332D" w:rsidRDefault="005C332D">
            <w:pPr>
              <w:rPr>
                <w:rFonts w:ascii="宋体"/>
              </w:rPr>
            </w:pPr>
          </w:p>
        </w:tc>
        <w:tc>
          <w:tcPr>
            <w:tcW w:w="26" w:type="pct"/>
            <w:shd w:val="clear" w:color="auto" w:fill="auto"/>
            <w:vAlign w:val="bottom"/>
          </w:tcPr>
          <w:p w14:paraId="518B6D89" w14:textId="77777777" w:rsidR="005C332D" w:rsidRDefault="005C332D">
            <w:pPr>
              <w:rPr>
                <w:rFonts w:ascii="宋体"/>
              </w:rPr>
            </w:pPr>
          </w:p>
        </w:tc>
        <w:tc>
          <w:tcPr>
            <w:tcW w:w="5" w:type="pct"/>
            <w:shd w:val="clear" w:color="auto" w:fill="auto"/>
            <w:vAlign w:val="bottom"/>
          </w:tcPr>
          <w:p w14:paraId="518B6D8A" w14:textId="77777777" w:rsidR="005C332D" w:rsidRDefault="005C332D">
            <w:pPr>
              <w:rPr>
                <w:rFonts w:ascii="宋体"/>
              </w:rPr>
            </w:pPr>
          </w:p>
        </w:tc>
        <w:tc>
          <w:tcPr>
            <w:tcW w:w="50" w:type="pct"/>
            <w:shd w:val="clear" w:color="auto" w:fill="auto"/>
            <w:vAlign w:val="bottom"/>
          </w:tcPr>
          <w:p w14:paraId="518B6D8B" w14:textId="77777777" w:rsidR="005C332D" w:rsidRDefault="005C332D">
            <w:pPr>
              <w:rPr>
                <w:rFonts w:ascii="宋体"/>
              </w:rPr>
            </w:pPr>
          </w:p>
        </w:tc>
        <w:tc>
          <w:tcPr>
            <w:tcW w:w="325" w:type="pct"/>
            <w:shd w:val="clear" w:color="auto" w:fill="auto"/>
            <w:vAlign w:val="bottom"/>
          </w:tcPr>
          <w:p w14:paraId="518B6D8C" w14:textId="77777777" w:rsidR="005C332D" w:rsidRDefault="005C332D">
            <w:pPr>
              <w:rPr>
                <w:rFonts w:ascii="宋体"/>
              </w:rPr>
            </w:pPr>
          </w:p>
        </w:tc>
        <w:tc>
          <w:tcPr>
            <w:tcW w:w="5" w:type="pct"/>
            <w:shd w:val="clear" w:color="auto" w:fill="auto"/>
            <w:vAlign w:val="bottom"/>
          </w:tcPr>
          <w:p w14:paraId="518B6D8D" w14:textId="77777777" w:rsidR="005C332D" w:rsidRDefault="005C332D">
            <w:pPr>
              <w:rPr>
                <w:rFonts w:ascii="宋体"/>
              </w:rPr>
            </w:pPr>
          </w:p>
        </w:tc>
        <w:tc>
          <w:tcPr>
            <w:tcW w:w="5" w:type="pct"/>
            <w:shd w:val="clear" w:color="auto" w:fill="auto"/>
            <w:vAlign w:val="bottom"/>
          </w:tcPr>
          <w:p w14:paraId="518B6D8E" w14:textId="77777777" w:rsidR="005C332D" w:rsidRDefault="005C332D">
            <w:pPr>
              <w:rPr>
                <w:rFonts w:ascii="宋体"/>
              </w:rPr>
            </w:pPr>
          </w:p>
        </w:tc>
        <w:tc>
          <w:tcPr>
            <w:tcW w:w="26" w:type="pct"/>
            <w:shd w:val="clear" w:color="auto" w:fill="auto"/>
            <w:vAlign w:val="bottom"/>
          </w:tcPr>
          <w:p w14:paraId="518B6D8F" w14:textId="77777777" w:rsidR="005C332D" w:rsidRDefault="005C332D">
            <w:pPr>
              <w:rPr>
                <w:rFonts w:ascii="宋体"/>
              </w:rPr>
            </w:pPr>
          </w:p>
        </w:tc>
        <w:tc>
          <w:tcPr>
            <w:tcW w:w="5" w:type="pct"/>
            <w:shd w:val="clear" w:color="auto" w:fill="auto"/>
            <w:vAlign w:val="bottom"/>
          </w:tcPr>
          <w:p w14:paraId="518B6D90" w14:textId="77777777" w:rsidR="005C332D" w:rsidRDefault="005C332D">
            <w:pPr>
              <w:rPr>
                <w:rFonts w:ascii="宋体"/>
              </w:rPr>
            </w:pPr>
          </w:p>
        </w:tc>
        <w:tc>
          <w:tcPr>
            <w:tcW w:w="50" w:type="pct"/>
            <w:shd w:val="clear" w:color="auto" w:fill="auto"/>
            <w:vAlign w:val="bottom"/>
          </w:tcPr>
          <w:p w14:paraId="518B6D91" w14:textId="77777777" w:rsidR="005C332D" w:rsidRDefault="005C332D">
            <w:pPr>
              <w:rPr>
                <w:rFonts w:ascii="宋体"/>
              </w:rPr>
            </w:pPr>
          </w:p>
        </w:tc>
        <w:tc>
          <w:tcPr>
            <w:tcW w:w="354" w:type="pct"/>
            <w:shd w:val="clear" w:color="auto" w:fill="auto"/>
            <w:vAlign w:val="bottom"/>
          </w:tcPr>
          <w:p w14:paraId="518B6D92" w14:textId="77777777" w:rsidR="005C332D" w:rsidRDefault="005C332D">
            <w:pPr>
              <w:rPr>
                <w:rFonts w:ascii="宋体"/>
              </w:rPr>
            </w:pPr>
          </w:p>
        </w:tc>
        <w:tc>
          <w:tcPr>
            <w:tcW w:w="5" w:type="pct"/>
            <w:shd w:val="clear" w:color="auto" w:fill="auto"/>
            <w:vAlign w:val="bottom"/>
          </w:tcPr>
          <w:p w14:paraId="518B6D93" w14:textId="77777777" w:rsidR="005C332D" w:rsidRDefault="005C332D">
            <w:pPr>
              <w:rPr>
                <w:rFonts w:ascii="宋体"/>
              </w:rPr>
            </w:pPr>
          </w:p>
        </w:tc>
        <w:tc>
          <w:tcPr>
            <w:tcW w:w="5" w:type="pct"/>
            <w:shd w:val="clear" w:color="auto" w:fill="auto"/>
            <w:vAlign w:val="bottom"/>
          </w:tcPr>
          <w:p w14:paraId="518B6D94" w14:textId="77777777" w:rsidR="005C332D" w:rsidRDefault="005C332D">
            <w:pPr>
              <w:rPr>
                <w:rFonts w:ascii="宋体"/>
              </w:rPr>
            </w:pPr>
          </w:p>
        </w:tc>
        <w:tc>
          <w:tcPr>
            <w:tcW w:w="26" w:type="pct"/>
            <w:shd w:val="clear" w:color="auto" w:fill="auto"/>
            <w:vAlign w:val="bottom"/>
          </w:tcPr>
          <w:p w14:paraId="518B6D95" w14:textId="77777777" w:rsidR="005C332D" w:rsidRDefault="005C332D">
            <w:pPr>
              <w:rPr>
                <w:rFonts w:ascii="宋体"/>
              </w:rPr>
            </w:pPr>
          </w:p>
        </w:tc>
        <w:tc>
          <w:tcPr>
            <w:tcW w:w="5" w:type="pct"/>
            <w:shd w:val="clear" w:color="auto" w:fill="auto"/>
            <w:vAlign w:val="bottom"/>
          </w:tcPr>
          <w:p w14:paraId="518B6D96" w14:textId="77777777" w:rsidR="005C332D" w:rsidRDefault="005C332D">
            <w:pPr>
              <w:rPr>
                <w:rFonts w:ascii="宋体"/>
              </w:rPr>
            </w:pPr>
          </w:p>
        </w:tc>
        <w:tc>
          <w:tcPr>
            <w:tcW w:w="50" w:type="pct"/>
            <w:shd w:val="clear" w:color="auto" w:fill="auto"/>
            <w:vAlign w:val="bottom"/>
          </w:tcPr>
          <w:p w14:paraId="518B6D97" w14:textId="77777777" w:rsidR="005C332D" w:rsidRDefault="005C332D">
            <w:pPr>
              <w:rPr>
                <w:rFonts w:ascii="宋体"/>
              </w:rPr>
            </w:pPr>
          </w:p>
        </w:tc>
        <w:tc>
          <w:tcPr>
            <w:tcW w:w="354" w:type="pct"/>
            <w:shd w:val="clear" w:color="auto" w:fill="auto"/>
            <w:vAlign w:val="bottom"/>
          </w:tcPr>
          <w:p w14:paraId="518B6D98" w14:textId="77777777" w:rsidR="005C332D" w:rsidRDefault="005C332D">
            <w:pPr>
              <w:rPr>
                <w:rFonts w:ascii="宋体"/>
              </w:rPr>
            </w:pPr>
          </w:p>
        </w:tc>
        <w:tc>
          <w:tcPr>
            <w:tcW w:w="5" w:type="pct"/>
            <w:shd w:val="clear" w:color="auto" w:fill="auto"/>
            <w:vAlign w:val="bottom"/>
          </w:tcPr>
          <w:p w14:paraId="518B6D99" w14:textId="77777777" w:rsidR="005C332D" w:rsidRDefault="005C332D">
            <w:pPr>
              <w:rPr>
                <w:rFonts w:ascii="宋体"/>
              </w:rPr>
            </w:pPr>
          </w:p>
        </w:tc>
        <w:tc>
          <w:tcPr>
            <w:tcW w:w="5" w:type="pct"/>
            <w:shd w:val="clear" w:color="auto" w:fill="auto"/>
            <w:vAlign w:val="bottom"/>
          </w:tcPr>
          <w:p w14:paraId="518B6D9A" w14:textId="77777777" w:rsidR="005C332D" w:rsidRDefault="005C332D">
            <w:pPr>
              <w:rPr>
                <w:rFonts w:ascii="宋体"/>
              </w:rPr>
            </w:pPr>
          </w:p>
        </w:tc>
        <w:tc>
          <w:tcPr>
            <w:tcW w:w="26" w:type="pct"/>
            <w:shd w:val="clear" w:color="auto" w:fill="auto"/>
            <w:vAlign w:val="bottom"/>
          </w:tcPr>
          <w:p w14:paraId="518B6D9B" w14:textId="77777777" w:rsidR="005C332D" w:rsidRDefault="005C332D">
            <w:pPr>
              <w:rPr>
                <w:rFonts w:ascii="宋体"/>
              </w:rPr>
            </w:pPr>
          </w:p>
        </w:tc>
        <w:tc>
          <w:tcPr>
            <w:tcW w:w="5" w:type="pct"/>
            <w:shd w:val="clear" w:color="auto" w:fill="auto"/>
            <w:vAlign w:val="bottom"/>
          </w:tcPr>
          <w:p w14:paraId="518B6D9C" w14:textId="77777777" w:rsidR="005C332D" w:rsidRDefault="005C332D">
            <w:pPr>
              <w:rPr>
                <w:rFonts w:ascii="宋体"/>
              </w:rPr>
            </w:pPr>
          </w:p>
        </w:tc>
        <w:tc>
          <w:tcPr>
            <w:tcW w:w="50" w:type="pct"/>
            <w:shd w:val="clear" w:color="auto" w:fill="auto"/>
            <w:vAlign w:val="bottom"/>
          </w:tcPr>
          <w:p w14:paraId="518B6D9D" w14:textId="77777777" w:rsidR="005C332D" w:rsidRDefault="005C332D">
            <w:pPr>
              <w:rPr>
                <w:rFonts w:ascii="宋体"/>
              </w:rPr>
            </w:pPr>
          </w:p>
        </w:tc>
        <w:tc>
          <w:tcPr>
            <w:tcW w:w="354" w:type="pct"/>
            <w:shd w:val="clear" w:color="auto" w:fill="auto"/>
            <w:vAlign w:val="bottom"/>
          </w:tcPr>
          <w:p w14:paraId="518B6D9E" w14:textId="77777777" w:rsidR="005C332D" w:rsidRDefault="005C332D">
            <w:pPr>
              <w:rPr>
                <w:rFonts w:ascii="宋体"/>
              </w:rPr>
            </w:pPr>
          </w:p>
        </w:tc>
        <w:tc>
          <w:tcPr>
            <w:tcW w:w="5" w:type="pct"/>
            <w:shd w:val="clear" w:color="auto" w:fill="auto"/>
            <w:vAlign w:val="bottom"/>
          </w:tcPr>
          <w:p w14:paraId="518B6D9F" w14:textId="77777777" w:rsidR="005C332D" w:rsidRDefault="005C332D">
            <w:pPr>
              <w:rPr>
                <w:rFonts w:ascii="宋体"/>
              </w:rPr>
            </w:pPr>
          </w:p>
        </w:tc>
        <w:tc>
          <w:tcPr>
            <w:tcW w:w="5" w:type="pct"/>
            <w:shd w:val="clear" w:color="auto" w:fill="auto"/>
            <w:vAlign w:val="bottom"/>
          </w:tcPr>
          <w:p w14:paraId="518B6DA0" w14:textId="77777777" w:rsidR="005C332D" w:rsidRDefault="005C332D">
            <w:pPr>
              <w:rPr>
                <w:rFonts w:ascii="宋体"/>
              </w:rPr>
            </w:pPr>
          </w:p>
        </w:tc>
        <w:tc>
          <w:tcPr>
            <w:tcW w:w="26" w:type="pct"/>
            <w:shd w:val="clear" w:color="auto" w:fill="auto"/>
            <w:vAlign w:val="bottom"/>
          </w:tcPr>
          <w:p w14:paraId="518B6DA1" w14:textId="77777777" w:rsidR="005C332D" w:rsidRDefault="005C332D">
            <w:pPr>
              <w:rPr>
                <w:rFonts w:ascii="宋体"/>
              </w:rPr>
            </w:pPr>
          </w:p>
        </w:tc>
        <w:tc>
          <w:tcPr>
            <w:tcW w:w="5" w:type="pct"/>
            <w:shd w:val="clear" w:color="auto" w:fill="auto"/>
            <w:vAlign w:val="bottom"/>
          </w:tcPr>
          <w:p w14:paraId="518B6DA2" w14:textId="77777777" w:rsidR="005C332D" w:rsidRDefault="005C332D">
            <w:pPr>
              <w:rPr>
                <w:rFonts w:ascii="宋体"/>
              </w:rPr>
            </w:pPr>
          </w:p>
        </w:tc>
        <w:tc>
          <w:tcPr>
            <w:tcW w:w="50" w:type="pct"/>
            <w:shd w:val="clear" w:color="auto" w:fill="auto"/>
            <w:vAlign w:val="bottom"/>
          </w:tcPr>
          <w:p w14:paraId="518B6DA3" w14:textId="77777777" w:rsidR="005C332D" w:rsidRDefault="005C332D">
            <w:pPr>
              <w:rPr>
                <w:rFonts w:ascii="宋体"/>
              </w:rPr>
            </w:pPr>
          </w:p>
        </w:tc>
        <w:tc>
          <w:tcPr>
            <w:tcW w:w="354" w:type="pct"/>
            <w:shd w:val="clear" w:color="auto" w:fill="auto"/>
            <w:vAlign w:val="bottom"/>
          </w:tcPr>
          <w:p w14:paraId="518B6DA4" w14:textId="77777777" w:rsidR="005C332D" w:rsidRDefault="005C332D">
            <w:pPr>
              <w:rPr>
                <w:rFonts w:ascii="宋体"/>
              </w:rPr>
            </w:pPr>
          </w:p>
        </w:tc>
        <w:tc>
          <w:tcPr>
            <w:tcW w:w="5" w:type="pct"/>
            <w:shd w:val="clear" w:color="auto" w:fill="auto"/>
            <w:vAlign w:val="bottom"/>
          </w:tcPr>
          <w:p w14:paraId="518B6DA5" w14:textId="77777777" w:rsidR="005C332D" w:rsidRDefault="005C332D">
            <w:pPr>
              <w:rPr>
                <w:rFonts w:ascii="宋体"/>
              </w:rPr>
            </w:pPr>
          </w:p>
        </w:tc>
        <w:tc>
          <w:tcPr>
            <w:tcW w:w="5" w:type="pct"/>
            <w:shd w:val="clear" w:color="auto" w:fill="auto"/>
            <w:vAlign w:val="bottom"/>
          </w:tcPr>
          <w:p w14:paraId="518B6DA6" w14:textId="77777777" w:rsidR="005C332D" w:rsidRDefault="005C332D">
            <w:pPr>
              <w:rPr>
                <w:rFonts w:ascii="宋体"/>
              </w:rPr>
            </w:pPr>
          </w:p>
        </w:tc>
        <w:tc>
          <w:tcPr>
            <w:tcW w:w="19" w:type="pct"/>
            <w:shd w:val="clear" w:color="auto" w:fill="auto"/>
            <w:vAlign w:val="bottom"/>
          </w:tcPr>
          <w:p w14:paraId="518B6DA7" w14:textId="77777777" w:rsidR="005C332D" w:rsidRDefault="005C332D">
            <w:pPr>
              <w:rPr>
                <w:rFonts w:ascii="宋体"/>
              </w:rPr>
            </w:pPr>
          </w:p>
        </w:tc>
        <w:tc>
          <w:tcPr>
            <w:tcW w:w="5" w:type="pct"/>
            <w:shd w:val="clear" w:color="auto" w:fill="auto"/>
            <w:vAlign w:val="bottom"/>
          </w:tcPr>
          <w:p w14:paraId="518B6DA8" w14:textId="77777777" w:rsidR="005C332D" w:rsidRDefault="005C332D">
            <w:pPr>
              <w:rPr>
                <w:rFonts w:ascii="宋体"/>
              </w:rPr>
            </w:pPr>
          </w:p>
        </w:tc>
        <w:tc>
          <w:tcPr>
            <w:tcW w:w="50" w:type="pct"/>
            <w:shd w:val="clear" w:color="auto" w:fill="auto"/>
            <w:vAlign w:val="bottom"/>
          </w:tcPr>
          <w:p w14:paraId="518B6DA9" w14:textId="77777777" w:rsidR="005C332D" w:rsidRDefault="005C332D">
            <w:pPr>
              <w:rPr>
                <w:rFonts w:ascii="宋体"/>
              </w:rPr>
            </w:pPr>
          </w:p>
        </w:tc>
        <w:tc>
          <w:tcPr>
            <w:tcW w:w="390" w:type="pct"/>
            <w:shd w:val="clear" w:color="auto" w:fill="auto"/>
            <w:vAlign w:val="bottom"/>
          </w:tcPr>
          <w:p w14:paraId="518B6DAA" w14:textId="77777777" w:rsidR="005C332D" w:rsidRDefault="005C332D">
            <w:pPr>
              <w:rPr>
                <w:rFonts w:ascii="宋体"/>
              </w:rPr>
            </w:pPr>
          </w:p>
        </w:tc>
        <w:tc>
          <w:tcPr>
            <w:tcW w:w="5" w:type="pct"/>
            <w:shd w:val="clear" w:color="auto" w:fill="auto"/>
            <w:vAlign w:val="bottom"/>
          </w:tcPr>
          <w:p w14:paraId="518B6DAB" w14:textId="77777777" w:rsidR="005C332D" w:rsidRDefault="005C332D">
            <w:pPr>
              <w:rPr>
                <w:rFonts w:ascii="宋体"/>
              </w:rPr>
            </w:pPr>
          </w:p>
        </w:tc>
        <w:tc>
          <w:tcPr>
            <w:tcW w:w="5" w:type="pct"/>
            <w:shd w:val="clear" w:color="auto" w:fill="auto"/>
            <w:vAlign w:val="bottom"/>
          </w:tcPr>
          <w:p w14:paraId="518B6DAC" w14:textId="77777777" w:rsidR="005C332D" w:rsidRDefault="005C332D">
            <w:pPr>
              <w:rPr>
                <w:rFonts w:ascii="宋体"/>
              </w:rPr>
            </w:pPr>
          </w:p>
        </w:tc>
        <w:tc>
          <w:tcPr>
            <w:tcW w:w="26" w:type="pct"/>
            <w:shd w:val="clear" w:color="auto" w:fill="auto"/>
            <w:vAlign w:val="bottom"/>
          </w:tcPr>
          <w:p w14:paraId="518B6DAD" w14:textId="77777777" w:rsidR="005C332D" w:rsidRDefault="005C332D">
            <w:pPr>
              <w:rPr>
                <w:rFonts w:ascii="宋体"/>
              </w:rPr>
            </w:pPr>
          </w:p>
        </w:tc>
        <w:tc>
          <w:tcPr>
            <w:tcW w:w="5" w:type="pct"/>
            <w:shd w:val="clear" w:color="auto" w:fill="auto"/>
            <w:vAlign w:val="bottom"/>
          </w:tcPr>
          <w:p w14:paraId="518B6DAE" w14:textId="77777777" w:rsidR="005C332D" w:rsidRDefault="005C332D">
            <w:pPr>
              <w:rPr>
                <w:rFonts w:ascii="宋体"/>
              </w:rPr>
            </w:pPr>
          </w:p>
        </w:tc>
        <w:tc>
          <w:tcPr>
            <w:tcW w:w="50" w:type="pct"/>
            <w:shd w:val="clear" w:color="auto" w:fill="auto"/>
            <w:vAlign w:val="bottom"/>
          </w:tcPr>
          <w:p w14:paraId="518B6DAF" w14:textId="77777777" w:rsidR="005C332D" w:rsidRDefault="005C332D">
            <w:pPr>
              <w:rPr>
                <w:rFonts w:ascii="宋体"/>
              </w:rPr>
            </w:pPr>
          </w:p>
        </w:tc>
        <w:tc>
          <w:tcPr>
            <w:tcW w:w="391" w:type="pct"/>
            <w:shd w:val="clear" w:color="auto" w:fill="auto"/>
            <w:vAlign w:val="bottom"/>
          </w:tcPr>
          <w:p w14:paraId="518B6DB0" w14:textId="77777777" w:rsidR="005C332D" w:rsidRDefault="005C332D">
            <w:pPr>
              <w:rPr>
                <w:rFonts w:ascii="宋体"/>
              </w:rPr>
            </w:pPr>
          </w:p>
        </w:tc>
        <w:tc>
          <w:tcPr>
            <w:tcW w:w="5" w:type="pct"/>
            <w:shd w:val="clear" w:color="auto" w:fill="auto"/>
            <w:vAlign w:val="bottom"/>
          </w:tcPr>
          <w:p w14:paraId="518B6DB1" w14:textId="77777777" w:rsidR="005C332D" w:rsidRDefault="005C332D">
            <w:pPr>
              <w:rPr>
                <w:rFonts w:ascii="宋体"/>
              </w:rPr>
            </w:pPr>
          </w:p>
        </w:tc>
      </w:tr>
      <w:tr w:rsidR="005C332D" w14:paraId="518B6DBF" w14:textId="77777777">
        <w:tc>
          <w:tcPr>
            <w:tcW w:w="0" w:type="auto"/>
            <w:gridSpan w:val="3"/>
            <w:shd w:val="clear" w:color="auto" w:fill="auto"/>
            <w:tcMar>
              <w:top w:w="0" w:type="dxa"/>
              <w:left w:w="20" w:type="dxa"/>
              <w:bottom w:w="0" w:type="dxa"/>
              <w:right w:w="20" w:type="dxa"/>
            </w:tcMar>
            <w:vAlign w:val="bottom"/>
          </w:tcPr>
          <w:p w14:paraId="518B6DB3" w14:textId="77777777" w:rsidR="005C332D" w:rsidRDefault="005C332D">
            <w:pPr>
              <w:rPr>
                <w:rFonts w:ascii="宋体"/>
              </w:rPr>
            </w:pPr>
          </w:p>
        </w:tc>
        <w:tc>
          <w:tcPr>
            <w:tcW w:w="0" w:type="auto"/>
            <w:gridSpan w:val="21"/>
            <w:shd w:val="clear" w:color="auto" w:fill="auto"/>
            <w:tcMar>
              <w:top w:w="40" w:type="dxa"/>
              <w:left w:w="20" w:type="dxa"/>
              <w:bottom w:w="40" w:type="dxa"/>
              <w:right w:w="20" w:type="dxa"/>
            </w:tcMar>
            <w:vAlign w:val="bottom"/>
          </w:tcPr>
          <w:p w14:paraId="518B6DB4" w14:textId="77777777" w:rsidR="005C332D" w:rsidRDefault="00B93EAE">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vAlign w:val="bottom"/>
          </w:tcPr>
          <w:p w14:paraId="518B6DB5"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DB6"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DB7"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DB8"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DB9"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DBA"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DB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DBC"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DBD"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6DBE" w14:textId="77777777" w:rsidR="005C332D" w:rsidRDefault="005C332D">
            <w:pPr>
              <w:rPr>
                <w:rFonts w:ascii="宋体"/>
              </w:rPr>
            </w:pPr>
          </w:p>
        </w:tc>
      </w:tr>
      <w:tr w:rsidR="005C332D" w14:paraId="518B6DD2" w14:textId="77777777">
        <w:tc>
          <w:tcPr>
            <w:tcW w:w="0" w:type="auto"/>
            <w:gridSpan w:val="3"/>
            <w:shd w:val="clear" w:color="auto" w:fill="auto"/>
            <w:tcMar>
              <w:top w:w="40" w:type="dxa"/>
              <w:left w:w="20" w:type="dxa"/>
              <w:bottom w:w="40" w:type="dxa"/>
              <w:right w:w="20" w:type="dxa"/>
            </w:tcMar>
            <w:vAlign w:val="bottom"/>
          </w:tcPr>
          <w:p w14:paraId="518B6DC0" w14:textId="77777777" w:rsidR="005C332D" w:rsidRDefault="00B93EAE">
            <w:pPr>
              <w:textAlignment w:val="bottom"/>
            </w:pPr>
            <w:r>
              <w:rPr>
                <w:rFonts w:ascii="Times New Roman" w:eastAsia="宋体" w:hAnsi="Times New Roman"/>
                <w:color w:val="000000"/>
                <w:sz w:val="16"/>
                <w:szCs w:val="16"/>
                <w:u w:val="single"/>
              </w:rPr>
              <w:t>July 31,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DC1" w14:textId="77777777" w:rsidR="005C332D" w:rsidRDefault="00B93EAE">
            <w:pPr>
              <w:jc w:val="center"/>
              <w:textAlignment w:val="bottom"/>
            </w:pPr>
            <w:r>
              <w:rPr>
                <w:rFonts w:ascii="Times New Roman" w:eastAsia="宋体" w:hAnsi="Times New Roman"/>
                <w:color w:val="000000"/>
                <w:sz w:val="16"/>
                <w:szCs w:val="16"/>
              </w:rPr>
              <w:t>31 - 60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DC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DC3" w14:textId="77777777" w:rsidR="005C332D" w:rsidRDefault="00B93EAE">
            <w:pPr>
              <w:jc w:val="center"/>
              <w:textAlignment w:val="bottom"/>
            </w:pPr>
            <w:r>
              <w:rPr>
                <w:rFonts w:ascii="Times New Roman" w:eastAsia="宋体" w:hAnsi="Times New Roman"/>
                <w:color w:val="000000"/>
                <w:sz w:val="16"/>
                <w:szCs w:val="16"/>
              </w:rPr>
              <w:t>61 - 90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DC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DC5" w14:textId="77777777" w:rsidR="005C332D" w:rsidRDefault="00B93EAE">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DC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DC7" w14:textId="77777777" w:rsidR="005C332D" w:rsidRDefault="00B93EAE">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vAlign w:val="bottom"/>
          </w:tcPr>
          <w:p w14:paraId="518B6DC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DC9" w14:textId="77777777" w:rsidR="005C332D" w:rsidRDefault="00B93EAE">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vAlign w:val="bottom"/>
          </w:tcPr>
          <w:p w14:paraId="518B6DC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DCB" w14:textId="77777777" w:rsidR="005C332D" w:rsidRDefault="00B93EAE">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518B6DC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DCD" w14:textId="77777777" w:rsidR="005C332D" w:rsidRDefault="00B93EAE">
            <w:pPr>
              <w:jc w:val="center"/>
              <w:textAlignment w:val="bottom"/>
            </w:pPr>
            <w:r>
              <w:rPr>
                <w:rFonts w:ascii="Times New Roman" w:eastAsia="宋体" w:hAnsi="Times New Roman"/>
                <w:color w:val="000000"/>
                <w:sz w:val="16"/>
                <w:szCs w:val="16"/>
              </w:rPr>
              <w:t>120+ Still Accruing</w:t>
            </w:r>
          </w:p>
        </w:tc>
        <w:tc>
          <w:tcPr>
            <w:tcW w:w="0" w:type="auto"/>
            <w:gridSpan w:val="3"/>
            <w:shd w:val="clear" w:color="auto" w:fill="auto"/>
            <w:tcMar>
              <w:top w:w="0" w:type="dxa"/>
              <w:left w:w="20" w:type="dxa"/>
              <w:bottom w:w="0" w:type="dxa"/>
              <w:right w:w="20" w:type="dxa"/>
            </w:tcMar>
            <w:vAlign w:val="bottom"/>
          </w:tcPr>
          <w:p w14:paraId="518B6DC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DCF" w14:textId="77777777" w:rsidR="005C332D" w:rsidRDefault="00B93EAE">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r>
            <w:r>
              <w:rPr>
                <w:rFonts w:ascii="Times New Roman" w:eastAsia="宋体" w:hAnsi="Times New Roman"/>
                <w:color w:val="000000"/>
                <w:sz w:val="16"/>
                <w:szCs w:val="16"/>
              </w:rPr>
              <w:t>Receivables</w:t>
            </w:r>
          </w:p>
        </w:tc>
        <w:tc>
          <w:tcPr>
            <w:tcW w:w="0" w:type="auto"/>
            <w:gridSpan w:val="3"/>
            <w:shd w:val="clear" w:color="auto" w:fill="auto"/>
            <w:tcMar>
              <w:top w:w="0" w:type="dxa"/>
              <w:left w:w="20" w:type="dxa"/>
              <w:bottom w:w="0" w:type="dxa"/>
              <w:right w:w="20" w:type="dxa"/>
            </w:tcMar>
            <w:vAlign w:val="bottom"/>
          </w:tcPr>
          <w:p w14:paraId="518B6DD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DD1" w14:textId="77777777" w:rsidR="005C332D" w:rsidRDefault="00B93EAE">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B93EAE" w14:paraId="518B6DF7" w14:textId="77777777">
        <w:tc>
          <w:tcPr>
            <w:tcW w:w="0" w:type="auto"/>
            <w:gridSpan w:val="3"/>
            <w:shd w:val="clear" w:color="auto" w:fill="CCEEFF"/>
            <w:tcMar>
              <w:top w:w="40" w:type="dxa"/>
              <w:left w:w="20" w:type="dxa"/>
              <w:bottom w:w="40" w:type="dxa"/>
              <w:right w:w="20" w:type="dxa"/>
            </w:tcMar>
          </w:tcPr>
          <w:p w14:paraId="518B6DD3" w14:textId="77777777" w:rsidR="005C332D" w:rsidRDefault="00B93EAE">
            <w:pPr>
              <w:textAlignment w:val="top"/>
            </w:pPr>
            <w:r>
              <w:rPr>
                <w:rFonts w:ascii="Times New Roman" w:eastAsia="宋体" w:hAnsi="Times New Roman"/>
                <w:color w:val="000000"/>
                <w:sz w:val="18"/>
                <w:szCs w:val="18"/>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DD4"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D5" w14:textId="77777777" w:rsidR="005C332D" w:rsidRDefault="00B93EAE">
            <w:pPr>
              <w:jc w:val="right"/>
              <w:textAlignment w:val="bottom"/>
            </w:pPr>
            <w:r>
              <w:rPr>
                <w:rFonts w:ascii="Times New Roman" w:eastAsia="宋体" w:hAnsi="Times New Roman"/>
                <w:color w:val="000000"/>
                <w:sz w:val="18"/>
                <w:szCs w:val="18"/>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D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D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D8"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D9" w14:textId="77777777" w:rsidR="005C332D" w:rsidRDefault="00B93EAE">
            <w:pPr>
              <w:jc w:val="right"/>
              <w:textAlignment w:val="bottom"/>
            </w:pPr>
            <w:r>
              <w:rPr>
                <w:rFonts w:ascii="Times New Roman" w:eastAsia="宋体" w:hAnsi="Times New Roman"/>
                <w:color w:val="000000"/>
                <w:sz w:val="18"/>
                <w:szCs w:val="18"/>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D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D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DC"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DD" w14:textId="77777777" w:rsidR="005C332D" w:rsidRDefault="00B93EAE">
            <w:pPr>
              <w:jc w:val="right"/>
              <w:textAlignment w:val="bottom"/>
            </w:pPr>
            <w:r>
              <w:rPr>
                <w:rFonts w:ascii="Times New Roman" w:eastAsia="宋体" w:hAnsi="Times New Roman"/>
                <w:color w:val="000000"/>
                <w:sz w:val="18"/>
                <w:szCs w:val="18"/>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D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D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E0"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E1" w14:textId="77777777" w:rsidR="005C332D" w:rsidRDefault="00B93EAE">
            <w:pPr>
              <w:jc w:val="right"/>
              <w:textAlignment w:val="bottom"/>
            </w:pPr>
            <w:r>
              <w:rPr>
                <w:rFonts w:ascii="Times New Roman" w:eastAsia="宋体" w:hAnsi="Times New Roman"/>
                <w:color w:val="000000"/>
                <w:sz w:val="18"/>
                <w:szCs w:val="18"/>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E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E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E4"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E5" w14:textId="77777777" w:rsidR="005C332D" w:rsidRDefault="00B93EAE">
            <w:pPr>
              <w:jc w:val="right"/>
              <w:textAlignment w:val="bottom"/>
            </w:pPr>
            <w:r>
              <w:rPr>
                <w:rFonts w:ascii="Times New Roman" w:eastAsia="宋体" w:hAnsi="Times New Roman"/>
                <w:color w:val="000000"/>
                <w:sz w:val="18"/>
                <w:szCs w:val="18"/>
              </w:rPr>
              <w:t>1,565 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E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E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E8"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E9" w14:textId="77777777" w:rsidR="005C332D" w:rsidRDefault="00B93EAE">
            <w:pPr>
              <w:jc w:val="right"/>
              <w:textAlignment w:val="bottom"/>
            </w:pPr>
            <w:r>
              <w:rPr>
                <w:rFonts w:ascii="Times New Roman" w:eastAsia="宋体" w:hAnsi="Times New Roman"/>
                <w:color w:val="000000"/>
                <w:sz w:val="18"/>
                <w:szCs w:val="18"/>
              </w:rPr>
              <w:t>1,632 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E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E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EC"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ED" w14:textId="77777777" w:rsidR="005C332D" w:rsidRDefault="00B93EAE">
            <w:pPr>
              <w:jc w:val="right"/>
              <w:textAlignment w:val="bottom"/>
            </w:pPr>
            <w:r>
              <w:rPr>
                <w:rFonts w:ascii="Times New Roman" w:eastAsia="宋体" w:hAnsi="Times New Roman"/>
                <w:color w:val="000000"/>
                <w:sz w:val="18"/>
                <w:szCs w:val="18"/>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E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E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F0"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F1" w14:textId="77777777" w:rsidR="005C332D" w:rsidRDefault="00B93EAE">
            <w:pPr>
              <w:jc w:val="right"/>
              <w:textAlignment w:val="bottom"/>
            </w:pPr>
            <w:r>
              <w:rPr>
                <w:rFonts w:ascii="Times New Roman" w:eastAsia="宋体" w:hAnsi="Times New Roman"/>
                <w:color w:val="000000"/>
                <w:sz w:val="18"/>
                <w:szCs w:val="18"/>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F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DF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DF4"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DF5" w14:textId="77777777" w:rsidR="005C332D" w:rsidRDefault="00B93EAE">
            <w:pPr>
              <w:jc w:val="right"/>
              <w:textAlignment w:val="bottom"/>
            </w:pPr>
            <w:r>
              <w:rPr>
                <w:rFonts w:ascii="Times New Roman" w:eastAsia="宋体" w:hAnsi="Times New Roman"/>
                <w:color w:val="000000"/>
                <w:sz w:val="18"/>
                <w:szCs w:val="18"/>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DF6" w14:textId="77777777" w:rsidR="005C332D" w:rsidRDefault="005C332D">
            <w:pPr>
              <w:jc w:val="right"/>
              <w:rPr>
                <w:rFonts w:ascii="宋体"/>
              </w:rPr>
            </w:pPr>
          </w:p>
        </w:tc>
      </w:tr>
      <w:tr w:rsidR="005C332D" w14:paraId="518B6E13" w14:textId="77777777">
        <w:tc>
          <w:tcPr>
            <w:tcW w:w="0" w:type="auto"/>
            <w:gridSpan w:val="3"/>
            <w:shd w:val="clear" w:color="auto" w:fill="auto"/>
            <w:tcMar>
              <w:top w:w="40" w:type="dxa"/>
              <w:left w:w="20" w:type="dxa"/>
              <w:bottom w:w="40" w:type="dxa"/>
              <w:right w:w="20" w:type="dxa"/>
            </w:tcMar>
          </w:tcPr>
          <w:p w14:paraId="518B6DF8" w14:textId="77777777" w:rsidR="005C332D" w:rsidRDefault="00B93EAE">
            <w:pPr>
              <w:textAlignment w:val="top"/>
            </w:pPr>
            <w:r>
              <w:rPr>
                <w:rFonts w:ascii="Times New Roman" w:eastAsia="宋体" w:hAnsi="Times New Roman"/>
                <w:color w:val="000000"/>
                <w:sz w:val="18"/>
                <w:szCs w:val="18"/>
              </w:rPr>
              <w:t>Loan receivables</w:t>
            </w:r>
          </w:p>
        </w:tc>
        <w:tc>
          <w:tcPr>
            <w:tcW w:w="0" w:type="auto"/>
            <w:gridSpan w:val="2"/>
            <w:shd w:val="clear" w:color="auto" w:fill="auto"/>
            <w:tcMar>
              <w:top w:w="40" w:type="dxa"/>
              <w:left w:w="20" w:type="dxa"/>
              <w:bottom w:w="40" w:type="dxa"/>
              <w:right w:w="0" w:type="dxa"/>
            </w:tcMar>
            <w:vAlign w:val="bottom"/>
          </w:tcPr>
          <w:p w14:paraId="518B6DF9" w14:textId="77777777" w:rsidR="005C332D" w:rsidRDefault="00B93EAE">
            <w:pPr>
              <w:jc w:val="right"/>
              <w:textAlignment w:val="bottom"/>
            </w:pPr>
            <w:r>
              <w:rPr>
                <w:rFonts w:ascii="Times New Roman" w:eastAsia="宋体" w:hAnsi="Times New Roman"/>
                <w:color w:val="000000"/>
                <w:sz w:val="18"/>
                <w:szCs w:val="18"/>
              </w:rPr>
              <w:t>71 </w:t>
            </w:r>
          </w:p>
        </w:tc>
        <w:tc>
          <w:tcPr>
            <w:tcW w:w="0" w:type="auto"/>
            <w:shd w:val="clear" w:color="auto" w:fill="auto"/>
            <w:tcMar>
              <w:top w:w="40" w:type="dxa"/>
              <w:left w:w="0" w:type="dxa"/>
              <w:bottom w:w="40" w:type="dxa"/>
              <w:right w:w="20" w:type="dxa"/>
            </w:tcMar>
            <w:vAlign w:val="bottom"/>
          </w:tcPr>
          <w:p w14:paraId="518B6DFA"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FB"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DFC" w14:textId="77777777" w:rsidR="005C332D" w:rsidRDefault="00B93EAE">
            <w:pPr>
              <w:jc w:val="right"/>
              <w:textAlignment w:val="bottom"/>
            </w:pPr>
            <w:r>
              <w:rPr>
                <w:rFonts w:ascii="Times New Roman" w:eastAsia="宋体" w:hAnsi="Times New Roman"/>
                <w:color w:val="000000"/>
                <w:sz w:val="18"/>
                <w:szCs w:val="18"/>
              </w:rPr>
              <w:t>17 </w:t>
            </w:r>
          </w:p>
        </w:tc>
        <w:tc>
          <w:tcPr>
            <w:tcW w:w="0" w:type="auto"/>
            <w:shd w:val="clear" w:color="auto" w:fill="auto"/>
            <w:tcMar>
              <w:top w:w="40" w:type="dxa"/>
              <w:left w:w="0" w:type="dxa"/>
              <w:bottom w:w="40" w:type="dxa"/>
              <w:right w:w="20" w:type="dxa"/>
            </w:tcMar>
            <w:vAlign w:val="bottom"/>
          </w:tcPr>
          <w:p w14:paraId="518B6DFD"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DFE"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DFF" w14:textId="77777777" w:rsidR="005C332D" w:rsidRDefault="00B93EAE">
            <w:pPr>
              <w:jc w:val="right"/>
              <w:textAlignment w:val="bottom"/>
            </w:pPr>
            <w:r>
              <w:rPr>
                <w:rFonts w:ascii="Times New Roman" w:eastAsia="宋体" w:hAnsi="Times New Roman"/>
                <w:color w:val="000000"/>
                <w:sz w:val="18"/>
                <w:szCs w:val="18"/>
              </w:rPr>
              <w:t>35 </w:t>
            </w:r>
          </w:p>
        </w:tc>
        <w:tc>
          <w:tcPr>
            <w:tcW w:w="0" w:type="auto"/>
            <w:shd w:val="clear" w:color="auto" w:fill="auto"/>
            <w:tcMar>
              <w:top w:w="40" w:type="dxa"/>
              <w:left w:w="0" w:type="dxa"/>
              <w:bottom w:w="40" w:type="dxa"/>
              <w:right w:w="20" w:type="dxa"/>
            </w:tcMar>
            <w:vAlign w:val="bottom"/>
          </w:tcPr>
          <w:p w14:paraId="518B6E00"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01"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E02" w14:textId="77777777" w:rsidR="005C332D" w:rsidRDefault="00B93EAE">
            <w:pPr>
              <w:jc w:val="right"/>
              <w:textAlignment w:val="bottom"/>
            </w:pPr>
            <w:r>
              <w:rPr>
                <w:rFonts w:ascii="Times New Roman" w:eastAsia="宋体" w:hAnsi="Times New Roman"/>
                <w:color w:val="000000"/>
                <w:sz w:val="18"/>
                <w:szCs w:val="18"/>
              </w:rPr>
              <w:t>123 </w:t>
            </w:r>
          </w:p>
        </w:tc>
        <w:tc>
          <w:tcPr>
            <w:tcW w:w="0" w:type="auto"/>
            <w:shd w:val="clear" w:color="auto" w:fill="auto"/>
            <w:tcMar>
              <w:top w:w="40" w:type="dxa"/>
              <w:left w:w="0" w:type="dxa"/>
              <w:bottom w:w="40" w:type="dxa"/>
              <w:right w:w="20" w:type="dxa"/>
            </w:tcMar>
            <w:vAlign w:val="bottom"/>
          </w:tcPr>
          <w:p w14:paraId="518B6E03"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04"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E05" w14:textId="77777777" w:rsidR="005C332D" w:rsidRDefault="00B93EAE">
            <w:pPr>
              <w:jc w:val="right"/>
              <w:textAlignment w:val="bottom"/>
            </w:pPr>
            <w:r>
              <w:rPr>
                <w:rFonts w:ascii="Times New Roman" w:eastAsia="宋体" w:hAnsi="Times New Roman"/>
                <w:color w:val="000000"/>
                <w:sz w:val="18"/>
                <w:szCs w:val="18"/>
              </w:rPr>
              <w:t>5,080 </w:t>
            </w:r>
          </w:p>
        </w:tc>
        <w:tc>
          <w:tcPr>
            <w:tcW w:w="0" w:type="auto"/>
            <w:shd w:val="clear" w:color="auto" w:fill="auto"/>
            <w:tcMar>
              <w:top w:w="40" w:type="dxa"/>
              <w:left w:w="0" w:type="dxa"/>
              <w:bottom w:w="40" w:type="dxa"/>
              <w:right w:w="20" w:type="dxa"/>
            </w:tcMar>
            <w:vAlign w:val="bottom"/>
          </w:tcPr>
          <w:p w14:paraId="518B6E06"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07"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E08" w14:textId="77777777" w:rsidR="005C332D" w:rsidRDefault="00B93EAE">
            <w:pPr>
              <w:jc w:val="right"/>
              <w:textAlignment w:val="bottom"/>
            </w:pPr>
            <w:r>
              <w:rPr>
                <w:rFonts w:ascii="Times New Roman" w:eastAsia="宋体" w:hAnsi="Times New Roman"/>
                <w:color w:val="000000"/>
                <w:sz w:val="18"/>
                <w:szCs w:val="18"/>
              </w:rPr>
              <w:t>5,203 </w:t>
            </w:r>
          </w:p>
        </w:tc>
        <w:tc>
          <w:tcPr>
            <w:tcW w:w="0" w:type="auto"/>
            <w:shd w:val="clear" w:color="auto" w:fill="auto"/>
            <w:tcMar>
              <w:top w:w="40" w:type="dxa"/>
              <w:left w:w="0" w:type="dxa"/>
              <w:bottom w:w="40" w:type="dxa"/>
              <w:right w:w="20" w:type="dxa"/>
            </w:tcMar>
            <w:vAlign w:val="bottom"/>
          </w:tcPr>
          <w:p w14:paraId="518B6E09"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0A"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E0B" w14:textId="77777777" w:rsidR="005C332D" w:rsidRDefault="00B93EAE">
            <w:pPr>
              <w:jc w:val="right"/>
              <w:textAlignment w:val="bottom"/>
            </w:pPr>
            <w:r>
              <w:rPr>
                <w:rFonts w:ascii="Times New Roman" w:eastAsia="宋体" w:hAnsi="Times New Roman"/>
                <w:color w:val="000000"/>
                <w:sz w:val="18"/>
                <w:szCs w:val="18"/>
              </w:rPr>
              <w:t>4 </w:t>
            </w:r>
          </w:p>
        </w:tc>
        <w:tc>
          <w:tcPr>
            <w:tcW w:w="0" w:type="auto"/>
            <w:shd w:val="clear" w:color="auto" w:fill="auto"/>
            <w:tcMar>
              <w:top w:w="40" w:type="dxa"/>
              <w:left w:w="0" w:type="dxa"/>
              <w:bottom w:w="40" w:type="dxa"/>
              <w:right w:w="20" w:type="dxa"/>
            </w:tcMar>
            <w:vAlign w:val="bottom"/>
          </w:tcPr>
          <w:p w14:paraId="518B6E0C"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0D"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E0E" w14:textId="77777777" w:rsidR="005C332D" w:rsidRDefault="00B93EAE">
            <w:pPr>
              <w:jc w:val="right"/>
              <w:textAlignment w:val="bottom"/>
            </w:pPr>
            <w:r>
              <w:rPr>
                <w:rFonts w:ascii="Times New Roman" w:eastAsia="宋体" w:hAnsi="Times New Roman"/>
                <w:color w:val="000000"/>
                <w:sz w:val="18"/>
                <w:szCs w:val="18"/>
              </w:rPr>
              <w:t>33 </w:t>
            </w:r>
          </w:p>
        </w:tc>
        <w:tc>
          <w:tcPr>
            <w:tcW w:w="0" w:type="auto"/>
            <w:shd w:val="clear" w:color="auto" w:fill="auto"/>
            <w:tcMar>
              <w:top w:w="40" w:type="dxa"/>
              <w:left w:w="0" w:type="dxa"/>
              <w:bottom w:w="40" w:type="dxa"/>
              <w:right w:w="20" w:type="dxa"/>
            </w:tcMar>
            <w:vAlign w:val="bottom"/>
          </w:tcPr>
          <w:p w14:paraId="518B6E0F"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10"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E11" w14:textId="77777777" w:rsidR="005C332D" w:rsidRDefault="00B93EAE">
            <w:pPr>
              <w:jc w:val="right"/>
              <w:textAlignment w:val="bottom"/>
            </w:pPr>
            <w:r>
              <w:rPr>
                <w:rFonts w:ascii="Times New Roman" w:eastAsia="宋体" w:hAnsi="Times New Roman"/>
                <w:color w:val="000000"/>
                <w:sz w:val="18"/>
                <w:szCs w:val="18"/>
              </w:rPr>
              <w:t>33 </w:t>
            </w:r>
          </w:p>
        </w:tc>
        <w:tc>
          <w:tcPr>
            <w:tcW w:w="0" w:type="auto"/>
            <w:shd w:val="clear" w:color="auto" w:fill="auto"/>
            <w:tcMar>
              <w:top w:w="40" w:type="dxa"/>
              <w:left w:w="0" w:type="dxa"/>
              <w:bottom w:w="40" w:type="dxa"/>
              <w:right w:w="20" w:type="dxa"/>
            </w:tcMar>
            <w:vAlign w:val="bottom"/>
          </w:tcPr>
          <w:p w14:paraId="518B6E12" w14:textId="77777777" w:rsidR="005C332D" w:rsidRDefault="005C332D">
            <w:pPr>
              <w:jc w:val="right"/>
              <w:rPr>
                <w:rFonts w:ascii="宋体"/>
              </w:rPr>
            </w:pPr>
          </w:p>
        </w:tc>
      </w:tr>
      <w:tr w:rsidR="005C332D" w14:paraId="518B6E2F" w14:textId="77777777">
        <w:tc>
          <w:tcPr>
            <w:tcW w:w="0" w:type="auto"/>
            <w:gridSpan w:val="3"/>
            <w:shd w:val="clear" w:color="auto" w:fill="CCEEFF"/>
            <w:tcMar>
              <w:top w:w="40" w:type="dxa"/>
              <w:left w:w="20" w:type="dxa"/>
              <w:bottom w:w="40" w:type="dxa"/>
              <w:right w:w="20" w:type="dxa"/>
            </w:tcMar>
          </w:tcPr>
          <w:p w14:paraId="518B6E14" w14:textId="77777777" w:rsidR="005C332D" w:rsidRDefault="00B93EAE">
            <w:pPr>
              <w:textAlignment w:val="top"/>
            </w:pPr>
            <w:r>
              <w:rPr>
                <w:rFonts w:ascii="Times New Roman" w:eastAsia="宋体" w:hAnsi="Times New Roman"/>
                <w:color w:val="000000"/>
                <w:sz w:val="18"/>
                <w:szCs w:val="18"/>
              </w:rPr>
              <w:t>Financed service contracts</w:t>
            </w:r>
          </w:p>
        </w:tc>
        <w:tc>
          <w:tcPr>
            <w:tcW w:w="0" w:type="auto"/>
            <w:gridSpan w:val="2"/>
            <w:shd w:val="clear" w:color="auto" w:fill="CCEEFF"/>
            <w:tcMar>
              <w:top w:w="40" w:type="dxa"/>
              <w:left w:w="20" w:type="dxa"/>
              <w:bottom w:w="40" w:type="dxa"/>
              <w:right w:w="0" w:type="dxa"/>
            </w:tcMar>
            <w:vAlign w:val="bottom"/>
          </w:tcPr>
          <w:p w14:paraId="518B6E15" w14:textId="77777777" w:rsidR="005C332D" w:rsidRDefault="00B93EAE">
            <w:pPr>
              <w:jc w:val="right"/>
              <w:textAlignment w:val="bottom"/>
            </w:pPr>
            <w:r>
              <w:rPr>
                <w:rFonts w:ascii="Times New Roman" w:eastAsia="宋体" w:hAnsi="Times New Roman"/>
                <w:color w:val="000000"/>
                <w:sz w:val="18"/>
                <w:szCs w:val="18"/>
              </w:rPr>
              <w:t>18 </w:t>
            </w:r>
          </w:p>
        </w:tc>
        <w:tc>
          <w:tcPr>
            <w:tcW w:w="0" w:type="auto"/>
            <w:shd w:val="clear" w:color="auto" w:fill="CCEEFF"/>
            <w:tcMar>
              <w:top w:w="40" w:type="dxa"/>
              <w:left w:w="0" w:type="dxa"/>
              <w:bottom w:w="40" w:type="dxa"/>
              <w:right w:w="20" w:type="dxa"/>
            </w:tcMar>
            <w:vAlign w:val="bottom"/>
          </w:tcPr>
          <w:p w14:paraId="518B6E1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1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18" w14:textId="77777777" w:rsidR="005C332D" w:rsidRDefault="00B93EAE">
            <w:pPr>
              <w:jc w:val="right"/>
              <w:textAlignment w:val="bottom"/>
            </w:pPr>
            <w:r>
              <w:rPr>
                <w:rFonts w:ascii="Times New Roman" w:eastAsia="宋体" w:hAnsi="Times New Roman"/>
                <w:color w:val="000000"/>
                <w:sz w:val="18"/>
                <w:szCs w:val="18"/>
              </w:rPr>
              <w:t>13 </w:t>
            </w:r>
          </w:p>
        </w:tc>
        <w:tc>
          <w:tcPr>
            <w:tcW w:w="0" w:type="auto"/>
            <w:shd w:val="clear" w:color="auto" w:fill="CCEEFF"/>
            <w:tcMar>
              <w:top w:w="40" w:type="dxa"/>
              <w:left w:w="0" w:type="dxa"/>
              <w:bottom w:w="40" w:type="dxa"/>
              <w:right w:w="20" w:type="dxa"/>
            </w:tcMar>
            <w:vAlign w:val="bottom"/>
          </w:tcPr>
          <w:p w14:paraId="518B6E1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1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1B" w14:textId="77777777" w:rsidR="005C332D" w:rsidRDefault="00B93EAE">
            <w:pPr>
              <w:jc w:val="right"/>
              <w:textAlignment w:val="bottom"/>
            </w:pPr>
            <w:r>
              <w:rPr>
                <w:rFonts w:ascii="Times New Roman" w:eastAsia="宋体" w:hAnsi="Times New Roman"/>
                <w:color w:val="000000"/>
                <w:sz w:val="18"/>
                <w:szCs w:val="18"/>
              </w:rPr>
              <w:t>18 </w:t>
            </w:r>
          </w:p>
        </w:tc>
        <w:tc>
          <w:tcPr>
            <w:tcW w:w="0" w:type="auto"/>
            <w:shd w:val="clear" w:color="auto" w:fill="CCEEFF"/>
            <w:tcMar>
              <w:top w:w="40" w:type="dxa"/>
              <w:left w:w="0" w:type="dxa"/>
              <w:bottom w:w="40" w:type="dxa"/>
              <w:right w:w="20" w:type="dxa"/>
            </w:tcMar>
            <w:vAlign w:val="bottom"/>
          </w:tcPr>
          <w:p w14:paraId="518B6E1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1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1E" w14:textId="77777777" w:rsidR="005C332D" w:rsidRDefault="00B93EAE">
            <w:pPr>
              <w:jc w:val="right"/>
              <w:textAlignment w:val="bottom"/>
            </w:pPr>
            <w:r>
              <w:rPr>
                <w:rFonts w:ascii="Times New Roman" w:eastAsia="宋体" w:hAnsi="Times New Roman"/>
                <w:color w:val="000000"/>
                <w:sz w:val="18"/>
                <w:szCs w:val="18"/>
              </w:rPr>
              <w:t>49 </w:t>
            </w:r>
          </w:p>
        </w:tc>
        <w:tc>
          <w:tcPr>
            <w:tcW w:w="0" w:type="auto"/>
            <w:shd w:val="clear" w:color="auto" w:fill="CCEEFF"/>
            <w:tcMar>
              <w:top w:w="40" w:type="dxa"/>
              <w:left w:w="0" w:type="dxa"/>
              <w:bottom w:w="40" w:type="dxa"/>
              <w:right w:w="20" w:type="dxa"/>
            </w:tcMar>
            <w:vAlign w:val="bottom"/>
          </w:tcPr>
          <w:p w14:paraId="518B6E1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2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21" w14:textId="77777777" w:rsidR="005C332D" w:rsidRDefault="00B93EAE">
            <w:pPr>
              <w:jc w:val="right"/>
              <w:textAlignment w:val="bottom"/>
            </w:pPr>
            <w:r>
              <w:rPr>
                <w:rFonts w:ascii="Times New Roman" w:eastAsia="宋体" w:hAnsi="Times New Roman"/>
                <w:color w:val="000000"/>
                <w:sz w:val="18"/>
                <w:szCs w:val="18"/>
              </w:rPr>
              <w:t>2,404 </w:t>
            </w:r>
          </w:p>
        </w:tc>
        <w:tc>
          <w:tcPr>
            <w:tcW w:w="0" w:type="auto"/>
            <w:shd w:val="clear" w:color="auto" w:fill="CCEEFF"/>
            <w:tcMar>
              <w:top w:w="40" w:type="dxa"/>
              <w:left w:w="0" w:type="dxa"/>
              <w:bottom w:w="40" w:type="dxa"/>
              <w:right w:w="20" w:type="dxa"/>
            </w:tcMar>
            <w:vAlign w:val="bottom"/>
          </w:tcPr>
          <w:p w14:paraId="518B6E2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2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24" w14:textId="77777777" w:rsidR="005C332D" w:rsidRDefault="00B93EAE">
            <w:pPr>
              <w:jc w:val="right"/>
              <w:textAlignment w:val="bottom"/>
            </w:pPr>
            <w:r>
              <w:rPr>
                <w:rFonts w:ascii="Times New Roman" w:eastAsia="宋体" w:hAnsi="Times New Roman"/>
                <w:color w:val="000000"/>
                <w:sz w:val="18"/>
                <w:szCs w:val="18"/>
              </w:rPr>
              <w:t>2,453 </w:t>
            </w:r>
          </w:p>
        </w:tc>
        <w:tc>
          <w:tcPr>
            <w:tcW w:w="0" w:type="auto"/>
            <w:shd w:val="clear" w:color="auto" w:fill="CCEEFF"/>
            <w:tcMar>
              <w:top w:w="40" w:type="dxa"/>
              <w:left w:w="0" w:type="dxa"/>
              <w:bottom w:w="40" w:type="dxa"/>
              <w:right w:w="20" w:type="dxa"/>
            </w:tcMar>
            <w:vAlign w:val="bottom"/>
          </w:tcPr>
          <w:p w14:paraId="518B6E2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2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27" w14:textId="77777777" w:rsidR="005C332D" w:rsidRDefault="00B93EAE">
            <w:pPr>
              <w:jc w:val="right"/>
              <w:textAlignment w:val="bottom"/>
            </w:pPr>
            <w:r>
              <w:rPr>
                <w:rFonts w:ascii="Times New Roman" w:eastAsia="宋体" w:hAnsi="Times New Roman"/>
                <w:color w:val="000000"/>
                <w:sz w:val="18"/>
                <w:szCs w:val="18"/>
              </w:rPr>
              <w:t>3 </w:t>
            </w:r>
          </w:p>
        </w:tc>
        <w:tc>
          <w:tcPr>
            <w:tcW w:w="0" w:type="auto"/>
            <w:shd w:val="clear" w:color="auto" w:fill="CCEEFF"/>
            <w:tcMar>
              <w:top w:w="40" w:type="dxa"/>
              <w:left w:w="0" w:type="dxa"/>
              <w:bottom w:w="40" w:type="dxa"/>
              <w:right w:w="20" w:type="dxa"/>
            </w:tcMar>
            <w:vAlign w:val="bottom"/>
          </w:tcPr>
          <w:p w14:paraId="518B6E2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2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2A" w14:textId="77777777" w:rsidR="005C332D" w:rsidRDefault="00B93EAE">
            <w:pPr>
              <w:jc w:val="right"/>
              <w:textAlignment w:val="bottom"/>
            </w:pPr>
            <w:r>
              <w:rPr>
                <w:rFonts w:ascii="Times New Roman" w:eastAsia="宋体" w:hAnsi="Times New Roman"/>
                <w:color w:val="000000"/>
                <w:sz w:val="18"/>
                <w:szCs w:val="18"/>
              </w:rPr>
              <w:t>3 </w:t>
            </w:r>
          </w:p>
        </w:tc>
        <w:tc>
          <w:tcPr>
            <w:tcW w:w="0" w:type="auto"/>
            <w:shd w:val="clear" w:color="auto" w:fill="CCEEFF"/>
            <w:tcMar>
              <w:top w:w="40" w:type="dxa"/>
              <w:left w:w="0" w:type="dxa"/>
              <w:bottom w:w="40" w:type="dxa"/>
              <w:right w:w="20" w:type="dxa"/>
            </w:tcMar>
            <w:vAlign w:val="bottom"/>
          </w:tcPr>
          <w:p w14:paraId="518B6E2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2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2D" w14:textId="77777777" w:rsidR="005C332D" w:rsidRDefault="00B93EAE">
            <w:pPr>
              <w:jc w:val="right"/>
              <w:textAlignment w:val="bottom"/>
            </w:pPr>
            <w:r>
              <w:rPr>
                <w:rFonts w:ascii="Times New Roman" w:eastAsia="宋体" w:hAnsi="Times New Roman"/>
                <w:color w:val="000000"/>
                <w:sz w:val="18"/>
                <w:szCs w:val="18"/>
              </w:rPr>
              <w:t>3 </w:t>
            </w:r>
          </w:p>
        </w:tc>
        <w:tc>
          <w:tcPr>
            <w:tcW w:w="0" w:type="auto"/>
            <w:shd w:val="clear" w:color="auto" w:fill="CCEEFF"/>
            <w:tcMar>
              <w:top w:w="40" w:type="dxa"/>
              <w:left w:w="0" w:type="dxa"/>
              <w:bottom w:w="40" w:type="dxa"/>
              <w:right w:w="20" w:type="dxa"/>
            </w:tcMar>
            <w:vAlign w:val="bottom"/>
          </w:tcPr>
          <w:p w14:paraId="518B6E2E" w14:textId="77777777" w:rsidR="005C332D" w:rsidRDefault="005C332D">
            <w:pPr>
              <w:jc w:val="right"/>
              <w:rPr>
                <w:rFonts w:ascii="宋体"/>
              </w:rPr>
            </w:pPr>
          </w:p>
        </w:tc>
      </w:tr>
      <w:tr w:rsidR="005C332D" w14:paraId="518B6E54" w14:textId="77777777">
        <w:tc>
          <w:tcPr>
            <w:tcW w:w="0" w:type="auto"/>
            <w:gridSpan w:val="3"/>
            <w:shd w:val="clear" w:color="auto" w:fill="auto"/>
            <w:tcMar>
              <w:top w:w="40" w:type="dxa"/>
              <w:left w:w="245" w:type="dxa"/>
              <w:bottom w:w="40" w:type="dxa"/>
              <w:right w:w="20" w:type="dxa"/>
            </w:tcMar>
          </w:tcPr>
          <w:p w14:paraId="518B6E30" w14:textId="77777777" w:rsidR="005C332D" w:rsidRDefault="00B93EAE">
            <w:pPr>
              <w:textAlignment w:val="top"/>
            </w:pPr>
            <w:r>
              <w:rPr>
                <w:rFonts w:ascii="Times New Roman" w:eastAsia="宋体" w:hAnsi="Times New Roman"/>
                <w:color w:val="000000"/>
                <w:sz w:val="18"/>
                <w:szCs w:val="18"/>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E31"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E32" w14:textId="77777777" w:rsidR="005C332D" w:rsidRDefault="00B93EAE">
            <w:pPr>
              <w:jc w:val="right"/>
              <w:textAlignment w:val="bottom"/>
            </w:pPr>
            <w:r>
              <w:rPr>
                <w:rFonts w:ascii="Times New Roman" w:eastAsia="宋体" w:hAnsi="Times New Roman"/>
                <w:color w:val="000000"/>
                <w:sz w:val="18"/>
                <w:szCs w:val="18"/>
              </w:rPr>
              <w:t>110 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E33"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34"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E35"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E36" w14:textId="77777777" w:rsidR="005C332D" w:rsidRDefault="00B93EAE">
            <w:pPr>
              <w:jc w:val="right"/>
              <w:textAlignment w:val="bottom"/>
            </w:pPr>
            <w:r>
              <w:rPr>
                <w:rFonts w:ascii="Times New Roman" w:eastAsia="宋体" w:hAnsi="Times New Roman"/>
                <w:color w:val="000000"/>
                <w:sz w:val="18"/>
                <w:szCs w:val="18"/>
              </w:rPr>
              <w:t>47 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E37"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38"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E39"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E3A" w14:textId="77777777" w:rsidR="005C332D" w:rsidRDefault="00B93EAE">
            <w:pPr>
              <w:jc w:val="right"/>
              <w:textAlignment w:val="bottom"/>
            </w:pPr>
            <w:r>
              <w:rPr>
                <w:rFonts w:ascii="Times New Roman" w:eastAsia="宋体" w:hAnsi="Times New Roman"/>
                <w:color w:val="000000"/>
                <w:sz w:val="18"/>
                <w:szCs w:val="18"/>
              </w:rPr>
              <w:t>82 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E3B"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3C"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E3D"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E3E" w14:textId="77777777" w:rsidR="005C332D" w:rsidRDefault="00B93EAE">
            <w:pPr>
              <w:jc w:val="right"/>
              <w:textAlignment w:val="bottom"/>
            </w:pPr>
            <w:r>
              <w:rPr>
                <w:rFonts w:ascii="Times New Roman" w:eastAsia="宋体" w:hAnsi="Times New Roman"/>
                <w:color w:val="000000"/>
                <w:sz w:val="18"/>
                <w:szCs w:val="18"/>
              </w:rPr>
              <w:t>239 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E3F"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40"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E41"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E42" w14:textId="77777777" w:rsidR="005C332D" w:rsidRDefault="00B93EAE">
            <w:pPr>
              <w:jc w:val="right"/>
              <w:textAlignment w:val="bottom"/>
            </w:pPr>
            <w:r>
              <w:rPr>
                <w:rFonts w:ascii="Times New Roman" w:eastAsia="宋体" w:hAnsi="Times New Roman"/>
                <w:color w:val="000000"/>
                <w:sz w:val="18"/>
                <w:szCs w:val="18"/>
              </w:rPr>
              <w:t>9,049 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E43"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44"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E45"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E46" w14:textId="77777777" w:rsidR="005C332D" w:rsidRDefault="00B93EAE">
            <w:pPr>
              <w:jc w:val="right"/>
              <w:textAlignment w:val="bottom"/>
            </w:pPr>
            <w:r>
              <w:rPr>
                <w:rFonts w:ascii="Times New Roman" w:eastAsia="宋体" w:hAnsi="Times New Roman"/>
                <w:color w:val="000000"/>
                <w:sz w:val="18"/>
                <w:szCs w:val="18"/>
              </w:rPr>
              <w:t>9,288 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E47"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48"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E49"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E4A" w14:textId="77777777" w:rsidR="005C332D" w:rsidRDefault="00B93EAE">
            <w:pPr>
              <w:jc w:val="right"/>
              <w:textAlignment w:val="bottom"/>
            </w:pPr>
            <w:r>
              <w:rPr>
                <w:rFonts w:ascii="Times New Roman" w:eastAsia="宋体" w:hAnsi="Times New Roman"/>
                <w:color w:val="000000"/>
                <w:sz w:val="18"/>
                <w:szCs w:val="18"/>
              </w:rPr>
              <w:t>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E4B"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4C"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E4D"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E4E" w14:textId="77777777" w:rsidR="005C332D" w:rsidRDefault="00B93EAE">
            <w:pPr>
              <w:jc w:val="right"/>
              <w:textAlignment w:val="bottom"/>
            </w:pPr>
            <w:r>
              <w:rPr>
                <w:rFonts w:ascii="Times New Roman" w:eastAsia="宋体" w:hAnsi="Times New Roman"/>
                <w:color w:val="000000"/>
                <w:sz w:val="18"/>
                <w:szCs w:val="18"/>
              </w:rPr>
              <w:t>69 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E4F"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E50"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6E51" w14:textId="77777777" w:rsidR="005C332D" w:rsidRDefault="00B93EA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6E52" w14:textId="77777777" w:rsidR="005C332D" w:rsidRDefault="00B93EAE">
            <w:pPr>
              <w:jc w:val="right"/>
              <w:textAlignment w:val="bottom"/>
            </w:pPr>
            <w:r>
              <w:rPr>
                <w:rFonts w:ascii="Times New Roman" w:eastAsia="宋体" w:hAnsi="Times New Roman"/>
                <w:color w:val="000000"/>
                <w:sz w:val="18"/>
                <w:szCs w:val="18"/>
              </w:rPr>
              <w:t>62 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6E53" w14:textId="77777777" w:rsidR="005C332D" w:rsidRDefault="005C332D">
            <w:pPr>
              <w:jc w:val="right"/>
              <w:rPr>
                <w:rFonts w:ascii="宋体"/>
              </w:rPr>
            </w:pPr>
          </w:p>
        </w:tc>
      </w:tr>
    </w:tbl>
    <w:p w14:paraId="518B6E55" w14:textId="77777777" w:rsidR="005C332D" w:rsidRDefault="00B93EAE">
      <w:pPr>
        <w:spacing w:before="120"/>
        <w:jc w:val="both"/>
      </w:pPr>
      <w:r>
        <w:rPr>
          <w:rFonts w:ascii="Times New Roman" w:eastAsia="宋体" w:hAnsi="Times New Roman"/>
          <w:color w:val="000000"/>
          <w:sz w:val="20"/>
          <w:szCs w:val="20"/>
        </w:rPr>
        <w:t>Past due financing receivables are those that are 31 days or more past due according to their contractual payment terms. The data in the preceding tables is presente</w:t>
      </w:r>
      <w:r>
        <w:rPr>
          <w:rFonts w:ascii="Times New Roman" w:eastAsia="宋体" w:hAnsi="Times New Roman"/>
          <w:color w:val="000000"/>
          <w:sz w:val="20"/>
          <w:szCs w:val="20"/>
        </w:rPr>
        <w:t xml:space="preserve">d by contract, and the aging classification of each contract is based on the oldest outstanding receivable, and therefore past due amounts also include unbilled and current receivables within the same contract. </w:t>
      </w:r>
    </w:p>
    <w:p w14:paraId="518B6E56" w14:textId="77777777" w:rsidR="005C332D" w:rsidRDefault="00B93EAE">
      <w:pPr>
        <w:jc w:val="center"/>
      </w:pPr>
      <w:r>
        <w:rPr>
          <w:rFonts w:ascii="Times New Roman" w:eastAsia="宋体" w:hAnsi="Times New Roman"/>
          <w:color w:val="000000"/>
          <w:sz w:val="20"/>
          <w:szCs w:val="20"/>
        </w:rPr>
        <w:t>80</w:t>
      </w:r>
    </w:p>
    <w:p w14:paraId="518B6E57" w14:textId="77777777" w:rsidR="005C332D" w:rsidRDefault="00B93EAE">
      <w:r>
        <w:pict w14:anchorId="518B8765">
          <v:rect id="_x0000_i1106" style="width:415.3pt;height:1.5pt" o:hralign="center" o:hrstd="t" o:hr="t" fillcolor="#a0a0a0" stroked="f"/>
        </w:pict>
      </w:r>
    </w:p>
    <w:p w14:paraId="518B6E58" w14:textId="77777777" w:rsidR="005C332D" w:rsidRDefault="005C332D"/>
    <w:p w14:paraId="518B6E59" w14:textId="77777777" w:rsidR="005C332D" w:rsidRDefault="00B93EAE">
      <w:pPr>
        <w:spacing w:before="120"/>
        <w:ind w:hanging="360"/>
        <w:jc w:val="both"/>
      </w:pPr>
      <w:r>
        <w:rPr>
          <w:rFonts w:ascii="Times New Roman" w:eastAsia="宋体" w:hAnsi="Times New Roman"/>
          <w:b/>
          <w:bCs/>
          <w:color w:val="000000"/>
          <w:sz w:val="20"/>
          <w:szCs w:val="20"/>
        </w:rPr>
        <w:t xml:space="preserve">(c)Allowance for Credit Loss Rollforward </w:t>
      </w:r>
    </w:p>
    <w:p w14:paraId="518B6E5A" w14:textId="77777777" w:rsidR="005C332D" w:rsidRDefault="00B93EAE">
      <w:pPr>
        <w:spacing w:before="120"/>
        <w:jc w:val="both"/>
      </w:pPr>
      <w:r>
        <w:rPr>
          <w:rFonts w:ascii="Times New Roman" w:eastAsia="宋体" w:hAnsi="Times New Roman"/>
          <w:color w:val="000000"/>
          <w:sz w:val="20"/>
          <w:szCs w:val="20"/>
        </w:rPr>
        <w:t xml:space="preserve">The allowances for credit loss and the related financing receivables are summarized as follows (in millions): </w:t>
      </w:r>
    </w:p>
    <w:tbl>
      <w:tblPr>
        <w:tblW w:w="4993" w:type="pct"/>
        <w:tblCellMar>
          <w:top w:w="15" w:type="dxa"/>
          <w:left w:w="15" w:type="dxa"/>
          <w:bottom w:w="15" w:type="dxa"/>
          <w:right w:w="15" w:type="dxa"/>
        </w:tblCellMar>
        <w:tblLook w:val="04A0" w:firstRow="1" w:lastRow="0" w:firstColumn="1" w:lastColumn="0" w:noHBand="0" w:noVBand="1"/>
      </w:tblPr>
      <w:tblGrid>
        <w:gridCol w:w="38"/>
        <w:gridCol w:w="3108"/>
        <w:gridCol w:w="37"/>
        <w:gridCol w:w="121"/>
        <w:gridCol w:w="1064"/>
        <w:gridCol w:w="36"/>
        <w:gridCol w:w="36"/>
        <w:gridCol w:w="36"/>
        <w:gridCol w:w="36"/>
        <w:gridCol w:w="121"/>
        <w:gridCol w:w="1020"/>
        <w:gridCol w:w="36"/>
        <w:gridCol w:w="36"/>
        <w:gridCol w:w="36"/>
        <w:gridCol w:w="36"/>
        <w:gridCol w:w="121"/>
        <w:gridCol w:w="1070"/>
        <w:gridCol w:w="36"/>
        <w:gridCol w:w="36"/>
        <w:gridCol w:w="36"/>
        <w:gridCol w:w="36"/>
        <w:gridCol w:w="120"/>
        <w:gridCol w:w="1036"/>
        <w:gridCol w:w="36"/>
      </w:tblGrid>
      <w:tr w:rsidR="005C332D" w14:paraId="518B6E73" w14:textId="77777777">
        <w:tc>
          <w:tcPr>
            <w:tcW w:w="50" w:type="pct"/>
            <w:shd w:val="clear" w:color="auto" w:fill="auto"/>
            <w:vAlign w:val="bottom"/>
          </w:tcPr>
          <w:p w14:paraId="518B6E5B" w14:textId="77777777" w:rsidR="005C332D" w:rsidRDefault="005C332D">
            <w:pPr>
              <w:rPr>
                <w:rFonts w:ascii="宋体"/>
              </w:rPr>
            </w:pPr>
          </w:p>
        </w:tc>
        <w:tc>
          <w:tcPr>
            <w:tcW w:w="1899" w:type="pct"/>
            <w:shd w:val="clear" w:color="auto" w:fill="auto"/>
            <w:vAlign w:val="bottom"/>
          </w:tcPr>
          <w:p w14:paraId="518B6E5C" w14:textId="77777777" w:rsidR="005C332D" w:rsidRDefault="005C332D">
            <w:pPr>
              <w:rPr>
                <w:rFonts w:ascii="宋体"/>
              </w:rPr>
            </w:pPr>
          </w:p>
        </w:tc>
        <w:tc>
          <w:tcPr>
            <w:tcW w:w="5" w:type="pct"/>
            <w:shd w:val="clear" w:color="auto" w:fill="auto"/>
            <w:vAlign w:val="bottom"/>
          </w:tcPr>
          <w:p w14:paraId="518B6E5D" w14:textId="77777777" w:rsidR="005C332D" w:rsidRDefault="005C332D">
            <w:pPr>
              <w:rPr>
                <w:rFonts w:ascii="宋体"/>
              </w:rPr>
            </w:pPr>
          </w:p>
        </w:tc>
        <w:tc>
          <w:tcPr>
            <w:tcW w:w="50" w:type="pct"/>
            <w:shd w:val="clear" w:color="auto" w:fill="auto"/>
            <w:vAlign w:val="bottom"/>
          </w:tcPr>
          <w:p w14:paraId="518B6E5E" w14:textId="77777777" w:rsidR="005C332D" w:rsidRDefault="005C332D">
            <w:pPr>
              <w:rPr>
                <w:rFonts w:ascii="宋体"/>
              </w:rPr>
            </w:pPr>
          </w:p>
        </w:tc>
        <w:tc>
          <w:tcPr>
            <w:tcW w:w="669" w:type="pct"/>
            <w:shd w:val="clear" w:color="auto" w:fill="auto"/>
            <w:vAlign w:val="bottom"/>
          </w:tcPr>
          <w:p w14:paraId="518B6E5F" w14:textId="77777777" w:rsidR="005C332D" w:rsidRDefault="005C332D">
            <w:pPr>
              <w:rPr>
                <w:rFonts w:ascii="宋体"/>
              </w:rPr>
            </w:pPr>
          </w:p>
        </w:tc>
        <w:tc>
          <w:tcPr>
            <w:tcW w:w="5" w:type="pct"/>
            <w:shd w:val="clear" w:color="auto" w:fill="auto"/>
            <w:vAlign w:val="bottom"/>
          </w:tcPr>
          <w:p w14:paraId="518B6E60" w14:textId="77777777" w:rsidR="005C332D" w:rsidRDefault="005C332D">
            <w:pPr>
              <w:rPr>
                <w:rFonts w:ascii="宋体"/>
              </w:rPr>
            </w:pPr>
          </w:p>
        </w:tc>
        <w:tc>
          <w:tcPr>
            <w:tcW w:w="5" w:type="pct"/>
            <w:shd w:val="clear" w:color="auto" w:fill="auto"/>
            <w:vAlign w:val="bottom"/>
          </w:tcPr>
          <w:p w14:paraId="518B6E61" w14:textId="77777777" w:rsidR="005C332D" w:rsidRDefault="005C332D">
            <w:pPr>
              <w:rPr>
                <w:rFonts w:ascii="宋体"/>
              </w:rPr>
            </w:pPr>
          </w:p>
        </w:tc>
        <w:tc>
          <w:tcPr>
            <w:tcW w:w="26" w:type="pct"/>
            <w:shd w:val="clear" w:color="auto" w:fill="auto"/>
            <w:vAlign w:val="bottom"/>
          </w:tcPr>
          <w:p w14:paraId="518B6E62" w14:textId="77777777" w:rsidR="005C332D" w:rsidRDefault="005C332D">
            <w:pPr>
              <w:rPr>
                <w:rFonts w:ascii="宋体"/>
              </w:rPr>
            </w:pPr>
          </w:p>
        </w:tc>
        <w:tc>
          <w:tcPr>
            <w:tcW w:w="5" w:type="pct"/>
            <w:shd w:val="clear" w:color="auto" w:fill="auto"/>
            <w:vAlign w:val="bottom"/>
          </w:tcPr>
          <w:p w14:paraId="518B6E63" w14:textId="77777777" w:rsidR="005C332D" w:rsidRDefault="005C332D">
            <w:pPr>
              <w:rPr>
                <w:rFonts w:ascii="宋体"/>
              </w:rPr>
            </w:pPr>
          </w:p>
        </w:tc>
        <w:tc>
          <w:tcPr>
            <w:tcW w:w="50" w:type="pct"/>
            <w:shd w:val="clear" w:color="auto" w:fill="auto"/>
            <w:vAlign w:val="bottom"/>
          </w:tcPr>
          <w:p w14:paraId="518B6E64" w14:textId="77777777" w:rsidR="005C332D" w:rsidRDefault="005C332D">
            <w:pPr>
              <w:rPr>
                <w:rFonts w:ascii="宋体"/>
              </w:rPr>
            </w:pPr>
          </w:p>
        </w:tc>
        <w:tc>
          <w:tcPr>
            <w:tcW w:w="669" w:type="pct"/>
            <w:shd w:val="clear" w:color="auto" w:fill="auto"/>
            <w:vAlign w:val="bottom"/>
          </w:tcPr>
          <w:p w14:paraId="518B6E65" w14:textId="77777777" w:rsidR="005C332D" w:rsidRDefault="005C332D">
            <w:pPr>
              <w:rPr>
                <w:rFonts w:ascii="宋体"/>
              </w:rPr>
            </w:pPr>
          </w:p>
        </w:tc>
        <w:tc>
          <w:tcPr>
            <w:tcW w:w="5" w:type="pct"/>
            <w:shd w:val="clear" w:color="auto" w:fill="auto"/>
            <w:vAlign w:val="bottom"/>
          </w:tcPr>
          <w:p w14:paraId="518B6E66" w14:textId="77777777" w:rsidR="005C332D" w:rsidRDefault="005C332D">
            <w:pPr>
              <w:rPr>
                <w:rFonts w:ascii="宋体"/>
              </w:rPr>
            </w:pPr>
          </w:p>
        </w:tc>
        <w:tc>
          <w:tcPr>
            <w:tcW w:w="5" w:type="pct"/>
            <w:shd w:val="clear" w:color="auto" w:fill="auto"/>
            <w:vAlign w:val="bottom"/>
          </w:tcPr>
          <w:p w14:paraId="518B6E67" w14:textId="77777777" w:rsidR="005C332D" w:rsidRDefault="005C332D">
            <w:pPr>
              <w:rPr>
                <w:rFonts w:ascii="宋体"/>
              </w:rPr>
            </w:pPr>
          </w:p>
        </w:tc>
        <w:tc>
          <w:tcPr>
            <w:tcW w:w="26" w:type="pct"/>
            <w:shd w:val="clear" w:color="auto" w:fill="auto"/>
            <w:vAlign w:val="bottom"/>
          </w:tcPr>
          <w:p w14:paraId="518B6E68" w14:textId="77777777" w:rsidR="005C332D" w:rsidRDefault="005C332D">
            <w:pPr>
              <w:rPr>
                <w:rFonts w:ascii="宋体"/>
              </w:rPr>
            </w:pPr>
          </w:p>
        </w:tc>
        <w:tc>
          <w:tcPr>
            <w:tcW w:w="5" w:type="pct"/>
            <w:shd w:val="clear" w:color="auto" w:fill="auto"/>
            <w:vAlign w:val="bottom"/>
          </w:tcPr>
          <w:p w14:paraId="518B6E69" w14:textId="77777777" w:rsidR="005C332D" w:rsidRDefault="005C332D">
            <w:pPr>
              <w:rPr>
                <w:rFonts w:ascii="宋体"/>
              </w:rPr>
            </w:pPr>
          </w:p>
        </w:tc>
        <w:tc>
          <w:tcPr>
            <w:tcW w:w="50" w:type="pct"/>
            <w:shd w:val="clear" w:color="auto" w:fill="auto"/>
            <w:vAlign w:val="bottom"/>
          </w:tcPr>
          <w:p w14:paraId="518B6E6A" w14:textId="77777777" w:rsidR="005C332D" w:rsidRDefault="005C332D">
            <w:pPr>
              <w:rPr>
                <w:rFonts w:ascii="宋体"/>
              </w:rPr>
            </w:pPr>
          </w:p>
        </w:tc>
        <w:tc>
          <w:tcPr>
            <w:tcW w:w="699" w:type="pct"/>
            <w:shd w:val="clear" w:color="auto" w:fill="auto"/>
            <w:vAlign w:val="bottom"/>
          </w:tcPr>
          <w:p w14:paraId="518B6E6B" w14:textId="77777777" w:rsidR="005C332D" w:rsidRDefault="005C332D">
            <w:pPr>
              <w:rPr>
                <w:rFonts w:ascii="宋体"/>
              </w:rPr>
            </w:pPr>
          </w:p>
        </w:tc>
        <w:tc>
          <w:tcPr>
            <w:tcW w:w="5" w:type="pct"/>
            <w:shd w:val="clear" w:color="auto" w:fill="auto"/>
            <w:vAlign w:val="bottom"/>
          </w:tcPr>
          <w:p w14:paraId="518B6E6C" w14:textId="77777777" w:rsidR="005C332D" w:rsidRDefault="005C332D">
            <w:pPr>
              <w:rPr>
                <w:rFonts w:ascii="宋体"/>
              </w:rPr>
            </w:pPr>
          </w:p>
        </w:tc>
        <w:tc>
          <w:tcPr>
            <w:tcW w:w="5" w:type="pct"/>
            <w:shd w:val="clear" w:color="auto" w:fill="auto"/>
            <w:vAlign w:val="bottom"/>
          </w:tcPr>
          <w:p w14:paraId="518B6E6D" w14:textId="77777777" w:rsidR="005C332D" w:rsidRDefault="005C332D">
            <w:pPr>
              <w:rPr>
                <w:rFonts w:ascii="宋体"/>
              </w:rPr>
            </w:pPr>
          </w:p>
        </w:tc>
        <w:tc>
          <w:tcPr>
            <w:tcW w:w="26" w:type="pct"/>
            <w:shd w:val="clear" w:color="auto" w:fill="auto"/>
            <w:vAlign w:val="bottom"/>
          </w:tcPr>
          <w:p w14:paraId="518B6E6E" w14:textId="77777777" w:rsidR="005C332D" w:rsidRDefault="005C332D">
            <w:pPr>
              <w:rPr>
                <w:rFonts w:ascii="宋体"/>
              </w:rPr>
            </w:pPr>
          </w:p>
        </w:tc>
        <w:tc>
          <w:tcPr>
            <w:tcW w:w="5" w:type="pct"/>
            <w:shd w:val="clear" w:color="auto" w:fill="auto"/>
            <w:vAlign w:val="bottom"/>
          </w:tcPr>
          <w:p w14:paraId="518B6E6F" w14:textId="77777777" w:rsidR="005C332D" w:rsidRDefault="005C332D">
            <w:pPr>
              <w:rPr>
                <w:rFonts w:ascii="宋体"/>
              </w:rPr>
            </w:pPr>
          </w:p>
        </w:tc>
        <w:tc>
          <w:tcPr>
            <w:tcW w:w="50" w:type="pct"/>
            <w:shd w:val="clear" w:color="auto" w:fill="auto"/>
            <w:vAlign w:val="bottom"/>
          </w:tcPr>
          <w:p w14:paraId="518B6E70" w14:textId="77777777" w:rsidR="005C332D" w:rsidRDefault="005C332D">
            <w:pPr>
              <w:rPr>
                <w:rFonts w:ascii="宋体"/>
              </w:rPr>
            </w:pPr>
          </w:p>
        </w:tc>
        <w:tc>
          <w:tcPr>
            <w:tcW w:w="677" w:type="pct"/>
            <w:shd w:val="clear" w:color="auto" w:fill="auto"/>
            <w:vAlign w:val="bottom"/>
          </w:tcPr>
          <w:p w14:paraId="518B6E71" w14:textId="77777777" w:rsidR="005C332D" w:rsidRDefault="005C332D">
            <w:pPr>
              <w:rPr>
                <w:rFonts w:ascii="宋体"/>
              </w:rPr>
            </w:pPr>
          </w:p>
        </w:tc>
        <w:tc>
          <w:tcPr>
            <w:tcW w:w="5" w:type="pct"/>
            <w:shd w:val="clear" w:color="auto" w:fill="auto"/>
            <w:vAlign w:val="bottom"/>
          </w:tcPr>
          <w:p w14:paraId="518B6E72" w14:textId="77777777" w:rsidR="005C332D" w:rsidRDefault="005C332D">
            <w:pPr>
              <w:rPr>
                <w:rFonts w:ascii="宋体"/>
              </w:rPr>
            </w:pPr>
          </w:p>
        </w:tc>
      </w:tr>
      <w:tr w:rsidR="005C332D" w14:paraId="518B6E76" w14:textId="77777777">
        <w:tc>
          <w:tcPr>
            <w:tcW w:w="0" w:type="auto"/>
            <w:gridSpan w:val="3"/>
            <w:shd w:val="clear" w:color="auto" w:fill="auto"/>
            <w:tcMar>
              <w:top w:w="40" w:type="dxa"/>
              <w:left w:w="20" w:type="dxa"/>
              <w:bottom w:w="40" w:type="dxa"/>
              <w:right w:w="20" w:type="dxa"/>
            </w:tcMar>
            <w:vAlign w:val="bottom"/>
          </w:tcPr>
          <w:p w14:paraId="518B6E74" w14:textId="77777777" w:rsidR="005C332D" w:rsidRDefault="00B93EAE">
            <w:pPr>
              <w:textAlignment w:val="bottom"/>
            </w:pPr>
            <w:r>
              <w:rPr>
                <w:rFonts w:ascii="Times New Roman" w:eastAsia="宋体" w:hAnsi="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14:paraId="518B6E75" w14:textId="77777777" w:rsidR="005C332D" w:rsidRDefault="00B93EAE">
            <w:pPr>
              <w:jc w:val="center"/>
              <w:textAlignment w:val="bottom"/>
            </w:pPr>
            <w:r>
              <w:rPr>
                <w:rFonts w:ascii="Times New Roman" w:eastAsia="宋体" w:hAnsi="Times New Roman"/>
                <w:b/>
                <w:bCs/>
                <w:color w:val="000000"/>
                <w:sz w:val="18"/>
                <w:szCs w:val="18"/>
              </w:rPr>
              <w:t>CREDIT LOSS ALLOWANCES</w:t>
            </w:r>
          </w:p>
        </w:tc>
      </w:tr>
      <w:tr w:rsidR="005C332D" w14:paraId="518B6E7F" w14:textId="77777777">
        <w:tc>
          <w:tcPr>
            <w:tcW w:w="0" w:type="auto"/>
            <w:gridSpan w:val="3"/>
            <w:shd w:val="clear" w:color="auto" w:fill="auto"/>
            <w:tcMar>
              <w:top w:w="40" w:type="dxa"/>
              <w:left w:w="20" w:type="dxa"/>
              <w:bottom w:w="40" w:type="dxa"/>
              <w:right w:w="20" w:type="dxa"/>
            </w:tcMar>
            <w:vAlign w:val="bottom"/>
          </w:tcPr>
          <w:p w14:paraId="518B6E77" w14:textId="77777777" w:rsidR="005C332D" w:rsidRDefault="00B93EA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E78" w14:textId="77777777" w:rsidR="005C332D" w:rsidRDefault="00B93EAE">
            <w:pPr>
              <w:jc w:val="center"/>
              <w:textAlignment w:val="bottom"/>
            </w:pPr>
            <w:r>
              <w:rPr>
                <w:rFonts w:ascii="Times New Roman" w:eastAsia="宋体" w:hAnsi="Times New Roman"/>
                <w:b/>
                <w:bCs/>
                <w:color w:val="000000"/>
                <w:sz w:val="16"/>
                <w:szCs w:val="16"/>
              </w:rPr>
              <w:t>Lease</w:t>
            </w:r>
            <w:r>
              <w:rPr>
                <w:rFonts w:ascii="Times New Roman" w:eastAsia="宋体" w:hAnsi="Times New Roman"/>
                <w:b/>
                <w:bCs/>
                <w:color w:val="000000"/>
                <w:sz w:val="16"/>
                <w:szCs w:val="16"/>
              </w:rPr>
              <w:br/>
            </w:r>
            <w:r>
              <w:rPr>
                <w:rFonts w:ascii="Times New Roman" w:eastAsia="宋体" w:hAnsi="Times New Roman"/>
                <w:b/>
                <w:bCs/>
                <w:color w:val="000000"/>
                <w:sz w:val="16"/>
                <w:szCs w:val="16"/>
              </w:rP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E79"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E7A" w14:textId="77777777" w:rsidR="005C332D" w:rsidRDefault="00B93EAE">
            <w:pPr>
              <w:jc w:val="center"/>
              <w:textAlignment w:val="bottom"/>
            </w:pPr>
            <w:r>
              <w:rPr>
                <w:rFonts w:ascii="Times New Roman" w:eastAsia="宋体" w:hAnsi="Times New Roman"/>
                <w:b/>
                <w:bCs/>
                <w:color w:val="000000"/>
                <w:sz w:val="16"/>
                <w:szCs w:val="16"/>
              </w:rPr>
              <w:t>Loan</w:t>
            </w:r>
            <w:r>
              <w:rPr>
                <w:rFonts w:ascii="Times New Roman" w:eastAsia="宋体" w:hAnsi="Times New Roman"/>
                <w:b/>
                <w:bCs/>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E7B"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E7C" w14:textId="77777777" w:rsidR="005C332D" w:rsidRDefault="00B93EAE">
            <w:pPr>
              <w:jc w:val="center"/>
              <w:textAlignment w:val="bottom"/>
            </w:pPr>
            <w:r>
              <w:rPr>
                <w:rFonts w:ascii="Times New Roman" w:eastAsia="宋体" w:hAnsi="Times New Roman"/>
                <w:b/>
                <w:bCs/>
                <w:color w:val="000000"/>
                <w:sz w:val="16"/>
                <w:szCs w:val="16"/>
              </w:rPr>
              <w:t>Financed Service</w:t>
            </w:r>
            <w:r>
              <w:rPr>
                <w:rFonts w:ascii="Times New Roman" w:eastAsia="宋体" w:hAnsi="Times New Roman"/>
                <w:b/>
                <w:bCs/>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E7D"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E7E" w14:textId="77777777" w:rsidR="005C332D" w:rsidRDefault="00B93EAE">
            <w:pPr>
              <w:jc w:val="center"/>
              <w:textAlignment w:val="bottom"/>
            </w:pPr>
            <w:r>
              <w:rPr>
                <w:rFonts w:ascii="Times New Roman" w:eastAsia="宋体" w:hAnsi="Times New Roman"/>
                <w:b/>
                <w:bCs/>
                <w:color w:val="000000"/>
                <w:sz w:val="16"/>
                <w:szCs w:val="16"/>
              </w:rPr>
              <w:t>Total</w:t>
            </w:r>
          </w:p>
        </w:tc>
      </w:tr>
      <w:tr w:rsidR="005C332D" w14:paraId="518B6E90" w14:textId="77777777">
        <w:tc>
          <w:tcPr>
            <w:tcW w:w="0" w:type="auto"/>
            <w:gridSpan w:val="3"/>
            <w:shd w:val="clear" w:color="auto" w:fill="CCEEFF"/>
            <w:tcMar>
              <w:top w:w="40" w:type="dxa"/>
              <w:left w:w="20" w:type="dxa"/>
              <w:bottom w:w="40" w:type="dxa"/>
              <w:right w:w="20" w:type="dxa"/>
            </w:tcMar>
          </w:tcPr>
          <w:p w14:paraId="518B6E80" w14:textId="77777777" w:rsidR="005C332D" w:rsidRDefault="00B93EAE">
            <w:pPr>
              <w:textAlignment w:val="top"/>
            </w:pPr>
            <w:r>
              <w:rPr>
                <w:rFonts w:ascii="Times New Roman" w:eastAsia="宋体" w:hAnsi="Times New Roman"/>
                <w:b/>
                <w:bCs/>
                <w:color w:val="000000"/>
                <w:sz w:val="19"/>
                <w:szCs w:val="19"/>
              </w:rPr>
              <w:t>Allowance for credit loss as of July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E8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E82" w14:textId="77777777" w:rsidR="005C332D" w:rsidRDefault="00B93EAE">
            <w:pPr>
              <w:jc w:val="right"/>
              <w:textAlignment w:val="bottom"/>
            </w:pPr>
            <w:r>
              <w:rPr>
                <w:rFonts w:ascii="Times New Roman" w:eastAsia="宋体" w:hAnsi="Times New Roman"/>
                <w:b/>
                <w:bCs/>
                <w:color w:val="000000"/>
                <w:sz w:val="20"/>
                <w:szCs w:val="20"/>
              </w:rPr>
              <w:t>38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E8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8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E8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E86" w14:textId="77777777" w:rsidR="005C332D" w:rsidRDefault="00B93EAE">
            <w:pPr>
              <w:jc w:val="right"/>
              <w:textAlignment w:val="bottom"/>
            </w:pPr>
            <w:r>
              <w:rPr>
                <w:rFonts w:ascii="Times New Roman" w:eastAsia="宋体" w:hAnsi="Times New Roman"/>
                <w:b/>
                <w:bCs/>
                <w:color w:val="000000"/>
                <w:sz w:val="20"/>
                <w:szCs w:val="20"/>
              </w:rPr>
              <w:t>86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E8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8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E8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E8A" w14:textId="77777777" w:rsidR="005C332D" w:rsidRDefault="00B93EAE">
            <w:pPr>
              <w:jc w:val="right"/>
              <w:textAlignment w:val="bottom"/>
            </w:pPr>
            <w:r>
              <w:rPr>
                <w:rFonts w:ascii="Times New Roman" w:eastAsia="宋体" w:hAnsi="Times New Roman"/>
                <w:b/>
                <w:bCs/>
                <w:color w:val="000000"/>
                <w:sz w:val="20"/>
                <w:szCs w:val="20"/>
              </w:rPr>
              <w:t>3</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E8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8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E8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E8E" w14:textId="77777777" w:rsidR="005C332D" w:rsidRDefault="00B93EAE">
            <w:pPr>
              <w:jc w:val="right"/>
              <w:textAlignment w:val="bottom"/>
            </w:pPr>
            <w:r>
              <w:rPr>
                <w:rFonts w:ascii="Times New Roman" w:eastAsia="宋体" w:hAnsi="Times New Roman"/>
                <w:b/>
                <w:bCs/>
                <w:color w:val="000000"/>
                <w:sz w:val="20"/>
                <w:szCs w:val="20"/>
              </w:rPr>
              <w:t>127</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E8F" w14:textId="77777777" w:rsidR="005C332D" w:rsidRDefault="005C332D">
            <w:pPr>
              <w:jc w:val="right"/>
              <w:rPr>
                <w:rFonts w:ascii="宋体"/>
              </w:rPr>
            </w:pPr>
          </w:p>
        </w:tc>
      </w:tr>
      <w:tr w:rsidR="005C332D" w14:paraId="518B6E9D" w14:textId="77777777">
        <w:tc>
          <w:tcPr>
            <w:tcW w:w="0" w:type="auto"/>
            <w:gridSpan w:val="3"/>
            <w:shd w:val="clear" w:color="auto" w:fill="FFFFFF"/>
            <w:tcMar>
              <w:top w:w="40" w:type="dxa"/>
              <w:left w:w="20" w:type="dxa"/>
              <w:bottom w:w="40" w:type="dxa"/>
              <w:right w:w="20" w:type="dxa"/>
            </w:tcMar>
          </w:tcPr>
          <w:p w14:paraId="518B6E91" w14:textId="77777777" w:rsidR="005C332D" w:rsidRDefault="00B93EAE">
            <w:pPr>
              <w:textAlignment w:val="top"/>
            </w:pPr>
            <w:r>
              <w:rPr>
                <w:rFonts w:ascii="Times New Roman" w:eastAsia="宋体" w:hAnsi="Times New Roman"/>
                <w:b/>
                <w:bCs/>
                <w:color w:val="000000"/>
                <w:sz w:val="19"/>
                <w:szCs w:val="19"/>
              </w:rPr>
              <w:t>Provisions (benefits)</w:t>
            </w:r>
          </w:p>
        </w:tc>
        <w:tc>
          <w:tcPr>
            <w:tcW w:w="0" w:type="auto"/>
            <w:gridSpan w:val="2"/>
            <w:shd w:val="clear" w:color="auto" w:fill="FFFFFF"/>
            <w:tcMar>
              <w:top w:w="40" w:type="dxa"/>
              <w:left w:w="20" w:type="dxa"/>
              <w:bottom w:w="40" w:type="dxa"/>
              <w:right w:w="0" w:type="dxa"/>
            </w:tcMar>
            <w:vAlign w:val="bottom"/>
          </w:tcPr>
          <w:p w14:paraId="518B6E92" w14:textId="77777777" w:rsidR="005C332D" w:rsidRDefault="00B93EAE">
            <w:pPr>
              <w:jc w:val="right"/>
              <w:textAlignment w:val="bottom"/>
            </w:pPr>
            <w:r>
              <w:rPr>
                <w:rFonts w:ascii="Times New Roman" w:eastAsia="宋体" w:hAnsi="Times New Roman"/>
                <w:b/>
                <w:bCs/>
                <w:color w:val="000000"/>
                <w:sz w:val="20"/>
                <w:szCs w:val="20"/>
              </w:rPr>
              <w:t>(13)</w:t>
            </w:r>
          </w:p>
        </w:tc>
        <w:tc>
          <w:tcPr>
            <w:tcW w:w="0" w:type="auto"/>
            <w:shd w:val="clear" w:color="auto" w:fill="FFFFFF"/>
            <w:tcMar>
              <w:top w:w="40" w:type="dxa"/>
              <w:left w:w="0" w:type="dxa"/>
              <w:bottom w:w="40" w:type="dxa"/>
              <w:right w:w="20" w:type="dxa"/>
            </w:tcMar>
            <w:vAlign w:val="bottom"/>
          </w:tcPr>
          <w:p w14:paraId="518B6E9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E9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E95" w14:textId="77777777" w:rsidR="005C332D" w:rsidRDefault="00B93EAE">
            <w:pPr>
              <w:jc w:val="right"/>
              <w:textAlignment w:val="bottom"/>
            </w:pPr>
            <w:r>
              <w:rPr>
                <w:rFonts w:ascii="Times New Roman" w:eastAsia="宋体" w:hAnsi="Times New Roman"/>
                <w:b/>
                <w:bCs/>
                <w:color w:val="000000"/>
                <w:sz w:val="20"/>
                <w:szCs w:val="20"/>
              </w:rPr>
              <w:t>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E9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E9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E98"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E9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E9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E9B" w14:textId="77777777" w:rsidR="005C332D" w:rsidRDefault="00B93EAE">
            <w:pPr>
              <w:jc w:val="right"/>
              <w:textAlignment w:val="bottom"/>
            </w:pPr>
            <w:r>
              <w:rPr>
                <w:rFonts w:ascii="Times New Roman" w:eastAsia="宋体" w:hAnsi="Times New Roman"/>
                <w:b/>
                <w:bCs/>
                <w:color w:val="000000"/>
                <w:sz w:val="20"/>
                <w:szCs w:val="20"/>
              </w:rPr>
              <w:t>(9)</w:t>
            </w:r>
          </w:p>
        </w:tc>
        <w:tc>
          <w:tcPr>
            <w:tcW w:w="0" w:type="auto"/>
            <w:shd w:val="clear" w:color="auto" w:fill="FFFFFF"/>
            <w:tcMar>
              <w:top w:w="40" w:type="dxa"/>
              <w:left w:w="0" w:type="dxa"/>
              <w:bottom w:w="40" w:type="dxa"/>
              <w:right w:w="20" w:type="dxa"/>
            </w:tcMar>
            <w:vAlign w:val="bottom"/>
          </w:tcPr>
          <w:p w14:paraId="518B6E9C" w14:textId="77777777" w:rsidR="005C332D" w:rsidRDefault="005C332D">
            <w:pPr>
              <w:jc w:val="right"/>
              <w:rPr>
                <w:rFonts w:ascii="宋体"/>
              </w:rPr>
            </w:pPr>
          </w:p>
        </w:tc>
      </w:tr>
      <w:tr w:rsidR="005C332D" w14:paraId="518B6EAA" w14:textId="77777777">
        <w:tc>
          <w:tcPr>
            <w:tcW w:w="0" w:type="auto"/>
            <w:gridSpan w:val="3"/>
            <w:shd w:val="clear" w:color="auto" w:fill="CCEEFF"/>
            <w:tcMar>
              <w:top w:w="40" w:type="dxa"/>
              <w:left w:w="20" w:type="dxa"/>
              <w:bottom w:w="40" w:type="dxa"/>
              <w:right w:w="20" w:type="dxa"/>
            </w:tcMar>
          </w:tcPr>
          <w:p w14:paraId="518B6E9E" w14:textId="77777777" w:rsidR="005C332D" w:rsidRDefault="00B93EAE">
            <w:pPr>
              <w:textAlignment w:val="top"/>
            </w:pPr>
            <w:r>
              <w:rPr>
                <w:rFonts w:ascii="Times New Roman" w:eastAsia="宋体" w:hAnsi="Times New Roman"/>
                <w:b/>
                <w:bCs/>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518B6E9F" w14:textId="77777777" w:rsidR="005C332D" w:rsidRDefault="00B93EAE">
            <w:pPr>
              <w:jc w:val="right"/>
              <w:textAlignment w:val="bottom"/>
            </w:pPr>
            <w:r>
              <w:rPr>
                <w:rFonts w:ascii="Times New Roman" w:eastAsia="宋体" w:hAnsi="Times New Roman"/>
                <w:b/>
                <w:bCs/>
                <w:color w:val="000000"/>
                <w:sz w:val="20"/>
                <w:szCs w:val="20"/>
              </w:rPr>
              <w:t>(2)</w:t>
            </w:r>
          </w:p>
        </w:tc>
        <w:tc>
          <w:tcPr>
            <w:tcW w:w="0" w:type="auto"/>
            <w:shd w:val="clear" w:color="auto" w:fill="CCEEFF"/>
            <w:tcMar>
              <w:top w:w="40" w:type="dxa"/>
              <w:left w:w="0" w:type="dxa"/>
              <w:bottom w:w="40" w:type="dxa"/>
              <w:right w:w="20" w:type="dxa"/>
            </w:tcMar>
            <w:vAlign w:val="bottom"/>
          </w:tcPr>
          <w:p w14:paraId="518B6EA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A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A2"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EA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A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A5"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EA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A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EA8" w14:textId="77777777" w:rsidR="005C332D" w:rsidRDefault="00B93EAE">
            <w:pPr>
              <w:jc w:val="right"/>
              <w:textAlignment w:val="bottom"/>
            </w:pPr>
            <w:r>
              <w:rPr>
                <w:rFonts w:ascii="Times New Roman" w:eastAsia="宋体" w:hAnsi="Times New Roman"/>
                <w:b/>
                <w:bCs/>
                <w:color w:val="000000"/>
                <w:sz w:val="20"/>
                <w:szCs w:val="20"/>
              </w:rPr>
              <w:t>(2)</w:t>
            </w:r>
          </w:p>
        </w:tc>
        <w:tc>
          <w:tcPr>
            <w:tcW w:w="0" w:type="auto"/>
            <w:shd w:val="clear" w:color="auto" w:fill="CCEEFF"/>
            <w:tcMar>
              <w:top w:w="40" w:type="dxa"/>
              <w:left w:w="0" w:type="dxa"/>
              <w:bottom w:w="40" w:type="dxa"/>
              <w:right w:w="20" w:type="dxa"/>
            </w:tcMar>
            <w:vAlign w:val="bottom"/>
          </w:tcPr>
          <w:p w14:paraId="518B6EA9" w14:textId="77777777" w:rsidR="005C332D" w:rsidRDefault="005C332D">
            <w:pPr>
              <w:jc w:val="right"/>
              <w:rPr>
                <w:rFonts w:ascii="宋体"/>
              </w:rPr>
            </w:pPr>
          </w:p>
        </w:tc>
      </w:tr>
      <w:tr w:rsidR="005C332D" w14:paraId="518B6EB7" w14:textId="77777777">
        <w:tc>
          <w:tcPr>
            <w:tcW w:w="0" w:type="auto"/>
            <w:gridSpan w:val="3"/>
            <w:shd w:val="clear" w:color="auto" w:fill="FFFFFF"/>
            <w:tcMar>
              <w:top w:w="40" w:type="dxa"/>
              <w:left w:w="20" w:type="dxa"/>
              <w:bottom w:w="40" w:type="dxa"/>
              <w:right w:w="20" w:type="dxa"/>
            </w:tcMar>
          </w:tcPr>
          <w:p w14:paraId="518B6EAB" w14:textId="77777777" w:rsidR="005C332D" w:rsidRDefault="00B93EAE">
            <w:pPr>
              <w:textAlignment w:val="top"/>
            </w:pPr>
            <w:r>
              <w:rPr>
                <w:rFonts w:ascii="Times New Roman" w:eastAsia="宋体" w:hAnsi="Times New Roman"/>
                <w:b/>
                <w:bCs/>
                <w:color w:val="000000"/>
                <w:sz w:val="19"/>
                <w:szCs w:val="19"/>
              </w:rPr>
              <w:t>Foreign exchange and other</w:t>
            </w:r>
          </w:p>
        </w:tc>
        <w:tc>
          <w:tcPr>
            <w:tcW w:w="0" w:type="auto"/>
            <w:gridSpan w:val="2"/>
            <w:shd w:val="clear" w:color="auto" w:fill="FFFFFF"/>
            <w:tcMar>
              <w:top w:w="40" w:type="dxa"/>
              <w:left w:w="20" w:type="dxa"/>
              <w:bottom w:w="40" w:type="dxa"/>
              <w:right w:w="0" w:type="dxa"/>
            </w:tcMar>
            <w:vAlign w:val="bottom"/>
          </w:tcPr>
          <w:p w14:paraId="518B6EAC"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EA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EA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EAF"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EB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EB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EB2"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EB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EB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EB5"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EB6" w14:textId="77777777" w:rsidR="005C332D" w:rsidRDefault="005C332D">
            <w:pPr>
              <w:jc w:val="right"/>
              <w:rPr>
                <w:rFonts w:ascii="宋体"/>
              </w:rPr>
            </w:pPr>
          </w:p>
        </w:tc>
      </w:tr>
      <w:tr w:rsidR="005C332D" w14:paraId="518B6EC8" w14:textId="77777777">
        <w:tc>
          <w:tcPr>
            <w:tcW w:w="0" w:type="auto"/>
            <w:gridSpan w:val="3"/>
            <w:shd w:val="clear" w:color="auto" w:fill="CCEEFF"/>
            <w:tcMar>
              <w:top w:w="40" w:type="dxa"/>
              <w:left w:w="20" w:type="dxa"/>
              <w:bottom w:w="40" w:type="dxa"/>
              <w:right w:w="20" w:type="dxa"/>
            </w:tcMar>
          </w:tcPr>
          <w:p w14:paraId="518B6EB8" w14:textId="77777777" w:rsidR="005C332D" w:rsidRDefault="00B93EAE">
            <w:pPr>
              <w:textAlignment w:val="top"/>
            </w:pPr>
            <w:r>
              <w:rPr>
                <w:rFonts w:ascii="Times New Roman" w:eastAsia="宋体" w:hAnsi="Times New Roman"/>
                <w:b/>
                <w:bCs/>
                <w:color w:val="000000"/>
                <w:sz w:val="19"/>
                <w:szCs w:val="19"/>
              </w:rPr>
              <w:t>Allowance for credit loss as of July 30,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EB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EBA" w14:textId="77777777" w:rsidR="005C332D" w:rsidRDefault="00B93EAE">
            <w:pPr>
              <w:jc w:val="right"/>
              <w:textAlignment w:val="bottom"/>
            </w:pPr>
            <w:r>
              <w:rPr>
                <w:rFonts w:ascii="Times New Roman" w:eastAsia="宋体" w:hAnsi="Times New Roman"/>
                <w:b/>
                <w:bCs/>
                <w:color w:val="000000"/>
                <w:sz w:val="20"/>
                <w:szCs w:val="20"/>
              </w:rPr>
              <w:t>23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EB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BC"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EB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EBE" w14:textId="77777777" w:rsidR="005C332D" w:rsidRDefault="00B93EAE">
            <w:pPr>
              <w:jc w:val="right"/>
              <w:textAlignment w:val="bottom"/>
            </w:pPr>
            <w:r>
              <w:rPr>
                <w:rFonts w:ascii="Times New Roman" w:eastAsia="宋体" w:hAnsi="Times New Roman"/>
                <w:b/>
                <w:bCs/>
                <w:color w:val="000000"/>
                <w:sz w:val="20"/>
                <w:szCs w:val="20"/>
              </w:rPr>
              <w:t>100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EB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C0"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EC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EC2" w14:textId="77777777" w:rsidR="005C332D" w:rsidRDefault="00B93EAE">
            <w:pPr>
              <w:jc w:val="right"/>
              <w:textAlignment w:val="bottom"/>
            </w:pPr>
            <w:r>
              <w:rPr>
                <w:rFonts w:ascii="Times New Roman" w:eastAsia="宋体" w:hAnsi="Times New Roman"/>
                <w:b/>
                <w:bCs/>
                <w:color w:val="000000"/>
                <w:sz w:val="20"/>
                <w:szCs w:val="20"/>
              </w:rPr>
              <w:t>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EC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C4"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EC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EC6" w14:textId="77777777" w:rsidR="005C332D" w:rsidRDefault="00B93EAE">
            <w:pPr>
              <w:jc w:val="right"/>
              <w:textAlignment w:val="bottom"/>
            </w:pPr>
            <w:r>
              <w:rPr>
                <w:rFonts w:ascii="Times New Roman" w:eastAsia="宋体" w:hAnsi="Times New Roman"/>
                <w:b/>
                <w:bCs/>
                <w:color w:val="000000"/>
                <w:sz w:val="20"/>
                <w:szCs w:val="20"/>
              </w:rPr>
              <w:t>126</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EC7" w14:textId="77777777" w:rsidR="005C332D" w:rsidRDefault="005C332D">
            <w:pPr>
              <w:jc w:val="right"/>
              <w:rPr>
                <w:rFonts w:ascii="宋体"/>
              </w:rPr>
            </w:pPr>
          </w:p>
        </w:tc>
      </w:tr>
    </w:tbl>
    <w:p w14:paraId="518B6EC9" w14:textId="77777777" w:rsidR="005C332D" w:rsidRDefault="005C332D">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38"/>
        <w:gridCol w:w="3108"/>
        <w:gridCol w:w="37"/>
        <w:gridCol w:w="121"/>
        <w:gridCol w:w="1064"/>
        <w:gridCol w:w="36"/>
        <w:gridCol w:w="36"/>
        <w:gridCol w:w="36"/>
        <w:gridCol w:w="36"/>
        <w:gridCol w:w="121"/>
        <w:gridCol w:w="1020"/>
        <w:gridCol w:w="36"/>
        <w:gridCol w:w="36"/>
        <w:gridCol w:w="36"/>
        <w:gridCol w:w="36"/>
        <w:gridCol w:w="121"/>
        <w:gridCol w:w="1070"/>
        <w:gridCol w:w="36"/>
        <w:gridCol w:w="36"/>
        <w:gridCol w:w="36"/>
        <w:gridCol w:w="36"/>
        <w:gridCol w:w="120"/>
        <w:gridCol w:w="1036"/>
        <w:gridCol w:w="36"/>
      </w:tblGrid>
      <w:tr w:rsidR="005C332D" w14:paraId="518B6EE2" w14:textId="77777777">
        <w:tc>
          <w:tcPr>
            <w:tcW w:w="50" w:type="pct"/>
            <w:shd w:val="clear" w:color="auto" w:fill="auto"/>
            <w:vAlign w:val="bottom"/>
          </w:tcPr>
          <w:p w14:paraId="518B6ECA" w14:textId="77777777" w:rsidR="005C332D" w:rsidRDefault="005C332D">
            <w:pPr>
              <w:rPr>
                <w:rFonts w:ascii="宋体"/>
              </w:rPr>
            </w:pPr>
          </w:p>
        </w:tc>
        <w:tc>
          <w:tcPr>
            <w:tcW w:w="1899" w:type="pct"/>
            <w:shd w:val="clear" w:color="auto" w:fill="auto"/>
            <w:vAlign w:val="bottom"/>
          </w:tcPr>
          <w:p w14:paraId="518B6ECB" w14:textId="77777777" w:rsidR="005C332D" w:rsidRDefault="005C332D">
            <w:pPr>
              <w:rPr>
                <w:rFonts w:ascii="宋体"/>
              </w:rPr>
            </w:pPr>
          </w:p>
        </w:tc>
        <w:tc>
          <w:tcPr>
            <w:tcW w:w="5" w:type="pct"/>
            <w:shd w:val="clear" w:color="auto" w:fill="auto"/>
            <w:vAlign w:val="bottom"/>
          </w:tcPr>
          <w:p w14:paraId="518B6ECC" w14:textId="77777777" w:rsidR="005C332D" w:rsidRDefault="005C332D">
            <w:pPr>
              <w:rPr>
                <w:rFonts w:ascii="宋体"/>
              </w:rPr>
            </w:pPr>
          </w:p>
        </w:tc>
        <w:tc>
          <w:tcPr>
            <w:tcW w:w="50" w:type="pct"/>
            <w:shd w:val="clear" w:color="auto" w:fill="auto"/>
            <w:vAlign w:val="bottom"/>
          </w:tcPr>
          <w:p w14:paraId="518B6ECD" w14:textId="77777777" w:rsidR="005C332D" w:rsidRDefault="005C332D">
            <w:pPr>
              <w:rPr>
                <w:rFonts w:ascii="宋体"/>
              </w:rPr>
            </w:pPr>
          </w:p>
        </w:tc>
        <w:tc>
          <w:tcPr>
            <w:tcW w:w="669" w:type="pct"/>
            <w:shd w:val="clear" w:color="auto" w:fill="auto"/>
            <w:vAlign w:val="bottom"/>
          </w:tcPr>
          <w:p w14:paraId="518B6ECE" w14:textId="77777777" w:rsidR="005C332D" w:rsidRDefault="005C332D">
            <w:pPr>
              <w:rPr>
                <w:rFonts w:ascii="宋体"/>
              </w:rPr>
            </w:pPr>
          </w:p>
        </w:tc>
        <w:tc>
          <w:tcPr>
            <w:tcW w:w="5" w:type="pct"/>
            <w:shd w:val="clear" w:color="auto" w:fill="auto"/>
            <w:vAlign w:val="bottom"/>
          </w:tcPr>
          <w:p w14:paraId="518B6ECF" w14:textId="77777777" w:rsidR="005C332D" w:rsidRDefault="005C332D">
            <w:pPr>
              <w:rPr>
                <w:rFonts w:ascii="宋体"/>
              </w:rPr>
            </w:pPr>
          </w:p>
        </w:tc>
        <w:tc>
          <w:tcPr>
            <w:tcW w:w="5" w:type="pct"/>
            <w:shd w:val="clear" w:color="auto" w:fill="auto"/>
            <w:vAlign w:val="bottom"/>
          </w:tcPr>
          <w:p w14:paraId="518B6ED0" w14:textId="77777777" w:rsidR="005C332D" w:rsidRDefault="005C332D">
            <w:pPr>
              <w:rPr>
                <w:rFonts w:ascii="宋体"/>
              </w:rPr>
            </w:pPr>
          </w:p>
        </w:tc>
        <w:tc>
          <w:tcPr>
            <w:tcW w:w="26" w:type="pct"/>
            <w:shd w:val="clear" w:color="auto" w:fill="auto"/>
            <w:vAlign w:val="bottom"/>
          </w:tcPr>
          <w:p w14:paraId="518B6ED1" w14:textId="77777777" w:rsidR="005C332D" w:rsidRDefault="005C332D">
            <w:pPr>
              <w:rPr>
                <w:rFonts w:ascii="宋体"/>
              </w:rPr>
            </w:pPr>
          </w:p>
        </w:tc>
        <w:tc>
          <w:tcPr>
            <w:tcW w:w="5" w:type="pct"/>
            <w:shd w:val="clear" w:color="auto" w:fill="auto"/>
            <w:vAlign w:val="bottom"/>
          </w:tcPr>
          <w:p w14:paraId="518B6ED2" w14:textId="77777777" w:rsidR="005C332D" w:rsidRDefault="005C332D">
            <w:pPr>
              <w:rPr>
                <w:rFonts w:ascii="宋体"/>
              </w:rPr>
            </w:pPr>
          </w:p>
        </w:tc>
        <w:tc>
          <w:tcPr>
            <w:tcW w:w="50" w:type="pct"/>
            <w:shd w:val="clear" w:color="auto" w:fill="auto"/>
            <w:vAlign w:val="bottom"/>
          </w:tcPr>
          <w:p w14:paraId="518B6ED3" w14:textId="77777777" w:rsidR="005C332D" w:rsidRDefault="005C332D">
            <w:pPr>
              <w:rPr>
                <w:rFonts w:ascii="宋体"/>
              </w:rPr>
            </w:pPr>
          </w:p>
        </w:tc>
        <w:tc>
          <w:tcPr>
            <w:tcW w:w="669" w:type="pct"/>
            <w:shd w:val="clear" w:color="auto" w:fill="auto"/>
            <w:vAlign w:val="bottom"/>
          </w:tcPr>
          <w:p w14:paraId="518B6ED4" w14:textId="77777777" w:rsidR="005C332D" w:rsidRDefault="005C332D">
            <w:pPr>
              <w:rPr>
                <w:rFonts w:ascii="宋体"/>
              </w:rPr>
            </w:pPr>
          </w:p>
        </w:tc>
        <w:tc>
          <w:tcPr>
            <w:tcW w:w="5" w:type="pct"/>
            <w:shd w:val="clear" w:color="auto" w:fill="auto"/>
            <w:vAlign w:val="bottom"/>
          </w:tcPr>
          <w:p w14:paraId="518B6ED5" w14:textId="77777777" w:rsidR="005C332D" w:rsidRDefault="005C332D">
            <w:pPr>
              <w:rPr>
                <w:rFonts w:ascii="宋体"/>
              </w:rPr>
            </w:pPr>
          </w:p>
        </w:tc>
        <w:tc>
          <w:tcPr>
            <w:tcW w:w="5" w:type="pct"/>
            <w:shd w:val="clear" w:color="auto" w:fill="auto"/>
            <w:vAlign w:val="bottom"/>
          </w:tcPr>
          <w:p w14:paraId="518B6ED6" w14:textId="77777777" w:rsidR="005C332D" w:rsidRDefault="005C332D">
            <w:pPr>
              <w:rPr>
                <w:rFonts w:ascii="宋体"/>
              </w:rPr>
            </w:pPr>
          </w:p>
        </w:tc>
        <w:tc>
          <w:tcPr>
            <w:tcW w:w="26" w:type="pct"/>
            <w:shd w:val="clear" w:color="auto" w:fill="auto"/>
            <w:vAlign w:val="bottom"/>
          </w:tcPr>
          <w:p w14:paraId="518B6ED7" w14:textId="77777777" w:rsidR="005C332D" w:rsidRDefault="005C332D">
            <w:pPr>
              <w:rPr>
                <w:rFonts w:ascii="宋体"/>
              </w:rPr>
            </w:pPr>
          </w:p>
        </w:tc>
        <w:tc>
          <w:tcPr>
            <w:tcW w:w="5" w:type="pct"/>
            <w:shd w:val="clear" w:color="auto" w:fill="auto"/>
            <w:vAlign w:val="bottom"/>
          </w:tcPr>
          <w:p w14:paraId="518B6ED8" w14:textId="77777777" w:rsidR="005C332D" w:rsidRDefault="005C332D">
            <w:pPr>
              <w:rPr>
                <w:rFonts w:ascii="宋体"/>
              </w:rPr>
            </w:pPr>
          </w:p>
        </w:tc>
        <w:tc>
          <w:tcPr>
            <w:tcW w:w="50" w:type="pct"/>
            <w:shd w:val="clear" w:color="auto" w:fill="auto"/>
            <w:vAlign w:val="bottom"/>
          </w:tcPr>
          <w:p w14:paraId="518B6ED9" w14:textId="77777777" w:rsidR="005C332D" w:rsidRDefault="005C332D">
            <w:pPr>
              <w:rPr>
                <w:rFonts w:ascii="宋体"/>
              </w:rPr>
            </w:pPr>
          </w:p>
        </w:tc>
        <w:tc>
          <w:tcPr>
            <w:tcW w:w="699" w:type="pct"/>
            <w:shd w:val="clear" w:color="auto" w:fill="auto"/>
            <w:vAlign w:val="bottom"/>
          </w:tcPr>
          <w:p w14:paraId="518B6EDA" w14:textId="77777777" w:rsidR="005C332D" w:rsidRDefault="005C332D">
            <w:pPr>
              <w:rPr>
                <w:rFonts w:ascii="宋体"/>
              </w:rPr>
            </w:pPr>
          </w:p>
        </w:tc>
        <w:tc>
          <w:tcPr>
            <w:tcW w:w="5" w:type="pct"/>
            <w:shd w:val="clear" w:color="auto" w:fill="auto"/>
            <w:vAlign w:val="bottom"/>
          </w:tcPr>
          <w:p w14:paraId="518B6EDB" w14:textId="77777777" w:rsidR="005C332D" w:rsidRDefault="005C332D">
            <w:pPr>
              <w:rPr>
                <w:rFonts w:ascii="宋体"/>
              </w:rPr>
            </w:pPr>
          </w:p>
        </w:tc>
        <w:tc>
          <w:tcPr>
            <w:tcW w:w="5" w:type="pct"/>
            <w:shd w:val="clear" w:color="auto" w:fill="auto"/>
            <w:vAlign w:val="bottom"/>
          </w:tcPr>
          <w:p w14:paraId="518B6EDC" w14:textId="77777777" w:rsidR="005C332D" w:rsidRDefault="005C332D">
            <w:pPr>
              <w:rPr>
                <w:rFonts w:ascii="宋体"/>
              </w:rPr>
            </w:pPr>
          </w:p>
        </w:tc>
        <w:tc>
          <w:tcPr>
            <w:tcW w:w="26" w:type="pct"/>
            <w:shd w:val="clear" w:color="auto" w:fill="auto"/>
            <w:vAlign w:val="bottom"/>
          </w:tcPr>
          <w:p w14:paraId="518B6EDD" w14:textId="77777777" w:rsidR="005C332D" w:rsidRDefault="005C332D">
            <w:pPr>
              <w:rPr>
                <w:rFonts w:ascii="宋体"/>
              </w:rPr>
            </w:pPr>
          </w:p>
        </w:tc>
        <w:tc>
          <w:tcPr>
            <w:tcW w:w="5" w:type="pct"/>
            <w:shd w:val="clear" w:color="auto" w:fill="auto"/>
            <w:vAlign w:val="bottom"/>
          </w:tcPr>
          <w:p w14:paraId="518B6EDE" w14:textId="77777777" w:rsidR="005C332D" w:rsidRDefault="005C332D">
            <w:pPr>
              <w:rPr>
                <w:rFonts w:ascii="宋体"/>
              </w:rPr>
            </w:pPr>
          </w:p>
        </w:tc>
        <w:tc>
          <w:tcPr>
            <w:tcW w:w="50" w:type="pct"/>
            <w:shd w:val="clear" w:color="auto" w:fill="auto"/>
            <w:vAlign w:val="bottom"/>
          </w:tcPr>
          <w:p w14:paraId="518B6EDF" w14:textId="77777777" w:rsidR="005C332D" w:rsidRDefault="005C332D">
            <w:pPr>
              <w:rPr>
                <w:rFonts w:ascii="宋体"/>
              </w:rPr>
            </w:pPr>
          </w:p>
        </w:tc>
        <w:tc>
          <w:tcPr>
            <w:tcW w:w="677" w:type="pct"/>
            <w:shd w:val="clear" w:color="auto" w:fill="auto"/>
            <w:vAlign w:val="bottom"/>
          </w:tcPr>
          <w:p w14:paraId="518B6EE0" w14:textId="77777777" w:rsidR="005C332D" w:rsidRDefault="005C332D">
            <w:pPr>
              <w:rPr>
                <w:rFonts w:ascii="宋体"/>
              </w:rPr>
            </w:pPr>
          </w:p>
        </w:tc>
        <w:tc>
          <w:tcPr>
            <w:tcW w:w="5" w:type="pct"/>
            <w:shd w:val="clear" w:color="auto" w:fill="auto"/>
            <w:vAlign w:val="bottom"/>
          </w:tcPr>
          <w:p w14:paraId="518B6EE1" w14:textId="77777777" w:rsidR="005C332D" w:rsidRDefault="005C332D">
            <w:pPr>
              <w:rPr>
                <w:rFonts w:ascii="宋体"/>
              </w:rPr>
            </w:pPr>
          </w:p>
        </w:tc>
      </w:tr>
      <w:tr w:rsidR="005C332D" w14:paraId="518B6EE5" w14:textId="77777777">
        <w:tc>
          <w:tcPr>
            <w:tcW w:w="0" w:type="auto"/>
            <w:gridSpan w:val="3"/>
            <w:shd w:val="clear" w:color="auto" w:fill="auto"/>
            <w:tcMar>
              <w:top w:w="40" w:type="dxa"/>
              <w:left w:w="20" w:type="dxa"/>
              <w:bottom w:w="40" w:type="dxa"/>
              <w:right w:w="20" w:type="dxa"/>
            </w:tcMar>
            <w:vAlign w:val="bottom"/>
          </w:tcPr>
          <w:p w14:paraId="518B6EE3" w14:textId="77777777" w:rsidR="005C332D" w:rsidRDefault="00B93EAE">
            <w:pPr>
              <w:textAlignment w:val="bottom"/>
            </w:pPr>
            <w:r>
              <w:rPr>
                <w:rFonts w:ascii="Times New Roman" w:eastAsia="宋体" w:hAnsi="Times New Roman"/>
                <w:color w:val="000000"/>
                <w:sz w:val="16"/>
                <w:szCs w:val="16"/>
              </w:rPr>
              <w:t> </w:t>
            </w:r>
          </w:p>
        </w:tc>
        <w:tc>
          <w:tcPr>
            <w:tcW w:w="0" w:type="auto"/>
            <w:gridSpan w:val="21"/>
            <w:shd w:val="clear" w:color="auto" w:fill="auto"/>
            <w:tcMar>
              <w:top w:w="40" w:type="dxa"/>
              <w:left w:w="20" w:type="dxa"/>
              <w:bottom w:w="40" w:type="dxa"/>
              <w:right w:w="20" w:type="dxa"/>
            </w:tcMar>
            <w:vAlign w:val="bottom"/>
          </w:tcPr>
          <w:p w14:paraId="518B6EE4" w14:textId="77777777" w:rsidR="005C332D" w:rsidRDefault="00B93EAE">
            <w:pPr>
              <w:jc w:val="center"/>
              <w:textAlignment w:val="bottom"/>
            </w:pPr>
            <w:r>
              <w:rPr>
                <w:rFonts w:ascii="Times New Roman" w:eastAsia="宋体" w:hAnsi="Times New Roman"/>
                <w:color w:val="000000"/>
                <w:sz w:val="18"/>
                <w:szCs w:val="18"/>
              </w:rPr>
              <w:t>CREDIT LOSS ALLOWANCES</w:t>
            </w:r>
          </w:p>
        </w:tc>
      </w:tr>
      <w:tr w:rsidR="005C332D" w14:paraId="518B6EEE" w14:textId="77777777">
        <w:tc>
          <w:tcPr>
            <w:tcW w:w="0" w:type="auto"/>
            <w:gridSpan w:val="3"/>
            <w:shd w:val="clear" w:color="auto" w:fill="auto"/>
            <w:tcMar>
              <w:top w:w="40" w:type="dxa"/>
              <w:left w:w="20" w:type="dxa"/>
              <w:bottom w:w="40" w:type="dxa"/>
              <w:right w:w="20" w:type="dxa"/>
            </w:tcMar>
            <w:vAlign w:val="bottom"/>
          </w:tcPr>
          <w:p w14:paraId="518B6EE6" w14:textId="77777777" w:rsidR="005C332D" w:rsidRDefault="00B93EA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EE7" w14:textId="77777777" w:rsidR="005C332D" w:rsidRDefault="00B93EAE">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EE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EE9" w14:textId="77777777" w:rsidR="005C332D" w:rsidRDefault="00B93EAE">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EE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EEB" w14:textId="77777777" w:rsidR="005C332D" w:rsidRDefault="00B93EAE">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EE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EED" w14:textId="77777777" w:rsidR="005C332D" w:rsidRDefault="00B93EAE">
            <w:pPr>
              <w:jc w:val="center"/>
              <w:textAlignment w:val="bottom"/>
            </w:pPr>
            <w:r>
              <w:rPr>
                <w:rFonts w:ascii="Times New Roman" w:eastAsia="宋体" w:hAnsi="Times New Roman"/>
                <w:color w:val="000000"/>
                <w:sz w:val="16"/>
                <w:szCs w:val="16"/>
              </w:rPr>
              <w:t>Total</w:t>
            </w:r>
          </w:p>
        </w:tc>
      </w:tr>
      <w:tr w:rsidR="005C332D" w14:paraId="518B6EFF" w14:textId="77777777">
        <w:tc>
          <w:tcPr>
            <w:tcW w:w="0" w:type="auto"/>
            <w:gridSpan w:val="3"/>
            <w:shd w:val="clear" w:color="auto" w:fill="CCEEFF"/>
            <w:tcMar>
              <w:top w:w="40" w:type="dxa"/>
              <w:left w:w="20" w:type="dxa"/>
              <w:bottom w:w="40" w:type="dxa"/>
              <w:right w:w="20" w:type="dxa"/>
            </w:tcMar>
          </w:tcPr>
          <w:p w14:paraId="518B6EEF" w14:textId="77777777" w:rsidR="005C332D" w:rsidRDefault="00B93EAE">
            <w:pPr>
              <w:textAlignment w:val="top"/>
            </w:pPr>
            <w:r>
              <w:rPr>
                <w:rFonts w:ascii="Times New Roman" w:eastAsia="宋体" w:hAnsi="Times New Roman"/>
                <w:color w:val="000000"/>
                <w:sz w:val="20"/>
                <w:szCs w:val="20"/>
              </w:rPr>
              <w:t>Allowance for credit loss as of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EF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EF1" w14:textId="77777777" w:rsidR="005C332D" w:rsidRDefault="00B93EAE">
            <w:pPr>
              <w:jc w:val="right"/>
              <w:textAlignment w:val="bottom"/>
            </w:pPr>
            <w:r>
              <w:rPr>
                <w:rFonts w:ascii="Times New Roman" w:eastAsia="宋体" w:hAnsi="Times New Roman"/>
                <w:color w:val="000000"/>
                <w:sz w:val="20"/>
                <w:szCs w:val="20"/>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EF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F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EF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EF5" w14:textId="77777777" w:rsidR="005C332D" w:rsidRDefault="00B93EAE">
            <w:pPr>
              <w:jc w:val="right"/>
              <w:textAlignment w:val="bottom"/>
            </w:pPr>
            <w:r>
              <w:rPr>
                <w:rFonts w:ascii="Times New Roman" w:eastAsia="宋体" w:hAnsi="Times New Roman"/>
                <w:color w:val="000000"/>
                <w:sz w:val="20"/>
                <w:szCs w:val="20"/>
              </w:rPr>
              <w:t>81 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EF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F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EF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EF9" w14:textId="77777777" w:rsidR="005C332D" w:rsidRDefault="00B93EAE">
            <w:pPr>
              <w:jc w:val="right"/>
              <w:textAlignment w:val="bottom"/>
            </w:pPr>
            <w:r>
              <w:rPr>
                <w:rFonts w:ascii="Times New Roman" w:eastAsia="宋体" w:hAnsi="Times New Roman"/>
                <w:color w:val="000000"/>
                <w:sz w:val="20"/>
                <w:szCs w:val="20"/>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EF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EF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EF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EFD" w14:textId="77777777" w:rsidR="005C332D" w:rsidRDefault="00B93EAE">
            <w:pPr>
              <w:jc w:val="right"/>
              <w:textAlignment w:val="bottom"/>
            </w:pPr>
            <w:r>
              <w:rPr>
                <w:rFonts w:ascii="Times New Roman" w:eastAsia="宋体" w:hAnsi="Times New Roman"/>
                <w:color w:val="000000"/>
                <w:sz w:val="20"/>
                <w:szCs w:val="20"/>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EFE" w14:textId="77777777" w:rsidR="005C332D" w:rsidRDefault="005C332D">
            <w:pPr>
              <w:jc w:val="right"/>
              <w:rPr>
                <w:rFonts w:ascii="宋体"/>
              </w:rPr>
            </w:pPr>
          </w:p>
        </w:tc>
      </w:tr>
      <w:tr w:rsidR="005C332D" w14:paraId="518B6F0C" w14:textId="77777777">
        <w:tc>
          <w:tcPr>
            <w:tcW w:w="0" w:type="auto"/>
            <w:gridSpan w:val="3"/>
            <w:shd w:val="clear" w:color="auto" w:fill="auto"/>
            <w:tcMar>
              <w:top w:w="40" w:type="dxa"/>
              <w:left w:w="20" w:type="dxa"/>
              <w:bottom w:w="40" w:type="dxa"/>
              <w:right w:w="20" w:type="dxa"/>
            </w:tcMar>
          </w:tcPr>
          <w:p w14:paraId="518B6F00" w14:textId="77777777" w:rsidR="005C332D" w:rsidRDefault="00B93EAE">
            <w:pPr>
              <w:textAlignment w:val="top"/>
            </w:pPr>
            <w:r>
              <w:rPr>
                <w:rFonts w:ascii="Times New Roman" w:eastAsia="宋体" w:hAnsi="Times New Roman"/>
                <w:color w:val="000000"/>
                <w:sz w:val="20"/>
                <w:szCs w:val="20"/>
              </w:rPr>
              <w:t>Provisions (benefits)</w:t>
            </w:r>
          </w:p>
        </w:tc>
        <w:tc>
          <w:tcPr>
            <w:tcW w:w="0" w:type="auto"/>
            <w:gridSpan w:val="2"/>
            <w:shd w:val="clear" w:color="auto" w:fill="auto"/>
            <w:tcMar>
              <w:top w:w="40" w:type="dxa"/>
              <w:left w:w="20" w:type="dxa"/>
              <w:bottom w:w="40" w:type="dxa"/>
              <w:right w:w="0" w:type="dxa"/>
            </w:tcMar>
            <w:vAlign w:val="bottom"/>
          </w:tcPr>
          <w:p w14:paraId="518B6F01" w14:textId="77777777" w:rsidR="005C332D" w:rsidRDefault="00B93EAE">
            <w:pPr>
              <w:jc w:val="right"/>
              <w:textAlignment w:val="bottom"/>
            </w:pPr>
            <w:r>
              <w:rPr>
                <w:rFonts w:ascii="Times New Roman" w:eastAsia="宋体" w:hAnsi="Times New Roman"/>
                <w:color w:val="000000"/>
                <w:sz w:val="20"/>
                <w:szCs w:val="20"/>
              </w:rPr>
              <w:t>(10)</w:t>
            </w:r>
          </w:p>
        </w:tc>
        <w:tc>
          <w:tcPr>
            <w:tcW w:w="0" w:type="auto"/>
            <w:shd w:val="clear" w:color="auto" w:fill="auto"/>
            <w:tcMar>
              <w:top w:w="40" w:type="dxa"/>
              <w:left w:w="0" w:type="dxa"/>
              <w:bottom w:w="40" w:type="dxa"/>
              <w:right w:w="20" w:type="dxa"/>
            </w:tcMar>
            <w:vAlign w:val="bottom"/>
          </w:tcPr>
          <w:p w14:paraId="518B6F02"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03"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04" w14:textId="77777777" w:rsidR="005C332D" w:rsidRDefault="00B93EAE">
            <w:pPr>
              <w:jc w:val="right"/>
              <w:textAlignment w:val="bottom"/>
            </w:pPr>
            <w:r>
              <w:rPr>
                <w:rFonts w:ascii="Times New Roman" w:eastAsia="宋体" w:hAnsi="Times New Roman"/>
                <w:color w:val="000000"/>
                <w:sz w:val="20"/>
                <w:szCs w:val="20"/>
              </w:rPr>
              <w:t>(12)</w:t>
            </w:r>
          </w:p>
        </w:tc>
        <w:tc>
          <w:tcPr>
            <w:tcW w:w="0" w:type="auto"/>
            <w:shd w:val="clear" w:color="auto" w:fill="auto"/>
            <w:tcMar>
              <w:top w:w="40" w:type="dxa"/>
              <w:left w:w="0" w:type="dxa"/>
              <w:bottom w:w="40" w:type="dxa"/>
              <w:right w:w="20" w:type="dxa"/>
            </w:tcMar>
            <w:vAlign w:val="bottom"/>
          </w:tcPr>
          <w:p w14:paraId="518B6F05"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06"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07" w14:textId="77777777" w:rsidR="005C332D" w:rsidRDefault="00B93EAE">
            <w:pPr>
              <w:jc w:val="right"/>
              <w:textAlignment w:val="bottom"/>
            </w:pPr>
            <w:r>
              <w:rPr>
                <w:rFonts w:ascii="Times New Roman" w:eastAsia="宋体" w:hAnsi="Times New Roman"/>
                <w:color w:val="000000"/>
                <w:sz w:val="20"/>
                <w:szCs w:val="20"/>
              </w:rPr>
              <w:t>(5)</w:t>
            </w:r>
          </w:p>
        </w:tc>
        <w:tc>
          <w:tcPr>
            <w:tcW w:w="0" w:type="auto"/>
            <w:shd w:val="clear" w:color="auto" w:fill="auto"/>
            <w:tcMar>
              <w:top w:w="40" w:type="dxa"/>
              <w:left w:w="0" w:type="dxa"/>
              <w:bottom w:w="40" w:type="dxa"/>
              <w:right w:w="20" w:type="dxa"/>
            </w:tcMar>
            <w:vAlign w:val="bottom"/>
          </w:tcPr>
          <w:p w14:paraId="518B6F08"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09"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0A" w14:textId="77777777" w:rsidR="005C332D" w:rsidRDefault="00B93EAE">
            <w:pPr>
              <w:jc w:val="right"/>
              <w:textAlignment w:val="bottom"/>
            </w:pPr>
            <w:r>
              <w:rPr>
                <w:rFonts w:ascii="Times New Roman" w:eastAsia="宋体" w:hAnsi="Times New Roman"/>
                <w:color w:val="000000"/>
                <w:sz w:val="20"/>
                <w:szCs w:val="20"/>
              </w:rPr>
              <w:t>(27)</w:t>
            </w:r>
          </w:p>
        </w:tc>
        <w:tc>
          <w:tcPr>
            <w:tcW w:w="0" w:type="auto"/>
            <w:shd w:val="clear" w:color="auto" w:fill="auto"/>
            <w:tcMar>
              <w:top w:w="40" w:type="dxa"/>
              <w:left w:w="0" w:type="dxa"/>
              <w:bottom w:w="40" w:type="dxa"/>
              <w:right w:w="20" w:type="dxa"/>
            </w:tcMar>
            <w:vAlign w:val="bottom"/>
          </w:tcPr>
          <w:p w14:paraId="518B6F0B" w14:textId="77777777" w:rsidR="005C332D" w:rsidRDefault="005C332D">
            <w:pPr>
              <w:jc w:val="right"/>
              <w:rPr>
                <w:rFonts w:ascii="宋体"/>
              </w:rPr>
            </w:pPr>
          </w:p>
        </w:tc>
      </w:tr>
      <w:tr w:rsidR="005C332D" w14:paraId="518B6F19" w14:textId="77777777">
        <w:tc>
          <w:tcPr>
            <w:tcW w:w="0" w:type="auto"/>
            <w:gridSpan w:val="3"/>
            <w:shd w:val="clear" w:color="auto" w:fill="CCEEFF"/>
            <w:tcMar>
              <w:top w:w="40" w:type="dxa"/>
              <w:left w:w="20" w:type="dxa"/>
              <w:bottom w:w="40" w:type="dxa"/>
              <w:right w:w="20" w:type="dxa"/>
            </w:tcMar>
          </w:tcPr>
          <w:p w14:paraId="518B6F0D" w14:textId="77777777" w:rsidR="005C332D" w:rsidRDefault="00B93EAE">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518B6F0E" w14:textId="77777777" w:rsidR="005C332D" w:rsidRDefault="00B93EAE">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518B6F0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1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F11" w14:textId="77777777" w:rsidR="005C332D" w:rsidRDefault="00B93EAE">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518B6F1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1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F14"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F1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1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F17"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518B6F18" w14:textId="77777777" w:rsidR="005C332D" w:rsidRDefault="005C332D">
            <w:pPr>
              <w:jc w:val="right"/>
              <w:rPr>
                <w:rFonts w:ascii="宋体"/>
              </w:rPr>
            </w:pPr>
          </w:p>
        </w:tc>
      </w:tr>
      <w:tr w:rsidR="005C332D" w14:paraId="518B6F26" w14:textId="77777777">
        <w:tc>
          <w:tcPr>
            <w:tcW w:w="0" w:type="auto"/>
            <w:gridSpan w:val="3"/>
            <w:shd w:val="clear" w:color="auto" w:fill="auto"/>
            <w:tcMar>
              <w:top w:w="40" w:type="dxa"/>
              <w:left w:w="20" w:type="dxa"/>
              <w:bottom w:w="40" w:type="dxa"/>
              <w:right w:w="20" w:type="dxa"/>
            </w:tcMar>
          </w:tcPr>
          <w:p w14:paraId="518B6F1A" w14:textId="77777777" w:rsidR="005C332D" w:rsidRDefault="00B93EAE">
            <w:pPr>
              <w:textAlignment w:val="top"/>
            </w:pPr>
            <w:r>
              <w:rPr>
                <w:rFonts w:ascii="Times New Roman" w:eastAsia="宋体" w:hAnsi="Times New Roman"/>
                <w:color w:val="000000"/>
                <w:sz w:val="20"/>
                <w:szCs w:val="20"/>
              </w:rPr>
              <w:t>Foreign exchange and other</w:t>
            </w:r>
          </w:p>
        </w:tc>
        <w:tc>
          <w:tcPr>
            <w:tcW w:w="0" w:type="auto"/>
            <w:gridSpan w:val="2"/>
            <w:shd w:val="clear" w:color="auto" w:fill="auto"/>
            <w:tcMar>
              <w:top w:w="40" w:type="dxa"/>
              <w:left w:w="20" w:type="dxa"/>
              <w:bottom w:w="40" w:type="dxa"/>
              <w:right w:w="0" w:type="dxa"/>
            </w:tcMar>
            <w:vAlign w:val="bottom"/>
          </w:tcPr>
          <w:p w14:paraId="518B6F1B"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auto"/>
            <w:tcMar>
              <w:top w:w="40" w:type="dxa"/>
              <w:left w:w="0" w:type="dxa"/>
              <w:bottom w:w="40" w:type="dxa"/>
              <w:right w:w="20" w:type="dxa"/>
            </w:tcMar>
            <w:vAlign w:val="bottom"/>
          </w:tcPr>
          <w:p w14:paraId="518B6F1C"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1D"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1E" w14:textId="77777777" w:rsidR="005C332D" w:rsidRDefault="00B93EAE">
            <w:pPr>
              <w:jc w:val="right"/>
              <w:textAlignment w:val="bottom"/>
            </w:pPr>
            <w:r>
              <w:rPr>
                <w:rFonts w:ascii="Times New Roman" w:eastAsia="宋体" w:hAnsi="Times New Roman"/>
                <w:color w:val="000000"/>
                <w:sz w:val="20"/>
                <w:szCs w:val="20"/>
              </w:rPr>
              <w:t>18 </w:t>
            </w:r>
          </w:p>
        </w:tc>
        <w:tc>
          <w:tcPr>
            <w:tcW w:w="0" w:type="auto"/>
            <w:shd w:val="clear" w:color="auto" w:fill="auto"/>
            <w:tcMar>
              <w:top w:w="40" w:type="dxa"/>
              <w:left w:w="0" w:type="dxa"/>
              <w:bottom w:w="40" w:type="dxa"/>
              <w:right w:w="20" w:type="dxa"/>
            </w:tcMar>
            <w:vAlign w:val="bottom"/>
          </w:tcPr>
          <w:p w14:paraId="518B6F1F"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20"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21" w14:textId="77777777" w:rsidR="005C332D" w:rsidRDefault="00B93EAE">
            <w:pPr>
              <w:jc w:val="right"/>
              <w:textAlignment w:val="bottom"/>
            </w:pPr>
            <w:r>
              <w:rPr>
                <w:rFonts w:ascii="Times New Roman" w:eastAsia="宋体" w:hAnsi="Times New Roman"/>
                <w:color w:val="000000"/>
                <w:sz w:val="20"/>
                <w:szCs w:val="20"/>
              </w:rPr>
              <w:t>(1)</w:t>
            </w:r>
          </w:p>
        </w:tc>
        <w:tc>
          <w:tcPr>
            <w:tcW w:w="0" w:type="auto"/>
            <w:shd w:val="clear" w:color="auto" w:fill="auto"/>
            <w:tcMar>
              <w:top w:w="40" w:type="dxa"/>
              <w:left w:w="0" w:type="dxa"/>
              <w:bottom w:w="40" w:type="dxa"/>
              <w:right w:w="20" w:type="dxa"/>
            </w:tcMar>
            <w:vAlign w:val="bottom"/>
          </w:tcPr>
          <w:p w14:paraId="518B6F22"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23"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24" w14:textId="77777777" w:rsidR="005C332D" w:rsidRDefault="00B93EAE">
            <w:pPr>
              <w:jc w:val="right"/>
              <w:textAlignment w:val="bottom"/>
            </w:pPr>
            <w:r>
              <w:rPr>
                <w:rFonts w:ascii="Times New Roman" w:eastAsia="宋体" w:hAnsi="Times New Roman"/>
                <w:color w:val="000000"/>
                <w:sz w:val="20"/>
                <w:szCs w:val="20"/>
              </w:rPr>
              <w:t>18 </w:t>
            </w:r>
          </w:p>
        </w:tc>
        <w:tc>
          <w:tcPr>
            <w:tcW w:w="0" w:type="auto"/>
            <w:shd w:val="clear" w:color="auto" w:fill="auto"/>
            <w:tcMar>
              <w:top w:w="40" w:type="dxa"/>
              <w:left w:w="0" w:type="dxa"/>
              <w:bottom w:w="40" w:type="dxa"/>
              <w:right w:w="20" w:type="dxa"/>
            </w:tcMar>
            <w:vAlign w:val="bottom"/>
          </w:tcPr>
          <w:p w14:paraId="518B6F25" w14:textId="77777777" w:rsidR="005C332D" w:rsidRDefault="005C332D">
            <w:pPr>
              <w:jc w:val="right"/>
              <w:rPr>
                <w:rFonts w:ascii="宋体"/>
              </w:rPr>
            </w:pPr>
          </w:p>
        </w:tc>
      </w:tr>
      <w:tr w:rsidR="005C332D" w14:paraId="518B6F37" w14:textId="77777777">
        <w:tc>
          <w:tcPr>
            <w:tcW w:w="0" w:type="auto"/>
            <w:gridSpan w:val="3"/>
            <w:shd w:val="clear" w:color="auto" w:fill="CCEEFF"/>
            <w:tcMar>
              <w:top w:w="40" w:type="dxa"/>
              <w:left w:w="20" w:type="dxa"/>
              <w:bottom w:w="40" w:type="dxa"/>
              <w:right w:w="20" w:type="dxa"/>
            </w:tcMar>
          </w:tcPr>
          <w:p w14:paraId="518B6F27" w14:textId="77777777" w:rsidR="005C332D" w:rsidRDefault="00B93EAE">
            <w:pPr>
              <w:textAlignment w:val="top"/>
            </w:pPr>
            <w:r>
              <w:rPr>
                <w:rFonts w:ascii="Times New Roman" w:eastAsia="宋体" w:hAnsi="Times New Roman"/>
                <w:color w:val="000000"/>
                <w:sz w:val="20"/>
                <w:szCs w:val="20"/>
              </w:rPr>
              <w:t>Allowance for credit loss as of July 31,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F2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F29" w14:textId="77777777" w:rsidR="005C332D" w:rsidRDefault="00B93EAE">
            <w:pPr>
              <w:jc w:val="right"/>
              <w:textAlignment w:val="bottom"/>
            </w:pPr>
            <w:r>
              <w:rPr>
                <w:rFonts w:ascii="Times New Roman" w:eastAsia="宋体" w:hAnsi="Times New Roman"/>
                <w:color w:val="000000"/>
                <w:sz w:val="20"/>
                <w:szCs w:val="20"/>
              </w:rPr>
              <w:t>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F2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2B"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F2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F2D" w14:textId="77777777" w:rsidR="005C332D" w:rsidRDefault="00B93EAE">
            <w:pPr>
              <w:jc w:val="right"/>
              <w:textAlignment w:val="bottom"/>
            </w:pPr>
            <w:r>
              <w:rPr>
                <w:rFonts w:ascii="Times New Roman" w:eastAsia="宋体" w:hAnsi="Times New Roman"/>
                <w:color w:val="000000"/>
                <w:sz w:val="20"/>
                <w:szCs w:val="20"/>
              </w:rPr>
              <w:t>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F2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2F"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F3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F31" w14:textId="77777777" w:rsidR="005C332D" w:rsidRDefault="00B93EAE">
            <w:pPr>
              <w:jc w:val="right"/>
              <w:textAlignment w:val="bottom"/>
            </w:pPr>
            <w:r>
              <w:rPr>
                <w:rFonts w:ascii="Times New Roman" w:eastAsia="宋体" w:hAnsi="Times New Roman"/>
                <w:color w:val="000000"/>
                <w:sz w:val="20"/>
                <w:szCs w:val="20"/>
              </w:rPr>
              <w:t>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F3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33"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F3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F35" w14:textId="77777777" w:rsidR="005C332D" w:rsidRDefault="00B93EAE">
            <w:pPr>
              <w:jc w:val="right"/>
              <w:textAlignment w:val="bottom"/>
            </w:pPr>
            <w:r>
              <w:rPr>
                <w:rFonts w:ascii="Times New Roman" w:eastAsia="宋体" w:hAnsi="Times New Roman"/>
                <w:color w:val="000000"/>
                <w:sz w:val="20"/>
                <w:szCs w:val="20"/>
              </w:rPr>
              <w:t>127 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F36" w14:textId="77777777" w:rsidR="005C332D" w:rsidRDefault="005C332D">
            <w:pPr>
              <w:jc w:val="right"/>
              <w:rPr>
                <w:rFonts w:ascii="宋体"/>
              </w:rPr>
            </w:pPr>
          </w:p>
        </w:tc>
      </w:tr>
    </w:tbl>
    <w:p w14:paraId="518B6F38" w14:textId="77777777" w:rsidR="005C332D" w:rsidRDefault="005C332D">
      <w:pPr>
        <w:rPr>
          <w:vanish/>
        </w:rPr>
      </w:pP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108"/>
        <w:gridCol w:w="37"/>
        <w:gridCol w:w="121"/>
        <w:gridCol w:w="1064"/>
        <w:gridCol w:w="36"/>
        <w:gridCol w:w="36"/>
        <w:gridCol w:w="36"/>
        <w:gridCol w:w="36"/>
        <w:gridCol w:w="121"/>
        <w:gridCol w:w="1020"/>
        <w:gridCol w:w="36"/>
        <w:gridCol w:w="36"/>
        <w:gridCol w:w="36"/>
        <w:gridCol w:w="36"/>
        <w:gridCol w:w="121"/>
        <w:gridCol w:w="1070"/>
        <w:gridCol w:w="36"/>
        <w:gridCol w:w="36"/>
        <w:gridCol w:w="36"/>
        <w:gridCol w:w="36"/>
        <w:gridCol w:w="120"/>
        <w:gridCol w:w="1036"/>
        <w:gridCol w:w="36"/>
      </w:tblGrid>
      <w:tr w:rsidR="005C332D" w14:paraId="518B6F51" w14:textId="77777777">
        <w:trPr>
          <w:jc w:val="center"/>
        </w:trPr>
        <w:tc>
          <w:tcPr>
            <w:tcW w:w="50" w:type="pct"/>
            <w:shd w:val="clear" w:color="auto" w:fill="auto"/>
            <w:vAlign w:val="bottom"/>
          </w:tcPr>
          <w:p w14:paraId="518B6F39" w14:textId="77777777" w:rsidR="005C332D" w:rsidRDefault="005C332D">
            <w:pPr>
              <w:rPr>
                <w:rFonts w:ascii="宋体"/>
              </w:rPr>
            </w:pPr>
          </w:p>
        </w:tc>
        <w:tc>
          <w:tcPr>
            <w:tcW w:w="1899" w:type="pct"/>
            <w:shd w:val="clear" w:color="auto" w:fill="auto"/>
            <w:vAlign w:val="bottom"/>
          </w:tcPr>
          <w:p w14:paraId="518B6F3A" w14:textId="77777777" w:rsidR="005C332D" w:rsidRDefault="005C332D">
            <w:pPr>
              <w:rPr>
                <w:rFonts w:ascii="宋体"/>
              </w:rPr>
            </w:pPr>
          </w:p>
        </w:tc>
        <w:tc>
          <w:tcPr>
            <w:tcW w:w="5" w:type="pct"/>
            <w:shd w:val="clear" w:color="auto" w:fill="auto"/>
            <w:vAlign w:val="bottom"/>
          </w:tcPr>
          <w:p w14:paraId="518B6F3B" w14:textId="77777777" w:rsidR="005C332D" w:rsidRDefault="005C332D">
            <w:pPr>
              <w:rPr>
                <w:rFonts w:ascii="宋体"/>
              </w:rPr>
            </w:pPr>
          </w:p>
        </w:tc>
        <w:tc>
          <w:tcPr>
            <w:tcW w:w="50" w:type="pct"/>
            <w:shd w:val="clear" w:color="auto" w:fill="auto"/>
            <w:vAlign w:val="bottom"/>
          </w:tcPr>
          <w:p w14:paraId="518B6F3C" w14:textId="77777777" w:rsidR="005C332D" w:rsidRDefault="005C332D">
            <w:pPr>
              <w:rPr>
                <w:rFonts w:ascii="宋体"/>
              </w:rPr>
            </w:pPr>
          </w:p>
        </w:tc>
        <w:tc>
          <w:tcPr>
            <w:tcW w:w="669" w:type="pct"/>
            <w:shd w:val="clear" w:color="auto" w:fill="auto"/>
            <w:vAlign w:val="bottom"/>
          </w:tcPr>
          <w:p w14:paraId="518B6F3D" w14:textId="77777777" w:rsidR="005C332D" w:rsidRDefault="005C332D">
            <w:pPr>
              <w:rPr>
                <w:rFonts w:ascii="宋体"/>
              </w:rPr>
            </w:pPr>
          </w:p>
        </w:tc>
        <w:tc>
          <w:tcPr>
            <w:tcW w:w="5" w:type="pct"/>
            <w:shd w:val="clear" w:color="auto" w:fill="auto"/>
            <w:vAlign w:val="bottom"/>
          </w:tcPr>
          <w:p w14:paraId="518B6F3E" w14:textId="77777777" w:rsidR="005C332D" w:rsidRDefault="005C332D">
            <w:pPr>
              <w:rPr>
                <w:rFonts w:ascii="宋体"/>
              </w:rPr>
            </w:pPr>
          </w:p>
        </w:tc>
        <w:tc>
          <w:tcPr>
            <w:tcW w:w="5" w:type="pct"/>
            <w:shd w:val="clear" w:color="auto" w:fill="auto"/>
            <w:vAlign w:val="bottom"/>
          </w:tcPr>
          <w:p w14:paraId="518B6F3F" w14:textId="77777777" w:rsidR="005C332D" w:rsidRDefault="005C332D">
            <w:pPr>
              <w:rPr>
                <w:rFonts w:ascii="宋体"/>
              </w:rPr>
            </w:pPr>
          </w:p>
        </w:tc>
        <w:tc>
          <w:tcPr>
            <w:tcW w:w="26" w:type="pct"/>
            <w:shd w:val="clear" w:color="auto" w:fill="auto"/>
            <w:vAlign w:val="bottom"/>
          </w:tcPr>
          <w:p w14:paraId="518B6F40" w14:textId="77777777" w:rsidR="005C332D" w:rsidRDefault="005C332D">
            <w:pPr>
              <w:rPr>
                <w:rFonts w:ascii="宋体"/>
              </w:rPr>
            </w:pPr>
          </w:p>
        </w:tc>
        <w:tc>
          <w:tcPr>
            <w:tcW w:w="5" w:type="pct"/>
            <w:shd w:val="clear" w:color="auto" w:fill="auto"/>
            <w:vAlign w:val="bottom"/>
          </w:tcPr>
          <w:p w14:paraId="518B6F41" w14:textId="77777777" w:rsidR="005C332D" w:rsidRDefault="005C332D">
            <w:pPr>
              <w:rPr>
                <w:rFonts w:ascii="宋体"/>
              </w:rPr>
            </w:pPr>
          </w:p>
        </w:tc>
        <w:tc>
          <w:tcPr>
            <w:tcW w:w="50" w:type="pct"/>
            <w:shd w:val="clear" w:color="auto" w:fill="auto"/>
            <w:vAlign w:val="bottom"/>
          </w:tcPr>
          <w:p w14:paraId="518B6F42" w14:textId="77777777" w:rsidR="005C332D" w:rsidRDefault="005C332D">
            <w:pPr>
              <w:rPr>
                <w:rFonts w:ascii="宋体"/>
              </w:rPr>
            </w:pPr>
          </w:p>
        </w:tc>
        <w:tc>
          <w:tcPr>
            <w:tcW w:w="669" w:type="pct"/>
            <w:shd w:val="clear" w:color="auto" w:fill="auto"/>
            <w:vAlign w:val="bottom"/>
          </w:tcPr>
          <w:p w14:paraId="518B6F43" w14:textId="77777777" w:rsidR="005C332D" w:rsidRDefault="005C332D">
            <w:pPr>
              <w:rPr>
                <w:rFonts w:ascii="宋体"/>
              </w:rPr>
            </w:pPr>
          </w:p>
        </w:tc>
        <w:tc>
          <w:tcPr>
            <w:tcW w:w="5" w:type="pct"/>
            <w:shd w:val="clear" w:color="auto" w:fill="auto"/>
            <w:vAlign w:val="bottom"/>
          </w:tcPr>
          <w:p w14:paraId="518B6F44" w14:textId="77777777" w:rsidR="005C332D" w:rsidRDefault="005C332D">
            <w:pPr>
              <w:rPr>
                <w:rFonts w:ascii="宋体"/>
              </w:rPr>
            </w:pPr>
          </w:p>
        </w:tc>
        <w:tc>
          <w:tcPr>
            <w:tcW w:w="5" w:type="pct"/>
            <w:shd w:val="clear" w:color="auto" w:fill="auto"/>
            <w:vAlign w:val="bottom"/>
          </w:tcPr>
          <w:p w14:paraId="518B6F45" w14:textId="77777777" w:rsidR="005C332D" w:rsidRDefault="005C332D">
            <w:pPr>
              <w:rPr>
                <w:rFonts w:ascii="宋体"/>
              </w:rPr>
            </w:pPr>
          </w:p>
        </w:tc>
        <w:tc>
          <w:tcPr>
            <w:tcW w:w="26" w:type="pct"/>
            <w:shd w:val="clear" w:color="auto" w:fill="auto"/>
            <w:vAlign w:val="bottom"/>
          </w:tcPr>
          <w:p w14:paraId="518B6F46" w14:textId="77777777" w:rsidR="005C332D" w:rsidRDefault="005C332D">
            <w:pPr>
              <w:rPr>
                <w:rFonts w:ascii="宋体"/>
              </w:rPr>
            </w:pPr>
          </w:p>
        </w:tc>
        <w:tc>
          <w:tcPr>
            <w:tcW w:w="5" w:type="pct"/>
            <w:shd w:val="clear" w:color="auto" w:fill="auto"/>
            <w:vAlign w:val="bottom"/>
          </w:tcPr>
          <w:p w14:paraId="518B6F47" w14:textId="77777777" w:rsidR="005C332D" w:rsidRDefault="005C332D">
            <w:pPr>
              <w:rPr>
                <w:rFonts w:ascii="宋体"/>
              </w:rPr>
            </w:pPr>
          </w:p>
        </w:tc>
        <w:tc>
          <w:tcPr>
            <w:tcW w:w="50" w:type="pct"/>
            <w:shd w:val="clear" w:color="auto" w:fill="auto"/>
            <w:vAlign w:val="bottom"/>
          </w:tcPr>
          <w:p w14:paraId="518B6F48" w14:textId="77777777" w:rsidR="005C332D" w:rsidRDefault="005C332D">
            <w:pPr>
              <w:rPr>
                <w:rFonts w:ascii="宋体"/>
              </w:rPr>
            </w:pPr>
          </w:p>
        </w:tc>
        <w:tc>
          <w:tcPr>
            <w:tcW w:w="699" w:type="pct"/>
            <w:shd w:val="clear" w:color="auto" w:fill="auto"/>
            <w:vAlign w:val="bottom"/>
          </w:tcPr>
          <w:p w14:paraId="518B6F49" w14:textId="77777777" w:rsidR="005C332D" w:rsidRDefault="005C332D">
            <w:pPr>
              <w:rPr>
                <w:rFonts w:ascii="宋体"/>
              </w:rPr>
            </w:pPr>
          </w:p>
        </w:tc>
        <w:tc>
          <w:tcPr>
            <w:tcW w:w="5" w:type="pct"/>
            <w:shd w:val="clear" w:color="auto" w:fill="auto"/>
            <w:vAlign w:val="bottom"/>
          </w:tcPr>
          <w:p w14:paraId="518B6F4A" w14:textId="77777777" w:rsidR="005C332D" w:rsidRDefault="005C332D">
            <w:pPr>
              <w:rPr>
                <w:rFonts w:ascii="宋体"/>
              </w:rPr>
            </w:pPr>
          </w:p>
        </w:tc>
        <w:tc>
          <w:tcPr>
            <w:tcW w:w="5" w:type="pct"/>
            <w:shd w:val="clear" w:color="auto" w:fill="auto"/>
            <w:vAlign w:val="bottom"/>
          </w:tcPr>
          <w:p w14:paraId="518B6F4B" w14:textId="77777777" w:rsidR="005C332D" w:rsidRDefault="005C332D">
            <w:pPr>
              <w:rPr>
                <w:rFonts w:ascii="宋体"/>
              </w:rPr>
            </w:pPr>
          </w:p>
        </w:tc>
        <w:tc>
          <w:tcPr>
            <w:tcW w:w="26" w:type="pct"/>
            <w:shd w:val="clear" w:color="auto" w:fill="auto"/>
            <w:vAlign w:val="bottom"/>
          </w:tcPr>
          <w:p w14:paraId="518B6F4C" w14:textId="77777777" w:rsidR="005C332D" w:rsidRDefault="005C332D">
            <w:pPr>
              <w:rPr>
                <w:rFonts w:ascii="宋体"/>
              </w:rPr>
            </w:pPr>
          </w:p>
        </w:tc>
        <w:tc>
          <w:tcPr>
            <w:tcW w:w="5" w:type="pct"/>
            <w:shd w:val="clear" w:color="auto" w:fill="auto"/>
            <w:vAlign w:val="bottom"/>
          </w:tcPr>
          <w:p w14:paraId="518B6F4D" w14:textId="77777777" w:rsidR="005C332D" w:rsidRDefault="005C332D">
            <w:pPr>
              <w:rPr>
                <w:rFonts w:ascii="宋体"/>
              </w:rPr>
            </w:pPr>
          </w:p>
        </w:tc>
        <w:tc>
          <w:tcPr>
            <w:tcW w:w="50" w:type="pct"/>
            <w:shd w:val="clear" w:color="auto" w:fill="auto"/>
            <w:vAlign w:val="bottom"/>
          </w:tcPr>
          <w:p w14:paraId="518B6F4E" w14:textId="77777777" w:rsidR="005C332D" w:rsidRDefault="005C332D">
            <w:pPr>
              <w:rPr>
                <w:rFonts w:ascii="宋体"/>
              </w:rPr>
            </w:pPr>
          </w:p>
        </w:tc>
        <w:tc>
          <w:tcPr>
            <w:tcW w:w="677" w:type="pct"/>
            <w:shd w:val="clear" w:color="auto" w:fill="auto"/>
            <w:vAlign w:val="bottom"/>
          </w:tcPr>
          <w:p w14:paraId="518B6F4F" w14:textId="77777777" w:rsidR="005C332D" w:rsidRDefault="005C332D">
            <w:pPr>
              <w:rPr>
                <w:rFonts w:ascii="宋体"/>
              </w:rPr>
            </w:pPr>
          </w:p>
        </w:tc>
        <w:tc>
          <w:tcPr>
            <w:tcW w:w="5" w:type="pct"/>
            <w:shd w:val="clear" w:color="auto" w:fill="auto"/>
            <w:vAlign w:val="bottom"/>
          </w:tcPr>
          <w:p w14:paraId="518B6F50" w14:textId="77777777" w:rsidR="005C332D" w:rsidRDefault="005C332D">
            <w:pPr>
              <w:rPr>
                <w:rFonts w:ascii="宋体"/>
              </w:rPr>
            </w:pPr>
          </w:p>
        </w:tc>
      </w:tr>
      <w:tr w:rsidR="005C332D" w14:paraId="518B6F54" w14:textId="77777777">
        <w:trPr>
          <w:jc w:val="center"/>
        </w:trPr>
        <w:tc>
          <w:tcPr>
            <w:tcW w:w="0" w:type="auto"/>
            <w:gridSpan w:val="3"/>
            <w:shd w:val="clear" w:color="auto" w:fill="auto"/>
            <w:tcMar>
              <w:top w:w="0" w:type="dxa"/>
              <w:left w:w="20" w:type="dxa"/>
              <w:bottom w:w="0" w:type="dxa"/>
              <w:right w:w="20" w:type="dxa"/>
            </w:tcMar>
            <w:vAlign w:val="bottom"/>
          </w:tcPr>
          <w:p w14:paraId="518B6F52" w14:textId="77777777" w:rsidR="005C332D" w:rsidRDefault="005C332D">
            <w:pPr>
              <w:rPr>
                <w:rFonts w:ascii="宋体"/>
              </w:rPr>
            </w:pPr>
          </w:p>
        </w:tc>
        <w:tc>
          <w:tcPr>
            <w:tcW w:w="0" w:type="auto"/>
            <w:gridSpan w:val="21"/>
            <w:shd w:val="clear" w:color="auto" w:fill="auto"/>
            <w:tcMar>
              <w:top w:w="40" w:type="dxa"/>
              <w:left w:w="20" w:type="dxa"/>
              <w:bottom w:w="40" w:type="dxa"/>
              <w:right w:w="20" w:type="dxa"/>
            </w:tcMar>
            <w:vAlign w:val="bottom"/>
          </w:tcPr>
          <w:p w14:paraId="518B6F53" w14:textId="77777777" w:rsidR="005C332D" w:rsidRDefault="00B93EAE">
            <w:pPr>
              <w:jc w:val="center"/>
              <w:textAlignment w:val="bottom"/>
            </w:pPr>
            <w:r>
              <w:rPr>
                <w:rFonts w:ascii="Times New Roman" w:eastAsia="宋体" w:hAnsi="Times New Roman"/>
                <w:color w:val="000000"/>
                <w:sz w:val="18"/>
                <w:szCs w:val="18"/>
              </w:rPr>
              <w:t>CREDIT LOSS ALLOWANCES</w:t>
            </w:r>
          </w:p>
        </w:tc>
      </w:tr>
      <w:tr w:rsidR="005C332D" w14:paraId="518B6F5D" w14:textId="77777777">
        <w:trPr>
          <w:jc w:val="center"/>
        </w:trPr>
        <w:tc>
          <w:tcPr>
            <w:tcW w:w="0" w:type="auto"/>
            <w:gridSpan w:val="3"/>
            <w:shd w:val="clear" w:color="auto" w:fill="auto"/>
            <w:tcMar>
              <w:top w:w="0" w:type="dxa"/>
              <w:left w:w="20" w:type="dxa"/>
              <w:bottom w:w="0" w:type="dxa"/>
              <w:right w:w="20" w:type="dxa"/>
            </w:tcMar>
            <w:vAlign w:val="bottom"/>
          </w:tcPr>
          <w:p w14:paraId="518B6F55"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F56" w14:textId="77777777" w:rsidR="005C332D" w:rsidRDefault="00B93EAE">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F57"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F58" w14:textId="77777777" w:rsidR="005C332D" w:rsidRDefault="00B93EAE">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F59"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F5A" w14:textId="77777777" w:rsidR="005C332D" w:rsidRDefault="00B93EAE">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6F5B"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6F5C" w14:textId="77777777" w:rsidR="005C332D" w:rsidRDefault="00B93EAE">
            <w:pPr>
              <w:jc w:val="center"/>
              <w:textAlignment w:val="bottom"/>
            </w:pPr>
            <w:r>
              <w:rPr>
                <w:rFonts w:ascii="Times New Roman" w:eastAsia="宋体" w:hAnsi="Times New Roman"/>
                <w:color w:val="000000"/>
                <w:sz w:val="16"/>
                <w:szCs w:val="16"/>
              </w:rPr>
              <w:t>Total</w:t>
            </w:r>
          </w:p>
        </w:tc>
      </w:tr>
      <w:tr w:rsidR="005C332D" w14:paraId="518B6F6E" w14:textId="77777777">
        <w:trPr>
          <w:jc w:val="center"/>
        </w:trPr>
        <w:tc>
          <w:tcPr>
            <w:tcW w:w="0" w:type="auto"/>
            <w:gridSpan w:val="3"/>
            <w:shd w:val="clear" w:color="auto" w:fill="CCEEFF"/>
            <w:tcMar>
              <w:top w:w="40" w:type="dxa"/>
              <w:left w:w="20" w:type="dxa"/>
              <w:bottom w:w="40" w:type="dxa"/>
              <w:right w:w="20" w:type="dxa"/>
            </w:tcMar>
          </w:tcPr>
          <w:p w14:paraId="518B6F5E" w14:textId="77777777" w:rsidR="005C332D" w:rsidRDefault="00B93EAE">
            <w:pPr>
              <w:textAlignment w:val="top"/>
            </w:pPr>
            <w:r>
              <w:rPr>
                <w:rFonts w:ascii="Times New Roman" w:eastAsia="宋体" w:hAnsi="Times New Roman"/>
                <w:color w:val="000000"/>
                <w:sz w:val="20"/>
                <w:szCs w:val="20"/>
              </w:rPr>
              <w:t>Allowance for credit loss as of July 27,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F5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F60" w14:textId="77777777" w:rsidR="005C332D" w:rsidRDefault="00B93EAE">
            <w:pPr>
              <w:jc w:val="right"/>
              <w:textAlignment w:val="bottom"/>
            </w:pPr>
            <w:r>
              <w:rPr>
                <w:rFonts w:ascii="Times New Roman" w:eastAsia="宋体" w:hAnsi="Times New Roman"/>
                <w:color w:val="000000"/>
                <w:sz w:val="20"/>
                <w:szCs w:val="20"/>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F6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6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F6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F64" w14:textId="77777777" w:rsidR="005C332D" w:rsidRDefault="00B93EAE">
            <w:pPr>
              <w:jc w:val="right"/>
              <w:textAlignment w:val="bottom"/>
            </w:pPr>
            <w:r>
              <w:rPr>
                <w:rFonts w:ascii="Times New Roman" w:eastAsia="宋体" w:hAnsi="Times New Roman"/>
                <w:color w:val="000000"/>
                <w:sz w:val="20"/>
                <w:szCs w:val="20"/>
              </w:rPr>
              <w:t>71 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F6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6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F6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F68" w14:textId="77777777" w:rsidR="005C332D" w:rsidRDefault="00B93EAE">
            <w:pPr>
              <w:jc w:val="right"/>
              <w:textAlignment w:val="bottom"/>
            </w:pPr>
            <w:r>
              <w:rPr>
                <w:rFonts w:ascii="Times New Roman" w:eastAsia="宋体" w:hAnsi="Times New Roman"/>
                <w:color w:val="000000"/>
                <w:sz w:val="20"/>
                <w:szCs w:val="20"/>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F6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6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F6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F6C" w14:textId="77777777" w:rsidR="005C332D" w:rsidRDefault="00B93EAE">
            <w:pPr>
              <w:jc w:val="right"/>
              <w:textAlignment w:val="bottom"/>
            </w:pPr>
            <w:r>
              <w:rPr>
                <w:rFonts w:ascii="Times New Roman" w:eastAsia="宋体" w:hAnsi="Times New Roman"/>
                <w:color w:val="000000"/>
                <w:sz w:val="20"/>
                <w:szCs w:val="20"/>
              </w:rPr>
              <w:t>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F6D" w14:textId="77777777" w:rsidR="005C332D" w:rsidRDefault="005C332D">
            <w:pPr>
              <w:jc w:val="right"/>
              <w:rPr>
                <w:rFonts w:ascii="宋体"/>
              </w:rPr>
            </w:pPr>
          </w:p>
        </w:tc>
      </w:tr>
      <w:tr w:rsidR="005C332D" w14:paraId="518B6F7B" w14:textId="77777777">
        <w:trPr>
          <w:jc w:val="center"/>
        </w:trPr>
        <w:tc>
          <w:tcPr>
            <w:tcW w:w="0" w:type="auto"/>
            <w:gridSpan w:val="3"/>
            <w:shd w:val="clear" w:color="auto" w:fill="auto"/>
            <w:tcMar>
              <w:top w:w="40" w:type="dxa"/>
              <w:left w:w="20" w:type="dxa"/>
              <w:bottom w:w="40" w:type="dxa"/>
              <w:right w:w="20" w:type="dxa"/>
            </w:tcMar>
          </w:tcPr>
          <w:p w14:paraId="518B6F6F" w14:textId="77777777" w:rsidR="005C332D" w:rsidRDefault="00B93EAE">
            <w:pPr>
              <w:textAlignment w:val="top"/>
            </w:pPr>
            <w:r>
              <w:rPr>
                <w:rFonts w:ascii="Times New Roman" w:eastAsia="宋体" w:hAnsi="Times New Roman"/>
                <w:color w:val="000000"/>
                <w:sz w:val="20"/>
                <w:szCs w:val="20"/>
              </w:rPr>
              <w:t>Provisions (benefits)</w:t>
            </w:r>
          </w:p>
        </w:tc>
        <w:tc>
          <w:tcPr>
            <w:tcW w:w="0" w:type="auto"/>
            <w:gridSpan w:val="2"/>
            <w:shd w:val="clear" w:color="auto" w:fill="auto"/>
            <w:tcMar>
              <w:top w:w="40" w:type="dxa"/>
              <w:left w:w="20" w:type="dxa"/>
              <w:bottom w:w="40" w:type="dxa"/>
              <w:right w:w="0" w:type="dxa"/>
            </w:tcMar>
            <w:vAlign w:val="bottom"/>
          </w:tcPr>
          <w:p w14:paraId="518B6F70" w14:textId="77777777" w:rsidR="005C332D" w:rsidRDefault="00B93EAE">
            <w:pPr>
              <w:jc w:val="right"/>
              <w:textAlignment w:val="bottom"/>
            </w:pPr>
            <w:r>
              <w:rPr>
                <w:rFonts w:ascii="Times New Roman" w:eastAsia="宋体" w:hAnsi="Times New Roman"/>
                <w:color w:val="000000"/>
                <w:sz w:val="20"/>
                <w:szCs w:val="20"/>
              </w:rPr>
              <w:t>5 </w:t>
            </w:r>
          </w:p>
        </w:tc>
        <w:tc>
          <w:tcPr>
            <w:tcW w:w="0" w:type="auto"/>
            <w:shd w:val="clear" w:color="auto" w:fill="auto"/>
            <w:tcMar>
              <w:top w:w="40" w:type="dxa"/>
              <w:left w:w="0" w:type="dxa"/>
              <w:bottom w:w="40" w:type="dxa"/>
              <w:right w:w="20" w:type="dxa"/>
            </w:tcMar>
            <w:vAlign w:val="bottom"/>
          </w:tcPr>
          <w:p w14:paraId="518B6F71"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72"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73" w14:textId="77777777" w:rsidR="005C332D" w:rsidRDefault="00B93EAE">
            <w:pPr>
              <w:jc w:val="right"/>
              <w:textAlignment w:val="bottom"/>
            </w:pPr>
            <w:r>
              <w:rPr>
                <w:rFonts w:ascii="Times New Roman" w:eastAsia="宋体" w:hAnsi="Times New Roman"/>
                <w:color w:val="000000"/>
                <w:sz w:val="20"/>
                <w:szCs w:val="20"/>
              </w:rPr>
              <w:t>32 </w:t>
            </w:r>
          </w:p>
        </w:tc>
        <w:tc>
          <w:tcPr>
            <w:tcW w:w="0" w:type="auto"/>
            <w:shd w:val="clear" w:color="auto" w:fill="auto"/>
            <w:tcMar>
              <w:top w:w="40" w:type="dxa"/>
              <w:left w:w="0" w:type="dxa"/>
              <w:bottom w:w="40" w:type="dxa"/>
              <w:right w:w="20" w:type="dxa"/>
            </w:tcMar>
            <w:vAlign w:val="bottom"/>
          </w:tcPr>
          <w:p w14:paraId="518B6F74"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75"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76"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auto"/>
            <w:tcMar>
              <w:top w:w="40" w:type="dxa"/>
              <w:left w:w="0" w:type="dxa"/>
              <w:bottom w:w="40" w:type="dxa"/>
              <w:right w:w="20" w:type="dxa"/>
            </w:tcMar>
            <w:vAlign w:val="bottom"/>
          </w:tcPr>
          <w:p w14:paraId="518B6F77"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78"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79" w14:textId="77777777" w:rsidR="005C332D" w:rsidRDefault="00B93EAE">
            <w:pPr>
              <w:jc w:val="right"/>
              <w:textAlignment w:val="bottom"/>
            </w:pPr>
            <w:r>
              <w:rPr>
                <w:rFonts w:ascii="Times New Roman" w:eastAsia="宋体" w:hAnsi="Times New Roman"/>
                <w:color w:val="000000"/>
                <w:sz w:val="20"/>
                <w:szCs w:val="20"/>
              </w:rPr>
              <w:t>38 </w:t>
            </w:r>
          </w:p>
        </w:tc>
        <w:tc>
          <w:tcPr>
            <w:tcW w:w="0" w:type="auto"/>
            <w:shd w:val="clear" w:color="auto" w:fill="auto"/>
            <w:tcMar>
              <w:top w:w="40" w:type="dxa"/>
              <w:left w:w="0" w:type="dxa"/>
              <w:bottom w:w="40" w:type="dxa"/>
              <w:right w:w="20" w:type="dxa"/>
            </w:tcMar>
            <w:vAlign w:val="bottom"/>
          </w:tcPr>
          <w:p w14:paraId="518B6F7A" w14:textId="77777777" w:rsidR="005C332D" w:rsidRDefault="005C332D">
            <w:pPr>
              <w:jc w:val="right"/>
              <w:rPr>
                <w:rFonts w:ascii="宋体"/>
              </w:rPr>
            </w:pPr>
          </w:p>
        </w:tc>
      </w:tr>
      <w:tr w:rsidR="005C332D" w14:paraId="518B6F88" w14:textId="77777777">
        <w:trPr>
          <w:jc w:val="center"/>
        </w:trPr>
        <w:tc>
          <w:tcPr>
            <w:tcW w:w="0" w:type="auto"/>
            <w:gridSpan w:val="3"/>
            <w:shd w:val="clear" w:color="auto" w:fill="CCEEFF"/>
            <w:tcMar>
              <w:top w:w="40" w:type="dxa"/>
              <w:left w:w="20" w:type="dxa"/>
              <w:bottom w:w="40" w:type="dxa"/>
              <w:right w:w="20" w:type="dxa"/>
            </w:tcMar>
          </w:tcPr>
          <w:p w14:paraId="518B6F7C" w14:textId="77777777" w:rsidR="005C332D" w:rsidRDefault="00B93EAE">
            <w:pPr>
              <w:textAlignment w:val="top"/>
            </w:pPr>
            <w:r>
              <w:rPr>
                <w:rFonts w:ascii="Times New Roman" w:eastAsia="宋体" w:hAnsi="Times New Roman"/>
                <w:color w:val="000000"/>
                <w:sz w:val="19"/>
                <w:szCs w:val="19"/>
              </w:rPr>
              <w:t>Recoveries (write-offs), net</w:t>
            </w:r>
          </w:p>
        </w:tc>
        <w:tc>
          <w:tcPr>
            <w:tcW w:w="0" w:type="auto"/>
            <w:gridSpan w:val="2"/>
            <w:shd w:val="clear" w:color="auto" w:fill="CCEEFF"/>
            <w:tcMar>
              <w:top w:w="40" w:type="dxa"/>
              <w:left w:w="20" w:type="dxa"/>
              <w:bottom w:w="40" w:type="dxa"/>
              <w:right w:w="0" w:type="dxa"/>
            </w:tcMar>
            <w:vAlign w:val="bottom"/>
          </w:tcPr>
          <w:p w14:paraId="518B6F7D" w14:textId="77777777" w:rsidR="005C332D" w:rsidRDefault="00B93EAE">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518B6F7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7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F80" w14:textId="77777777" w:rsidR="005C332D" w:rsidRDefault="00B93EAE">
            <w:pPr>
              <w:jc w:val="right"/>
              <w:textAlignment w:val="bottom"/>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bottom"/>
          </w:tcPr>
          <w:p w14:paraId="518B6F8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8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F83"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F8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8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F86" w14:textId="77777777" w:rsidR="005C332D" w:rsidRDefault="00B93EAE">
            <w:pPr>
              <w:jc w:val="right"/>
              <w:textAlignment w:val="bottom"/>
            </w:pPr>
            <w:r>
              <w:rPr>
                <w:rFonts w:ascii="Times New Roman" w:eastAsia="宋体" w:hAnsi="Times New Roman"/>
                <w:color w:val="000000"/>
                <w:sz w:val="20"/>
                <w:szCs w:val="20"/>
              </w:rPr>
              <w:t>(22)</w:t>
            </w:r>
          </w:p>
        </w:tc>
        <w:tc>
          <w:tcPr>
            <w:tcW w:w="0" w:type="auto"/>
            <w:shd w:val="clear" w:color="auto" w:fill="CCEEFF"/>
            <w:tcMar>
              <w:top w:w="40" w:type="dxa"/>
              <w:left w:w="0" w:type="dxa"/>
              <w:bottom w:w="40" w:type="dxa"/>
              <w:right w:w="20" w:type="dxa"/>
            </w:tcMar>
            <w:vAlign w:val="bottom"/>
          </w:tcPr>
          <w:p w14:paraId="518B6F87" w14:textId="77777777" w:rsidR="005C332D" w:rsidRDefault="005C332D">
            <w:pPr>
              <w:jc w:val="right"/>
              <w:rPr>
                <w:rFonts w:ascii="宋体"/>
              </w:rPr>
            </w:pPr>
          </w:p>
        </w:tc>
      </w:tr>
      <w:tr w:rsidR="005C332D" w14:paraId="518B6F95" w14:textId="77777777">
        <w:trPr>
          <w:jc w:val="center"/>
        </w:trPr>
        <w:tc>
          <w:tcPr>
            <w:tcW w:w="0" w:type="auto"/>
            <w:gridSpan w:val="3"/>
            <w:shd w:val="clear" w:color="auto" w:fill="auto"/>
            <w:tcMar>
              <w:top w:w="40" w:type="dxa"/>
              <w:left w:w="20" w:type="dxa"/>
              <w:bottom w:w="40" w:type="dxa"/>
              <w:right w:w="20" w:type="dxa"/>
            </w:tcMar>
          </w:tcPr>
          <w:p w14:paraId="518B6F89" w14:textId="77777777" w:rsidR="005C332D" w:rsidRDefault="00B93EAE">
            <w:pPr>
              <w:textAlignment w:val="top"/>
            </w:pPr>
            <w:r>
              <w:rPr>
                <w:rFonts w:ascii="Times New Roman" w:eastAsia="宋体" w:hAnsi="Times New Roman"/>
                <w:color w:val="000000"/>
                <w:sz w:val="20"/>
                <w:szCs w:val="20"/>
              </w:rPr>
              <w:t>Foreign exchange and other</w:t>
            </w:r>
          </w:p>
        </w:tc>
        <w:tc>
          <w:tcPr>
            <w:tcW w:w="0" w:type="auto"/>
            <w:gridSpan w:val="2"/>
            <w:shd w:val="clear" w:color="auto" w:fill="auto"/>
            <w:tcMar>
              <w:top w:w="40" w:type="dxa"/>
              <w:left w:w="20" w:type="dxa"/>
              <w:bottom w:w="40" w:type="dxa"/>
              <w:right w:w="0" w:type="dxa"/>
            </w:tcMar>
            <w:vAlign w:val="bottom"/>
          </w:tcPr>
          <w:p w14:paraId="518B6F8A"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6F8B"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8C"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8D" w14:textId="77777777" w:rsidR="005C332D" w:rsidRDefault="00B93EAE">
            <w:pPr>
              <w:jc w:val="right"/>
              <w:textAlignment w:val="bottom"/>
            </w:pPr>
            <w:r>
              <w:rPr>
                <w:rFonts w:ascii="Times New Roman" w:eastAsia="宋体" w:hAnsi="Times New Roman"/>
                <w:color w:val="000000"/>
                <w:sz w:val="20"/>
                <w:szCs w:val="20"/>
              </w:rPr>
              <w:t>(3)</w:t>
            </w:r>
          </w:p>
        </w:tc>
        <w:tc>
          <w:tcPr>
            <w:tcW w:w="0" w:type="auto"/>
            <w:shd w:val="clear" w:color="auto" w:fill="auto"/>
            <w:tcMar>
              <w:top w:w="40" w:type="dxa"/>
              <w:left w:w="0" w:type="dxa"/>
              <w:bottom w:w="40" w:type="dxa"/>
              <w:right w:w="20" w:type="dxa"/>
            </w:tcMar>
            <w:vAlign w:val="bottom"/>
          </w:tcPr>
          <w:p w14:paraId="518B6F8E"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8F"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90" w14:textId="77777777" w:rsidR="005C332D" w:rsidRDefault="00B93EAE">
            <w:pPr>
              <w:jc w:val="right"/>
              <w:textAlignment w:val="bottom"/>
            </w:pPr>
            <w:r>
              <w:rPr>
                <w:rFonts w:ascii="Times New Roman" w:eastAsia="宋体" w:hAnsi="Times New Roman"/>
                <w:color w:val="000000"/>
                <w:sz w:val="20"/>
                <w:szCs w:val="20"/>
              </w:rPr>
              <w:t>(1)</w:t>
            </w:r>
          </w:p>
        </w:tc>
        <w:tc>
          <w:tcPr>
            <w:tcW w:w="0" w:type="auto"/>
            <w:shd w:val="clear" w:color="auto" w:fill="auto"/>
            <w:tcMar>
              <w:top w:w="40" w:type="dxa"/>
              <w:left w:w="0" w:type="dxa"/>
              <w:bottom w:w="40" w:type="dxa"/>
              <w:right w:w="20" w:type="dxa"/>
            </w:tcMar>
            <w:vAlign w:val="bottom"/>
          </w:tcPr>
          <w:p w14:paraId="518B6F91"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6F92"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6F93" w14:textId="77777777" w:rsidR="005C332D" w:rsidRDefault="00B93EAE">
            <w:pPr>
              <w:jc w:val="right"/>
              <w:textAlignment w:val="bottom"/>
            </w:pPr>
            <w:r>
              <w:rPr>
                <w:rFonts w:ascii="Times New Roman" w:eastAsia="宋体" w:hAnsi="Times New Roman"/>
                <w:color w:val="000000"/>
                <w:sz w:val="20"/>
                <w:szCs w:val="20"/>
              </w:rPr>
              <w:t>(4)</w:t>
            </w:r>
          </w:p>
        </w:tc>
        <w:tc>
          <w:tcPr>
            <w:tcW w:w="0" w:type="auto"/>
            <w:shd w:val="clear" w:color="auto" w:fill="auto"/>
            <w:tcMar>
              <w:top w:w="40" w:type="dxa"/>
              <w:left w:w="0" w:type="dxa"/>
              <w:bottom w:w="40" w:type="dxa"/>
              <w:right w:w="20" w:type="dxa"/>
            </w:tcMar>
            <w:vAlign w:val="bottom"/>
          </w:tcPr>
          <w:p w14:paraId="518B6F94" w14:textId="77777777" w:rsidR="005C332D" w:rsidRDefault="005C332D">
            <w:pPr>
              <w:jc w:val="right"/>
              <w:rPr>
                <w:rFonts w:ascii="宋体"/>
              </w:rPr>
            </w:pPr>
          </w:p>
        </w:tc>
      </w:tr>
      <w:tr w:rsidR="005C332D" w14:paraId="518B6FA6" w14:textId="77777777">
        <w:trPr>
          <w:jc w:val="center"/>
        </w:trPr>
        <w:tc>
          <w:tcPr>
            <w:tcW w:w="0" w:type="auto"/>
            <w:gridSpan w:val="3"/>
            <w:shd w:val="clear" w:color="auto" w:fill="CCEEFF"/>
            <w:tcMar>
              <w:top w:w="40" w:type="dxa"/>
              <w:left w:w="20" w:type="dxa"/>
              <w:bottom w:w="40" w:type="dxa"/>
              <w:right w:w="20" w:type="dxa"/>
            </w:tcMar>
          </w:tcPr>
          <w:p w14:paraId="518B6F96" w14:textId="77777777" w:rsidR="005C332D" w:rsidRDefault="00B93EAE">
            <w:pPr>
              <w:textAlignment w:val="top"/>
            </w:pPr>
            <w:r>
              <w:rPr>
                <w:rFonts w:ascii="Times New Roman" w:eastAsia="宋体" w:hAnsi="Times New Roman"/>
                <w:color w:val="000000"/>
                <w:sz w:val="20"/>
                <w:szCs w:val="20"/>
              </w:rPr>
              <w:t>Allowance for credit loss as of July 25,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F9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F98" w14:textId="77777777" w:rsidR="005C332D" w:rsidRDefault="00B93EAE">
            <w:pPr>
              <w:jc w:val="right"/>
              <w:textAlignment w:val="bottom"/>
            </w:pPr>
            <w:r>
              <w:rPr>
                <w:rFonts w:ascii="Times New Roman" w:eastAsia="宋体" w:hAnsi="Times New Roman"/>
                <w:color w:val="000000"/>
                <w:sz w:val="20"/>
                <w:szCs w:val="20"/>
              </w:rPr>
              <w:t>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F9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9A"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F9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F9C" w14:textId="77777777" w:rsidR="005C332D" w:rsidRDefault="00B93EAE">
            <w:pPr>
              <w:jc w:val="right"/>
              <w:textAlignment w:val="bottom"/>
            </w:pPr>
            <w:r>
              <w:rPr>
                <w:rFonts w:ascii="Times New Roman" w:eastAsia="宋体" w:hAnsi="Times New Roman"/>
                <w:color w:val="000000"/>
                <w:sz w:val="20"/>
                <w:szCs w:val="20"/>
              </w:rPr>
              <w:t>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F9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9E"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F9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FA0" w14:textId="77777777" w:rsidR="005C332D" w:rsidRDefault="00B93EAE">
            <w:pPr>
              <w:jc w:val="right"/>
              <w:textAlignment w:val="bottom"/>
            </w:pPr>
            <w:r>
              <w:rPr>
                <w:rFonts w:ascii="Times New Roman" w:eastAsia="宋体" w:hAnsi="Times New Roman"/>
                <w:color w:val="000000"/>
                <w:sz w:val="20"/>
                <w:szCs w:val="20"/>
              </w:rPr>
              <w:t>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FA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A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6FA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6FA4" w14:textId="77777777" w:rsidR="005C332D" w:rsidRDefault="00B93EAE">
            <w:pPr>
              <w:jc w:val="right"/>
              <w:textAlignment w:val="bottom"/>
            </w:pPr>
            <w:r>
              <w:rPr>
                <w:rFonts w:ascii="Times New Roman" w:eastAsia="宋体" w:hAnsi="Times New Roman"/>
                <w:color w:val="000000"/>
                <w:sz w:val="20"/>
                <w:szCs w:val="20"/>
              </w:rPr>
              <w:t>138 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6FA5" w14:textId="77777777" w:rsidR="005C332D" w:rsidRDefault="005C332D">
            <w:pPr>
              <w:jc w:val="right"/>
              <w:rPr>
                <w:rFonts w:ascii="宋体"/>
              </w:rPr>
            </w:pPr>
          </w:p>
        </w:tc>
      </w:tr>
    </w:tbl>
    <w:p w14:paraId="518B6FA7" w14:textId="77777777" w:rsidR="005C332D" w:rsidRDefault="005C332D">
      <w:pPr>
        <w:spacing w:before="120"/>
        <w:jc w:val="both"/>
      </w:pPr>
    </w:p>
    <w:p w14:paraId="518B6FA8" w14:textId="77777777" w:rsidR="005C332D" w:rsidRDefault="00B93EAE">
      <w:pPr>
        <w:ind w:hanging="360"/>
      </w:pPr>
      <w:r>
        <w:rPr>
          <w:rFonts w:ascii="Times New Roman" w:eastAsia="宋体" w:hAnsi="Times New Roman"/>
          <w:b/>
          <w:bCs/>
          <w:color w:val="000000"/>
          <w:sz w:val="20"/>
          <w:szCs w:val="20"/>
        </w:rPr>
        <w:t>10.Available-for-Sale Debt and Equity Investments</w:t>
      </w:r>
    </w:p>
    <w:p w14:paraId="518B6FA9" w14:textId="77777777" w:rsidR="005C332D" w:rsidRDefault="00B93EAE">
      <w:pPr>
        <w:spacing w:before="120"/>
        <w:ind w:hanging="360"/>
      </w:pPr>
      <w:r>
        <w:rPr>
          <w:rFonts w:ascii="Times New Roman" w:eastAsia="宋体" w:hAnsi="Times New Roman"/>
          <w:b/>
          <w:bCs/>
          <w:color w:val="000000"/>
          <w:sz w:val="20"/>
          <w:szCs w:val="20"/>
        </w:rPr>
        <w:t xml:space="preserve">(a)Summary of Available-for-Sale Debt </w:t>
      </w:r>
      <w:r>
        <w:rPr>
          <w:rFonts w:ascii="Times New Roman" w:eastAsia="宋体" w:hAnsi="Times New Roman"/>
          <w:b/>
          <w:bCs/>
          <w:color w:val="000000"/>
          <w:sz w:val="20"/>
          <w:szCs w:val="20"/>
        </w:rPr>
        <w:t>Investments</w:t>
      </w:r>
    </w:p>
    <w:p w14:paraId="518B6FAA" w14:textId="77777777" w:rsidR="005C332D" w:rsidRDefault="00B93EAE">
      <w:pPr>
        <w:spacing w:before="120"/>
      </w:pPr>
      <w:r>
        <w:rPr>
          <w:rFonts w:ascii="Times New Roman" w:eastAsia="宋体" w:hAnsi="Times New Roman"/>
          <w:color w:val="000000"/>
          <w:sz w:val="20"/>
          <w:szCs w:val="20"/>
        </w:rPr>
        <w:t>The following tables summarize our available-for-sale debt investments (in millions):</w:t>
      </w:r>
    </w:p>
    <w:tbl>
      <w:tblPr>
        <w:tblW w:w="4971" w:type="pct"/>
        <w:tblCellMar>
          <w:top w:w="15" w:type="dxa"/>
          <w:left w:w="15" w:type="dxa"/>
          <w:bottom w:w="15" w:type="dxa"/>
          <w:right w:w="15" w:type="dxa"/>
        </w:tblCellMar>
        <w:tblLook w:val="04A0" w:firstRow="1" w:lastRow="0" w:firstColumn="1" w:lastColumn="0" w:noHBand="0" w:noVBand="1"/>
      </w:tblPr>
      <w:tblGrid>
        <w:gridCol w:w="42"/>
        <w:gridCol w:w="3617"/>
        <w:gridCol w:w="38"/>
        <w:gridCol w:w="121"/>
        <w:gridCol w:w="942"/>
        <w:gridCol w:w="36"/>
        <w:gridCol w:w="36"/>
        <w:gridCol w:w="36"/>
        <w:gridCol w:w="36"/>
        <w:gridCol w:w="121"/>
        <w:gridCol w:w="898"/>
        <w:gridCol w:w="36"/>
        <w:gridCol w:w="36"/>
        <w:gridCol w:w="36"/>
        <w:gridCol w:w="36"/>
        <w:gridCol w:w="121"/>
        <w:gridCol w:w="900"/>
        <w:gridCol w:w="36"/>
        <w:gridCol w:w="36"/>
        <w:gridCol w:w="36"/>
        <w:gridCol w:w="36"/>
        <w:gridCol w:w="120"/>
        <w:gridCol w:w="900"/>
        <w:gridCol w:w="36"/>
      </w:tblGrid>
      <w:tr w:rsidR="005C332D" w14:paraId="518B6FC3" w14:textId="77777777">
        <w:tc>
          <w:tcPr>
            <w:tcW w:w="50" w:type="pct"/>
            <w:shd w:val="clear" w:color="auto" w:fill="auto"/>
            <w:vAlign w:val="bottom"/>
          </w:tcPr>
          <w:p w14:paraId="518B6FAB" w14:textId="77777777" w:rsidR="005C332D" w:rsidRDefault="005C332D">
            <w:pPr>
              <w:rPr>
                <w:rFonts w:ascii="宋体"/>
              </w:rPr>
            </w:pPr>
          </w:p>
        </w:tc>
        <w:tc>
          <w:tcPr>
            <w:tcW w:w="2217" w:type="pct"/>
            <w:shd w:val="clear" w:color="auto" w:fill="auto"/>
            <w:vAlign w:val="bottom"/>
          </w:tcPr>
          <w:p w14:paraId="518B6FAC" w14:textId="77777777" w:rsidR="005C332D" w:rsidRDefault="005C332D">
            <w:pPr>
              <w:rPr>
                <w:rFonts w:ascii="宋体"/>
              </w:rPr>
            </w:pPr>
          </w:p>
        </w:tc>
        <w:tc>
          <w:tcPr>
            <w:tcW w:w="5" w:type="pct"/>
            <w:shd w:val="clear" w:color="auto" w:fill="auto"/>
            <w:vAlign w:val="bottom"/>
          </w:tcPr>
          <w:p w14:paraId="518B6FAD" w14:textId="77777777" w:rsidR="005C332D" w:rsidRDefault="005C332D">
            <w:pPr>
              <w:rPr>
                <w:rFonts w:ascii="宋体"/>
              </w:rPr>
            </w:pPr>
          </w:p>
        </w:tc>
        <w:tc>
          <w:tcPr>
            <w:tcW w:w="50" w:type="pct"/>
            <w:shd w:val="clear" w:color="auto" w:fill="auto"/>
            <w:vAlign w:val="bottom"/>
          </w:tcPr>
          <w:p w14:paraId="518B6FAE" w14:textId="77777777" w:rsidR="005C332D" w:rsidRDefault="005C332D">
            <w:pPr>
              <w:rPr>
                <w:rFonts w:ascii="宋体"/>
              </w:rPr>
            </w:pPr>
          </w:p>
        </w:tc>
        <w:tc>
          <w:tcPr>
            <w:tcW w:w="599" w:type="pct"/>
            <w:shd w:val="clear" w:color="auto" w:fill="auto"/>
            <w:vAlign w:val="bottom"/>
          </w:tcPr>
          <w:p w14:paraId="518B6FAF" w14:textId="77777777" w:rsidR="005C332D" w:rsidRDefault="005C332D">
            <w:pPr>
              <w:rPr>
                <w:rFonts w:ascii="宋体"/>
              </w:rPr>
            </w:pPr>
          </w:p>
        </w:tc>
        <w:tc>
          <w:tcPr>
            <w:tcW w:w="5" w:type="pct"/>
            <w:shd w:val="clear" w:color="auto" w:fill="auto"/>
            <w:vAlign w:val="bottom"/>
          </w:tcPr>
          <w:p w14:paraId="518B6FB0" w14:textId="77777777" w:rsidR="005C332D" w:rsidRDefault="005C332D">
            <w:pPr>
              <w:rPr>
                <w:rFonts w:ascii="宋体"/>
              </w:rPr>
            </w:pPr>
          </w:p>
        </w:tc>
        <w:tc>
          <w:tcPr>
            <w:tcW w:w="5" w:type="pct"/>
            <w:shd w:val="clear" w:color="auto" w:fill="auto"/>
            <w:vAlign w:val="bottom"/>
          </w:tcPr>
          <w:p w14:paraId="518B6FB1" w14:textId="77777777" w:rsidR="005C332D" w:rsidRDefault="005C332D">
            <w:pPr>
              <w:rPr>
                <w:rFonts w:ascii="宋体"/>
              </w:rPr>
            </w:pPr>
          </w:p>
        </w:tc>
        <w:tc>
          <w:tcPr>
            <w:tcW w:w="26" w:type="pct"/>
            <w:shd w:val="clear" w:color="auto" w:fill="auto"/>
            <w:vAlign w:val="bottom"/>
          </w:tcPr>
          <w:p w14:paraId="518B6FB2" w14:textId="77777777" w:rsidR="005C332D" w:rsidRDefault="005C332D">
            <w:pPr>
              <w:rPr>
                <w:rFonts w:ascii="宋体"/>
              </w:rPr>
            </w:pPr>
          </w:p>
        </w:tc>
        <w:tc>
          <w:tcPr>
            <w:tcW w:w="5" w:type="pct"/>
            <w:shd w:val="clear" w:color="auto" w:fill="auto"/>
            <w:vAlign w:val="bottom"/>
          </w:tcPr>
          <w:p w14:paraId="518B6FB3" w14:textId="77777777" w:rsidR="005C332D" w:rsidRDefault="005C332D">
            <w:pPr>
              <w:rPr>
                <w:rFonts w:ascii="宋体"/>
              </w:rPr>
            </w:pPr>
          </w:p>
        </w:tc>
        <w:tc>
          <w:tcPr>
            <w:tcW w:w="50" w:type="pct"/>
            <w:shd w:val="clear" w:color="auto" w:fill="auto"/>
            <w:vAlign w:val="bottom"/>
          </w:tcPr>
          <w:p w14:paraId="518B6FB4" w14:textId="77777777" w:rsidR="005C332D" w:rsidRDefault="005C332D">
            <w:pPr>
              <w:rPr>
                <w:rFonts w:ascii="宋体"/>
              </w:rPr>
            </w:pPr>
          </w:p>
        </w:tc>
        <w:tc>
          <w:tcPr>
            <w:tcW w:w="599" w:type="pct"/>
            <w:shd w:val="clear" w:color="auto" w:fill="auto"/>
            <w:vAlign w:val="bottom"/>
          </w:tcPr>
          <w:p w14:paraId="518B6FB5" w14:textId="77777777" w:rsidR="005C332D" w:rsidRDefault="005C332D">
            <w:pPr>
              <w:rPr>
                <w:rFonts w:ascii="宋体"/>
              </w:rPr>
            </w:pPr>
          </w:p>
        </w:tc>
        <w:tc>
          <w:tcPr>
            <w:tcW w:w="5" w:type="pct"/>
            <w:shd w:val="clear" w:color="auto" w:fill="auto"/>
            <w:vAlign w:val="bottom"/>
          </w:tcPr>
          <w:p w14:paraId="518B6FB6" w14:textId="77777777" w:rsidR="005C332D" w:rsidRDefault="005C332D">
            <w:pPr>
              <w:rPr>
                <w:rFonts w:ascii="宋体"/>
              </w:rPr>
            </w:pPr>
          </w:p>
        </w:tc>
        <w:tc>
          <w:tcPr>
            <w:tcW w:w="5" w:type="pct"/>
            <w:shd w:val="clear" w:color="auto" w:fill="auto"/>
            <w:vAlign w:val="bottom"/>
          </w:tcPr>
          <w:p w14:paraId="518B6FB7" w14:textId="77777777" w:rsidR="005C332D" w:rsidRDefault="005C332D">
            <w:pPr>
              <w:rPr>
                <w:rFonts w:ascii="宋体"/>
              </w:rPr>
            </w:pPr>
          </w:p>
        </w:tc>
        <w:tc>
          <w:tcPr>
            <w:tcW w:w="26" w:type="pct"/>
            <w:shd w:val="clear" w:color="auto" w:fill="auto"/>
            <w:vAlign w:val="bottom"/>
          </w:tcPr>
          <w:p w14:paraId="518B6FB8" w14:textId="77777777" w:rsidR="005C332D" w:rsidRDefault="005C332D">
            <w:pPr>
              <w:rPr>
                <w:rFonts w:ascii="宋体"/>
              </w:rPr>
            </w:pPr>
          </w:p>
        </w:tc>
        <w:tc>
          <w:tcPr>
            <w:tcW w:w="5" w:type="pct"/>
            <w:shd w:val="clear" w:color="auto" w:fill="auto"/>
            <w:vAlign w:val="bottom"/>
          </w:tcPr>
          <w:p w14:paraId="518B6FB9" w14:textId="77777777" w:rsidR="005C332D" w:rsidRDefault="005C332D">
            <w:pPr>
              <w:rPr>
                <w:rFonts w:ascii="宋体"/>
              </w:rPr>
            </w:pPr>
          </w:p>
        </w:tc>
        <w:tc>
          <w:tcPr>
            <w:tcW w:w="50" w:type="pct"/>
            <w:shd w:val="clear" w:color="auto" w:fill="auto"/>
            <w:vAlign w:val="bottom"/>
          </w:tcPr>
          <w:p w14:paraId="518B6FBA" w14:textId="77777777" w:rsidR="005C332D" w:rsidRDefault="005C332D">
            <w:pPr>
              <w:rPr>
                <w:rFonts w:ascii="宋体"/>
              </w:rPr>
            </w:pPr>
          </w:p>
        </w:tc>
        <w:tc>
          <w:tcPr>
            <w:tcW w:w="599" w:type="pct"/>
            <w:shd w:val="clear" w:color="auto" w:fill="auto"/>
            <w:vAlign w:val="bottom"/>
          </w:tcPr>
          <w:p w14:paraId="518B6FBB" w14:textId="77777777" w:rsidR="005C332D" w:rsidRDefault="005C332D">
            <w:pPr>
              <w:rPr>
                <w:rFonts w:ascii="宋体"/>
              </w:rPr>
            </w:pPr>
          </w:p>
        </w:tc>
        <w:tc>
          <w:tcPr>
            <w:tcW w:w="5" w:type="pct"/>
            <w:shd w:val="clear" w:color="auto" w:fill="auto"/>
            <w:vAlign w:val="bottom"/>
          </w:tcPr>
          <w:p w14:paraId="518B6FBC" w14:textId="77777777" w:rsidR="005C332D" w:rsidRDefault="005C332D">
            <w:pPr>
              <w:rPr>
                <w:rFonts w:ascii="宋体"/>
              </w:rPr>
            </w:pPr>
          </w:p>
        </w:tc>
        <w:tc>
          <w:tcPr>
            <w:tcW w:w="5" w:type="pct"/>
            <w:shd w:val="clear" w:color="auto" w:fill="auto"/>
            <w:vAlign w:val="bottom"/>
          </w:tcPr>
          <w:p w14:paraId="518B6FBD" w14:textId="77777777" w:rsidR="005C332D" w:rsidRDefault="005C332D">
            <w:pPr>
              <w:rPr>
                <w:rFonts w:ascii="宋体"/>
              </w:rPr>
            </w:pPr>
          </w:p>
        </w:tc>
        <w:tc>
          <w:tcPr>
            <w:tcW w:w="26" w:type="pct"/>
            <w:shd w:val="clear" w:color="auto" w:fill="auto"/>
            <w:vAlign w:val="bottom"/>
          </w:tcPr>
          <w:p w14:paraId="518B6FBE" w14:textId="77777777" w:rsidR="005C332D" w:rsidRDefault="005C332D">
            <w:pPr>
              <w:rPr>
                <w:rFonts w:ascii="宋体"/>
              </w:rPr>
            </w:pPr>
          </w:p>
        </w:tc>
        <w:tc>
          <w:tcPr>
            <w:tcW w:w="5" w:type="pct"/>
            <w:shd w:val="clear" w:color="auto" w:fill="auto"/>
            <w:vAlign w:val="bottom"/>
          </w:tcPr>
          <w:p w14:paraId="518B6FBF" w14:textId="77777777" w:rsidR="005C332D" w:rsidRDefault="005C332D">
            <w:pPr>
              <w:rPr>
                <w:rFonts w:ascii="宋体"/>
              </w:rPr>
            </w:pPr>
          </w:p>
        </w:tc>
        <w:tc>
          <w:tcPr>
            <w:tcW w:w="50" w:type="pct"/>
            <w:shd w:val="clear" w:color="auto" w:fill="auto"/>
            <w:vAlign w:val="bottom"/>
          </w:tcPr>
          <w:p w14:paraId="518B6FC0" w14:textId="77777777" w:rsidR="005C332D" w:rsidRDefault="005C332D">
            <w:pPr>
              <w:rPr>
                <w:rFonts w:ascii="宋体"/>
              </w:rPr>
            </w:pPr>
          </w:p>
        </w:tc>
        <w:tc>
          <w:tcPr>
            <w:tcW w:w="599" w:type="pct"/>
            <w:shd w:val="clear" w:color="auto" w:fill="auto"/>
            <w:vAlign w:val="bottom"/>
          </w:tcPr>
          <w:p w14:paraId="518B6FC1" w14:textId="77777777" w:rsidR="005C332D" w:rsidRDefault="005C332D">
            <w:pPr>
              <w:rPr>
                <w:rFonts w:ascii="宋体"/>
              </w:rPr>
            </w:pPr>
          </w:p>
        </w:tc>
        <w:tc>
          <w:tcPr>
            <w:tcW w:w="5" w:type="pct"/>
            <w:shd w:val="clear" w:color="auto" w:fill="auto"/>
            <w:vAlign w:val="bottom"/>
          </w:tcPr>
          <w:p w14:paraId="518B6FC2" w14:textId="77777777" w:rsidR="005C332D" w:rsidRDefault="005C332D">
            <w:pPr>
              <w:rPr>
                <w:rFonts w:ascii="宋体"/>
              </w:rPr>
            </w:pPr>
          </w:p>
        </w:tc>
      </w:tr>
      <w:tr w:rsidR="005C332D" w14:paraId="518B6FCC" w14:textId="77777777">
        <w:tc>
          <w:tcPr>
            <w:tcW w:w="0" w:type="auto"/>
            <w:gridSpan w:val="3"/>
            <w:shd w:val="clear" w:color="auto" w:fill="auto"/>
            <w:tcMar>
              <w:top w:w="40" w:type="dxa"/>
              <w:left w:w="20" w:type="dxa"/>
              <w:bottom w:w="40" w:type="dxa"/>
              <w:right w:w="20" w:type="dxa"/>
            </w:tcMar>
            <w:vAlign w:val="bottom"/>
          </w:tcPr>
          <w:p w14:paraId="518B6FC4" w14:textId="77777777" w:rsidR="005C332D" w:rsidRDefault="00B93EAE">
            <w:pPr>
              <w:textAlignment w:val="bottom"/>
            </w:pPr>
            <w:r>
              <w:rPr>
                <w:rFonts w:ascii="Times New Roman" w:eastAsia="宋体" w:hAnsi="Times New Roman"/>
                <w:b/>
                <w:bCs/>
                <w:color w:val="000000"/>
                <w:sz w:val="16"/>
                <w:szCs w:val="16"/>
                <w:u w:val="single"/>
              </w:rPr>
              <w:t>July 30, 2022</w:t>
            </w:r>
          </w:p>
        </w:tc>
        <w:tc>
          <w:tcPr>
            <w:tcW w:w="0" w:type="auto"/>
            <w:gridSpan w:val="3"/>
            <w:shd w:val="clear" w:color="auto" w:fill="auto"/>
            <w:tcMar>
              <w:top w:w="40" w:type="dxa"/>
              <w:left w:w="20" w:type="dxa"/>
              <w:bottom w:w="40" w:type="dxa"/>
              <w:right w:w="20" w:type="dxa"/>
            </w:tcMar>
            <w:vAlign w:val="bottom"/>
          </w:tcPr>
          <w:p w14:paraId="518B6FC5" w14:textId="77777777" w:rsidR="005C332D" w:rsidRDefault="00B93EAE">
            <w:pPr>
              <w:jc w:val="center"/>
              <w:textAlignment w:val="bottom"/>
            </w:pPr>
            <w:r>
              <w:rPr>
                <w:rFonts w:ascii="Times New Roman" w:eastAsia="宋体" w:hAnsi="Times New Roman"/>
                <w:b/>
                <w:bCs/>
                <w:color w:val="000000"/>
                <w:sz w:val="16"/>
                <w:szCs w:val="16"/>
              </w:rPr>
              <w:t>Amortized</w:t>
            </w:r>
            <w:r>
              <w:rPr>
                <w:rFonts w:ascii="Times New Roman" w:eastAsia="宋体" w:hAnsi="Times New Roman"/>
                <w:b/>
                <w:bCs/>
                <w:color w:val="000000"/>
                <w:sz w:val="16"/>
                <w:szCs w:val="16"/>
              </w:rPr>
              <w:br/>
              <w:t>Cost</w:t>
            </w:r>
          </w:p>
        </w:tc>
        <w:tc>
          <w:tcPr>
            <w:tcW w:w="0" w:type="auto"/>
            <w:gridSpan w:val="3"/>
            <w:shd w:val="clear" w:color="auto" w:fill="auto"/>
            <w:tcMar>
              <w:top w:w="0" w:type="dxa"/>
              <w:left w:w="20" w:type="dxa"/>
              <w:bottom w:w="0" w:type="dxa"/>
              <w:right w:w="20" w:type="dxa"/>
            </w:tcMar>
            <w:vAlign w:val="bottom"/>
          </w:tcPr>
          <w:p w14:paraId="518B6FC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FC7" w14:textId="77777777" w:rsidR="005C332D" w:rsidRDefault="00B93EAE">
            <w:pPr>
              <w:jc w:val="center"/>
              <w:textAlignment w:val="bottom"/>
            </w:pPr>
            <w:r>
              <w:rPr>
                <w:rFonts w:ascii="Times New Roman" w:eastAsia="宋体" w:hAnsi="Times New Roman"/>
                <w:b/>
                <w:bCs/>
                <w:color w:val="000000"/>
                <w:sz w:val="16"/>
                <w:szCs w:val="16"/>
              </w:rPr>
              <w:t>Gross</w:t>
            </w:r>
            <w:r>
              <w:rPr>
                <w:rFonts w:ascii="Times New Roman" w:eastAsia="宋体" w:hAnsi="Times New Roman"/>
                <w:b/>
                <w:bCs/>
                <w:color w:val="000000"/>
                <w:sz w:val="16"/>
                <w:szCs w:val="16"/>
              </w:rPr>
              <w:br/>
              <w:t>Unrealized</w:t>
            </w:r>
            <w:r>
              <w:rPr>
                <w:rFonts w:ascii="Times New Roman" w:eastAsia="宋体" w:hAnsi="Times New Roman"/>
                <w:b/>
                <w:bCs/>
                <w:color w:val="000000"/>
                <w:sz w:val="16"/>
                <w:szCs w:val="16"/>
              </w:rPr>
              <w:br/>
              <w:t>Gains</w:t>
            </w:r>
          </w:p>
        </w:tc>
        <w:tc>
          <w:tcPr>
            <w:tcW w:w="0" w:type="auto"/>
            <w:gridSpan w:val="3"/>
            <w:shd w:val="clear" w:color="auto" w:fill="auto"/>
            <w:tcMar>
              <w:top w:w="0" w:type="dxa"/>
              <w:left w:w="20" w:type="dxa"/>
              <w:bottom w:w="0" w:type="dxa"/>
              <w:right w:w="20" w:type="dxa"/>
            </w:tcMar>
            <w:vAlign w:val="bottom"/>
          </w:tcPr>
          <w:p w14:paraId="518B6FC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FC9" w14:textId="77777777" w:rsidR="005C332D" w:rsidRDefault="00B93EAE">
            <w:pPr>
              <w:jc w:val="center"/>
              <w:textAlignment w:val="bottom"/>
            </w:pPr>
            <w:r>
              <w:rPr>
                <w:rFonts w:ascii="Times New Roman" w:eastAsia="宋体" w:hAnsi="Times New Roman"/>
                <w:b/>
                <w:bCs/>
                <w:color w:val="000000"/>
                <w:sz w:val="16"/>
                <w:szCs w:val="16"/>
              </w:rPr>
              <w:t>Gross</w:t>
            </w:r>
            <w:r>
              <w:rPr>
                <w:rFonts w:ascii="Times New Roman" w:eastAsia="宋体" w:hAnsi="Times New Roman"/>
                <w:b/>
                <w:bCs/>
                <w:color w:val="000000"/>
                <w:sz w:val="16"/>
                <w:szCs w:val="16"/>
              </w:rPr>
              <w:br/>
              <w:t>Unrealized and Credit Losses</w:t>
            </w:r>
          </w:p>
        </w:tc>
        <w:tc>
          <w:tcPr>
            <w:tcW w:w="0" w:type="auto"/>
            <w:gridSpan w:val="3"/>
            <w:shd w:val="clear" w:color="auto" w:fill="auto"/>
            <w:tcMar>
              <w:top w:w="0" w:type="dxa"/>
              <w:left w:w="20" w:type="dxa"/>
              <w:bottom w:w="0" w:type="dxa"/>
              <w:right w:w="20" w:type="dxa"/>
            </w:tcMar>
            <w:vAlign w:val="bottom"/>
          </w:tcPr>
          <w:p w14:paraId="518B6FC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6FCB" w14:textId="77777777" w:rsidR="005C332D" w:rsidRDefault="00B93EAE">
            <w:pPr>
              <w:jc w:val="center"/>
              <w:textAlignment w:val="bottom"/>
            </w:pPr>
            <w:r>
              <w:rPr>
                <w:rFonts w:ascii="Times New Roman" w:eastAsia="宋体" w:hAnsi="Times New Roman"/>
                <w:b/>
                <w:bCs/>
                <w:color w:val="000000"/>
                <w:sz w:val="16"/>
                <w:szCs w:val="16"/>
              </w:rPr>
              <w:t>Fair</w:t>
            </w:r>
            <w:r>
              <w:rPr>
                <w:rFonts w:ascii="Times New Roman" w:eastAsia="宋体" w:hAnsi="Times New Roman"/>
                <w:b/>
                <w:bCs/>
                <w:color w:val="000000"/>
                <w:sz w:val="16"/>
                <w:szCs w:val="16"/>
              </w:rPr>
              <w:br/>
              <w:t>Value</w:t>
            </w:r>
          </w:p>
        </w:tc>
      </w:tr>
      <w:tr w:rsidR="005C332D" w14:paraId="518B6FDD" w14:textId="77777777">
        <w:tc>
          <w:tcPr>
            <w:tcW w:w="0" w:type="auto"/>
            <w:gridSpan w:val="3"/>
            <w:shd w:val="clear" w:color="auto" w:fill="CCEEFF"/>
            <w:tcMar>
              <w:top w:w="40" w:type="dxa"/>
              <w:left w:w="20" w:type="dxa"/>
              <w:bottom w:w="40" w:type="dxa"/>
              <w:right w:w="20" w:type="dxa"/>
            </w:tcMar>
          </w:tcPr>
          <w:p w14:paraId="518B6FCD" w14:textId="77777777" w:rsidR="005C332D" w:rsidRDefault="00B93EAE">
            <w:pPr>
              <w:ind w:firstLine="360"/>
              <w:textAlignment w:val="top"/>
            </w:pPr>
            <w:r>
              <w:rPr>
                <w:rFonts w:ascii="Times New Roman" w:eastAsia="宋体" w:hAnsi="Times New Roman"/>
                <w:b/>
                <w:bCs/>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6FC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FCF" w14:textId="77777777" w:rsidR="005C332D" w:rsidRDefault="00B93EAE">
            <w:pPr>
              <w:jc w:val="right"/>
              <w:textAlignment w:val="bottom"/>
            </w:pPr>
            <w:r>
              <w:rPr>
                <w:rFonts w:ascii="Times New Roman" w:eastAsia="宋体" w:hAnsi="Times New Roman"/>
                <w:b/>
                <w:bCs/>
                <w:color w:val="000000"/>
                <w:sz w:val="20"/>
                <w:szCs w:val="20"/>
              </w:rPr>
              <w:t>1,287</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FD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D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FD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FD3"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FD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D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FD6"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FD7" w14:textId="77777777" w:rsidR="005C332D" w:rsidRDefault="00B93EAE">
            <w:pPr>
              <w:jc w:val="right"/>
              <w:textAlignment w:val="bottom"/>
            </w:pPr>
            <w:r>
              <w:rPr>
                <w:rFonts w:ascii="Times New Roman" w:eastAsia="宋体" w:hAnsi="Times New Roman"/>
                <w:b/>
                <w:bCs/>
                <w:color w:val="000000"/>
                <w:sz w:val="20"/>
                <w:szCs w:val="20"/>
              </w:rPr>
              <w:t>(49)</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FD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D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6FD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6FDB" w14:textId="77777777" w:rsidR="005C332D" w:rsidRDefault="00B93EAE">
            <w:pPr>
              <w:jc w:val="right"/>
              <w:textAlignment w:val="bottom"/>
            </w:pPr>
            <w:r>
              <w:rPr>
                <w:rFonts w:ascii="Times New Roman" w:eastAsia="宋体" w:hAnsi="Times New Roman"/>
                <w:b/>
                <w:bCs/>
                <w:color w:val="000000"/>
                <w:sz w:val="20"/>
                <w:szCs w:val="20"/>
              </w:rPr>
              <w:t>1,238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6FDC" w14:textId="77777777" w:rsidR="005C332D" w:rsidRDefault="005C332D">
            <w:pPr>
              <w:jc w:val="right"/>
              <w:rPr>
                <w:rFonts w:ascii="宋体"/>
              </w:rPr>
            </w:pPr>
          </w:p>
        </w:tc>
      </w:tr>
      <w:tr w:rsidR="005C332D" w14:paraId="518B6FEA" w14:textId="77777777">
        <w:tc>
          <w:tcPr>
            <w:tcW w:w="0" w:type="auto"/>
            <w:gridSpan w:val="3"/>
            <w:shd w:val="clear" w:color="auto" w:fill="FFFFFF"/>
            <w:tcMar>
              <w:top w:w="40" w:type="dxa"/>
              <w:left w:w="380" w:type="dxa"/>
              <w:bottom w:w="40" w:type="dxa"/>
              <w:right w:w="20" w:type="dxa"/>
            </w:tcMar>
            <w:vAlign w:val="bottom"/>
          </w:tcPr>
          <w:p w14:paraId="518B6FDE" w14:textId="77777777" w:rsidR="005C332D" w:rsidRDefault="00B93EAE">
            <w:pPr>
              <w:textAlignment w:val="bottom"/>
            </w:pPr>
            <w:r>
              <w:rPr>
                <w:rFonts w:ascii="Times New Roman" w:eastAsia="宋体" w:hAnsi="Times New Roman"/>
                <w:b/>
                <w:bCs/>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518B6FDF" w14:textId="77777777" w:rsidR="005C332D" w:rsidRDefault="00B93EAE">
            <w:pPr>
              <w:jc w:val="right"/>
              <w:textAlignment w:val="bottom"/>
            </w:pPr>
            <w:r>
              <w:rPr>
                <w:rFonts w:ascii="Times New Roman" w:eastAsia="宋体" w:hAnsi="Times New Roman"/>
                <w:b/>
                <w:bCs/>
                <w:color w:val="000000"/>
                <w:sz w:val="20"/>
                <w:szCs w:val="20"/>
              </w:rPr>
              <w:t>142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FE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FE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FE2"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FE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FE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FE5" w14:textId="77777777" w:rsidR="005C332D" w:rsidRDefault="00B93EAE">
            <w:pPr>
              <w:jc w:val="right"/>
              <w:textAlignment w:val="bottom"/>
            </w:pPr>
            <w:r>
              <w:rPr>
                <w:rFonts w:ascii="Times New Roman" w:eastAsia="宋体" w:hAnsi="Times New Roman"/>
                <w:b/>
                <w:bCs/>
                <w:color w:val="000000"/>
                <w:sz w:val="20"/>
                <w:szCs w:val="20"/>
              </w:rPr>
              <w:t>(4)</w:t>
            </w:r>
          </w:p>
        </w:tc>
        <w:tc>
          <w:tcPr>
            <w:tcW w:w="0" w:type="auto"/>
            <w:shd w:val="clear" w:color="auto" w:fill="FFFFFF"/>
            <w:tcMar>
              <w:top w:w="40" w:type="dxa"/>
              <w:left w:w="0" w:type="dxa"/>
              <w:bottom w:w="40" w:type="dxa"/>
              <w:right w:w="20" w:type="dxa"/>
            </w:tcMar>
            <w:vAlign w:val="bottom"/>
          </w:tcPr>
          <w:p w14:paraId="518B6FE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FE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FE8" w14:textId="77777777" w:rsidR="005C332D" w:rsidRDefault="00B93EAE">
            <w:pPr>
              <w:jc w:val="right"/>
              <w:textAlignment w:val="bottom"/>
            </w:pPr>
            <w:r>
              <w:rPr>
                <w:rFonts w:ascii="Times New Roman" w:eastAsia="宋体" w:hAnsi="Times New Roman"/>
                <w:b/>
                <w:bCs/>
                <w:color w:val="000000"/>
                <w:sz w:val="20"/>
                <w:szCs w:val="20"/>
              </w:rPr>
              <w:t>138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FE9" w14:textId="77777777" w:rsidR="005C332D" w:rsidRDefault="005C332D">
            <w:pPr>
              <w:jc w:val="right"/>
              <w:rPr>
                <w:rFonts w:ascii="宋体"/>
              </w:rPr>
            </w:pPr>
          </w:p>
        </w:tc>
      </w:tr>
      <w:tr w:rsidR="005C332D" w14:paraId="518B6FF7" w14:textId="77777777">
        <w:tc>
          <w:tcPr>
            <w:tcW w:w="0" w:type="auto"/>
            <w:gridSpan w:val="3"/>
            <w:shd w:val="clear" w:color="auto" w:fill="CCEEFF"/>
            <w:tcMar>
              <w:top w:w="40" w:type="dxa"/>
              <w:left w:w="380" w:type="dxa"/>
              <w:bottom w:w="40" w:type="dxa"/>
              <w:right w:w="20" w:type="dxa"/>
            </w:tcMar>
            <w:vAlign w:val="bottom"/>
          </w:tcPr>
          <w:p w14:paraId="518B6FEB" w14:textId="77777777" w:rsidR="005C332D" w:rsidRDefault="00B93EAE">
            <w:pPr>
              <w:textAlignment w:val="bottom"/>
            </w:pPr>
            <w:r>
              <w:rPr>
                <w:rFonts w:ascii="Times New Roman" w:eastAsia="宋体" w:hAnsi="Times New Roman"/>
                <w:b/>
                <w:bCs/>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518B6FEC" w14:textId="77777777" w:rsidR="005C332D" w:rsidRDefault="00B93EAE">
            <w:pPr>
              <w:jc w:val="right"/>
              <w:textAlignment w:val="bottom"/>
            </w:pPr>
            <w:r>
              <w:rPr>
                <w:rFonts w:ascii="Times New Roman" w:eastAsia="宋体" w:hAnsi="Times New Roman"/>
                <w:b/>
                <w:bCs/>
                <w:color w:val="000000"/>
                <w:sz w:val="20"/>
                <w:szCs w:val="20"/>
              </w:rPr>
              <w:t>272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FE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E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FEF"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FF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F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FF2"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FF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6FF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6FF5" w14:textId="77777777" w:rsidR="005C332D" w:rsidRDefault="00B93EAE">
            <w:pPr>
              <w:jc w:val="right"/>
              <w:textAlignment w:val="bottom"/>
            </w:pPr>
            <w:r>
              <w:rPr>
                <w:rFonts w:ascii="Times New Roman" w:eastAsia="宋体" w:hAnsi="Times New Roman"/>
                <w:b/>
                <w:bCs/>
                <w:color w:val="000000"/>
                <w:sz w:val="20"/>
                <w:szCs w:val="20"/>
              </w:rPr>
              <w:t>272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6FF6" w14:textId="77777777" w:rsidR="005C332D" w:rsidRDefault="005C332D">
            <w:pPr>
              <w:jc w:val="right"/>
              <w:rPr>
                <w:rFonts w:ascii="宋体"/>
              </w:rPr>
            </w:pPr>
          </w:p>
        </w:tc>
      </w:tr>
      <w:tr w:rsidR="005C332D" w14:paraId="518B7004" w14:textId="77777777">
        <w:tc>
          <w:tcPr>
            <w:tcW w:w="0" w:type="auto"/>
            <w:gridSpan w:val="3"/>
            <w:shd w:val="clear" w:color="auto" w:fill="FFFFFF"/>
            <w:tcMar>
              <w:top w:w="40" w:type="dxa"/>
              <w:left w:w="380" w:type="dxa"/>
              <w:bottom w:w="40" w:type="dxa"/>
              <w:right w:w="20" w:type="dxa"/>
            </w:tcMar>
            <w:vAlign w:val="bottom"/>
          </w:tcPr>
          <w:p w14:paraId="518B6FF8" w14:textId="77777777" w:rsidR="005C332D" w:rsidRDefault="00B93EAE">
            <w:pPr>
              <w:textAlignment w:val="bottom"/>
            </w:pPr>
            <w:r>
              <w:rPr>
                <w:rFonts w:ascii="Times New Roman" w:eastAsia="宋体" w:hAnsi="Times New Roman"/>
                <w:b/>
                <w:bCs/>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518B6FF9" w14:textId="77777777" w:rsidR="005C332D" w:rsidRDefault="00B93EAE">
            <w:pPr>
              <w:jc w:val="right"/>
              <w:textAlignment w:val="bottom"/>
            </w:pPr>
            <w:r>
              <w:rPr>
                <w:rFonts w:ascii="Times New Roman" w:eastAsia="宋体" w:hAnsi="Times New Roman"/>
                <w:b/>
                <w:bCs/>
                <w:color w:val="000000"/>
                <w:sz w:val="20"/>
                <w:szCs w:val="20"/>
              </w:rPr>
              <w:t>8,127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FF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FF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FFC" w14:textId="77777777" w:rsidR="005C332D" w:rsidRDefault="00B93EAE">
            <w:pPr>
              <w:jc w:val="right"/>
              <w:textAlignment w:val="bottom"/>
            </w:pPr>
            <w:r>
              <w:rPr>
                <w:rFonts w:ascii="Times New Roman" w:eastAsia="宋体" w:hAnsi="Times New Roman"/>
                <w:b/>
                <w:bCs/>
                <w:color w:val="000000"/>
                <w:sz w:val="20"/>
                <w:szCs w:val="20"/>
              </w:rPr>
              <w:t>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6FF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6FF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6FFF" w14:textId="77777777" w:rsidR="005C332D" w:rsidRDefault="00B93EAE">
            <w:pPr>
              <w:jc w:val="right"/>
              <w:textAlignment w:val="bottom"/>
            </w:pPr>
            <w:r>
              <w:rPr>
                <w:rFonts w:ascii="Times New Roman" w:eastAsia="宋体" w:hAnsi="Times New Roman"/>
                <w:b/>
                <w:bCs/>
                <w:color w:val="000000"/>
                <w:sz w:val="20"/>
                <w:szCs w:val="20"/>
              </w:rPr>
              <w:t>(311)</w:t>
            </w:r>
          </w:p>
        </w:tc>
        <w:tc>
          <w:tcPr>
            <w:tcW w:w="0" w:type="auto"/>
            <w:shd w:val="clear" w:color="auto" w:fill="FFFFFF"/>
            <w:tcMar>
              <w:top w:w="40" w:type="dxa"/>
              <w:left w:w="0" w:type="dxa"/>
              <w:bottom w:w="40" w:type="dxa"/>
              <w:right w:w="20" w:type="dxa"/>
            </w:tcMar>
            <w:vAlign w:val="bottom"/>
          </w:tcPr>
          <w:p w14:paraId="518B700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0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02" w14:textId="77777777" w:rsidR="005C332D" w:rsidRDefault="00B93EAE">
            <w:pPr>
              <w:jc w:val="right"/>
              <w:textAlignment w:val="bottom"/>
            </w:pPr>
            <w:r>
              <w:rPr>
                <w:rFonts w:ascii="Times New Roman" w:eastAsia="宋体" w:hAnsi="Times New Roman"/>
                <w:b/>
                <w:bCs/>
                <w:color w:val="000000"/>
                <w:sz w:val="20"/>
                <w:szCs w:val="20"/>
              </w:rPr>
              <w:t>7,818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003" w14:textId="77777777" w:rsidR="005C332D" w:rsidRDefault="005C332D">
            <w:pPr>
              <w:jc w:val="right"/>
              <w:rPr>
                <w:rFonts w:ascii="宋体"/>
              </w:rPr>
            </w:pPr>
          </w:p>
        </w:tc>
      </w:tr>
      <w:tr w:rsidR="005C332D" w14:paraId="518B7011" w14:textId="77777777">
        <w:tc>
          <w:tcPr>
            <w:tcW w:w="0" w:type="auto"/>
            <w:gridSpan w:val="3"/>
            <w:shd w:val="clear" w:color="auto" w:fill="CCEEFF"/>
            <w:tcMar>
              <w:top w:w="40" w:type="dxa"/>
              <w:left w:w="380" w:type="dxa"/>
              <w:bottom w:w="40" w:type="dxa"/>
              <w:right w:w="20" w:type="dxa"/>
            </w:tcMar>
          </w:tcPr>
          <w:p w14:paraId="518B7005" w14:textId="77777777" w:rsidR="005C332D" w:rsidRDefault="00B93EAE">
            <w:pPr>
              <w:textAlignment w:val="top"/>
            </w:pPr>
            <w:r>
              <w:rPr>
                <w:rFonts w:ascii="Times New Roman" w:eastAsia="宋体" w:hAnsi="Times New Roman"/>
                <w:b/>
                <w:bCs/>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518B7006" w14:textId="77777777" w:rsidR="005C332D" w:rsidRDefault="00B93EAE">
            <w:pPr>
              <w:jc w:val="right"/>
              <w:textAlignment w:val="bottom"/>
            </w:pPr>
            <w:r>
              <w:rPr>
                <w:rFonts w:ascii="Times New Roman" w:eastAsia="宋体" w:hAnsi="Times New Roman"/>
                <w:b/>
                <w:bCs/>
                <w:color w:val="000000"/>
                <w:sz w:val="20"/>
                <w:szCs w:val="20"/>
              </w:rPr>
              <w:t>2,134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0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0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09"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0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0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0C" w14:textId="77777777" w:rsidR="005C332D" w:rsidRDefault="00B93EAE">
            <w:pPr>
              <w:jc w:val="right"/>
              <w:textAlignment w:val="bottom"/>
            </w:pPr>
            <w:r>
              <w:rPr>
                <w:rFonts w:ascii="Times New Roman" w:eastAsia="宋体" w:hAnsi="Times New Roman"/>
                <w:b/>
                <w:bCs/>
                <w:color w:val="000000"/>
                <w:sz w:val="20"/>
                <w:szCs w:val="20"/>
              </w:rPr>
              <w:t>(158)</w:t>
            </w:r>
          </w:p>
        </w:tc>
        <w:tc>
          <w:tcPr>
            <w:tcW w:w="0" w:type="auto"/>
            <w:shd w:val="clear" w:color="auto" w:fill="CCEEFF"/>
            <w:tcMar>
              <w:top w:w="40" w:type="dxa"/>
              <w:left w:w="0" w:type="dxa"/>
              <w:bottom w:w="40" w:type="dxa"/>
              <w:right w:w="20" w:type="dxa"/>
            </w:tcMar>
            <w:vAlign w:val="bottom"/>
          </w:tcPr>
          <w:p w14:paraId="518B700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0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0F" w14:textId="77777777" w:rsidR="005C332D" w:rsidRDefault="00B93EAE">
            <w:pPr>
              <w:jc w:val="right"/>
              <w:textAlignment w:val="bottom"/>
            </w:pPr>
            <w:r>
              <w:rPr>
                <w:rFonts w:ascii="Times New Roman" w:eastAsia="宋体" w:hAnsi="Times New Roman"/>
                <w:b/>
                <w:bCs/>
                <w:color w:val="000000"/>
                <w:sz w:val="20"/>
                <w:szCs w:val="20"/>
              </w:rPr>
              <w:t>1,976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10" w14:textId="77777777" w:rsidR="005C332D" w:rsidRDefault="005C332D">
            <w:pPr>
              <w:jc w:val="right"/>
              <w:rPr>
                <w:rFonts w:ascii="宋体"/>
              </w:rPr>
            </w:pPr>
          </w:p>
        </w:tc>
      </w:tr>
      <w:tr w:rsidR="005C332D" w14:paraId="518B701E" w14:textId="77777777">
        <w:tc>
          <w:tcPr>
            <w:tcW w:w="0" w:type="auto"/>
            <w:gridSpan w:val="3"/>
            <w:shd w:val="clear" w:color="auto" w:fill="FFFFFF"/>
            <w:tcMar>
              <w:top w:w="40" w:type="dxa"/>
              <w:left w:w="380" w:type="dxa"/>
              <w:bottom w:w="40" w:type="dxa"/>
              <w:right w:w="20" w:type="dxa"/>
            </w:tcMar>
          </w:tcPr>
          <w:p w14:paraId="518B7012" w14:textId="77777777" w:rsidR="005C332D" w:rsidRDefault="00B93EAE">
            <w:pPr>
              <w:textAlignment w:val="top"/>
            </w:pPr>
            <w:r>
              <w:rPr>
                <w:rFonts w:ascii="Times New Roman" w:eastAsia="宋体" w:hAnsi="Times New Roman"/>
                <w:b/>
                <w:bCs/>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518B7013" w14:textId="77777777" w:rsidR="005C332D" w:rsidRDefault="00B93EAE">
            <w:pPr>
              <w:jc w:val="right"/>
              <w:textAlignment w:val="bottom"/>
            </w:pPr>
            <w:r>
              <w:rPr>
                <w:rFonts w:ascii="Times New Roman" w:eastAsia="宋体" w:hAnsi="Times New Roman"/>
                <w:b/>
                <w:bCs/>
                <w:color w:val="000000"/>
                <w:sz w:val="20"/>
                <w:szCs w:val="20"/>
              </w:rPr>
              <w:t>255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01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1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16"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01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1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19"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01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1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1C" w14:textId="77777777" w:rsidR="005C332D" w:rsidRDefault="00B93EAE">
            <w:pPr>
              <w:jc w:val="right"/>
              <w:textAlignment w:val="bottom"/>
            </w:pPr>
            <w:r>
              <w:rPr>
                <w:rFonts w:ascii="Times New Roman" w:eastAsia="宋体" w:hAnsi="Times New Roman"/>
                <w:b/>
                <w:bCs/>
                <w:color w:val="000000"/>
                <w:sz w:val="20"/>
                <w:szCs w:val="20"/>
              </w:rPr>
              <w:t>255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01D" w14:textId="77777777" w:rsidR="005C332D" w:rsidRDefault="005C332D">
            <w:pPr>
              <w:jc w:val="right"/>
              <w:rPr>
                <w:rFonts w:ascii="宋体"/>
              </w:rPr>
            </w:pPr>
          </w:p>
        </w:tc>
      </w:tr>
      <w:tr w:rsidR="005C332D" w14:paraId="518B702B" w14:textId="77777777">
        <w:tc>
          <w:tcPr>
            <w:tcW w:w="0" w:type="auto"/>
            <w:gridSpan w:val="3"/>
            <w:shd w:val="clear" w:color="auto" w:fill="CCEEFF"/>
            <w:tcMar>
              <w:top w:w="40" w:type="dxa"/>
              <w:left w:w="380" w:type="dxa"/>
              <w:bottom w:w="40" w:type="dxa"/>
              <w:right w:w="20" w:type="dxa"/>
            </w:tcMar>
          </w:tcPr>
          <w:p w14:paraId="518B701F" w14:textId="77777777" w:rsidR="005C332D" w:rsidRDefault="00B93EAE">
            <w:pPr>
              <w:textAlignment w:val="top"/>
            </w:pPr>
            <w:r>
              <w:rPr>
                <w:rFonts w:ascii="Times New Roman" w:eastAsia="宋体" w:hAnsi="Times New Roman"/>
                <w:b/>
                <w:bCs/>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518B7020" w14:textId="77777777" w:rsidR="005C332D" w:rsidRDefault="00B93EAE">
            <w:pPr>
              <w:jc w:val="right"/>
              <w:textAlignment w:val="bottom"/>
            </w:pPr>
            <w:r>
              <w:rPr>
                <w:rFonts w:ascii="Times New Roman" w:eastAsia="宋体" w:hAnsi="Times New Roman"/>
                <w:b/>
                <w:bCs/>
                <w:color w:val="000000"/>
                <w:sz w:val="20"/>
                <w:szCs w:val="20"/>
              </w:rPr>
              <w:t>250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2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2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23"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2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2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26"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2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2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29" w14:textId="77777777" w:rsidR="005C332D" w:rsidRDefault="00B93EAE">
            <w:pPr>
              <w:jc w:val="right"/>
              <w:textAlignment w:val="bottom"/>
            </w:pPr>
            <w:r>
              <w:rPr>
                <w:rFonts w:ascii="Times New Roman" w:eastAsia="宋体" w:hAnsi="Times New Roman"/>
                <w:b/>
                <w:bCs/>
                <w:color w:val="000000"/>
                <w:sz w:val="20"/>
                <w:szCs w:val="20"/>
              </w:rPr>
              <w:t>250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2A" w14:textId="77777777" w:rsidR="005C332D" w:rsidRDefault="005C332D">
            <w:pPr>
              <w:jc w:val="right"/>
              <w:rPr>
                <w:rFonts w:ascii="宋体"/>
              </w:rPr>
            </w:pPr>
          </w:p>
        </w:tc>
      </w:tr>
      <w:tr w:rsidR="005C332D" w14:paraId="518B703C" w14:textId="77777777">
        <w:tc>
          <w:tcPr>
            <w:tcW w:w="0" w:type="auto"/>
            <w:gridSpan w:val="3"/>
            <w:shd w:val="clear" w:color="auto" w:fill="FFFFFF"/>
            <w:tcMar>
              <w:top w:w="40" w:type="dxa"/>
              <w:left w:w="740" w:type="dxa"/>
              <w:bottom w:w="40" w:type="dxa"/>
              <w:right w:w="20" w:type="dxa"/>
            </w:tcMar>
          </w:tcPr>
          <w:p w14:paraId="518B702C" w14:textId="77777777" w:rsidR="005C332D" w:rsidRDefault="00B93EAE">
            <w:pPr>
              <w:textAlignment w:val="top"/>
            </w:pPr>
            <w:r>
              <w:rPr>
                <w:rFonts w:ascii="Times New Roman" w:eastAsia="宋体" w:hAnsi="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02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02E" w14:textId="77777777" w:rsidR="005C332D" w:rsidRDefault="00B93EAE">
            <w:pPr>
              <w:jc w:val="right"/>
              <w:textAlignment w:val="bottom"/>
            </w:pPr>
            <w:r>
              <w:rPr>
                <w:rFonts w:ascii="Times New Roman" w:eastAsia="宋体" w:hAnsi="Times New Roman"/>
                <w:b/>
                <w:bCs/>
                <w:color w:val="000000"/>
                <w:sz w:val="20"/>
                <w:szCs w:val="20"/>
              </w:rPr>
              <w:t>12,467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02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30"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03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032" w14:textId="77777777" w:rsidR="005C332D" w:rsidRDefault="00B93EAE">
            <w:pPr>
              <w:jc w:val="right"/>
              <w:textAlignment w:val="bottom"/>
            </w:pPr>
            <w:r>
              <w:rPr>
                <w:rFonts w:ascii="Times New Roman" w:eastAsia="宋体" w:hAnsi="Times New Roman"/>
                <w:b/>
                <w:bCs/>
                <w:color w:val="000000"/>
                <w:sz w:val="20"/>
                <w:szCs w:val="20"/>
              </w:rPr>
              <w:t>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03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34"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03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036" w14:textId="77777777" w:rsidR="005C332D" w:rsidRDefault="00B93EAE">
            <w:pPr>
              <w:jc w:val="right"/>
              <w:textAlignment w:val="bottom"/>
            </w:pPr>
            <w:r>
              <w:rPr>
                <w:rFonts w:ascii="Times New Roman" w:eastAsia="宋体" w:hAnsi="Times New Roman"/>
                <w:b/>
                <w:bCs/>
                <w:color w:val="000000"/>
                <w:sz w:val="20"/>
                <w:szCs w:val="20"/>
              </w:rPr>
              <w:t>(522)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03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38"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03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03A" w14:textId="77777777" w:rsidR="005C332D" w:rsidRDefault="00B93EAE">
            <w:pPr>
              <w:jc w:val="right"/>
              <w:textAlignment w:val="bottom"/>
            </w:pPr>
            <w:r>
              <w:rPr>
                <w:rFonts w:ascii="Times New Roman" w:eastAsia="宋体" w:hAnsi="Times New Roman"/>
                <w:b/>
                <w:bCs/>
                <w:color w:val="000000"/>
                <w:sz w:val="20"/>
                <w:szCs w:val="20"/>
              </w:rPr>
              <w:t>11,947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03B" w14:textId="77777777" w:rsidR="005C332D" w:rsidRDefault="005C332D">
            <w:pPr>
              <w:jc w:val="right"/>
              <w:rPr>
                <w:rFonts w:ascii="宋体"/>
              </w:rPr>
            </w:pPr>
          </w:p>
        </w:tc>
      </w:tr>
    </w:tbl>
    <w:p w14:paraId="518B703D" w14:textId="77777777" w:rsidR="005C332D" w:rsidRDefault="005C332D">
      <w:pPr>
        <w:spacing w:before="120"/>
      </w:pPr>
    </w:p>
    <w:p w14:paraId="518B703E" w14:textId="77777777" w:rsidR="005C332D" w:rsidRDefault="00B93EAE">
      <w:pPr>
        <w:jc w:val="center"/>
      </w:pPr>
      <w:r>
        <w:rPr>
          <w:rFonts w:ascii="Times New Roman" w:eastAsia="宋体" w:hAnsi="Times New Roman"/>
          <w:color w:val="000000"/>
          <w:sz w:val="20"/>
          <w:szCs w:val="20"/>
        </w:rPr>
        <w:t>81</w:t>
      </w:r>
    </w:p>
    <w:p w14:paraId="518B703F" w14:textId="77777777" w:rsidR="005C332D" w:rsidRDefault="00B93EAE">
      <w:r>
        <w:pict w14:anchorId="518B8766">
          <v:rect id="_x0000_i1107" style="width:415.3pt;height:1.5pt" o:hralign="center" o:hrstd="t" o:hr="t" fillcolor="#a0a0a0" stroked="f"/>
        </w:pict>
      </w:r>
    </w:p>
    <w:p w14:paraId="518B7040" w14:textId="77777777" w:rsidR="005C332D" w:rsidRDefault="005C332D"/>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3604"/>
        <w:gridCol w:w="38"/>
        <w:gridCol w:w="120"/>
        <w:gridCol w:w="931"/>
        <w:gridCol w:w="36"/>
        <w:gridCol w:w="36"/>
        <w:gridCol w:w="36"/>
        <w:gridCol w:w="36"/>
        <w:gridCol w:w="121"/>
        <w:gridCol w:w="900"/>
        <w:gridCol w:w="36"/>
        <w:gridCol w:w="36"/>
        <w:gridCol w:w="36"/>
        <w:gridCol w:w="36"/>
        <w:gridCol w:w="121"/>
        <w:gridCol w:w="900"/>
        <w:gridCol w:w="36"/>
        <w:gridCol w:w="36"/>
        <w:gridCol w:w="36"/>
        <w:gridCol w:w="36"/>
        <w:gridCol w:w="120"/>
        <w:gridCol w:w="900"/>
        <w:gridCol w:w="36"/>
      </w:tblGrid>
      <w:tr w:rsidR="005C332D" w14:paraId="518B7059" w14:textId="77777777">
        <w:trPr>
          <w:jc w:val="center"/>
        </w:trPr>
        <w:tc>
          <w:tcPr>
            <w:tcW w:w="50" w:type="pct"/>
            <w:shd w:val="clear" w:color="auto" w:fill="auto"/>
            <w:vAlign w:val="bottom"/>
          </w:tcPr>
          <w:p w14:paraId="518B7041" w14:textId="77777777" w:rsidR="005C332D" w:rsidRDefault="005C332D">
            <w:pPr>
              <w:rPr>
                <w:rFonts w:ascii="宋体"/>
              </w:rPr>
            </w:pPr>
          </w:p>
        </w:tc>
        <w:tc>
          <w:tcPr>
            <w:tcW w:w="2216" w:type="pct"/>
            <w:shd w:val="clear" w:color="auto" w:fill="auto"/>
            <w:vAlign w:val="bottom"/>
          </w:tcPr>
          <w:p w14:paraId="518B7042" w14:textId="77777777" w:rsidR="005C332D" w:rsidRDefault="005C332D">
            <w:pPr>
              <w:rPr>
                <w:rFonts w:ascii="宋体"/>
              </w:rPr>
            </w:pPr>
          </w:p>
        </w:tc>
        <w:tc>
          <w:tcPr>
            <w:tcW w:w="5" w:type="pct"/>
            <w:shd w:val="clear" w:color="auto" w:fill="auto"/>
            <w:vAlign w:val="bottom"/>
          </w:tcPr>
          <w:p w14:paraId="518B7043" w14:textId="77777777" w:rsidR="005C332D" w:rsidRDefault="005C332D">
            <w:pPr>
              <w:rPr>
                <w:rFonts w:ascii="宋体"/>
              </w:rPr>
            </w:pPr>
          </w:p>
        </w:tc>
        <w:tc>
          <w:tcPr>
            <w:tcW w:w="50" w:type="pct"/>
            <w:shd w:val="clear" w:color="auto" w:fill="auto"/>
            <w:vAlign w:val="bottom"/>
          </w:tcPr>
          <w:p w14:paraId="518B7044" w14:textId="77777777" w:rsidR="005C332D" w:rsidRDefault="005C332D">
            <w:pPr>
              <w:rPr>
                <w:rFonts w:ascii="宋体"/>
              </w:rPr>
            </w:pPr>
          </w:p>
        </w:tc>
        <w:tc>
          <w:tcPr>
            <w:tcW w:w="593" w:type="pct"/>
            <w:shd w:val="clear" w:color="auto" w:fill="auto"/>
            <w:vAlign w:val="bottom"/>
          </w:tcPr>
          <w:p w14:paraId="518B7045" w14:textId="77777777" w:rsidR="005C332D" w:rsidRDefault="005C332D">
            <w:pPr>
              <w:rPr>
                <w:rFonts w:ascii="宋体"/>
              </w:rPr>
            </w:pPr>
          </w:p>
        </w:tc>
        <w:tc>
          <w:tcPr>
            <w:tcW w:w="5" w:type="pct"/>
            <w:shd w:val="clear" w:color="auto" w:fill="auto"/>
            <w:vAlign w:val="bottom"/>
          </w:tcPr>
          <w:p w14:paraId="518B7046" w14:textId="77777777" w:rsidR="005C332D" w:rsidRDefault="005C332D">
            <w:pPr>
              <w:rPr>
                <w:rFonts w:ascii="宋体"/>
              </w:rPr>
            </w:pPr>
          </w:p>
        </w:tc>
        <w:tc>
          <w:tcPr>
            <w:tcW w:w="5" w:type="pct"/>
            <w:shd w:val="clear" w:color="auto" w:fill="auto"/>
            <w:vAlign w:val="bottom"/>
          </w:tcPr>
          <w:p w14:paraId="518B7047" w14:textId="77777777" w:rsidR="005C332D" w:rsidRDefault="005C332D">
            <w:pPr>
              <w:rPr>
                <w:rFonts w:ascii="宋体"/>
              </w:rPr>
            </w:pPr>
          </w:p>
        </w:tc>
        <w:tc>
          <w:tcPr>
            <w:tcW w:w="26" w:type="pct"/>
            <w:shd w:val="clear" w:color="auto" w:fill="auto"/>
            <w:vAlign w:val="bottom"/>
          </w:tcPr>
          <w:p w14:paraId="518B7048" w14:textId="77777777" w:rsidR="005C332D" w:rsidRDefault="005C332D">
            <w:pPr>
              <w:rPr>
                <w:rFonts w:ascii="宋体"/>
              </w:rPr>
            </w:pPr>
          </w:p>
        </w:tc>
        <w:tc>
          <w:tcPr>
            <w:tcW w:w="5" w:type="pct"/>
            <w:shd w:val="clear" w:color="auto" w:fill="auto"/>
            <w:vAlign w:val="bottom"/>
          </w:tcPr>
          <w:p w14:paraId="518B7049" w14:textId="77777777" w:rsidR="005C332D" w:rsidRDefault="005C332D">
            <w:pPr>
              <w:rPr>
                <w:rFonts w:ascii="宋体"/>
              </w:rPr>
            </w:pPr>
          </w:p>
        </w:tc>
        <w:tc>
          <w:tcPr>
            <w:tcW w:w="50" w:type="pct"/>
            <w:shd w:val="clear" w:color="auto" w:fill="auto"/>
            <w:vAlign w:val="bottom"/>
          </w:tcPr>
          <w:p w14:paraId="518B704A" w14:textId="77777777" w:rsidR="005C332D" w:rsidRDefault="005C332D">
            <w:pPr>
              <w:rPr>
                <w:rFonts w:ascii="宋体"/>
              </w:rPr>
            </w:pPr>
          </w:p>
        </w:tc>
        <w:tc>
          <w:tcPr>
            <w:tcW w:w="601" w:type="pct"/>
            <w:shd w:val="clear" w:color="auto" w:fill="auto"/>
            <w:vAlign w:val="bottom"/>
          </w:tcPr>
          <w:p w14:paraId="518B704B" w14:textId="77777777" w:rsidR="005C332D" w:rsidRDefault="005C332D">
            <w:pPr>
              <w:rPr>
                <w:rFonts w:ascii="宋体"/>
              </w:rPr>
            </w:pPr>
          </w:p>
        </w:tc>
        <w:tc>
          <w:tcPr>
            <w:tcW w:w="5" w:type="pct"/>
            <w:shd w:val="clear" w:color="auto" w:fill="auto"/>
            <w:vAlign w:val="bottom"/>
          </w:tcPr>
          <w:p w14:paraId="518B704C" w14:textId="77777777" w:rsidR="005C332D" w:rsidRDefault="005C332D">
            <w:pPr>
              <w:rPr>
                <w:rFonts w:ascii="宋体"/>
              </w:rPr>
            </w:pPr>
          </w:p>
        </w:tc>
        <w:tc>
          <w:tcPr>
            <w:tcW w:w="5" w:type="pct"/>
            <w:shd w:val="clear" w:color="auto" w:fill="auto"/>
            <w:vAlign w:val="bottom"/>
          </w:tcPr>
          <w:p w14:paraId="518B704D" w14:textId="77777777" w:rsidR="005C332D" w:rsidRDefault="005C332D">
            <w:pPr>
              <w:rPr>
                <w:rFonts w:ascii="宋体"/>
              </w:rPr>
            </w:pPr>
          </w:p>
        </w:tc>
        <w:tc>
          <w:tcPr>
            <w:tcW w:w="26" w:type="pct"/>
            <w:shd w:val="clear" w:color="auto" w:fill="auto"/>
            <w:vAlign w:val="bottom"/>
          </w:tcPr>
          <w:p w14:paraId="518B704E" w14:textId="77777777" w:rsidR="005C332D" w:rsidRDefault="005C332D">
            <w:pPr>
              <w:rPr>
                <w:rFonts w:ascii="宋体"/>
              </w:rPr>
            </w:pPr>
          </w:p>
        </w:tc>
        <w:tc>
          <w:tcPr>
            <w:tcW w:w="5" w:type="pct"/>
            <w:shd w:val="clear" w:color="auto" w:fill="auto"/>
            <w:vAlign w:val="bottom"/>
          </w:tcPr>
          <w:p w14:paraId="518B704F" w14:textId="77777777" w:rsidR="005C332D" w:rsidRDefault="005C332D">
            <w:pPr>
              <w:rPr>
                <w:rFonts w:ascii="宋体"/>
              </w:rPr>
            </w:pPr>
          </w:p>
        </w:tc>
        <w:tc>
          <w:tcPr>
            <w:tcW w:w="50" w:type="pct"/>
            <w:shd w:val="clear" w:color="auto" w:fill="auto"/>
            <w:vAlign w:val="bottom"/>
          </w:tcPr>
          <w:p w14:paraId="518B7050" w14:textId="77777777" w:rsidR="005C332D" w:rsidRDefault="005C332D">
            <w:pPr>
              <w:rPr>
                <w:rFonts w:ascii="宋体"/>
              </w:rPr>
            </w:pPr>
          </w:p>
        </w:tc>
        <w:tc>
          <w:tcPr>
            <w:tcW w:w="601" w:type="pct"/>
            <w:shd w:val="clear" w:color="auto" w:fill="auto"/>
            <w:vAlign w:val="bottom"/>
          </w:tcPr>
          <w:p w14:paraId="518B7051" w14:textId="77777777" w:rsidR="005C332D" w:rsidRDefault="005C332D">
            <w:pPr>
              <w:rPr>
                <w:rFonts w:ascii="宋体"/>
              </w:rPr>
            </w:pPr>
          </w:p>
        </w:tc>
        <w:tc>
          <w:tcPr>
            <w:tcW w:w="5" w:type="pct"/>
            <w:shd w:val="clear" w:color="auto" w:fill="auto"/>
            <w:vAlign w:val="bottom"/>
          </w:tcPr>
          <w:p w14:paraId="518B7052" w14:textId="77777777" w:rsidR="005C332D" w:rsidRDefault="005C332D">
            <w:pPr>
              <w:rPr>
                <w:rFonts w:ascii="宋体"/>
              </w:rPr>
            </w:pPr>
          </w:p>
        </w:tc>
        <w:tc>
          <w:tcPr>
            <w:tcW w:w="5" w:type="pct"/>
            <w:shd w:val="clear" w:color="auto" w:fill="auto"/>
            <w:vAlign w:val="bottom"/>
          </w:tcPr>
          <w:p w14:paraId="518B7053" w14:textId="77777777" w:rsidR="005C332D" w:rsidRDefault="005C332D">
            <w:pPr>
              <w:rPr>
                <w:rFonts w:ascii="宋体"/>
              </w:rPr>
            </w:pPr>
          </w:p>
        </w:tc>
        <w:tc>
          <w:tcPr>
            <w:tcW w:w="26" w:type="pct"/>
            <w:shd w:val="clear" w:color="auto" w:fill="auto"/>
            <w:vAlign w:val="bottom"/>
          </w:tcPr>
          <w:p w14:paraId="518B7054" w14:textId="77777777" w:rsidR="005C332D" w:rsidRDefault="005C332D">
            <w:pPr>
              <w:rPr>
                <w:rFonts w:ascii="宋体"/>
              </w:rPr>
            </w:pPr>
          </w:p>
        </w:tc>
        <w:tc>
          <w:tcPr>
            <w:tcW w:w="5" w:type="pct"/>
            <w:shd w:val="clear" w:color="auto" w:fill="auto"/>
            <w:vAlign w:val="bottom"/>
          </w:tcPr>
          <w:p w14:paraId="518B7055" w14:textId="77777777" w:rsidR="005C332D" w:rsidRDefault="005C332D">
            <w:pPr>
              <w:rPr>
                <w:rFonts w:ascii="宋体"/>
              </w:rPr>
            </w:pPr>
          </w:p>
        </w:tc>
        <w:tc>
          <w:tcPr>
            <w:tcW w:w="50" w:type="pct"/>
            <w:shd w:val="clear" w:color="auto" w:fill="auto"/>
            <w:vAlign w:val="bottom"/>
          </w:tcPr>
          <w:p w14:paraId="518B7056" w14:textId="77777777" w:rsidR="005C332D" w:rsidRDefault="005C332D">
            <w:pPr>
              <w:rPr>
                <w:rFonts w:ascii="宋体"/>
              </w:rPr>
            </w:pPr>
          </w:p>
        </w:tc>
        <w:tc>
          <w:tcPr>
            <w:tcW w:w="601" w:type="pct"/>
            <w:shd w:val="clear" w:color="auto" w:fill="auto"/>
            <w:vAlign w:val="bottom"/>
          </w:tcPr>
          <w:p w14:paraId="518B7057" w14:textId="77777777" w:rsidR="005C332D" w:rsidRDefault="005C332D">
            <w:pPr>
              <w:rPr>
                <w:rFonts w:ascii="宋体"/>
              </w:rPr>
            </w:pPr>
          </w:p>
        </w:tc>
        <w:tc>
          <w:tcPr>
            <w:tcW w:w="5" w:type="pct"/>
            <w:shd w:val="clear" w:color="auto" w:fill="auto"/>
            <w:vAlign w:val="bottom"/>
          </w:tcPr>
          <w:p w14:paraId="518B7058" w14:textId="77777777" w:rsidR="005C332D" w:rsidRDefault="005C332D">
            <w:pPr>
              <w:rPr>
                <w:rFonts w:ascii="宋体"/>
              </w:rPr>
            </w:pPr>
          </w:p>
        </w:tc>
      </w:tr>
      <w:tr w:rsidR="005C332D" w14:paraId="518B7062" w14:textId="77777777">
        <w:trPr>
          <w:jc w:val="center"/>
        </w:trPr>
        <w:tc>
          <w:tcPr>
            <w:tcW w:w="0" w:type="auto"/>
            <w:gridSpan w:val="3"/>
            <w:shd w:val="clear" w:color="auto" w:fill="auto"/>
            <w:tcMar>
              <w:top w:w="40" w:type="dxa"/>
              <w:left w:w="20" w:type="dxa"/>
              <w:bottom w:w="40" w:type="dxa"/>
              <w:right w:w="20" w:type="dxa"/>
            </w:tcMar>
            <w:vAlign w:val="bottom"/>
          </w:tcPr>
          <w:p w14:paraId="518B705A" w14:textId="77777777" w:rsidR="005C332D" w:rsidRDefault="00B93EAE">
            <w:pPr>
              <w:textAlignment w:val="bottom"/>
            </w:pPr>
            <w:r>
              <w:rPr>
                <w:rFonts w:ascii="Times New Roman" w:eastAsia="宋体" w:hAnsi="Times New Roman"/>
                <w:color w:val="000000"/>
                <w:sz w:val="16"/>
                <w:szCs w:val="16"/>
                <w:u w:val="single"/>
              </w:rPr>
              <w:t>July 31, 2021</w:t>
            </w:r>
          </w:p>
        </w:tc>
        <w:tc>
          <w:tcPr>
            <w:tcW w:w="0" w:type="auto"/>
            <w:gridSpan w:val="3"/>
            <w:shd w:val="clear" w:color="auto" w:fill="auto"/>
            <w:tcMar>
              <w:top w:w="40" w:type="dxa"/>
              <w:left w:w="20" w:type="dxa"/>
              <w:bottom w:w="40" w:type="dxa"/>
              <w:right w:w="20" w:type="dxa"/>
            </w:tcMar>
            <w:vAlign w:val="bottom"/>
          </w:tcPr>
          <w:p w14:paraId="518B705B" w14:textId="77777777" w:rsidR="005C332D" w:rsidRDefault="00B93EAE">
            <w:pPr>
              <w:jc w:val="center"/>
              <w:textAlignment w:val="bottom"/>
            </w:pPr>
            <w:r>
              <w:rPr>
                <w:rFonts w:ascii="Times New Roman" w:eastAsia="宋体" w:hAnsi="Times New Roman"/>
                <w:color w:val="000000"/>
                <w:sz w:val="16"/>
                <w:szCs w:val="16"/>
              </w:rPr>
              <w:t>Amortized</w:t>
            </w:r>
            <w:r>
              <w:rPr>
                <w:rFonts w:ascii="Times New Roman" w:eastAsia="宋体" w:hAnsi="Times New Roman"/>
                <w:color w:val="000000"/>
                <w:sz w:val="16"/>
                <w:szCs w:val="16"/>
              </w:rPr>
              <w:br/>
              <w:t>Cost</w:t>
            </w:r>
          </w:p>
        </w:tc>
        <w:tc>
          <w:tcPr>
            <w:tcW w:w="0" w:type="auto"/>
            <w:gridSpan w:val="3"/>
            <w:shd w:val="clear" w:color="auto" w:fill="auto"/>
            <w:tcMar>
              <w:top w:w="0" w:type="dxa"/>
              <w:left w:w="20" w:type="dxa"/>
              <w:bottom w:w="0" w:type="dxa"/>
              <w:right w:w="20" w:type="dxa"/>
            </w:tcMar>
            <w:vAlign w:val="bottom"/>
          </w:tcPr>
          <w:p w14:paraId="518B705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05D" w14:textId="77777777" w:rsidR="005C332D" w:rsidRDefault="00B93EAE">
            <w:pPr>
              <w:jc w:val="center"/>
              <w:textAlignment w:val="bottom"/>
            </w:pPr>
            <w:r>
              <w:rPr>
                <w:rFonts w:ascii="Times New Roman" w:eastAsia="宋体" w:hAnsi="Times New Roman"/>
                <w:color w:val="000000"/>
                <w:sz w:val="16"/>
                <w:szCs w:val="16"/>
              </w:rPr>
              <w:t>Gross</w:t>
            </w:r>
            <w:r>
              <w:rPr>
                <w:rFonts w:ascii="Times New Roman" w:eastAsia="宋体" w:hAnsi="Times New Roman"/>
                <w:color w:val="000000"/>
                <w:sz w:val="16"/>
                <w:szCs w:val="16"/>
              </w:rPr>
              <w:br/>
              <w:t>Unrealized</w:t>
            </w:r>
            <w:r>
              <w:rPr>
                <w:rFonts w:ascii="Times New Roman" w:eastAsia="宋体" w:hAnsi="Times New Roman"/>
                <w:color w:val="000000"/>
                <w:sz w:val="16"/>
                <w:szCs w:val="16"/>
              </w:rPr>
              <w:br/>
              <w:t>Gains</w:t>
            </w:r>
          </w:p>
        </w:tc>
        <w:tc>
          <w:tcPr>
            <w:tcW w:w="0" w:type="auto"/>
            <w:gridSpan w:val="3"/>
            <w:shd w:val="clear" w:color="auto" w:fill="auto"/>
            <w:tcMar>
              <w:top w:w="0" w:type="dxa"/>
              <w:left w:w="20" w:type="dxa"/>
              <w:bottom w:w="0" w:type="dxa"/>
              <w:right w:w="20" w:type="dxa"/>
            </w:tcMar>
            <w:vAlign w:val="bottom"/>
          </w:tcPr>
          <w:p w14:paraId="518B705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05F" w14:textId="77777777" w:rsidR="005C332D" w:rsidRDefault="00B93EAE">
            <w:pPr>
              <w:jc w:val="center"/>
              <w:textAlignment w:val="bottom"/>
            </w:pPr>
            <w:r>
              <w:rPr>
                <w:rFonts w:ascii="Times New Roman" w:eastAsia="宋体" w:hAnsi="Times New Roman"/>
                <w:color w:val="000000"/>
                <w:sz w:val="16"/>
                <w:szCs w:val="16"/>
              </w:rPr>
              <w:t>Gross</w:t>
            </w:r>
            <w:r>
              <w:rPr>
                <w:rFonts w:ascii="Times New Roman" w:eastAsia="宋体" w:hAnsi="Times New Roman"/>
                <w:color w:val="000000"/>
                <w:sz w:val="16"/>
                <w:szCs w:val="16"/>
              </w:rPr>
              <w:br/>
              <w:t>Unrealized and Credit Losses</w:t>
            </w:r>
          </w:p>
        </w:tc>
        <w:tc>
          <w:tcPr>
            <w:tcW w:w="0" w:type="auto"/>
            <w:gridSpan w:val="3"/>
            <w:shd w:val="clear" w:color="auto" w:fill="auto"/>
            <w:tcMar>
              <w:top w:w="0" w:type="dxa"/>
              <w:left w:w="20" w:type="dxa"/>
              <w:bottom w:w="0" w:type="dxa"/>
              <w:right w:w="20" w:type="dxa"/>
            </w:tcMar>
            <w:vAlign w:val="bottom"/>
          </w:tcPr>
          <w:p w14:paraId="518B706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061" w14:textId="77777777" w:rsidR="005C332D" w:rsidRDefault="00B93EAE">
            <w:pPr>
              <w:jc w:val="center"/>
              <w:textAlignment w:val="bottom"/>
            </w:pPr>
            <w:r>
              <w:rPr>
                <w:rFonts w:ascii="Times New Roman" w:eastAsia="宋体" w:hAnsi="Times New Roman"/>
                <w:color w:val="000000"/>
                <w:sz w:val="16"/>
                <w:szCs w:val="16"/>
              </w:rPr>
              <w:t>Fair</w:t>
            </w:r>
            <w:r>
              <w:rPr>
                <w:rFonts w:ascii="Times New Roman" w:eastAsia="宋体" w:hAnsi="Times New Roman"/>
                <w:color w:val="000000"/>
                <w:sz w:val="16"/>
                <w:szCs w:val="16"/>
              </w:rPr>
              <w:br/>
              <w:t>Value</w:t>
            </w:r>
          </w:p>
        </w:tc>
      </w:tr>
      <w:tr w:rsidR="005C332D" w14:paraId="518B7073" w14:textId="77777777">
        <w:trPr>
          <w:jc w:val="center"/>
        </w:trPr>
        <w:tc>
          <w:tcPr>
            <w:tcW w:w="0" w:type="auto"/>
            <w:gridSpan w:val="3"/>
            <w:shd w:val="clear" w:color="auto" w:fill="CCEEFF"/>
            <w:tcMar>
              <w:top w:w="40" w:type="dxa"/>
              <w:left w:w="20" w:type="dxa"/>
              <w:bottom w:w="40" w:type="dxa"/>
              <w:right w:w="20" w:type="dxa"/>
            </w:tcMar>
          </w:tcPr>
          <w:p w14:paraId="518B7063" w14:textId="77777777" w:rsidR="005C332D" w:rsidRDefault="00B93EAE">
            <w:pPr>
              <w:ind w:firstLine="360"/>
              <w:textAlignment w:val="top"/>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06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065" w14:textId="77777777" w:rsidR="005C332D" w:rsidRDefault="00B93EAE">
            <w:pPr>
              <w:jc w:val="right"/>
              <w:textAlignment w:val="bottom"/>
            </w:pPr>
            <w:r>
              <w:rPr>
                <w:rFonts w:ascii="Times New Roman" w:eastAsia="宋体" w:hAnsi="Times New Roman"/>
                <w:color w:val="000000"/>
                <w:sz w:val="20"/>
                <w:szCs w:val="20"/>
              </w:rPr>
              <w:t>1,773 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06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6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06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069" w14:textId="77777777" w:rsidR="005C332D" w:rsidRDefault="00B93EAE">
            <w:pPr>
              <w:jc w:val="right"/>
              <w:textAlignment w:val="bottom"/>
            </w:pPr>
            <w:r>
              <w:rPr>
                <w:rFonts w:ascii="Times New Roman" w:eastAsia="宋体" w:hAnsi="Times New Roman"/>
                <w:color w:val="000000"/>
                <w:sz w:val="20"/>
                <w:szCs w:val="20"/>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06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6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06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06D"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06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6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07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071" w14:textId="77777777" w:rsidR="005C332D" w:rsidRDefault="00B93EAE">
            <w:pPr>
              <w:jc w:val="right"/>
              <w:textAlignment w:val="bottom"/>
            </w:pPr>
            <w:r>
              <w:rPr>
                <w:rFonts w:ascii="Times New Roman" w:eastAsia="宋体" w:hAnsi="Times New Roman"/>
                <w:color w:val="000000"/>
                <w:sz w:val="20"/>
                <w:szCs w:val="20"/>
              </w:rPr>
              <w:t>1,794 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072" w14:textId="77777777" w:rsidR="005C332D" w:rsidRDefault="005C332D">
            <w:pPr>
              <w:jc w:val="right"/>
              <w:rPr>
                <w:rFonts w:ascii="宋体"/>
              </w:rPr>
            </w:pPr>
          </w:p>
        </w:tc>
      </w:tr>
      <w:tr w:rsidR="005C332D" w14:paraId="518B7080" w14:textId="77777777">
        <w:trPr>
          <w:jc w:val="center"/>
        </w:trPr>
        <w:tc>
          <w:tcPr>
            <w:tcW w:w="0" w:type="auto"/>
            <w:gridSpan w:val="3"/>
            <w:shd w:val="clear" w:color="auto" w:fill="FFFFFF"/>
            <w:tcMar>
              <w:top w:w="40" w:type="dxa"/>
              <w:left w:w="380" w:type="dxa"/>
              <w:bottom w:w="40" w:type="dxa"/>
              <w:right w:w="20" w:type="dxa"/>
            </w:tcMar>
            <w:vAlign w:val="bottom"/>
          </w:tcPr>
          <w:p w14:paraId="518B7074" w14:textId="77777777" w:rsidR="005C332D" w:rsidRDefault="00B93EAE">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518B7075" w14:textId="77777777" w:rsidR="005C332D" w:rsidRDefault="00B93EAE">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518B707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7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78"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07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7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7B"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07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7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7E" w14:textId="77777777" w:rsidR="005C332D" w:rsidRDefault="00B93EAE">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518B707F" w14:textId="77777777" w:rsidR="005C332D" w:rsidRDefault="005C332D">
            <w:pPr>
              <w:jc w:val="right"/>
              <w:rPr>
                <w:rFonts w:ascii="宋体"/>
              </w:rPr>
            </w:pPr>
          </w:p>
        </w:tc>
      </w:tr>
      <w:tr w:rsidR="005C332D" w14:paraId="518B708D" w14:textId="77777777">
        <w:trPr>
          <w:jc w:val="center"/>
        </w:trPr>
        <w:tc>
          <w:tcPr>
            <w:tcW w:w="0" w:type="auto"/>
            <w:gridSpan w:val="3"/>
            <w:shd w:val="clear" w:color="auto" w:fill="CCEEFF"/>
            <w:tcMar>
              <w:top w:w="40" w:type="dxa"/>
              <w:left w:w="380" w:type="dxa"/>
              <w:bottom w:w="40" w:type="dxa"/>
              <w:right w:w="20" w:type="dxa"/>
            </w:tcMar>
            <w:vAlign w:val="bottom"/>
          </w:tcPr>
          <w:p w14:paraId="518B7081" w14:textId="77777777" w:rsidR="005C332D" w:rsidRDefault="00B93EAE">
            <w:pPr>
              <w:textAlignment w:val="bottom"/>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518B7082"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518B708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8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85"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8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8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88"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8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8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8B"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518B708C" w14:textId="77777777" w:rsidR="005C332D" w:rsidRDefault="005C332D">
            <w:pPr>
              <w:jc w:val="right"/>
              <w:rPr>
                <w:rFonts w:ascii="宋体"/>
              </w:rPr>
            </w:pPr>
          </w:p>
        </w:tc>
      </w:tr>
      <w:tr w:rsidR="005C332D" w14:paraId="518B709A" w14:textId="77777777">
        <w:trPr>
          <w:jc w:val="center"/>
        </w:trPr>
        <w:tc>
          <w:tcPr>
            <w:tcW w:w="0" w:type="auto"/>
            <w:gridSpan w:val="3"/>
            <w:shd w:val="clear" w:color="auto" w:fill="FFFFFF"/>
            <w:tcMar>
              <w:top w:w="40" w:type="dxa"/>
              <w:left w:w="380" w:type="dxa"/>
              <w:bottom w:w="40" w:type="dxa"/>
              <w:right w:w="20" w:type="dxa"/>
            </w:tcMar>
            <w:vAlign w:val="bottom"/>
          </w:tcPr>
          <w:p w14:paraId="518B708E" w14:textId="77777777" w:rsidR="005C332D" w:rsidRDefault="00B93EAE">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518B708F" w14:textId="77777777" w:rsidR="005C332D" w:rsidRDefault="00B93EAE">
            <w:pPr>
              <w:jc w:val="right"/>
              <w:textAlignment w:val="bottom"/>
            </w:pPr>
            <w:r>
              <w:rPr>
                <w:rFonts w:ascii="Times New Roman" w:eastAsia="宋体" w:hAnsi="Times New Roman"/>
                <w:color w:val="000000"/>
                <w:sz w:val="20"/>
                <w:szCs w:val="20"/>
              </w:rPr>
              <w:t>8,727 </w:t>
            </w:r>
          </w:p>
        </w:tc>
        <w:tc>
          <w:tcPr>
            <w:tcW w:w="0" w:type="auto"/>
            <w:shd w:val="clear" w:color="auto" w:fill="FFFFFF"/>
            <w:tcMar>
              <w:top w:w="40" w:type="dxa"/>
              <w:left w:w="0" w:type="dxa"/>
              <w:bottom w:w="40" w:type="dxa"/>
              <w:right w:w="20" w:type="dxa"/>
            </w:tcMar>
            <w:vAlign w:val="bottom"/>
          </w:tcPr>
          <w:p w14:paraId="518B709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9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92" w14:textId="77777777" w:rsidR="005C332D" w:rsidRDefault="00B93EAE">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518B709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9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95" w14:textId="77777777" w:rsidR="005C332D" w:rsidRDefault="00B93EAE">
            <w:pPr>
              <w:jc w:val="right"/>
              <w:textAlignment w:val="bottom"/>
            </w:pPr>
            <w:r>
              <w:rPr>
                <w:rFonts w:ascii="Times New Roman" w:eastAsia="宋体" w:hAnsi="Times New Roman"/>
                <w:color w:val="000000"/>
                <w:sz w:val="20"/>
                <w:szCs w:val="20"/>
              </w:rPr>
              <w:t>(30)</w:t>
            </w:r>
          </w:p>
        </w:tc>
        <w:tc>
          <w:tcPr>
            <w:tcW w:w="0" w:type="auto"/>
            <w:shd w:val="clear" w:color="auto" w:fill="FFFFFF"/>
            <w:tcMar>
              <w:top w:w="40" w:type="dxa"/>
              <w:left w:w="0" w:type="dxa"/>
              <w:bottom w:w="40" w:type="dxa"/>
              <w:right w:w="20" w:type="dxa"/>
            </w:tcMar>
            <w:vAlign w:val="bottom"/>
          </w:tcPr>
          <w:p w14:paraId="518B709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9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98" w14:textId="77777777" w:rsidR="005C332D" w:rsidRDefault="00B93EAE">
            <w:pPr>
              <w:jc w:val="right"/>
              <w:textAlignment w:val="bottom"/>
            </w:pPr>
            <w:r>
              <w:rPr>
                <w:rFonts w:ascii="Times New Roman" w:eastAsia="宋体" w:hAnsi="Times New Roman"/>
                <w:color w:val="000000"/>
                <w:sz w:val="20"/>
                <w:szCs w:val="20"/>
              </w:rPr>
              <w:t>8,910 </w:t>
            </w:r>
          </w:p>
        </w:tc>
        <w:tc>
          <w:tcPr>
            <w:tcW w:w="0" w:type="auto"/>
            <w:shd w:val="clear" w:color="auto" w:fill="FFFFFF"/>
            <w:tcMar>
              <w:top w:w="40" w:type="dxa"/>
              <w:left w:w="0" w:type="dxa"/>
              <w:bottom w:w="40" w:type="dxa"/>
              <w:right w:w="20" w:type="dxa"/>
            </w:tcMar>
            <w:vAlign w:val="bottom"/>
          </w:tcPr>
          <w:p w14:paraId="518B7099" w14:textId="77777777" w:rsidR="005C332D" w:rsidRDefault="005C332D">
            <w:pPr>
              <w:jc w:val="right"/>
              <w:rPr>
                <w:rFonts w:ascii="宋体"/>
              </w:rPr>
            </w:pPr>
          </w:p>
        </w:tc>
      </w:tr>
      <w:tr w:rsidR="005C332D" w14:paraId="518B70A7" w14:textId="77777777">
        <w:trPr>
          <w:jc w:val="center"/>
        </w:trPr>
        <w:tc>
          <w:tcPr>
            <w:tcW w:w="0" w:type="auto"/>
            <w:gridSpan w:val="3"/>
            <w:shd w:val="clear" w:color="auto" w:fill="CCEEFF"/>
            <w:tcMar>
              <w:top w:w="40" w:type="dxa"/>
              <w:left w:w="380" w:type="dxa"/>
              <w:bottom w:w="40" w:type="dxa"/>
              <w:right w:w="20" w:type="dxa"/>
            </w:tcMar>
          </w:tcPr>
          <w:p w14:paraId="518B709B" w14:textId="77777777" w:rsidR="005C332D" w:rsidRDefault="00B93EAE">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518B709C" w14:textId="77777777" w:rsidR="005C332D" w:rsidRDefault="00B93EAE">
            <w:pPr>
              <w:jc w:val="right"/>
              <w:textAlignment w:val="bottom"/>
            </w:pPr>
            <w:r>
              <w:rPr>
                <w:rFonts w:ascii="Times New Roman" w:eastAsia="宋体" w:hAnsi="Times New Roman"/>
                <w:color w:val="000000"/>
                <w:sz w:val="20"/>
                <w:szCs w:val="20"/>
              </w:rPr>
              <w:t>2,838 </w:t>
            </w:r>
          </w:p>
        </w:tc>
        <w:tc>
          <w:tcPr>
            <w:tcW w:w="0" w:type="auto"/>
            <w:shd w:val="clear" w:color="auto" w:fill="CCEEFF"/>
            <w:tcMar>
              <w:top w:w="40" w:type="dxa"/>
              <w:left w:w="0" w:type="dxa"/>
              <w:bottom w:w="40" w:type="dxa"/>
              <w:right w:w="20" w:type="dxa"/>
            </w:tcMar>
            <w:vAlign w:val="bottom"/>
          </w:tcPr>
          <w:p w14:paraId="518B709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9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9F" w14:textId="77777777" w:rsidR="005C332D" w:rsidRDefault="00B93EAE">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518B70A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A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A2" w14:textId="77777777" w:rsidR="005C332D" w:rsidRDefault="00B93EAE">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518B70A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A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A5" w14:textId="77777777" w:rsidR="005C332D" w:rsidRDefault="00B93EAE">
            <w:pPr>
              <w:jc w:val="right"/>
              <w:textAlignment w:val="bottom"/>
            </w:pPr>
            <w:r>
              <w:rPr>
                <w:rFonts w:ascii="Times New Roman" w:eastAsia="宋体" w:hAnsi="Times New Roman"/>
                <w:color w:val="000000"/>
                <w:sz w:val="20"/>
                <w:szCs w:val="20"/>
              </w:rPr>
              <w:t>2,862 </w:t>
            </w:r>
          </w:p>
        </w:tc>
        <w:tc>
          <w:tcPr>
            <w:tcW w:w="0" w:type="auto"/>
            <w:shd w:val="clear" w:color="auto" w:fill="CCEEFF"/>
            <w:tcMar>
              <w:top w:w="40" w:type="dxa"/>
              <w:left w:w="0" w:type="dxa"/>
              <w:bottom w:w="40" w:type="dxa"/>
              <w:right w:w="20" w:type="dxa"/>
            </w:tcMar>
            <w:vAlign w:val="bottom"/>
          </w:tcPr>
          <w:p w14:paraId="518B70A6" w14:textId="77777777" w:rsidR="005C332D" w:rsidRDefault="005C332D">
            <w:pPr>
              <w:jc w:val="right"/>
              <w:rPr>
                <w:rFonts w:ascii="宋体"/>
              </w:rPr>
            </w:pPr>
          </w:p>
        </w:tc>
      </w:tr>
      <w:tr w:rsidR="005C332D" w14:paraId="518B70B4" w14:textId="77777777">
        <w:trPr>
          <w:jc w:val="center"/>
        </w:trPr>
        <w:tc>
          <w:tcPr>
            <w:tcW w:w="0" w:type="auto"/>
            <w:gridSpan w:val="3"/>
            <w:shd w:val="clear" w:color="auto" w:fill="FFFFFF"/>
            <w:tcMar>
              <w:top w:w="40" w:type="dxa"/>
              <w:left w:w="380" w:type="dxa"/>
              <w:bottom w:w="40" w:type="dxa"/>
              <w:right w:w="20" w:type="dxa"/>
            </w:tcMar>
          </w:tcPr>
          <w:p w14:paraId="518B70A8" w14:textId="77777777" w:rsidR="005C332D" w:rsidRDefault="00B93EAE">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518B70A9" w14:textId="77777777" w:rsidR="005C332D" w:rsidRDefault="00B93EAE">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518B70A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A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AC"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0A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A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AF"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0B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B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0B2" w14:textId="77777777" w:rsidR="005C332D" w:rsidRDefault="00B93EAE">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518B70B3" w14:textId="77777777" w:rsidR="005C332D" w:rsidRDefault="005C332D">
            <w:pPr>
              <w:jc w:val="right"/>
              <w:rPr>
                <w:rFonts w:ascii="宋体"/>
              </w:rPr>
            </w:pPr>
          </w:p>
        </w:tc>
      </w:tr>
      <w:tr w:rsidR="005C332D" w14:paraId="518B70C1" w14:textId="77777777">
        <w:trPr>
          <w:jc w:val="center"/>
        </w:trPr>
        <w:tc>
          <w:tcPr>
            <w:tcW w:w="0" w:type="auto"/>
            <w:gridSpan w:val="3"/>
            <w:shd w:val="clear" w:color="auto" w:fill="CCEEFF"/>
            <w:tcMar>
              <w:top w:w="40" w:type="dxa"/>
              <w:left w:w="380" w:type="dxa"/>
              <w:bottom w:w="40" w:type="dxa"/>
              <w:right w:w="20" w:type="dxa"/>
            </w:tcMar>
          </w:tcPr>
          <w:p w14:paraId="518B70B5" w14:textId="77777777" w:rsidR="005C332D" w:rsidRDefault="00B93EAE">
            <w:pPr>
              <w:textAlignment w:val="top"/>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518B70B6" w14:textId="77777777" w:rsidR="005C332D" w:rsidRDefault="00B93EAE">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518B70B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B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B9"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B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B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BC"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0B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B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0BF" w14:textId="77777777" w:rsidR="005C332D" w:rsidRDefault="00B93EAE">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518B70C0" w14:textId="77777777" w:rsidR="005C332D" w:rsidRDefault="005C332D">
            <w:pPr>
              <w:jc w:val="right"/>
              <w:rPr>
                <w:rFonts w:ascii="宋体"/>
              </w:rPr>
            </w:pPr>
          </w:p>
        </w:tc>
      </w:tr>
      <w:tr w:rsidR="005C332D" w14:paraId="518B70D2" w14:textId="77777777">
        <w:trPr>
          <w:jc w:val="center"/>
        </w:trPr>
        <w:tc>
          <w:tcPr>
            <w:tcW w:w="0" w:type="auto"/>
            <w:gridSpan w:val="3"/>
            <w:shd w:val="clear" w:color="auto" w:fill="FFFFFF"/>
            <w:tcMar>
              <w:top w:w="40" w:type="dxa"/>
              <w:left w:w="740" w:type="dxa"/>
              <w:bottom w:w="40" w:type="dxa"/>
              <w:right w:w="20" w:type="dxa"/>
            </w:tcMar>
          </w:tcPr>
          <w:p w14:paraId="518B70C2"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0C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0C4" w14:textId="77777777" w:rsidR="005C332D" w:rsidRDefault="00B93EAE">
            <w:pPr>
              <w:jc w:val="right"/>
              <w:textAlignment w:val="bottom"/>
            </w:pPr>
            <w:r>
              <w:rPr>
                <w:rFonts w:ascii="Times New Roman" w:eastAsia="宋体" w:hAnsi="Times New Roman"/>
                <w:color w:val="000000"/>
                <w:sz w:val="20"/>
                <w:szCs w:val="20"/>
              </w:rPr>
              <w:t>14,978 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0C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C6"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0C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0C8" w14:textId="77777777" w:rsidR="005C332D" w:rsidRDefault="00B93EAE">
            <w:pPr>
              <w:jc w:val="right"/>
              <w:textAlignment w:val="bottom"/>
            </w:pPr>
            <w:r>
              <w:rPr>
                <w:rFonts w:ascii="Times New Roman" w:eastAsia="宋体" w:hAnsi="Times New Roman"/>
                <w:color w:val="000000"/>
                <w:sz w:val="20"/>
                <w:szCs w:val="20"/>
              </w:rPr>
              <w:t>268 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0C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CA"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0C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0CC" w14:textId="77777777" w:rsidR="005C332D" w:rsidRDefault="00B93EAE">
            <w:pPr>
              <w:jc w:val="right"/>
              <w:textAlignment w:val="bottom"/>
            </w:pPr>
            <w:r>
              <w:rPr>
                <w:rFonts w:ascii="Times New Roman" w:eastAsia="宋体" w:hAnsi="Times New Roman"/>
                <w:color w:val="000000"/>
                <w:sz w:val="20"/>
                <w:szCs w:val="20"/>
              </w:rPr>
              <w:t>(40)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0C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0CE"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0C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0D0" w14:textId="77777777" w:rsidR="005C332D" w:rsidRDefault="00B93EAE">
            <w:pPr>
              <w:jc w:val="right"/>
              <w:textAlignment w:val="bottom"/>
            </w:pPr>
            <w:r>
              <w:rPr>
                <w:rFonts w:ascii="Times New Roman" w:eastAsia="宋体" w:hAnsi="Times New Roman"/>
                <w:color w:val="000000"/>
                <w:sz w:val="20"/>
                <w:szCs w:val="20"/>
              </w:rPr>
              <w:t>15,206 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0D1" w14:textId="77777777" w:rsidR="005C332D" w:rsidRDefault="005C332D">
            <w:pPr>
              <w:jc w:val="right"/>
              <w:rPr>
                <w:rFonts w:ascii="宋体"/>
              </w:rPr>
            </w:pPr>
          </w:p>
        </w:tc>
      </w:tr>
    </w:tbl>
    <w:p w14:paraId="518B70D3" w14:textId="77777777" w:rsidR="005C332D" w:rsidRDefault="00B93EAE">
      <w:pPr>
        <w:spacing w:before="120"/>
        <w:jc w:val="both"/>
      </w:pPr>
      <w:r>
        <w:rPr>
          <w:rFonts w:ascii="Times New Roman" w:eastAsia="宋体" w:hAnsi="Times New Roman"/>
          <w:color w:val="000000"/>
          <w:sz w:val="20"/>
          <w:szCs w:val="20"/>
        </w:rPr>
        <w:t xml:space="preserve">Net unsettled </w:t>
      </w:r>
      <w:r>
        <w:rPr>
          <w:rFonts w:ascii="Times New Roman" w:eastAsia="宋体" w:hAnsi="Times New Roman"/>
          <w:color w:val="000000"/>
          <w:sz w:val="20"/>
          <w:szCs w:val="20"/>
        </w:rPr>
        <w:t>investment sales as of July 30, 2022 were $70 million and were included in other current assets.</w:t>
      </w:r>
    </w:p>
    <w:p w14:paraId="518B70D4" w14:textId="77777777" w:rsidR="005C332D" w:rsidRDefault="00B93EAE">
      <w:pPr>
        <w:spacing w:before="120"/>
        <w:jc w:val="both"/>
      </w:pPr>
      <w:r>
        <w:rPr>
          <w:rFonts w:ascii="Times New Roman" w:eastAsia="宋体" w:hAnsi="Times New Roman"/>
          <w:color w:val="000000"/>
          <w:sz w:val="20"/>
          <w:szCs w:val="20"/>
        </w:rPr>
        <w:t>The following table presents the gross realized gains and gross realized losses related to available-for-sale debt investments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391"/>
        <w:gridCol w:w="38"/>
        <w:gridCol w:w="120"/>
        <w:gridCol w:w="1079"/>
        <w:gridCol w:w="36"/>
        <w:gridCol w:w="36"/>
        <w:gridCol w:w="36"/>
        <w:gridCol w:w="36"/>
        <w:gridCol w:w="120"/>
        <w:gridCol w:w="1040"/>
        <w:gridCol w:w="36"/>
        <w:gridCol w:w="36"/>
        <w:gridCol w:w="36"/>
        <w:gridCol w:w="36"/>
        <w:gridCol w:w="120"/>
        <w:gridCol w:w="1040"/>
        <w:gridCol w:w="36"/>
      </w:tblGrid>
      <w:tr w:rsidR="005C332D" w14:paraId="518B70E7" w14:textId="77777777">
        <w:tc>
          <w:tcPr>
            <w:tcW w:w="50" w:type="pct"/>
            <w:shd w:val="clear" w:color="auto" w:fill="auto"/>
            <w:vAlign w:val="bottom"/>
          </w:tcPr>
          <w:p w14:paraId="518B70D5" w14:textId="77777777" w:rsidR="005C332D" w:rsidRDefault="005C332D">
            <w:pPr>
              <w:rPr>
                <w:rFonts w:ascii="宋体"/>
              </w:rPr>
            </w:pPr>
          </w:p>
        </w:tc>
        <w:tc>
          <w:tcPr>
            <w:tcW w:w="2672" w:type="pct"/>
            <w:shd w:val="clear" w:color="auto" w:fill="auto"/>
            <w:vAlign w:val="bottom"/>
          </w:tcPr>
          <w:p w14:paraId="518B70D6" w14:textId="77777777" w:rsidR="005C332D" w:rsidRDefault="005C332D">
            <w:pPr>
              <w:rPr>
                <w:rFonts w:ascii="宋体"/>
              </w:rPr>
            </w:pPr>
          </w:p>
        </w:tc>
        <w:tc>
          <w:tcPr>
            <w:tcW w:w="5" w:type="pct"/>
            <w:shd w:val="clear" w:color="auto" w:fill="auto"/>
            <w:vAlign w:val="bottom"/>
          </w:tcPr>
          <w:p w14:paraId="518B70D7" w14:textId="77777777" w:rsidR="005C332D" w:rsidRDefault="005C332D">
            <w:pPr>
              <w:rPr>
                <w:rFonts w:ascii="宋体"/>
              </w:rPr>
            </w:pPr>
          </w:p>
        </w:tc>
        <w:tc>
          <w:tcPr>
            <w:tcW w:w="50" w:type="pct"/>
            <w:shd w:val="clear" w:color="auto" w:fill="auto"/>
            <w:vAlign w:val="bottom"/>
          </w:tcPr>
          <w:p w14:paraId="518B70D8" w14:textId="77777777" w:rsidR="005C332D" w:rsidRDefault="005C332D">
            <w:pPr>
              <w:rPr>
                <w:rFonts w:ascii="宋体"/>
              </w:rPr>
            </w:pPr>
          </w:p>
        </w:tc>
        <w:tc>
          <w:tcPr>
            <w:tcW w:w="678" w:type="pct"/>
            <w:shd w:val="clear" w:color="auto" w:fill="auto"/>
            <w:vAlign w:val="bottom"/>
          </w:tcPr>
          <w:p w14:paraId="518B70D9" w14:textId="77777777" w:rsidR="005C332D" w:rsidRDefault="005C332D">
            <w:pPr>
              <w:rPr>
                <w:rFonts w:ascii="宋体"/>
              </w:rPr>
            </w:pPr>
          </w:p>
        </w:tc>
        <w:tc>
          <w:tcPr>
            <w:tcW w:w="5" w:type="pct"/>
            <w:shd w:val="clear" w:color="auto" w:fill="auto"/>
            <w:vAlign w:val="bottom"/>
          </w:tcPr>
          <w:p w14:paraId="518B70DA" w14:textId="77777777" w:rsidR="005C332D" w:rsidRDefault="005C332D">
            <w:pPr>
              <w:rPr>
                <w:rFonts w:ascii="宋体"/>
              </w:rPr>
            </w:pPr>
          </w:p>
        </w:tc>
        <w:tc>
          <w:tcPr>
            <w:tcW w:w="5" w:type="pct"/>
            <w:shd w:val="clear" w:color="auto" w:fill="auto"/>
            <w:vAlign w:val="bottom"/>
          </w:tcPr>
          <w:p w14:paraId="518B70DB" w14:textId="77777777" w:rsidR="005C332D" w:rsidRDefault="005C332D">
            <w:pPr>
              <w:rPr>
                <w:rFonts w:ascii="宋体"/>
              </w:rPr>
            </w:pPr>
          </w:p>
        </w:tc>
        <w:tc>
          <w:tcPr>
            <w:tcW w:w="26" w:type="pct"/>
            <w:shd w:val="clear" w:color="auto" w:fill="auto"/>
            <w:vAlign w:val="bottom"/>
          </w:tcPr>
          <w:p w14:paraId="518B70DC" w14:textId="77777777" w:rsidR="005C332D" w:rsidRDefault="005C332D">
            <w:pPr>
              <w:rPr>
                <w:rFonts w:ascii="宋体"/>
              </w:rPr>
            </w:pPr>
          </w:p>
        </w:tc>
        <w:tc>
          <w:tcPr>
            <w:tcW w:w="5" w:type="pct"/>
            <w:shd w:val="clear" w:color="auto" w:fill="auto"/>
            <w:vAlign w:val="bottom"/>
          </w:tcPr>
          <w:p w14:paraId="518B70DD" w14:textId="77777777" w:rsidR="005C332D" w:rsidRDefault="005C332D">
            <w:pPr>
              <w:rPr>
                <w:rFonts w:ascii="宋体"/>
              </w:rPr>
            </w:pPr>
          </w:p>
        </w:tc>
        <w:tc>
          <w:tcPr>
            <w:tcW w:w="50" w:type="pct"/>
            <w:shd w:val="clear" w:color="auto" w:fill="auto"/>
            <w:vAlign w:val="bottom"/>
          </w:tcPr>
          <w:p w14:paraId="518B70DE" w14:textId="77777777" w:rsidR="005C332D" w:rsidRDefault="005C332D">
            <w:pPr>
              <w:rPr>
                <w:rFonts w:ascii="宋体"/>
              </w:rPr>
            </w:pPr>
          </w:p>
        </w:tc>
        <w:tc>
          <w:tcPr>
            <w:tcW w:w="678" w:type="pct"/>
            <w:shd w:val="clear" w:color="auto" w:fill="auto"/>
            <w:vAlign w:val="bottom"/>
          </w:tcPr>
          <w:p w14:paraId="518B70DF" w14:textId="77777777" w:rsidR="005C332D" w:rsidRDefault="005C332D">
            <w:pPr>
              <w:rPr>
                <w:rFonts w:ascii="宋体"/>
              </w:rPr>
            </w:pPr>
          </w:p>
        </w:tc>
        <w:tc>
          <w:tcPr>
            <w:tcW w:w="5" w:type="pct"/>
            <w:shd w:val="clear" w:color="auto" w:fill="auto"/>
            <w:vAlign w:val="bottom"/>
          </w:tcPr>
          <w:p w14:paraId="518B70E0" w14:textId="77777777" w:rsidR="005C332D" w:rsidRDefault="005C332D">
            <w:pPr>
              <w:rPr>
                <w:rFonts w:ascii="宋体"/>
              </w:rPr>
            </w:pPr>
          </w:p>
        </w:tc>
        <w:tc>
          <w:tcPr>
            <w:tcW w:w="5" w:type="pct"/>
            <w:shd w:val="clear" w:color="auto" w:fill="auto"/>
            <w:vAlign w:val="bottom"/>
          </w:tcPr>
          <w:p w14:paraId="518B70E1" w14:textId="77777777" w:rsidR="005C332D" w:rsidRDefault="005C332D">
            <w:pPr>
              <w:rPr>
                <w:rFonts w:ascii="宋体"/>
              </w:rPr>
            </w:pPr>
          </w:p>
        </w:tc>
        <w:tc>
          <w:tcPr>
            <w:tcW w:w="26" w:type="pct"/>
            <w:shd w:val="clear" w:color="auto" w:fill="auto"/>
            <w:vAlign w:val="bottom"/>
          </w:tcPr>
          <w:p w14:paraId="518B70E2" w14:textId="77777777" w:rsidR="005C332D" w:rsidRDefault="005C332D">
            <w:pPr>
              <w:rPr>
                <w:rFonts w:ascii="宋体"/>
              </w:rPr>
            </w:pPr>
          </w:p>
        </w:tc>
        <w:tc>
          <w:tcPr>
            <w:tcW w:w="5" w:type="pct"/>
            <w:shd w:val="clear" w:color="auto" w:fill="auto"/>
            <w:vAlign w:val="bottom"/>
          </w:tcPr>
          <w:p w14:paraId="518B70E3" w14:textId="77777777" w:rsidR="005C332D" w:rsidRDefault="005C332D">
            <w:pPr>
              <w:rPr>
                <w:rFonts w:ascii="宋体"/>
              </w:rPr>
            </w:pPr>
          </w:p>
        </w:tc>
        <w:tc>
          <w:tcPr>
            <w:tcW w:w="50" w:type="pct"/>
            <w:shd w:val="clear" w:color="auto" w:fill="auto"/>
            <w:vAlign w:val="bottom"/>
          </w:tcPr>
          <w:p w14:paraId="518B70E4" w14:textId="77777777" w:rsidR="005C332D" w:rsidRDefault="005C332D">
            <w:pPr>
              <w:rPr>
                <w:rFonts w:ascii="宋体"/>
              </w:rPr>
            </w:pPr>
          </w:p>
        </w:tc>
        <w:tc>
          <w:tcPr>
            <w:tcW w:w="678" w:type="pct"/>
            <w:shd w:val="clear" w:color="auto" w:fill="auto"/>
            <w:vAlign w:val="bottom"/>
          </w:tcPr>
          <w:p w14:paraId="518B70E5" w14:textId="77777777" w:rsidR="005C332D" w:rsidRDefault="005C332D">
            <w:pPr>
              <w:rPr>
                <w:rFonts w:ascii="宋体"/>
              </w:rPr>
            </w:pPr>
          </w:p>
        </w:tc>
        <w:tc>
          <w:tcPr>
            <w:tcW w:w="5" w:type="pct"/>
            <w:shd w:val="clear" w:color="auto" w:fill="auto"/>
            <w:vAlign w:val="bottom"/>
          </w:tcPr>
          <w:p w14:paraId="518B70E6" w14:textId="77777777" w:rsidR="005C332D" w:rsidRDefault="005C332D">
            <w:pPr>
              <w:rPr>
                <w:rFonts w:ascii="宋体"/>
              </w:rPr>
            </w:pPr>
          </w:p>
        </w:tc>
      </w:tr>
      <w:tr w:rsidR="005C332D" w14:paraId="518B70EE" w14:textId="77777777">
        <w:tc>
          <w:tcPr>
            <w:tcW w:w="0" w:type="auto"/>
            <w:gridSpan w:val="3"/>
            <w:shd w:val="clear" w:color="auto" w:fill="auto"/>
            <w:tcMar>
              <w:top w:w="40" w:type="dxa"/>
              <w:left w:w="20" w:type="dxa"/>
              <w:bottom w:w="40" w:type="dxa"/>
              <w:right w:w="20" w:type="dxa"/>
            </w:tcMar>
            <w:vAlign w:val="bottom"/>
          </w:tcPr>
          <w:p w14:paraId="518B70E8"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shd w:val="clear" w:color="auto" w:fill="auto"/>
            <w:tcMar>
              <w:top w:w="40" w:type="dxa"/>
              <w:left w:w="20" w:type="dxa"/>
              <w:bottom w:w="40" w:type="dxa"/>
              <w:right w:w="20" w:type="dxa"/>
            </w:tcMar>
            <w:vAlign w:val="bottom"/>
          </w:tcPr>
          <w:p w14:paraId="518B70E9"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0E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0EB"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70E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0ED"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0FB" w14:textId="77777777">
        <w:tc>
          <w:tcPr>
            <w:tcW w:w="0" w:type="auto"/>
            <w:gridSpan w:val="3"/>
            <w:shd w:val="clear" w:color="auto" w:fill="CCEEFF"/>
            <w:tcMar>
              <w:top w:w="40" w:type="dxa"/>
              <w:left w:w="20" w:type="dxa"/>
              <w:bottom w:w="40" w:type="dxa"/>
              <w:right w:w="20" w:type="dxa"/>
            </w:tcMar>
          </w:tcPr>
          <w:p w14:paraId="518B70EF" w14:textId="77777777" w:rsidR="005C332D" w:rsidRDefault="00B93EAE">
            <w:pPr>
              <w:textAlignment w:val="top"/>
            </w:pPr>
            <w:r>
              <w:rPr>
                <w:rFonts w:ascii="Times New Roman" w:eastAsia="宋体" w:hAnsi="Times New Roman"/>
                <w:color w:val="000000"/>
                <w:sz w:val="20"/>
                <w:szCs w:val="20"/>
              </w:rPr>
              <w:t>Gross realized gains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0F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0F1" w14:textId="77777777" w:rsidR="005C332D" w:rsidRDefault="00B93EAE">
            <w:pPr>
              <w:jc w:val="right"/>
              <w:textAlignment w:val="bottom"/>
            </w:pPr>
            <w:r>
              <w:rPr>
                <w:rFonts w:ascii="Times New Roman" w:eastAsia="宋体" w:hAnsi="Times New Roman"/>
                <w:b/>
                <w:bCs/>
                <w:color w:val="000000"/>
                <w:sz w:val="20"/>
                <w:szCs w:val="20"/>
              </w:rPr>
              <w:t>27</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0F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F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0F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0F5" w14:textId="77777777" w:rsidR="005C332D" w:rsidRDefault="00B93EAE">
            <w:pPr>
              <w:jc w:val="right"/>
              <w:textAlignment w:val="bottom"/>
            </w:pPr>
            <w:r>
              <w:rPr>
                <w:rFonts w:ascii="Times New Roman" w:eastAsia="宋体" w:hAnsi="Times New Roman"/>
                <w:color w:val="000000"/>
                <w:sz w:val="20"/>
                <w:szCs w:val="20"/>
              </w:rPr>
              <w:t>55 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0F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0F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0F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0F9" w14:textId="77777777" w:rsidR="005C332D" w:rsidRDefault="00B93EAE">
            <w:pPr>
              <w:jc w:val="right"/>
              <w:textAlignment w:val="bottom"/>
            </w:pPr>
            <w:r>
              <w:rPr>
                <w:rFonts w:ascii="Times New Roman" w:eastAsia="宋体" w:hAnsi="Times New Roman"/>
                <w:color w:val="000000"/>
                <w:sz w:val="20"/>
                <w:szCs w:val="20"/>
              </w:rPr>
              <w:t>70 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0FA" w14:textId="77777777" w:rsidR="005C332D" w:rsidRDefault="005C332D">
            <w:pPr>
              <w:jc w:val="right"/>
              <w:rPr>
                <w:rFonts w:ascii="宋体"/>
              </w:rPr>
            </w:pPr>
          </w:p>
        </w:tc>
      </w:tr>
      <w:tr w:rsidR="005C332D" w14:paraId="518B7105" w14:textId="77777777">
        <w:tc>
          <w:tcPr>
            <w:tcW w:w="0" w:type="auto"/>
            <w:gridSpan w:val="3"/>
            <w:shd w:val="clear" w:color="auto" w:fill="auto"/>
            <w:tcMar>
              <w:top w:w="40" w:type="dxa"/>
              <w:left w:w="20" w:type="dxa"/>
              <w:bottom w:w="40" w:type="dxa"/>
              <w:right w:w="20" w:type="dxa"/>
            </w:tcMar>
          </w:tcPr>
          <w:p w14:paraId="518B70FC" w14:textId="77777777" w:rsidR="005C332D" w:rsidRDefault="00B93EAE">
            <w:pPr>
              <w:textAlignment w:val="top"/>
            </w:pPr>
            <w:r>
              <w:rPr>
                <w:rFonts w:ascii="Times New Roman" w:eastAsia="宋体" w:hAnsi="Times New Roman"/>
                <w:color w:val="000000"/>
                <w:sz w:val="20"/>
                <w:szCs w:val="20"/>
              </w:rPr>
              <w:t>Gross realized losses</w:t>
            </w:r>
          </w:p>
        </w:tc>
        <w:tc>
          <w:tcPr>
            <w:tcW w:w="0" w:type="auto"/>
            <w:gridSpan w:val="2"/>
            <w:shd w:val="clear" w:color="auto" w:fill="auto"/>
            <w:tcMar>
              <w:top w:w="40" w:type="dxa"/>
              <w:left w:w="20" w:type="dxa"/>
              <w:bottom w:w="40" w:type="dxa"/>
              <w:right w:w="0" w:type="dxa"/>
            </w:tcMar>
            <w:vAlign w:val="bottom"/>
          </w:tcPr>
          <w:p w14:paraId="518B70FD" w14:textId="77777777" w:rsidR="005C332D" w:rsidRDefault="00B93EAE">
            <w:pPr>
              <w:jc w:val="right"/>
              <w:textAlignment w:val="bottom"/>
            </w:pPr>
            <w:r>
              <w:rPr>
                <w:rFonts w:ascii="Times New Roman" w:eastAsia="宋体" w:hAnsi="Times New Roman"/>
                <w:b/>
                <w:bCs/>
                <w:color w:val="000000"/>
                <w:sz w:val="20"/>
                <w:szCs w:val="20"/>
              </w:rPr>
              <w:t>(18)</w:t>
            </w:r>
          </w:p>
        </w:tc>
        <w:tc>
          <w:tcPr>
            <w:tcW w:w="0" w:type="auto"/>
            <w:shd w:val="clear" w:color="auto" w:fill="auto"/>
            <w:tcMar>
              <w:top w:w="40" w:type="dxa"/>
              <w:left w:w="0" w:type="dxa"/>
              <w:bottom w:w="40" w:type="dxa"/>
              <w:right w:w="20" w:type="dxa"/>
            </w:tcMar>
            <w:vAlign w:val="bottom"/>
          </w:tcPr>
          <w:p w14:paraId="518B70FE"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0FF"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100"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auto"/>
            <w:tcMar>
              <w:top w:w="40" w:type="dxa"/>
              <w:left w:w="0" w:type="dxa"/>
              <w:bottom w:w="40" w:type="dxa"/>
              <w:right w:w="20" w:type="dxa"/>
            </w:tcMar>
            <w:vAlign w:val="bottom"/>
          </w:tcPr>
          <w:p w14:paraId="518B7101"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102"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103" w14:textId="77777777" w:rsidR="005C332D" w:rsidRDefault="00B93EAE">
            <w:pPr>
              <w:jc w:val="right"/>
              <w:textAlignment w:val="bottom"/>
            </w:pPr>
            <w:r>
              <w:rPr>
                <w:rFonts w:ascii="Times New Roman" w:eastAsia="宋体" w:hAnsi="Times New Roman"/>
                <w:color w:val="000000"/>
                <w:sz w:val="20"/>
                <w:szCs w:val="20"/>
              </w:rPr>
              <w:t>(28)</w:t>
            </w:r>
          </w:p>
        </w:tc>
        <w:tc>
          <w:tcPr>
            <w:tcW w:w="0" w:type="auto"/>
            <w:shd w:val="clear" w:color="auto" w:fill="auto"/>
            <w:tcMar>
              <w:top w:w="40" w:type="dxa"/>
              <w:left w:w="0" w:type="dxa"/>
              <w:bottom w:w="40" w:type="dxa"/>
              <w:right w:w="20" w:type="dxa"/>
            </w:tcMar>
            <w:vAlign w:val="bottom"/>
          </w:tcPr>
          <w:p w14:paraId="518B7104" w14:textId="77777777" w:rsidR="005C332D" w:rsidRDefault="005C332D">
            <w:pPr>
              <w:jc w:val="right"/>
              <w:rPr>
                <w:rFonts w:ascii="宋体"/>
              </w:rPr>
            </w:pPr>
          </w:p>
        </w:tc>
      </w:tr>
      <w:tr w:rsidR="005C332D" w14:paraId="518B7112" w14:textId="77777777">
        <w:tc>
          <w:tcPr>
            <w:tcW w:w="0" w:type="auto"/>
            <w:gridSpan w:val="3"/>
            <w:shd w:val="clear" w:color="auto" w:fill="CCEEFF"/>
            <w:tcMar>
              <w:top w:w="40" w:type="dxa"/>
              <w:left w:w="380" w:type="dxa"/>
              <w:bottom w:w="40" w:type="dxa"/>
              <w:right w:w="20" w:type="dxa"/>
            </w:tcMar>
          </w:tcPr>
          <w:p w14:paraId="518B7106"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10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108" w14:textId="77777777" w:rsidR="005C332D" w:rsidRDefault="00B93EAE">
            <w:pPr>
              <w:jc w:val="right"/>
              <w:textAlignment w:val="bottom"/>
            </w:pPr>
            <w:r>
              <w:rPr>
                <w:rFonts w:ascii="Times New Roman" w:eastAsia="宋体" w:hAnsi="Times New Roman"/>
                <w:b/>
                <w:bCs/>
                <w:color w:val="000000"/>
                <w:sz w:val="20"/>
                <w:szCs w:val="20"/>
              </w:rPr>
              <w:t>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10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0A"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10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10C" w14:textId="77777777" w:rsidR="005C332D" w:rsidRDefault="00B93EAE">
            <w:pPr>
              <w:jc w:val="right"/>
              <w:textAlignment w:val="bottom"/>
            </w:pPr>
            <w:r>
              <w:rPr>
                <w:rFonts w:ascii="Times New Roman" w:eastAsia="宋体" w:hAnsi="Times New Roman"/>
                <w:color w:val="000000"/>
                <w:sz w:val="20"/>
                <w:szCs w:val="20"/>
              </w:rPr>
              <w:t>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10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0E"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10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110" w14:textId="77777777" w:rsidR="005C332D" w:rsidRDefault="00B93EAE">
            <w:pPr>
              <w:jc w:val="right"/>
              <w:textAlignment w:val="bottom"/>
            </w:pPr>
            <w:r>
              <w:rPr>
                <w:rFonts w:ascii="Times New Roman" w:eastAsia="宋体" w:hAnsi="Times New Roman"/>
                <w:color w:val="000000"/>
                <w:sz w:val="20"/>
                <w:szCs w:val="20"/>
              </w:rPr>
              <w:t>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111" w14:textId="77777777" w:rsidR="005C332D" w:rsidRDefault="005C332D">
            <w:pPr>
              <w:jc w:val="right"/>
              <w:rPr>
                <w:rFonts w:ascii="宋体"/>
              </w:rPr>
            </w:pPr>
          </w:p>
        </w:tc>
      </w:tr>
    </w:tbl>
    <w:p w14:paraId="518B7113" w14:textId="77777777" w:rsidR="005C332D" w:rsidRDefault="00B93EAE">
      <w:pPr>
        <w:spacing w:before="120"/>
      </w:pPr>
      <w:r>
        <w:rPr>
          <w:rFonts w:ascii="Times New Roman" w:eastAsia="宋体" w:hAnsi="Times New Roman"/>
          <w:color w:val="000000"/>
          <w:sz w:val="20"/>
          <w:szCs w:val="20"/>
        </w:rPr>
        <w:t>The following tables present the breakdown of the available-for-sale debt investments with gross unrealized losses and the duration that those losses had been unrealized at July 30, 2022 and July 3</w:t>
      </w:r>
      <w:r>
        <w:rPr>
          <w:rFonts w:ascii="Times New Roman" w:eastAsia="宋体" w:hAnsi="Times New Roman"/>
          <w:color w:val="000000"/>
          <w:sz w:val="20"/>
          <w:szCs w:val="20"/>
        </w:rPr>
        <w:t>1, 2021 (in millions):</w:t>
      </w:r>
    </w:p>
    <w:tbl>
      <w:tblPr>
        <w:tblW w:w="4963" w:type="pct"/>
        <w:tblCellMar>
          <w:top w:w="15" w:type="dxa"/>
          <w:left w:w="15" w:type="dxa"/>
          <w:bottom w:w="15" w:type="dxa"/>
          <w:right w:w="15" w:type="dxa"/>
        </w:tblCellMar>
        <w:tblLook w:val="04A0" w:firstRow="1" w:lastRow="0" w:firstColumn="1" w:lastColumn="0" w:noHBand="0" w:noVBand="1"/>
      </w:tblPr>
      <w:tblGrid>
        <w:gridCol w:w="65"/>
        <w:gridCol w:w="1521"/>
        <w:gridCol w:w="36"/>
        <w:gridCol w:w="119"/>
        <w:gridCol w:w="904"/>
        <w:gridCol w:w="37"/>
        <w:gridCol w:w="37"/>
        <w:gridCol w:w="50"/>
        <w:gridCol w:w="36"/>
        <w:gridCol w:w="119"/>
        <w:gridCol w:w="903"/>
        <w:gridCol w:w="36"/>
        <w:gridCol w:w="36"/>
        <w:gridCol w:w="36"/>
        <w:gridCol w:w="36"/>
        <w:gridCol w:w="120"/>
        <w:gridCol w:w="997"/>
        <w:gridCol w:w="37"/>
        <w:gridCol w:w="37"/>
        <w:gridCol w:w="52"/>
        <w:gridCol w:w="37"/>
        <w:gridCol w:w="120"/>
        <w:gridCol w:w="996"/>
        <w:gridCol w:w="36"/>
        <w:gridCol w:w="36"/>
        <w:gridCol w:w="36"/>
        <w:gridCol w:w="36"/>
        <w:gridCol w:w="119"/>
        <w:gridCol w:w="590"/>
        <w:gridCol w:w="36"/>
        <w:gridCol w:w="36"/>
        <w:gridCol w:w="36"/>
        <w:gridCol w:w="36"/>
        <w:gridCol w:w="120"/>
        <w:gridCol w:w="816"/>
        <w:gridCol w:w="36"/>
      </w:tblGrid>
      <w:tr w:rsidR="005C332D" w14:paraId="518B7138" w14:textId="77777777">
        <w:tc>
          <w:tcPr>
            <w:tcW w:w="50" w:type="pct"/>
            <w:shd w:val="clear" w:color="auto" w:fill="auto"/>
            <w:vAlign w:val="bottom"/>
          </w:tcPr>
          <w:p w14:paraId="518B7114" w14:textId="77777777" w:rsidR="005C332D" w:rsidRDefault="005C332D">
            <w:pPr>
              <w:rPr>
                <w:rFonts w:ascii="宋体"/>
              </w:rPr>
            </w:pPr>
          </w:p>
        </w:tc>
        <w:tc>
          <w:tcPr>
            <w:tcW w:w="1476" w:type="pct"/>
            <w:shd w:val="clear" w:color="auto" w:fill="auto"/>
            <w:vAlign w:val="bottom"/>
          </w:tcPr>
          <w:p w14:paraId="518B7115" w14:textId="77777777" w:rsidR="005C332D" w:rsidRDefault="005C332D">
            <w:pPr>
              <w:rPr>
                <w:rFonts w:ascii="宋体"/>
              </w:rPr>
            </w:pPr>
          </w:p>
        </w:tc>
        <w:tc>
          <w:tcPr>
            <w:tcW w:w="5" w:type="pct"/>
            <w:shd w:val="clear" w:color="auto" w:fill="auto"/>
            <w:vAlign w:val="bottom"/>
          </w:tcPr>
          <w:p w14:paraId="518B7116" w14:textId="77777777" w:rsidR="005C332D" w:rsidRDefault="005C332D">
            <w:pPr>
              <w:rPr>
                <w:rFonts w:ascii="宋体"/>
              </w:rPr>
            </w:pPr>
          </w:p>
        </w:tc>
        <w:tc>
          <w:tcPr>
            <w:tcW w:w="50" w:type="pct"/>
            <w:shd w:val="clear" w:color="auto" w:fill="auto"/>
            <w:vAlign w:val="bottom"/>
          </w:tcPr>
          <w:p w14:paraId="518B7117" w14:textId="77777777" w:rsidR="005C332D" w:rsidRDefault="005C332D">
            <w:pPr>
              <w:rPr>
                <w:rFonts w:ascii="宋体"/>
              </w:rPr>
            </w:pPr>
          </w:p>
        </w:tc>
        <w:tc>
          <w:tcPr>
            <w:tcW w:w="482" w:type="pct"/>
            <w:shd w:val="clear" w:color="auto" w:fill="auto"/>
            <w:vAlign w:val="bottom"/>
          </w:tcPr>
          <w:p w14:paraId="518B7118" w14:textId="77777777" w:rsidR="005C332D" w:rsidRDefault="005C332D">
            <w:pPr>
              <w:rPr>
                <w:rFonts w:ascii="宋体"/>
              </w:rPr>
            </w:pPr>
          </w:p>
        </w:tc>
        <w:tc>
          <w:tcPr>
            <w:tcW w:w="5" w:type="pct"/>
            <w:shd w:val="clear" w:color="auto" w:fill="auto"/>
            <w:vAlign w:val="bottom"/>
          </w:tcPr>
          <w:p w14:paraId="518B7119" w14:textId="77777777" w:rsidR="005C332D" w:rsidRDefault="005C332D">
            <w:pPr>
              <w:rPr>
                <w:rFonts w:ascii="宋体"/>
              </w:rPr>
            </w:pPr>
          </w:p>
        </w:tc>
        <w:tc>
          <w:tcPr>
            <w:tcW w:w="5" w:type="pct"/>
            <w:shd w:val="clear" w:color="auto" w:fill="auto"/>
            <w:vAlign w:val="bottom"/>
          </w:tcPr>
          <w:p w14:paraId="518B711A" w14:textId="77777777" w:rsidR="005C332D" w:rsidRDefault="005C332D">
            <w:pPr>
              <w:rPr>
                <w:rFonts w:ascii="宋体"/>
              </w:rPr>
            </w:pPr>
          </w:p>
        </w:tc>
        <w:tc>
          <w:tcPr>
            <w:tcW w:w="26" w:type="pct"/>
            <w:shd w:val="clear" w:color="auto" w:fill="auto"/>
            <w:vAlign w:val="bottom"/>
          </w:tcPr>
          <w:p w14:paraId="518B711B" w14:textId="77777777" w:rsidR="005C332D" w:rsidRDefault="005C332D">
            <w:pPr>
              <w:rPr>
                <w:rFonts w:ascii="宋体"/>
              </w:rPr>
            </w:pPr>
          </w:p>
        </w:tc>
        <w:tc>
          <w:tcPr>
            <w:tcW w:w="5" w:type="pct"/>
            <w:shd w:val="clear" w:color="auto" w:fill="auto"/>
            <w:vAlign w:val="bottom"/>
          </w:tcPr>
          <w:p w14:paraId="518B711C" w14:textId="77777777" w:rsidR="005C332D" w:rsidRDefault="005C332D">
            <w:pPr>
              <w:rPr>
                <w:rFonts w:ascii="宋体"/>
              </w:rPr>
            </w:pPr>
          </w:p>
        </w:tc>
        <w:tc>
          <w:tcPr>
            <w:tcW w:w="50" w:type="pct"/>
            <w:shd w:val="clear" w:color="auto" w:fill="auto"/>
            <w:vAlign w:val="bottom"/>
          </w:tcPr>
          <w:p w14:paraId="518B711D" w14:textId="77777777" w:rsidR="005C332D" w:rsidRDefault="005C332D">
            <w:pPr>
              <w:rPr>
                <w:rFonts w:ascii="宋体"/>
              </w:rPr>
            </w:pPr>
          </w:p>
        </w:tc>
        <w:tc>
          <w:tcPr>
            <w:tcW w:w="482" w:type="pct"/>
            <w:shd w:val="clear" w:color="auto" w:fill="auto"/>
            <w:vAlign w:val="bottom"/>
          </w:tcPr>
          <w:p w14:paraId="518B711E" w14:textId="77777777" w:rsidR="005C332D" w:rsidRDefault="005C332D">
            <w:pPr>
              <w:rPr>
                <w:rFonts w:ascii="宋体"/>
              </w:rPr>
            </w:pPr>
          </w:p>
        </w:tc>
        <w:tc>
          <w:tcPr>
            <w:tcW w:w="5" w:type="pct"/>
            <w:shd w:val="clear" w:color="auto" w:fill="auto"/>
            <w:vAlign w:val="bottom"/>
          </w:tcPr>
          <w:p w14:paraId="518B711F" w14:textId="77777777" w:rsidR="005C332D" w:rsidRDefault="005C332D">
            <w:pPr>
              <w:rPr>
                <w:rFonts w:ascii="宋体"/>
              </w:rPr>
            </w:pPr>
          </w:p>
        </w:tc>
        <w:tc>
          <w:tcPr>
            <w:tcW w:w="5" w:type="pct"/>
            <w:shd w:val="clear" w:color="auto" w:fill="auto"/>
            <w:vAlign w:val="bottom"/>
          </w:tcPr>
          <w:p w14:paraId="518B7120" w14:textId="77777777" w:rsidR="005C332D" w:rsidRDefault="005C332D">
            <w:pPr>
              <w:rPr>
                <w:rFonts w:ascii="宋体"/>
              </w:rPr>
            </w:pPr>
          </w:p>
        </w:tc>
        <w:tc>
          <w:tcPr>
            <w:tcW w:w="26" w:type="pct"/>
            <w:shd w:val="clear" w:color="auto" w:fill="auto"/>
            <w:vAlign w:val="bottom"/>
          </w:tcPr>
          <w:p w14:paraId="518B7121" w14:textId="77777777" w:rsidR="005C332D" w:rsidRDefault="005C332D">
            <w:pPr>
              <w:rPr>
                <w:rFonts w:ascii="宋体"/>
              </w:rPr>
            </w:pPr>
          </w:p>
        </w:tc>
        <w:tc>
          <w:tcPr>
            <w:tcW w:w="5" w:type="pct"/>
            <w:shd w:val="clear" w:color="auto" w:fill="auto"/>
            <w:vAlign w:val="bottom"/>
          </w:tcPr>
          <w:p w14:paraId="518B7122" w14:textId="77777777" w:rsidR="005C332D" w:rsidRDefault="005C332D">
            <w:pPr>
              <w:rPr>
                <w:rFonts w:ascii="宋体"/>
              </w:rPr>
            </w:pPr>
          </w:p>
        </w:tc>
        <w:tc>
          <w:tcPr>
            <w:tcW w:w="50" w:type="pct"/>
            <w:shd w:val="clear" w:color="auto" w:fill="auto"/>
            <w:vAlign w:val="bottom"/>
          </w:tcPr>
          <w:p w14:paraId="518B7123" w14:textId="77777777" w:rsidR="005C332D" w:rsidRDefault="005C332D">
            <w:pPr>
              <w:rPr>
                <w:rFonts w:ascii="宋体"/>
              </w:rPr>
            </w:pPr>
          </w:p>
        </w:tc>
        <w:tc>
          <w:tcPr>
            <w:tcW w:w="512" w:type="pct"/>
            <w:shd w:val="clear" w:color="auto" w:fill="auto"/>
            <w:vAlign w:val="bottom"/>
          </w:tcPr>
          <w:p w14:paraId="518B7124" w14:textId="77777777" w:rsidR="005C332D" w:rsidRDefault="005C332D">
            <w:pPr>
              <w:rPr>
                <w:rFonts w:ascii="宋体"/>
              </w:rPr>
            </w:pPr>
          </w:p>
        </w:tc>
        <w:tc>
          <w:tcPr>
            <w:tcW w:w="5" w:type="pct"/>
            <w:shd w:val="clear" w:color="auto" w:fill="auto"/>
            <w:vAlign w:val="bottom"/>
          </w:tcPr>
          <w:p w14:paraId="518B7125" w14:textId="77777777" w:rsidR="005C332D" w:rsidRDefault="005C332D">
            <w:pPr>
              <w:rPr>
                <w:rFonts w:ascii="宋体"/>
              </w:rPr>
            </w:pPr>
          </w:p>
        </w:tc>
        <w:tc>
          <w:tcPr>
            <w:tcW w:w="5" w:type="pct"/>
            <w:shd w:val="clear" w:color="auto" w:fill="auto"/>
            <w:vAlign w:val="bottom"/>
          </w:tcPr>
          <w:p w14:paraId="518B7126" w14:textId="77777777" w:rsidR="005C332D" w:rsidRDefault="005C332D">
            <w:pPr>
              <w:rPr>
                <w:rFonts w:ascii="宋体"/>
              </w:rPr>
            </w:pPr>
          </w:p>
        </w:tc>
        <w:tc>
          <w:tcPr>
            <w:tcW w:w="26" w:type="pct"/>
            <w:shd w:val="clear" w:color="auto" w:fill="auto"/>
            <w:vAlign w:val="bottom"/>
          </w:tcPr>
          <w:p w14:paraId="518B7127" w14:textId="77777777" w:rsidR="005C332D" w:rsidRDefault="005C332D">
            <w:pPr>
              <w:rPr>
                <w:rFonts w:ascii="宋体"/>
              </w:rPr>
            </w:pPr>
          </w:p>
        </w:tc>
        <w:tc>
          <w:tcPr>
            <w:tcW w:w="5" w:type="pct"/>
            <w:shd w:val="clear" w:color="auto" w:fill="auto"/>
            <w:vAlign w:val="bottom"/>
          </w:tcPr>
          <w:p w14:paraId="518B7128" w14:textId="77777777" w:rsidR="005C332D" w:rsidRDefault="005C332D">
            <w:pPr>
              <w:rPr>
                <w:rFonts w:ascii="宋体"/>
              </w:rPr>
            </w:pPr>
          </w:p>
        </w:tc>
        <w:tc>
          <w:tcPr>
            <w:tcW w:w="50" w:type="pct"/>
            <w:shd w:val="clear" w:color="auto" w:fill="auto"/>
            <w:vAlign w:val="bottom"/>
          </w:tcPr>
          <w:p w14:paraId="518B7129" w14:textId="77777777" w:rsidR="005C332D" w:rsidRDefault="005C332D">
            <w:pPr>
              <w:rPr>
                <w:rFonts w:ascii="宋体"/>
              </w:rPr>
            </w:pPr>
          </w:p>
        </w:tc>
        <w:tc>
          <w:tcPr>
            <w:tcW w:w="512" w:type="pct"/>
            <w:shd w:val="clear" w:color="auto" w:fill="auto"/>
            <w:vAlign w:val="bottom"/>
          </w:tcPr>
          <w:p w14:paraId="518B712A" w14:textId="77777777" w:rsidR="005C332D" w:rsidRDefault="005C332D">
            <w:pPr>
              <w:rPr>
                <w:rFonts w:ascii="宋体"/>
              </w:rPr>
            </w:pPr>
          </w:p>
        </w:tc>
        <w:tc>
          <w:tcPr>
            <w:tcW w:w="5" w:type="pct"/>
            <w:shd w:val="clear" w:color="auto" w:fill="auto"/>
            <w:vAlign w:val="bottom"/>
          </w:tcPr>
          <w:p w14:paraId="518B712B" w14:textId="77777777" w:rsidR="005C332D" w:rsidRDefault="005C332D">
            <w:pPr>
              <w:rPr>
                <w:rFonts w:ascii="宋体"/>
              </w:rPr>
            </w:pPr>
          </w:p>
        </w:tc>
        <w:tc>
          <w:tcPr>
            <w:tcW w:w="5" w:type="pct"/>
            <w:shd w:val="clear" w:color="auto" w:fill="auto"/>
            <w:vAlign w:val="bottom"/>
          </w:tcPr>
          <w:p w14:paraId="518B712C" w14:textId="77777777" w:rsidR="005C332D" w:rsidRDefault="005C332D">
            <w:pPr>
              <w:rPr>
                <w:rFonts w:ascii="宋体"/>
              </w:rPr>
            </w:pPr>
          </w:p>
        </w:tc>
        <w:tc>
          <w:tcPr>
            <w:tcW w:w="26" w:type="pct"/>
            <w:shd w:val="clear" w:color="auto" w:fill="auto"/>
            <w:vAlign w:val="bottom"/>
          </w:tcPr>
          <w:p w14:paraId="518B712D" w14:textId="77777777" w:rsidR="005C332D" w:rsidRDefault="005C332D">
            <w:pPr>
              <w:rPr>
                <w:rFonts w:ascii="宋体"/>
              </w:rPr>
            </w:pPr>
          </w:p>
        </w:tc>
        <w:tc>
          <w:tcPr>
            <w:tcW w:w="5" w:type="pct"/>
            <w:shd w:val="clear" w:color="auto" w:fill="auto"/>
            <w:vAlign w:val="bottom"/>
          </w:tcPr>
          <w:p w14:paraId="518B712E" w14:textId="77777777" w:rsidR="005C332D" w:rsidRDefault="005C332D">
            <w:pPr>
              <w:rPr>
                <w:rFonts w:ascii="宋体"/>
              </w:rPr>
            </w:pPr>
          </w:p>
        </w:tc>
        <w:tc>
          <w:tcPr>
            <w:tcW w:w="50" w:type="pct"/>
            <w:shd w:val="clear" w:color="auto" w:fill="auto"/>
            <w:vAlign w:val="bottom"/>
          </w:tcPr>
          <w:p w14:paraId="518B712F" w14:textId="77777777" w:rsidR="005C332D" w:rsidRDefault="005C332D">
            <w:pPr>
              <w:rPr>
                <w:rFonts w:ascii="宋体"/>
              </w:rPr>
            </w:pPr>
          </w:p>
        </w:tc>
        <w:tc>
          <w:tcPr>
            <w:tcW w:w="482" w:type="pct"/>
            <w:shd w:val="clear" w:color="auto" w:fill="auto"/>
            <w:vAlign w:val="bottom"/>
          </w:tcPr>
          <w:p w14:paraId="518B7130" w14:textId="77777777" w:rsidR="005C332D" w:rsidRDefault="005C332D">
            <w:pPr>
              <w:rPr>
                <w:rFonts w:ascii="宋体"/>
              </w:rPr>
            </w:pPr>
          </w:p>
        </w:tc>
        <w:tc>
          <w:tcPr>
            <w:tcW w:w="5" w:type="pct"/>
            <w:shd w:val="clear" w:color="auto" w:fill="auto"/>
            <w:vAlign w:val="bottom"/>
          </w:tcPr>
          <w:p w14:paraId="518B7131" w14:textId="77777777" w:rsidR="005C332D" w:rsidRDefault="005C332D">
            <w:pPr>
              <w:rPr>
                <w:rFonts w:ascii="宋体"/>
              </w:rPr>
            </w:pPr>
          </w:p>
        </w:tc>
        <w:tc>
          <w:tcPr>
            <w:tcW w:w="5" w:type="pct"/>
            <w:shd w:val="clear" w:color="auto" w:fill="auto"/>
            <w:vAlign w:val="bottom"/>
          </w:tcPr>
          <w:p w14:paraId="518B7132" w14:textId="77777777" w:rsidR="005C332D" w:rsidRDefault="005C332D">
            <w:pPr>
              <w:rPr>
                <w:rFonts w:ascii="宋体"/>
              </w:rPr>
            </w:pPr>
          </w:p>
        </w:tc>
        <w:tc>
          <w:tcPr>
            <w:tcW w:w="26" w:type="pct"/>
            <w:shd w:val="clear" w:color="auto" w:fill="auto"/>
            <w:vAlign w:val="bottom"/>
          </w:tcPr>
          <w:p w14:paraId="518B7133" w14:textId="77777777" w:rsidR="005C332D" w:rsidRDefault="005C332D">
            <w:pPr>
              <w:rPr>
                <w:rFonts w:ascii="宋体"/>
              </w:rPr>
            </w:pPr>
          </w:p>
        </w:tc>
        <w:tc>
          <w:tcPr>
            <w:tcW w:w="5" w:type="pct"/>
            <w:shd w:val="clear" w:color="auto" w:fill="auto"/>
            <w:vAlign w:val="bottom"/>
          </w:tcPr>
          <w:p w14:paraId="518B7134" w14:textId="77777777" w:rsidR="005C332D" w:rsidRDefault="005C332D">
            <w:pPr>
              <w:rPr>
                <w:rFonts w:ascii="宋体"/>
              </w:rPr>
            </w:pPr>
          </w:p>
        </w:tc>
        <w:tc>
          <w:tcPr>
            <w:tcW w:w="50" w:type="pct"/>
            <w:shd w:val="clear" w:color="auto" w:fill="auto"/>
            <w:vAlign w:val="bottom"/>
          </w:tcPr>
          <w:p w14:paraId="518B7135" w14:textId="77777777" w:rsidR="005C332D" w:rsidRDefault="005C332D">
            <w:pPr>
              <w:rPr>
                <w:rFonts w:ascii="宋体"/>
              </w:rPr>
            </w:pPr>
          </w:p>
        </w:tc>
        <w:tc>
          <w:tcPr>
            <w:tcW w:w="482" w:type="pct"/>
            <w:shd w:val="clear" w:color="auto" w:fill="auto"/>
            <w:vAlign w:val="bottom"/>
          </w:tcPr>
          <w:p w14:paraId="518B7136" w14:textId="77777777" w:rsidR="005C332D" w:rsidRDefault="005C332D">
            <w:pPr>
              <w:rPr>
                <w:rFonts w:ascii="宋体"/>
              </w:rPr>
            </w:pPr>
          </w:p>
        </w:tc>
        <w:tc>
          <w:tcPr>
            <w:tcW w:w="5" w:type="pct"/>
            <w:shd w:val="clear" w:color="auto" w:fill="auto"/>
            <w:vAlign w:val="bottom"/>
          </w:tcPr>
          <w:p w14:paraId="518B7137" w14:textId="77777777" w:rsidR="005C332D" w:rsidRDefault="005C332D">
            <w:pPr>
              <w:rPr>
                <w:rFonts w:ascii="宋体"/>
              </w:rPr>
            </w:pPr>
          </w:p>
        </w:tc>
      </w:tr>
      <w:tr w:rsidR="005C332D" w14:paraId="518B713F" w14:textId="77777777">
        <w:tc>
          <w:tcPr>
            <w:tcW w:w="0" w:type="auto"/>
            <w:gridSpan w:val="3"/>
            <w:shd w:val="clear" w:color="auto" w:fill="auto"/>
            <w:tcMar>
              <w:top w:w="40" w:type="dxa"/>
              <w:left w:w="20" w:type="dxa"/>
              <w:bottom w:w="40" w:type="dxa"/>
              <w:right w:w="20" w:type="dxa"/>
            </w:tcMar>
            <w:vAlign w:val="bottom"/>
          </w:tcPr>
          <w:p w14:paraId="518B7139" w14:textId="77777777" w:rsidR="005C332D" w:rsidRDefault="00B93EA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518B713A" w14:textId="77777777" w:rsidR="005C332D" w:rsidRDefault="00B93EAE">
            <w:pPr>
              <w:jc w:val="center"/>
              <w:textAlignment w:val="bottom"/>
            </w:pPr>
            <w:r>
              <w:rPr>
                <w:rFonts w:ascii="Times New Roman" w:eastAsia="宋体" w:hAnsi="Times New Roman"/>
                <w:b/>
                <w:bCs/>
                <w:color w:val="000000"/>
                <w:sz w:val="18"/>
                <w:szCs w:val="18"/>
              </w:rPr>
              <w:t>UNREALIZED LOSSES</w:t>
            </w:r>
            <w:r>
              <w:rPr>
                <w:rFonts w:ascii="Times New Roman" w:eastAsia="宋体" w:hAnsi="Times New Roman"/>
                <w:b/>
                <w:bCs/>
                <w:color w:val="000000"/>
                <w:sz w:val="18"/>
                <w:szCs w:val="18"/>
              </w:rPr>
              <w:br/>
              <w:t>LESS THAN 12 MONTHS</w:t>
            </w:r>
          </w:p>
        </w:tc>
        <w:tc>
          <w:tcPr>
            <w:tcW w:w="0" w:type="auto"/>
            <w:gridSpan w:val="3"/>
            <w:shd w:val="clear" w:color="auto" w:fill="auto"/>
            <w:tcMar>
              <w:top w:w="0" w:type="dxa"/>
              <w:left w:w="20" w:type="dxa"/>
              <w:bottom w:w="0" w:type="dxa"/>
              <w:right w:w="20" w:type="dxa"/>
            </w:tcMar>
            <w:vAlign w:val="bottom"/>
          </w:tcPr>
          <w:p w14:paraId="518B713B"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713C" w14:textId="77777777" w:rsidR="005C332D" w:rsidRDefault="00B93EAE">
            <w:pPr>
              <w:jc w:val="center"/>
              <w:textAlignment w:val="bottom"/>
            </w:pPr>
            <w:r>
              <w:rPr>
                <w:rFonts w:ascii="Times New Roman" w:eastAsia="宋体" w:hAnsi="Times New Roman"/>
                <w:b/>
                <w:bCs/>
                <w:color w:val="000000"/>
                <w:sz w:val="18"/>
                <w:szCs w:val="18"/>
              </w:rPr>
              <w:t>UNREALIZED LOSSES</w:t>
            </w:r>
            <w:r>
              <w:rPr>
                <w:rFonts w:ascii="Times New Roman" w:eastAsia="宋体" w:hAnsi="Times New Roman"/>
                <w:b/>
                <w:bCs/>
                <w:color w:val="000000"/>
                <w:sz w:val="18"/>
                <w:szCs w:val="18"/>
              </w:rPr>
              <w:br/>
            </w:r>
            <w:r>
              <w:rPr>
                <w:rFonts w:ascii="Times New Roman" w:eastAsia="宋体" w:hAnsi="Times New Roman"/>
                <w:b/>
                <w:bCs/>
                <w:color w:val="000000"/>
                <w:sz w:val="18"/>
                <w:szCs w:val="18"/>
              </w:rPr>
              <w:t>12 MONTHS OR GREATER</w:t>
            </w:r>
          </w:p>
        </w:tc>
        <w:tc>
          <w:tcPr>
            <w:tcW w:w="0" w:type="auto"/>
            <w:gridSpan w:val="3"/>
            <w:shd w:val="clear" w:color="auto" w:fill="auto"/>
            <w:tcMar>
              <w:top w:w="0" w:type="dxa"/>
              <w:left w:w="20" w:type="dxa"/>
              <w:bottom w:w="0" w:type="dxa"/>
              <w:right w:w="20" w:type="dxa"/>
            </w:tcMar>
            <w:vAlign w:val="bottom"/>
          </w:tcPr>
          <w:p w14:paraId="518B713D"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713E" w14:textId="77777777" w:rsidR="005C332D" w:rsidRDefault="00B93EAE">
            <w:pPr>
              <w:jc w:val="center"/>
              <w:textAlignment w:val="bottom"/>
            </w:pPr>
            <w:r>
              <w:rPr>
                <w:rFonts w:ascii="Times New Roman" w:eastAsia="宋体" w:hAnsi="Times New Roman"/>
                <w:b/>
                <w:bCs/>
                <w:color w:val="000000"/>
                <w:sz w:val="18"/>
                <w:szCs w:val="18"/>
              </w:rPr>
              <w:t>TOTAL</w:t>
            </w:r>
          </w:p>
        </w:tc>
      </w:tr>
      <w:tr w:rsidR="005C332D" w14:paraId="518B714C" w14:textId="77777777">
        <w:tc>
          <w:tcPr>
            <w:tcW w:w="0" w:type="auto"/>
            <w:gridSpan w:val="3"/>
            <w:shd w:val="clear" w:color="auto" w:fill="auto"/>
            <w:tcMar>
              <w:top w:w="40" w:type="dxa"/>
              <w:left w:w="20" w:type="dxa"/>
              <w:bottom w:w="40" w:type="dxa"/>
              <w:right w:w="20" w:type="dxa"/>
            </w:tcMar>
            <w:vAlign w:val="bottom"/>
          </w:tcPr>
          <w:p w14:paraId="518B7140" w14:textId="77777777" w:rsidR="005C332D" w:rsidRDefault="00B93EAE">
            <w:pPr>
              <w:textAlignment w:val="bottom"/>
            </w:pPr>
            <w:r>
              <w:rPr>
                <w:rFonts w:ascii="Times New Roman" w:eastAsia="宋体" w:hAnsi="Times New Roman"/>
                <w:b/>
                <w:bCs/>
                <w:color w:val="000000"/>
                <w:sz w:val="16"/>
                <w:szCs w:val="16"/>
                <w:u w:val="single"/>
              </w:rPr>
              <w:t>July 30,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141" w14:textId="77777777" w:rsidR="005C332D" w:rsidRDefault="00B93EAE">
            <w:pPr>
              <w:jc w:val="center"/>
              <w:textAlignment w:val="bottom"/>
            </w:pPr>
            <w:r>
              <w:rPr>
                <w:rFonts w:ascii="Times New Roman" w:eastAsia="宋体" w:hAnsi="Times New Roman"/>
                <w:b/>
                <w:bCs/>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14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143" w14:textId="77777777" w:rsidR="005C332D" w:rsidRDefault="00B93EAE">
            <w:pPr>
              <w:jc w:val="center"/>
              <w:textAlignment w:val="bottom"/>
            </w:pPr>
            <w:r>
              <w:rPr>
                <w:rFonts w:ascii="Times New Roman" w:eastAsia="宋体" w:hAnsi="Times New Roman"/>
                <w:b/>
                <w:bCs/>
                <w:color w:val="000000"/>
                <w:sz w:val="18"/>
                <w:szCs w:val="18"/>
              </w:rPr>
              <w:t>Gross</w:t>
            </w:r>
            <w:r>
              <w:rPr>
                <w:rFonts w:ascii="Times New Roman" w:eastAsia="宋体" w:hAnsi="Times New Roman"/>
                <w:b/>
                <w:bCs/>
                <w:color w:val="000000"/>
                <w:sz w:val="18"/>
                <w:szCs w:val="18"/>
              </w:rPr>
              <w:br/>
              <w:t>Unrealized</w:t>
            </w:r>
            <w:r>
              <w:rPr>
                <w:rFonts w:ascii="Times New Roman" w:eastAsia="宋体" w:hAnsi="Times New Roman"/>
                <w:b/>
                <w:bCs/>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518B714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145" w14:textId="77777777" w:rsidR="005C332D" w:rsidRDefault="00B93EAE">
            <w:pPr>
              <w:jc w:val="center"/>
              <w:textAlignment w:val="bottom"/>
            </w:pPr>
            <w:r>
              <w:rPr>
                <w:rFonts w:ascii="Times New Roman" w:eastAsia="宋体" w:hAnsi="Times New Roman"/>
                <w:b/>
                <w:bCs/>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14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147" w14:textId="77777777" w:rsidR="005C332D" w:rsidRDefault="00B93EAE">
            <w:pPr>
              <w:jc w:val="center"/>
              <w:textAlignment w:val="bottom"/>
            </w:pPr>
            <w:r>
              <w:rPr>
                <w:rFonts w:ascii="Times New Roman" w:eastAsia="宋体" w:hAnsi="Times New Roman"/>
                <w:b/>
                <w:bCs/>
                <w:color w:val="000000"/>
                <w:sz w:val="18"/>
                <w:szCs w:val="18"/>
              </w:rPr>
              <w:t>Gross</w:t>
            </w:r>
            <w:r>
              <w:rPr>
                <w:rFonts w:ascii="Times New Roman" w:eastAsia="宋体" w:hAnsi="Times New Roman"/>
                <w:b/>
                <w:bCs/>
                <w:color w:val="000000"/>
                <w:sz w:val="18"/>
                <w:szCs w:val="18"/>
              </w:rPr>
              <w:br/>
              <w:t>Unrealized</w:t>
            </w:r>
            <w:r>
              <w:rPr>
                <w:rFonts w:ascii="Times New Roman" w:eastAsia="宋体" w:hAnsi="Times New Roman"/>
                <w:b/>
                <w:bCs/>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518B714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149" w14:textId="77777777" w:rsidR="005C332D" w:rsidRDefault="00B93EAE">
            <w:pPr>
              <w:jc w:val="center"/>
              <w:textAlignment w:val="bottom"/>
            </w:pPr>
            <w:r>
              <w:rPr>
                <w:rFonts w:ascii="Times New Roman" w:eastAsia="宋体" w:hAnsi="Times New Roman"/>
                <w:b/>
                <w:bCs/>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14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14B" w14:textId="77777777" w:rsidR="005C332D" w:rsidRDefault="00B93EAE">
            <w:pPr>
              <w:jc w:val="center"/>
              <w:textAlignment w:val="bottom"/>
            </w:pPr>
            <w:r>
              <w:rPr>
                <w:rFonts w:ascii="Times New Roman" w:eastAsia="宋体" w:hAnsi="Times New Roman"/>
                <w:b/>
                <w:bCs/>
                <w:color w:val="000000"/>
                <w:sz w:val="18"/>
                <w:szCs w:val="18"/>
              </w:rPr>
              <w:t>Gross </w:t>
            </w:r>
            <w:r>
              <w:rPr>
                <w:rFonts w:ascii="Times New Roman" w:eastAsia="宋体" w:hAnsi="Times New Roman"/>
                <w:b/>
                <w:bCs/>
                <w:color w:val="000000"/>
                <w:sz w:val="18"/>
                <w:szCs w:val="18"/>
              </w:rPr>
              <w:br/>
              <w:t>Unrealized </w:t>
            </w:r>
            <w:r>
              <w:rPr>
                <w:rFonts w:ascii="Times New Roman" w:eastAsia="宋体" w:hAnsi="Times New Roman"/>
                <w:b/>
                <w:bCs/>
                <w:color w:val="000000"/>
                <w:sz w:val="18"/>
                <w:szCs w:val="18"/>
              </w:rPr>
              <w:br/>
              <w:t>Losses</w:t>
            </w:r>
          </w:p>
        </w:tc>
      </w:tr>
      <w:tr w:rsidR="005C332D" w14:paraId="518B7165" w14:textId="77777777">
        <w:tc>
          <w:tcPr>
            <w:tcW w:w="0" w:type="auto"/>
            <w:gridSpan w:val="3"/>
            <w:shd w:val="clear" w:color="auto" w:fill="CCEEFF"/>
            <w:tcMar>
              <w:top w:w="40" w:type="dxa"/>
              <w:left w:w="245" w:type="dxa"/>
              <w:bottom w:w="40" w:type="dxa"/>
              <w:right w:w="20" w:type="dxa"/>
            </w:tcMar>
          </w:tcPr>
          <w:p w14:paraId="518B714D" w14:textId="77777777" w:rsidR="005C332D" w:rsidRDefault="00B93EAE">
            <w:pPr>
              <w:textAlignment w:val="top"/>
            </w:pPr>
            <w:r>
              <w:rPr>
                <w:rFonts w:ascii="Times New Roman" w:eastAsia="宋体" w:hAnsi="Times New Roman"/>
                <w:b/>
                <w:bCs/>
                <w:color w:val="000000"/>
                <w:sz w:val="18"/>
                <w:szCs w:val="18"/>
              </w:rPr>
              <w:t>U.S</w:t>
            </w:r>
            <w:r>
              <w:rPr>
                <w:rFonts w:ascii="Times New Roman" w:eastAsia="宋体" w:hAnsi="Times New Roman"/>
                <w:b/>
                <w:bCs/>
                <w:color w:val="000000"/>
                <w:sz w:val="18"/>
                <w:szCs w:val="18"/>
              </w:rPr>
              <w:t>.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14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14F" w14:textId="77777777" w:rsidR="005C332D" w:rsidRDefault="00B93EAE">
            <w:pPr>
              <w:jc w:val="right"/>
              <w:textAlignment w:val="bottom"/>
            </w:pPr>
            <w:r>
              <w:rPr>
                <w:rFonts w:ascii="Times New Roman" w:eastAsia="宋体" w:hAnsi="Times New Roman"/>
                <w:b/>
                <w:bCs/>
                <w:color w:val="000000"/>
                <w:sz w:val="20"/>
                <w:szCs w:val="20"/>
              </w:rPr>
              <w:t>1,110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15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5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15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153" w14:textId="77777777" w:rsidR="005C332D" w:rsidRDefault="00B93EAE">
            <w:pPr>
              <w:jc w:val="right"/>
              <w:textAlignment w:val="bottom"/>
            </w:pPr>
            <w:r>
              <w:rPr>
                <w:rFonts w:ascii="Times New Roman" w:eastAsia="宋体" w:hAnsi="Times New Roman"/>
                <w:b/>
                <w:bCs/>
                <w:color w:val="000000"/>
                <w:sz w:val="20"/>
                <w:szCs w:val="20"/>
              </w:rPr>
              <w:t>(44)</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15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5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156"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157" w14:textId="77777777" w:rsidR="005C332D" w:rsidRDefault="00B93EAE">
            <w:pPr>
              <w:jc w:val="right"/>
              <w:textAlignment w:val="bottom"/>
            </w:pPr>
            <w:r>
              <w:rPr>
                <w:rFonts w:ascii="Times New Roman" w:eastAsia="宋体" w:hAnsi="Times New Roman"/>
                <w:b/>
                <w:bCs/>
                <w:color w:val="000000"/>
                <w:sz w:val="20"/>
                <w:szCs w:val="20"/>
              </w:rPr>
              <w:t>120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15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5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15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15B" w14:textId="77777777" w:rsidR="005C332D" w:rsidRDefault="00B93EAE">
            <w:pPr>
              <w:jc w:val="right"/>
              <w:textAlignment w:val="bottom"/>
            </w:pPr>
            <w:r>
              <w:rPr>
                <w:rFonts w:ascii="Times New Roman" w:eastAsia="宋体" w:hAnsi="Times New Roman"/>
                <w:b/>
                <w:bCs/>
                <w:color w:val="000000"/>
                <w:sz w:val="20"/>
                <w:szCs w:val="20"/>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15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5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15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15F" w14:textId="77777777" w:rsidR="005C332D" w:rsidRDefault="00B93EAE">
            <w:pPr>
              <w:jc w:val="right"/>
              <w:textAlignment w:val="bottom"/>
            </w:pPr>
            <w:r>
              <w:rPr>
                <w:rFonts w:ascii="Times New Roman" w:eastAsia="宋体" w:hAnsi="Times New Roman"/>
                <w:b/>
                <w:bCs/>
                <w:color w:val="000000"/>
                <w:sz w:val="20"/>
                <w:szCs w:val="20"/>
              </w:rPr>
              <w:t>1,230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16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6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16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163" w14:textId="77777777" w:rsidR="005C332D" w:rsidRDefault="00B93EAE">
            <w:pPr>
              <w:jc w:val="right"/>
              <w:textAlignment w:val="bottom"/>
            </w:pPr>
            <w:r>
              <w:rPr>
                <w:rFonts w:ascii="Times New Roman" w:eastAsia="宋体" w:hAnsi="Times New Roman"/>
                <w:b/>
                <w:bCs/>
                <w:color w:val="000000"/>
                <w:sz w:val="20"/>
                <w:szCs w:val="20"/>
              </w:rPr>
              <w:t>(49)</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164" w14:textId="77777777" w:rsidR="005C332D" w:rsidRDefault="005C332D">
            <w:pPr>
              <w:jc w:val="right"/>
              <w:rPr>
                <w:rFonts w:ascii="宋体"/>
              </w:rPr>
            </w:pPr>
          </w:p>
        </w:tc>
      </w:tr>
      <w:tr w:rsidR="005C332D" w14:paraId="518B7178" w14:textId="77777777">
        <w:tc>
          <w:tcPr>
            <w:tcW w:w="0" w:type="auto"/>
            <w:gridSpan w:val="3"/>
            <w:shd w:val="clear" w:color="auto" w:fill="FFFFFF"/>
            <w:tcMar>
              <w:top w:w="40" w:type="dxa"/>
              <w:left w:w="245" w:type="dxa"/>
              <w:bottom w:w="40" w:type="dxa"/>
              <w:right w:w="20" w:type="dxa"/>
            </w:tcMar>
          </w:tcPr>
          <w:p w14:paraId="518B7166" w14:textId="77777777" w:rsidR="005C332D" w:rsidRDefault="00B93EAE">
            <w:pPr>
              <w:textAlignment w:val="top"/>
            </w:pPr>
            <w:r>
              <w:rPr>
                <w:rFonts w:ascii="Times New Roman" w:eastAsia="宋体" w:hAnsi="Times New Roman"/>
                <w:b/>
                <w:bCs/>
                <w:color w:val="000000"/>
                <w:sz w:val="18"/>
                <w:szCs w:val="18"/>
              </w:rPr>
              <w:t>U.S. government agency securities</w:t>
            </w:r>
          </w:p>
        </w:tc>
        <w:tc>
          <w:tcPr>
            <w:tcW w:w="0" w:type="auto"/>
            <w:gridSpan w:val="2"/>
            <w:shd w:val="clear" w:color="auto" w:fill="FFFFFF"/>
            <w:tcMar>
              <w:top w:w="40" w:type="dxa"/>
              <w:left w:w="20" w:type="dxa"/>
              <w:bottom w:w="40" w:type="dxa"/>
              <w:right w:w="0" w:type="dxa"/>
            </w:tcMar>
            <w:vAlign w:val="bottom"/>
          </w:tcPr>
          <w:p w14:paraId="518B7167" w14:textId="77777777" w:rsidR="005C332D" w:rsidRDefault="00B93EAE">
            <w:pPr>
              <w:jc w:val="right"/>
              <w:textAlignment w:val="bottom"/>
            </w:pPr>
            <w:r>
              <w:rPr>
                <w:rFonts w:ascii="Times New Roman" w:eastAsia="宋体" w:hAnsi="Times New Roman"/>
                <w:b/>
                <w:bCs/>
                <w:color w:val="000000"/>
                <w:sz w:val="20"/>
                <w:szCs w:val="20"/>
              </w:rPr>
              <w:t>114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16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6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16A" w14:textId="77777777" w:rsidR="005C332D" w:rsidRDefault="00B93EAE">
            <w:pPr>
              <w:jc w:val="right"/>
              <w:textAlignment w:val="bottom"/>
            </w:pPr>
            <w:r>
              <w:rPr>
                <w:rFonts w:ascii="Times New Roman" w:eastAsia="宋体" w:hAnsi="Times New Roman"/>
                <w:b/>
                <w:bCs/>
                <w:color w:val="000000"/>
                <w:sz w:val="20"/>
                <w:szCs w:val="20"/>
              </w:rPr>
              <w:t>(2)</w:t>
            </w:r>
          </w:p>
        </w:tc>
        <w:tc>
          <w:tcPr>
            <w:tcW w:w="0" w:type="auto"/>
            <w:shd w:val="clear" w:color="auto" w:fill="FFFFFF"/>
            <w:tcMar>
              <w:top w:w="40" w:type="dxa"/>
              <w:left w:w="0" w:type="dxa"/>
              <w:bottom w:w="40" w:type="dxa"/>
              <w:right w:w="20" w:type="dxa"/>
            </w:tcMar>
            <w:vAlign w:val="bottom"/>
          </w:tcPr>
          <w:p w14:paraId="518B716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6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16D" w14:textId="77777777" w:rsidR="005C332D" w:rsidRDefault="00B93EAE">
            <w:pPr>
              <w:jc w:val="right"/>
              <w:textAlignment w:val="bottom"/>
            </w:pPr>
            <w:r>
              <w:rPr>
                <w:rFonts w:ascii="Times New Roman" w:eastAsia="宋体" w:hAnsi="Times New Roman"/>
                <w:b/>
                <w:bCs/>
                <w:color w:val="000000"/>
                <w:sz w:val="20"/>
                <w:szCs w:val="20"/>
              </w:rPr>
              <w:t>24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16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6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170" w14:textId="77777777" w:rsidR="005C332D" w:rsidRDefault="00B93EAE">
            <w:pPr>
              <w:jc w:val="right"/>
              <w:textAlignment w:val="bottom"/>
            </w:pPr>
            <w:r>
              <w:rPr>
                <w:rFonts w:ascii="Times New Roman" w:eastAsia="宋体" w:hAnsi="Times New Roman"/>
                <w:b/>
                <w:bCs/>
                <w:color w:val="000000"/>
                <w:sz w:val="20"/>
                <w:szCs w:val="20"/>
              </w:rPr>
              <w:t>(2)</w:t>
            </w:r>
          </w:p>
        </w:tc>
        <w:tc>
          <w:tcPr>
            <w:tcW w:w="0" w:type="auto"/>
            <w:shd w:val="clear" w:color="auto" w:fill="FFFFFF"/>
            <w:tcMar>
              <w:top w:w="40" w:type="dxa"/>
              <w:left w:w="0" w:type="dxa"/>
              <w:bottom w:w="40" w:type="dxa"/>
              <w:right w:w="20" w:type="dxa"/>
            </w:tcMar>
            <w:vAlign w:val="bottom"/>
          </w:tcPr>
          <w:p w14:paraId="518B717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7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173" w14:textId="77777777" w:rsidR="005C332D" w:rsidRDefault="00B93EAE">
            <w:pPr>
              <w:jc w:val="right"/>
              <w:textAlignment w:val="bottom"/>
            </w:pPr>
            <w:r>
              <w:rPr>
                <w:rFonts w:ascii="Times New Roman" w:eastAsia="宋体" w:hAnsi="Times New Roman"/>
                <w:b/>
                <w:bCs/>
                <w:color w:val="000000"/>
                <w:sz w:val="20"/>
                <w:szCs w:val="20"/>
              </w:rPr>
              <w:t>138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17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7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176" w14:textId="77777777" w:rsidR="005C332D" w:rsidRDefault="00B93EAE">
            <w:pPr>
              <w:jc w:val="right"/>
              <w:textAlignment w:val="bottom"/>
            </w:pPr>
            <w:r>
              <w:rPr>
                <w:rFonts w:ascii="Times New Roman" w:eastAsia="宋体" w:hAnsi="Times New Roman"/>
                <w:b/>
                <w:bCs/>
                <w:color w:val="000000"/>
                <w:sz w:val="20"/>
                <w:szCs w:val="20"/>
              </w:rPr>
              <w:t>(4)</w:t>
            </w:r>
          </w:p>
        </w:tc>
        <w:tc>
          <w:tcPr>
            <w:tcW w:w="0" w:type="auto"/>
            <w:shd w:val="clear" w:color="auto" w:fill="FFFFFF"/>
            <w:tcMar>
              <w:top w:w="40" w:type="dxa"/>
              <w:left w:w="0" w:type="dxa"/>
              <w:bottom w:w="40" w:type="dxa"/>
              <w:right w:w="20" w:type="dxa"/>
            </w:tcMar>
            <w:vAlign w:val="bottom"/>
          </w:tcPr>
          <w:p w14:paraId="518B7177" w14:textId="77777777" w:rsidR="005C332D" w:rsidRDefault="005C332D">
            <w:pPr>
              <w:jc w:val="right"/>
              <w:rPr>
                <w:rFonts w:ascii="宋体"/>
              </w:rPr>
            </w:pPr>
          </w:p>
        </w:tc>
      </w:tr>
      <w:tr w:rsidR="005C332D" w14:paraId="518B718B" w14:textId="77777777">
        <w:tc>
          <w:tcPr>
            <w:tcW w:w="0" w:type="auto"/>
            <w:gridSpan w:val="3"/>
            <w:shd w:val="clear" w:color="auto" w:fill="CCEEFF"/>
            <w:tcMar>
              <w:top w:w="40" w:type="dxa"/>
              <w:left w:w="245" w:type="dxa"/>
              <w:bottom w:w="40" w:type="dxa"/>
              <w:right w:w="20" w:type="dxa"/>
            </w:tcMar>
          </w:tcPr>
          <w:p w14:paraId="518B7179" w14:textId="77777777" w:rsidR="005C332D" w:rsidRDefault="00B93EAE">
            <w:pPr>
              <w:textAlignment w:val="top"/>
            </w:pPr>
            <w:r>
              <w:rPr>
                <w:rFonts w:ascii="Times New Roman" w:eastAsia="宋体" w:hAnsi="Times New Roman"/>
                <w:b/>
                <w:bCs/>
                <w:color w:val="000000"/>
                <w:sz w:val="18"/>
                <w:szCs w:val="18"/>
              </w:rPr>
              <w:t>Non-U.S. government and agency securities</w:t>
            </w:r>
          </w:p>
        </w:tc>
        <w:tc>
          <w:tcPr>
            <w:tcW w:w="0" w:type="auto"/>
            <w:gridSpan w:val="2"/>
            <w:shd w:val="clear" w:color="auto" w:fill="CCEEFF"/>
            <w:tcMar>
              <w:top w:w="40" w:type="dxa"/>
              <w:left w:w="20" w:type="dxa"/>
              <w:bottom w:w="40" w:type="dxa"/>
              <w:right w:w="0" w:type="dxa"/>
            </w:tcMar>
            <w:vAlign w:val="bottom"/>
          </w:tcPr>
          <w:p w14:paraId="518B717A" w14:textId="77777777" w:rsidR="005C332D" w:rsidRDefault="00B93EAE">
            <w:pPr>
              <w:jc w:val="right"/>
              <w:textAlignment w:val="bottom"/>
            </w:pPr>
            <w:r>
              <w:rPr>
                <w:rFonts w:ascii="Times New Roman" w:eastAsia="宋体" w:hAnsi="Times New Roman"/>
                <w:b/>
                <w:bCs/>
                <w:color w:val="000000"/>
                <w:sz w:val="20"/>
                <w:szCs w:val="20"/>
              </w:rPr>
              <w:t>264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17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7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17D"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17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7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180"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18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8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183"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18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8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186" w14:textId="77777777" w:rsidR="005C332D" w:rsidRDefault="00B93EAE">
            <w:pPr>
              <w:jc w:val="right"/>
              <w:textAlignment w:val="bottom"/>
            </w:pPr>
            <w:r>
              <w:rPr>
                <w:rFonts w:ascii="Times New Roman" w:eastAsia="宋体" w:hAnsi="Times New Roman"/>
                <w:b/>
                <w:bCs/>
                <w:color w:val="000000"/>
                <w:sz w:val="20"/>
                <w:szCs w:val="20"/>
              </w:rPr>
              <w:t>264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18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8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189"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18A" w14:textId="77777777" w:rsidR="005C332D" w:rsidRDefault="005C332D">
            <w:pPr>
              <w:jc w:val="right"/>
              <w:rPr>
                <w:rFonts w:ascii="宋体"/>
              </w:rPr>
            </w:pPr>
          </w:p>
        </w:tc>
      </w:tr>
      <w:tr w:rsidR="005C332D" w14:paraId="518B719E" w14:textId="77777777">
        <w:tc>
          <w:tcPr>
            <w:tcW w:w="0" w:type="auto"/>
            <w:gridSpan w:val="3"/>
            <w:shd w:val="clear" w:color="auto" w:fill="FFFFFF"/>
            <w:tcMar>
              <w:top w:w="40" w:type="dxa"/>
              <w:left w:w="245" w:type="dxa"/>
              <w:bottom w:w="40" w:type="dxa"/>
              <w:right w:w="20" w:type="dxa"/>
            </w:tcMar>
          </w:tcPr>
          <w:p w14:paraId="518B718C" w14:textId="77777777" w:rsidR="005C332D" w:rsidRDefault="00B93EAE">
            <w:pPr>
              <w:textAlignment w:val="top"/>
            </w:pPr>
            <w:r>
              <w:rPr>
                <w:rFonts w:ascii="Times New Roman" w:eastAsia="宋体" w:hAnsi="Times New Roman"/>
                <w:b/>
                <w:bCs/>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518B718D" w14:textId="77777777" w:rsidR="005C332D" w:rsidRDefault="00B93EAE">
            <w:pPr>
              <w:jc w:val="right"/>
              <w:textAlignment w:val="bottom"/>
            </w:pPr>
            <w:r>
              <w:rPr>
                <w:rFonts w:ascii="Times New Roman" w:eastAsia="宋体" w:hAnsi="Times New Roman"/>
                <w:b/>
                <w:bCs/>
                <w:color w:val="000000"/>
                <w:sz w:val="20"/>
                <w:szCs w:val="20"/>
              </w:rPr>
              <w:t>6,920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18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8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190" w14:textId="77777777" w:rsidR="005C332D" w:rsidRDefault="00B93EAE">
            <w:pPr>
              <w:jc w:val="right"/>
              <w:textAlignment w:val="bottom"/>
            </w:pPr>
            <w:r>
              <w:rPr>
                <w:rFonts w:ascii="Times New Roman" w:eastAsia="宋体" w:hAnsi="Times New Roman"/>
                <w:b/>
                <w:bCs/>
                <w:color w:val="000000"/>
                <w:sz w:val="20"/>
                <w:szCs w:val="20"/>
              </w:rPr>
              <w:t>(240)</w:t>
            </w:r>
          </w:p>
        </w:tc>
        <w:tc>
          <w:tcPr>
            <w:tcW w:w="0" w:type="auto"/>
            <w:shd w:val="clear" w:color="auto" w:fill="FFFFFF"/>
            <w:tcMar>
              <w:top w:w="40" w:type="dxa"/>
              <w:left w:w="0" w:type="dxa"/>
              <w:bottom w:w="40" w:type="dxa"/>
              <w:right w:w="20" w:type="dxa"/>
            </w:tcMar>
            <w:vAlign w:val="bottom"/>
          </w:tcPr>
          <w:p w14:paraId="518B719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9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193" w14:textId="77777777" w:rsidR="005C332D" w:rsidRDefault="00B93EAE">
            <w:pPr>
              <w:jc w:val="right"/>
              <w:textAlignment w:val="bottom"/>
            </w:pPr>
            <w:r>
              <w:rPr>
                <w:rFonts w:ascii="Times New Roman" w:eastAsia="宋体" w:hAnsi="Times New Roman"/>
                <w:b/>
                <w:bCs/>
                <w:color w:val="000000"/>
                <w:sz w:val="20"/>
                <w:szCs w:val="20"/>
              </w:rPr>
              <w:t>422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19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9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196" w14:textId="77777777" w:rsidR="005C332D" w:rsidRDefault="00B93EAE">
            <w:pPr>
              <w:jc w:val="right"/>
              <w:textAlignment w:val="bottom"/>
            </w:pPr>
            <w:r>
              <w:rPr>
                <w:rFonts w:ascii="Times New Roman" w:eastAsia="宋体" w:hAnsi="Times New Roman"/>
                <w:b/>
                <w:bCs/>
                <w:color w:val="000000"/>
                <w:sz w:val="20"/>
                <w:szCs w:val="20"/>
              </w:rPr>
              <w:t>(37)</w:t>
            </w:r>
          </w:p>
        </w:tc>
        <w:tc>
          <w:tcPr>
            <w:tcW w:w="0" w:type="auto"/>
            <w:shd w:val="clear" w:color="auto" w:fill="FFFFFF"/>
            <w:tcMar>
              <w:top w:w="40" w:type="dxa"/>
              <w:left w:w="0" w:type="dxa"/>
              <w:bottom w:w="40" w:type="dxa"/>
              <w:right w:w="20" w:type="dxa"/>
            </w:tcMar>
            <w:vAlign w:val="bottom"/>
          </w:tcPr>
          <w:p w14:paraId="518B719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9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199" w14:textId="77777777" w:rsidR="005C332D" w:rsidRDefault="00B93EAE">
            <w:pPr>
              <w:jc w:val="right"/>
              <w:textAlignment w:val="bottom"/>
            </w:pPr>
            <w:r>
              <w:rPr>
                <w:rFonts w:ascii="Times New Roman" w:eastAsia="宋体" w:hAnsi="Times New Roman"/>
                <w:b/>
                <w:bCs/>
                <w:color w:val="000000"/>
                <w:sz w:val="20"/>
                <w:szCs w:val="20"/>
              </w:rPr>
              <w:t>7,342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19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9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19C" w14:textId="77777777" w:rsidR="005C332D" w:rsidRDefault="00B93EAE">
            <w:pPr>
              <w:jc w:val="right"/>
              <w:textAlignment w:val="bottom"/>
            </w:pPr>
            <w:r>
              <w:rPr>
                <w:rFonts w:ascii="Times New Roman" w:eastAsia="宋体" w:hAnsi="Times New Roman"/>
                <w:b/>
                <w:bCs/>
                <w:color w:val="000000"/>
                <w:sz w:val="20"/>
                <w:szCs w:val="20"/>
              </w:rPr>
              <w:t>(277)</w:t>
            </w:r>
          </w:p>
        </w:tc>
        <w:tc>
          <w:tcPr>
            <w:tcW w:w="0" w:type="auto"/>
            <w:shd w:val="clear" w:color="auto" w:fill="FFFFFF"/>
            <w:tcMar>
              <w:top w:w="40" w:type="dxa"/>
              <w:left w:w="0" w:type="dxa"/>
              <w:bottom w:w="40" w:type="dxa"/>
              <w:right w:w="20" w:type="dxa"/>
            </w:tcMar>
            <w:vAlign w:val="bottom"/>
          </w:tcPr>
          <w:p w14:paraId="518B719D" w14:textId="77777777" w:rsidR="005C332D" w:rsidRDefault="005C332D">
            <w:pPr>
              <w:jc w:val="right"/>
              <w:rPr>
                <w:rFonts w:ascii="宋体"/>
              </w:rPr>
            </w:pPr>
          </w:p>
        </w:tc>
      </w:tr>
      <w:tr w:rsidR="005C332D" w14:paraId="518B71B1" w14:textId="77777777">
        <w:tc>
          <w:tcPr>
            <w:tcW w:w="0" w:type="auto"/>
            <w:gridSpan w:val="3"/>
            <w:shd w:val="clear" w:color="auto" w:fill="CCEEFF"/>
            <w:tcMar>
              <w:top w:w="40" w:type="dxa"/>
              <w:left w:w="245" w:type="dxa"/>
              <w:bottom w:w="40" w:type="dxa"/>
              <w:right w:w="20" w:type="dxa"/>
            </w:tcMar>
          </w:tcPr>
          <w:p w14:paraId="518B719F" w14:textId="77777777" w:rsidR="005C332D" w:rsidRDefault="00B93EAE">
            <w:pPr>
              <w:textAlignment w:val="top"/>
            </w:pPr>
            <w:r>
              <w:rPr>
                <w:rFonts w:ascii="Times New Roman" w:eastAsia="宋体" w:hAnsi="Times New Roman"/>
                <w:b/>
                <w:bCs/>
                <w:color w:val="000000"/>
                <w:sz w:val="18"/>
                <w:szCs w:val="18"/>
              </w:rPr>
              <w:t>U.S. agency mortgage-backed securities</w:t>
            </w:r>
          </w:p>
        </w:tc>
        <w:tc>
          <w:tcPr>
            <w:tcW w:w="0" w:type="auto"/>
            <w:gridSpan w:val="2"/>
            <w:shd w:val="clear" w:color="auto" w:fill="CCEEFF"/>
            <w:tcMar>
              <w:top w:w="40" w:type="dxa"/>
              <w:left w:w="20" w:type="dxa"/>
              <w:bottom w:w="40" w:type="dxa"/>
              <w:right w:w="0" w:type="dxa"/>
            </w:tcMar>
            <w:vAlign w:val="bottom"/>
          </w:tcPr>
          <w:p w14:paraId="518B71A0" w14:textId="77777777" w:rsidR="005C332D" w:rsidRDefault="00B93EAE">
            <w:pPr>
              <w:jc w:val="right"/>
              <w:textAlignment w:val="bottom"/>
            </w:pPr>
            <w:r>
              <w:rPr>
                <w:rFonts w:ascii="Times New Roman" w:eastAsia="宋体" w:hAnsi="Times New Roman"/>
                <w:b/>
                <w:bCs/>
                <w:color w:val="000000"/>
                <w:sz w:val="20"/>
                <w:szCs w:val="20"/>
              </w:rPr>
              <w:t>1,305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1A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A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1A3" w14:textId="77777777" w:rsidR="005C332D" w:rsidRDefault="00B93EAE">
            <w:pPr>
              <w:jc w:val="right"/>
              <w:textAlignment w:val="bottom"/>
            </w:pPr>
            <w:r>
              <w:rPr>
                <w:rFonts w:ascii="Times New Roman" w:eastAsia="宋体" w:hAnsi="Times New Roman"/>
                <w:b/>
                <w:bCs/>
                <w:color w:val="000000"/>
                <w:sz w:val="20"/>
                <w:szCs w:val="20"/>
              </w:rPr>
              <w:t>(96)</w:t>
            </w:r>
          </w:p>
        </w:tc>
        <w:tc>
          <w:tcPr>
            <w:tcW w:w="0" w:type="auto"/>
            <w:shd w:val="clear" w:color="auto" w:fill="CCEEFF"/>
            <w:tcMar>
              <w:top w:w="40" w:type="dxa"/>
              <w:left w:w="0" w:type="dxa"/>
              <w:bottom w:w="40" w:type="dxa"/>
              <w:right w:w="20" w:type="dxa"/>
            </w:tcMar>
            <w:vAlign w:val="bottom"/>
          </w:tcPr>
          <w:p w14:paraId="518B71A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A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1A6" w14:textId="77777777" w:rsidR="005C332D" w:rsidRDefault="00B93EAE">
            <w:pPr>
              <w:jc w:val="right"/>
              <w:textAlignment w:val="bottom"/>
            </w:pPr>
            <w:r>
              <w:rPr>
                <w:rFonts w:ascii="Times New Roman" w:eastAsia="宋体" w:hAnsi="Times New Roman"/>
                <w:b/>
                <w:bCs/>
                <w:color w:val="000000"/>
                <w:sz w:val="20"/>
                <w:szCs w:val="20"/>
              </w:rPr>
              <w:t>615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1A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A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1A9" w14:textId="77777777" w:rsidR="005C332D" w:rsidRDefault="00B93EAE">
            <w:pPr>
              <w:jc w:val="right"/>
              <w:textAlignment w:val="bottom"/>
            </w:pPr>
            <w:r>
              <w:rPr>
                <w:rFonts w:ascii="Times New Roman" w:eastAsia="宋体" w:hAnsi="Times New Roman"/>
                <w:b/>
                <w:bCs/>
                <w:color w:val="000000"/>
                <w:sz w:val="20"/>
                <w:szCs w:val="20"/>
              </w:rPr>
              <w:t>(62)</w:t>
            </w:r>
          </w:p>
        </w:tc>
        <w:tc>
          <w:tcPr>
            <w:tcW w:w="0" w:type="auto"/>
            <w:shd w:val="clear" w:color="auto" w:fill="CCEEFF"/>
            <w:tcMar>
              <w:top w:w="40" w:type="dxa"/>
              <w:left w:w="0" w:type="dxa"/>
              <w:bottom w:w="40" w:type="dxa"/>
              <w:right w:w="20" w:type="dxa"/>
            </w:tcMar>
            <w:vAlign w:val="bottom"/>
          </w:tcPr>
          <w:p w14:paraId="518B71A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A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1AC" w14:textId="77777777" w:rsidR="005C332D" w:rsidRDefault="00B93EAE">
            <w:pPr>
              <w:jc w:val="right"/>
              <w:textAlignment w:val="bottom"/>
            </w:pPr>
            <w:r>
              <w:rPr>
                <w:rFonts w:ascii="Times New Roman" w:eastAsia="宋体" w:hAnsi="Times New Roman"/>
                <w:b/>
                <w:bCs/>
                <w:color w:val="000000"/>
                <w:sz w:val="20"/>
                <w:szCs w:val="20"/>
              </w:rPr>
              <w:t>1,920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1A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1A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1AF" w14:textId="77777777" w:rsidR="005C332D" w:rsidRDefault="00B93EAE">
            <w:pPr>
              <w:jc w:val="right"/>
              <w:textAlignment w:val="bottom"/>
            </w:pPr>
            <w:r>
              <w:rPr>
                <w:rFonts w:ascii="Times New Roman" w:eastAsia="宋体" w:hAnsi="Times New Roman"/>
                <w:b/>
                <w:bCs/>
                <w:color w:val="000000"/>
                <w:sz w:val="20"/>
                <w:szCs w:val="20"/>
              </w:rPr>
              <w:t>(158)</w:t>
            </w:r>
          </w:p>
        </w:tc>
        <w:tc>
          <w:tcPr>
            <w:tcW w:w="0" w:type="auto"/>
            <w:shd w:val="clear" w:color="auto" w:fill="CCEEFF"/>
            <w:tcMar>
              <w:top w:w="40" w:type="dxa"/>
              <w:left w:w="0" w:type="dxa"/>
              <w:bottom w:w="40" w:type="dxa"/>
              <w:right w:w="20" w:type="dxa"/>
            </w:tcMar>
            <w:vAlign w:val="bottom"/>
          </w:tcPr>
          <w:p w14:paraId="518B71B0" w14:textId="77777777" w:rsidR="005C332D" w:rsidRDefault="005C332D">
            <w:pPr>
              <w:jc w:val="right"/>
              <w:rPr>
                <w:rFonts w:ascii="宋体"/>
              </w:rPr>
            </w:pPr>
          </w:p>
        </w:tc>
      </w:tr>
      <w:tr w:rsidR="005C332D" w14:paraId="518B71CA" w14:textId="77777777">
        <w:tc>
          <w:tcPr>
            <w:tcW w:w="0" w:type="auto"/>
            <w:gridSpan w:val="3"/>
            <w:shd w:val="clear" w:color="auto" w:fill="FFFFFF"/>
            <w:tcMar>
              <w:top w:w="40" w:type="dxa"/>
              <w:left w:w="740" w:type="dxa"/>
              <w:bottom w:w="40" w:type="dxa"/>
              <w:right w:w="20" w:type="dxa"/>
            </w:tcMar>
          </w:tcPr>
          <w:p w14:paraId="518B71B2" w14:textId="77777777" w:rsidR="005C332D" w:rsidRDefault="00B93EAE">
            <w:pPr>
              <w:textAlignment w:val="top"/>
            </w:pPr>
            <w:r>
              <w:rPr>
                <w:rFonts w:ascii="Times New Roman" w:eastAsia="宋体" w:hAnsi="Times New Roman"/>
                <w:b/>
                <w:bCs/>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1B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1B4" w14:textId="77777777" w:rsidR="005C332D" w:rsidRDefault="00B93EAE">
            <w:pPr>
              <w:jc w:val="right"/>
              <w:textAlignment w:val="bottom"/>
            </w:pPr>
            <w:r>
              <w:rPr>
                <w:rFonts w:ascii="Times New Roman" w:eastAsia="宋体" w:hAnsi="Times New Roman"/>
                <w:b/>
                <w:bCs/>
                <w:color w:val="000000"/>
                <w:sz w:val="20"/>
                <w:szCs w:val="20"/>
              </w:rPr>
              <w:t>9,713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1B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B6"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1B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1B8" w14:textId="77777777" w:rsidR="005C332D" w:rsidRDefault="00B93EAE">
            <w:pPr>
              <w:jc w:val="right"/>
              <w:textAlignment w:val="bottom"/>
            </w:pPr>
            <w:r>
              <w:rPr>
                <w:rFonts w:ascii="Times New Roman" w:eastAsia="宋体" w:hAnsi="Times New Roman"/>
                <w:b/>
                <w:bCs/>
                <w:color w:val="000000"/>
                <w:sz w:val="20"/>
                <w:szCs w:val="20"/>
              </w:rPr>
              <w:t>(382)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1B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BA"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1B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1BC" w14:textId="77777777" w:rsidR="005C332D" w:rsidRDefault="00B93EAE">
            <w:pPr>
              <w:jc w:val="right"/>
              <w:textAlignment w:val="bottom"/>
            </w:pPr>
            <w:r>
              <w:rPr>
                <w:rFonts w:ascii="Times New Roman" w:eastAsia="宋体" w:hAnsi="Times New Roman"/>
                <w:b/>
                <w:bCs/>
                <w:color w:val="000000"/>
                <w:sz w:val="20"/>
                <w:szCs w:val="20"/>
              </w:rPr>
              <w:t>1,181</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1B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BE"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1B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1C0" w14:textId="77777777" w:rsidR="005C332D" w:rsidRDefault="00B93EAE">
            <w:pPr>
              <w:jc w:val="right"/>
              <w:textAlignment w:val="bottom"/>
            </w:pPr>
            <w:r>
              <w:rPr>
                <w:rFonts w:ascii="Times New Roman" w:eastAsia="宋体" w:hAnsi="Times New Roman"/>
                <w:b/>
                <w:bCs/>
                <w:color w:val="000000"/>
                <w:sz w:val="20"/>
                <w:szCs w:val="20"/>
              </w:rPr>
              <w:t>(106)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1C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C2"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1C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1C4" w14:textId="77777777" w:rsidR="005C332D" w:rsidRDefault="00B93EAE">
            <w:pPr>
              <w:jc w:val="right"/>
              <w:textAlignment w:val="bottom"/>
            </w:pPr>
            <w:r>
              <w:rPr>
                <w:rFonts w:ascii="Times New Roman" w:eastAsia="宋体" w:hAnsi="Times New Roman"/>
                <w:b/>
                <w:bCs/>
                <w:color w:val="000000"/>
                <w:sz w:val="20"/>
                <w:szCs w:val="20"/>
              </w:rPr>
              <w:t>10,894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1C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1C6"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1C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1C8" w14:textId="77777777" w:rsidR="005C332D" w:rsidRDefault="00B93EAE">
            <w:pPr>
              <w:jc w:val="right"/>
              <w:textAlignment w:val="bottom"/>
            </w:pPr>
            <w:r>
              <w:rPr>
                <w:rFonts w:ascii="Times New Roman" w:eastAsia="宋体" w:hAnsi="Times New Roman"/>
                <w:b/>
                <w:bCs/>
                <w:color w:val="000000"/>
                <w:sz w:val="20"/>
                <w:szCs w:val="20"/>
              </w:rPr>
              <w:t>(488)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1C9" w14:textId="77777777" w:rsidR="005C332D" w:rsidRDefault="005C332D">
            <w:pPr>
              <w:jc w:val="right"/>
              <w:rPr>
                <w:rFonts w:ascii="宋体"/>
              </w:rPr>
            </w:pPr>
          </w:p>
        </w:tc>
      </w:tr>
    </w:tbl>
    <w:p w14:paraId="518B71CB" w14:textId="77777777" w:rsidR="005C332D" w:rsidRDefault="005C332D">
      <w:pPr>
        <w:rPr>
          <w:vanish/>
        </w:rPr>
      </w:pPr>
    </w:p>
    <w:tbl>
      <w:tblPr>
        <w:tblW w:w="4956" w:type="pct"/>
        <w:tblCellMar>
          <w:top w:w="15" w:type="dxa"/>
          <w:left w:w="15" w:type="dxa"/>
          <w:bottom w:w="15" w:type="dxa"/>
          <w:right w:w="15" w:type="dxa"/>
        </w:tblCellMar>
        <w:tblLook w:val="04A0" w:firstRow="1" w:lastRow="0" w:firstColumn="1" w:lastColumn="0" w:noHBand="0" w:noVBand="1"/>
      </w:tblPr>
      <w:tblGrid>
        <w:gridCol w:w="50"/>
        <w:gridCol w:w="1470"/>
        <w:gridCol w:w="37"/>
        <w:gridCol w:w="121"/>
        <w:gridCol w:w="885"/>
        <w:gridCol w:w="37"/>
        <w:gridCol w:w="36"/>
        <w:gridCol w:w="47"/>
        <w:gridCol w:w="36"/>
        <w:gridCol w:w="120"/>
        <w:gridCol w:w="884"/>
        <w:gridCol w:w="36"/>
        <w:gridCol w:w="36"/>
        <w:gridCol w:w="36"/>
        <w:gridCol w:w="36"/>
        <w:gridCol w:w="121"/>
        <w:gridCol w:w="961"/>
        <w:gridCol w:w="37"/>
        <w:gridCol w:w="37"/>
        <w:gridCol w:w="49"/>
        <w:gridCol w:w="37"/>
        <w:gridCol w:w="120"/>
        <w:gridCol w:w="960"/>
        <w:gridCol w:w="36"/>
        <w:gridCol w:w="36"/>
        <w:gridCol w:w="36"/>
        <w:gridCol w:w="36"/>
        <w:gridCol w:w="121"/>
        <w:gridCol w:w="723"/>
        <w:gridCol w:w="36"/>
        <w:gridCol w:w="36"/>
        <w:gridCol w:w="36"/>
        <w:gridCol w:w="36"/>
        <w:gridCol w:w="121"/>
        <w:gridCol w:w="785"/>
        <w:gridCol w:w="36"/>
      </w:tblGrid>
      <w:tr w:rsidR="005C332D" w14:paraId="518B71F0" w14:textId="77777777">
        <w:tc>
          <w:tcPr>
            <w:tcW w:w="50" w:type="pct"/>
            <w:shd w:val="clear" w:color="auto" w:fill="auto"/>
            <w:vAlign w:val="bottom"/>
          </w:tcPr>
          <w:p w14:paraId="518B71CC" w14:textId="77777777" w:rsidR="005C332D" w:rsidRDefault="005C332D">
            <w:pPr>
              <w:rPr>
                <w:rFonts w:ascii="宋体"/>
              </w:rPr>
            </w:pPr>
          </w:p>
        </w:tc>
        <w:tc>
          <w:tcPr>
            <w:tcW w:w="1471" w:type="pct"/>
            <w:shd w:val="clear" w:color="auto" w:fill="auto"/>
            <w:vAlign w:val="bottom"/>
          </w:tcPr>
          <w:p w14:paraId="518B71CD" w14:textId="77777777" w:rsidR="005C332D" w:rsidRDefault="005C332D">
            <w:pPr>
              <w:rPr>
                <w:rFonts w:ascii="宋体"/>
              </w:rPr>
            </w:pPr>
          </w:p>
        </w:tc>
        <w:tc>
          <w:tcPr>
            <w:tcW w:w="5" w:type="pct"/>
            <w:shd w:val="clear" w:color="auto" w:fill="auto"/>
            <w:vAlign w:val="bottom"/>
          </w:tcPr>
          <w:p w14:paraId="518B71CE" w14:textId="77777777" w:rsidR="005C332D" w:rsidRDefault="005C332D">
            <w:pPr>
              <w:rPr>
                <w:rFonts w:ascii="宋体"/>
              </w:rPr>
            </w:pPr>
          </w:p>
        </w:tc>
        <w:tc>
          <w:tcPr>
            <w:tcW w:w="50" w:type="pct"/>
            <w:shd w:val="clear" w:color="auto" w:fill="auto"/>
            <w:vAlign w:val="bottom"/>
          </w:tcPr>
          <w:p w14:paraId="518B71CF" w14:textId="77777777" w:rsidR="005C332D" w:rsidRDefault="005C332D">
            <w:pPr>
              <w:rPr>
                <w:rFonts w:ascii="宋体"/>
              </w:rPr>
            </w:pPr>
          </w:p>
        </w:tc>
        <w:tc>
          <w:tcPr>
            <w:tcW w:w="483" w:type="pct"/>
            <w:shd w:val="clear" w:color="auto" w:fill="auto"/>
            <w:vAlign w:val="bottom"/>
          </w:tcPr>
          <w:p w14:paraId="518B71D0" w14:textId="77777777" w:rsidR="005C332D" w:rsidRDefault="005C332D">
            <w:pPr>
              <w:rPr>
                <w:rFonts w:ascii="宋体"/>
              </w:rPr>
            </w:pPr>
          </w:p>
        </w:tc>
        <w:tc>
          <w:tcPr>
            <w:tcW w:w="5" w:type="pct"/>
            <w:shd w:val="clear" w:color="auto" w:fill="auto"/>
            <w:vAlign w:val="bottom"/>
          </w:tcPr>
          <w:p w14:paraId="518B71D1" w14:textId="77777777" w:rsidR="005C332D" w:rsidRDefault="005C332D">
            <w:pPr>
              <w:rPr>
                <w:rFonts w:ascii="宋体"/>
              </w:rPr>
            </w:pPr>
          </w:p>
        </w:tc>
        <w:tc>
          <w:tcPr>
            <w:tcW w:w="5" w:type="pct"/>
            <w:shd w:val="clear" w:color="auto" w:fill="auto"/>
            <w:vAlign w:val="bottom"/>
          </w:tcPr>
          <w:p w14:paraId="518B71D2" w14:textId="77777777" w:rsidR="005C332D" w:rsidRDefault="005C332D">
            <w:pPr>
              <w:rPr>
                <w:rFonts w:ascii="宋体"/>
              </w:rPr>
            </w:pPr>
          </w:p>
        </w:tc>
        <w:tc>
          <w:tcPr>
            <w:tcW w:w="26" w:type="pct"/>
            <w:shd w:val="clear" w:color="auto" w:fill="auto"/>
            <w:vAlign w:val="bottom"/>
          </w:tcPr>
          <w:p w14:paraId="518B71D3" w14:textId="77777777" w:rsidR="005C332D" w:rsidRDefault="005C332D">
            <w:pPr>
              <w:rPr>
                <w:rFonts w:ascii="宋体"/>
              </w:rPr>
            </w:pPr>
          </w:p>
        </w:tc>
        <w:tc>
          <w:tcPr>
            <w:tcW w:w="5" w:type="pct"/>
            <w:shd w:val="clear" w:color="auto" w:fill="auto"/>
            <w:vAlign w:val="bottom"/>
          </w:tcPr>
          <w:p w14:paraId="518B71D4" w14:textId="77777777" w:rsidR="005C332D" w:rsidRDefault="005C332D">
            <w:pPr>
              <w:rPr>
                <w:rFonts w:ascii="宋体"/>
              </w:rPr>
            </w:pPr>
          </w:p>
        </w:tc>
        <w:tc>
          <w:tcPr>
            <w:tcW w:w="50" w:type="pct"/>
            <w:shd w:val="clear" w:color="auto" w:fill="auto"/>
            <w:vAlign w:val="bottom"/>
          </w:tcPr>
          <w:p w14:paraId="518B71D5" w14:textId="77777777" w:rsidR="005C332D" w:rsidRDefault="005C332D">
            <w:pPr>
              <w:rPr>
                <w:rFonts w:ascii="宋体"/>
              </w:rPr>
            </w:pPr>
          </w:p>
        </w:tc>
        <w:tc>
          <w:tcPr>
            <w:tcW w:w="483" w:type="pct"/>
            <w:shd w:val="clear" w:color="auto" w:fill="auto"/>
            <w:vAlign w:val="bottom"/>
          </w:tcPr>
          <w:p w14:paraId="518B71D6" w14:textId="77777777" w:rsidR="005C332D" w:rsidRDefault="005C332D">
            <w:pPr>
              <w:rPr>
                <w:rFonts w:ascii="宋体"/>
              </w:rPr>
            </w:pPr>
          </w:p>
        </w:tc>
        <w:tc>
          <w:tcPr>
            <w:tcW w:w="5" w:type="pct"/>
            <w:shd w:val="clear" w:color="auto" w:fill="auto"/>
            <w:vAlign w:val="bottom"/>
          </w:tcPr>
          <w:p w14:paraId="518B71D7" w14:textId="77777777" w:rsidR="005C332D" w:rsidRDefault="005C332D">
            <w:pPr>
              <w:rPr>
                <w:rFonts w:ascii="宋体"/>
              </w:rPr>
            </w:pPr>
          </w:p>
        </w:tc>
        <w:tc>
          <w:tcPr>
            <w:tcW w:w="5" w:type="pct"/>
            <w:shd w:val="clear" w:color="auto" w:fill="auto"/>
            <w:vAlign w:val="bottom"/>
          </w:tcPr>
          <w:p w14:paraId="518B71D8" w14:textId="77777777" w:rsidR="005C332D" w:rsidRDefault="005C332D">
            <w:pPr>
              <w:rPr>
                <w:rFonts w:ascii="宋体"/>
              </w:rPr>
            </w:pPr>
          </w:p>
        </w:tc>
        <w:tc>
          <w:tcPr>
            <w:tcW w:w="26" w:type="pct"/>
            <w:shd w:val="clear" w:color="auto" w:fill="auto"/>
            <w:vAlign w:val="bottom"/>
          </w:tcPr>
          <w:p w14:paraId="518B71D9" w14:textId="77777777" w:rsidR="005C332D" w:rsidRDefault="005C332D">
            <w:pPr>
              <w:rPr>
                <w:rFonts w:ascii="宋体"/>
              </w:rPr>
            </w:pPr>
          </w:p>
        </w:tc>
        <w:tc>
          <w:tcPr>
            <w:tcW w:w="5" w:type="pct"/>
            <w:shd w:val="clear" w:color="auto" w:fill="auto"/>
            <w:vAlign w:val="bottom"/>
          </w:tcPr>
          <w:p w14:paraId="518B71DA" w14:textId="77777777" w:rsidR="005C332D" w:rsidRDefault="005C332D">
            <w:pPr>
              <w:rPr>
                <w:rFonts w:ascii="宋体"/>
              </w:rPr>
            </w:pPr>
          </w:p>
        </w:tc>
        <w:tc>
          <w:tcPr>
            <w:tcW w:w="50" w:type="pct"/>
            <w:shd w:val="clear" w:color="auto" w:fill="auto"/>
            <w:vAlign w:val="bottom"/>
          </w:tcPr>
          <w:p w14:paraId="518B71DB" w14:textId="77777777" w:rsidR="005C332D" w:rsidRDefault="005C332D">
            <w:pPr>
              <w:rPr>
                <w:rFonts w:ascii="宋体"/>
              </w:rPr>
            </w:pPr>
          </w:p>
        </w:tc>
        <w:tc>
          <w:tcPr>
            <w:tcW w:w="512" w:type="pct"/>
            <w:shd w:val="clear" w:color="auto" w:fill="auto"/>
            <w:vAlign w:val="bottom"/>
          </w:tcPr>
          <w:p w14:paraId="518B71DC" w14:textId="77777777" w:rsidR="005C332D" w:rsidRDefault="005C332D">
            <w:pPr>
              <w:rPr>
                <w:rFonts w:ascii="宋体"/>
              </w:rPr>
            </w:pPr>
          </w:p>
        </w:tc>
        <w:tc>
          <w:tcPr>
            <w:tcW w:w="5" w:type="pct"/>
            <w:shd w:val="clear" w:color="auto" w:fill="auto"/>
            <w:vAlign w:val="bottom"/>
          </w:tcPr>
          <w:p w14:paraId="518B71DD" w14:textId="77777777" w:rsidR="005C332D" w:rsidRDefault="005C332D">
            <w:pPr>
              <w:rPr>
                <w:rFonts w:ascii="宋体"/>
              </w:rPr>
            </w:pPr>
          </w:p>
        </w:tc>
        <w:tc>
          <w:tcPr>
            <w:tcW w:w="5" w:type="pct"/>
            <w:shd w:val="clear" w:color="auto" w:fill="auto"/>
            <w:vAlign w:val="bottom"/>
          </w:tcPr>
          <w:p w14:paraId="518B71DE" w14:textId="77777777" w:rsidR="005C332D" w:rsidRDefault="005C332D">
            <w:pPr>
              <w:rPr>
                <w:rFonts w:ascii="宋体"/>
              </w:rPr>
            </w:pPr>
          </w:p>
        </w:tc>
        <w:tc>
          <w:tcPr>
            <w:tcW w:w="26" w:type="pct"/>
            <w:shd w:val="clear" w:color="auto" w:fill="auto"/>
            <w:vAlign w:val="bottom"/>
          </w:tcPr>
          <w:p w14:paraId="518B71DF" w14:textId="77777777" w:rsidR="005C332D" w:rsidRDefault="005C332D">
            <w:pPr>
              <w:rPr>
                <w:rFonts w:ascii="宋体"/>
              </w:rPr>
            </w:pPr>
          </w:p>
        </w:tc>
        <w:tc>
          <w:tcPr>
            <w:tcW w:w="5" w:type="pct"/>
            <w:shd w:val="clear" w:color="auto" w:fill="auto"/>
            <w:vAlign w:val="bottom"/>
          </w:tcPr>
          <w:p w14:paraId="518B71E0" w14:textId="77777777" w:rsidR="005C332D" w:rsidRDefault="005C332D">
            <w:pPr>
              <w:rPr>
                <w:rFonts w:ascii="宋体"/>
              </w:rPr>
            </w:pPr>
          </w:p>
        </w:tc>
        <w:tc>
          <w:tcPr>
            <w:tcW w:w="50" w:type="pct"/>
            <w:shd w:val="clear" w:color="auto" w:fill="auto"/>
            <w:vAlign w:val="bottom"/>
          </w:tcPr>
          <w:p w14:paraId="518B71E1" w14:textId="77777777" w:rsidR="005C332D" w:rsidRDefault="005C332D">
            <w:pPr>
              <w:rPr>
                <w:rFonts w:ascii="宋体"/>
              </w:rPr>
            </w:pPr>
          </w:p>
        </w:tc>
        <w:tc>
          <w:tcPr>
            <w:tcW w:w="512" w:type="pct"/>
            <w:shd w:val="clear" w:color="auto" w:fill="auto"/>
            <w:vAlign w:val="bottom"/>
          </w:tcPr>
          <w:p w14:paraId="518B71E2" w14:textId="77777777" w:rsidR="005C332D" w:rsidRDefault="005C332D">
            <w:pPr>
              <w:rPr>
                <w:rFonts w:ascii="宋体"/>
              </w:rPr>
            </w:pPr>
          </w:p>
        </w:tc>
        <w:tc>
          <w:tcPr>
            <w:tcW w:w="5" w:type="pct"/>
            <w:shd w:val="clear" w:color="auto" w:fill="auto"/>
            <w:vAlign w:val="bottom"/>
          </w:tcPr>
          <w:p w14:paraId="518B71E3" w14:textId="77777777" w:rsidR="005C332D" w:rsidRDefault="005C332D">
            <w:pPr>
              <w:rPr>
                <w:rFonts w:ascii="宋体"/>
              </w:rPr>
            </w:pPr>
          </w:p>
        </w:tc>
        <w:tc>
          <w:tcPr>
            <w:tcW w:w="5" w:type="pct"/>
            <w:shd w:val="clear" w:color="auto" w:fill="auto"/>
            <w:vAlign w:val="bottom"/>
          </w:tcPr>
          <w:p w14:paraId="518B71E4" w14:textId="77777777" w:rsidR="005C332D" w:rsidRDefault="005C332D">
            <w:pPr>
              <w:rPr>
                <w:rFonts w:ascii="宋体"/>
              </w:rPr>
            </w:pPr>
          </w:p>
        </w:tc>
        <w:tc>
          <w:tcPr>
            <w:tcW w:w="26" w:type="pct"/>
            <w:shd w:val="clear" w:color="auto" w:fill="auto"/>
            <w:vAlign w:val="bottom"/>
          </w:tcPr>
          <w:p w14:paraId="518B71E5" w14:textId="77777777" w:rsidR="005C332D" w:rsidRDefault="005C332D">
            <w:pPr>
              <w:rPr>
                <w:rFonts w:ascii="宋体"/>
              </w:rPr>
            </w:pPr>
          </w:p>
        </w:tc>
        <w:tc>
          <w:tcPr>
            <w:tcW w:w="5" w:type="pct"/>
            <w:shd w:val="clear" w:color="auto" w:fill="auto"/>
            <w:vAlign w:val="bottom"/>
          </w:tcPr>
          <w:p w14:paraId="518B71E6" w14:textId="77777777" w:rsidR="005C332D" w:rsidRDefault="005C332D">
            <w:pPr>
              <w:rPr>
                <w:rFonts w:ascii="宋体"/>
              </w:rPr>
            </w:pPr>
          </w:p>
        </w:tc>
        <w:tc>
          <w:tcPr>
            <w:tcW w:w="50" w:type="pct"/>
            <w:shd w:val="clear" w:color="auto" w:fill="auto"/>
            <w:vAlign w:val="bottom"/>
          </w:tcPr>
          <w:p w14:paraId="518B71E7" w14:textId="77777777" w:rsidR="005C332D" w:rsidRDefault="005C332D">
            <w:pPr>
              <w:rPr>
                <w:rFonts w:ascii="宋体"/>
              </w:rPr>
            </w:pPr>
          </w:p>
        </w:tc>
        <w:tc>
          <w:tcPr>
            <w:tcW w:w="483" w:type="pct"/>
            <w:shd w:val="clear" w:color="auto" w:fill="auto"/>
            <w:vAlign w:val="bottom"/>
          </w:tcPr>
          <w:p w14:paraId="518B71E8" w14:textId="77777777" w:rsidR="005C332D" w:rsidRDefault="005C332D">
            <w:pPr>
              <w:rPr>
                <w:rFonts w:ascii="宋体"/>
              </w:rPr>
            </w:pPr>
          </w:p>
        </w:tc>
        <w:tc>
          <w:tcPr>
            <w:tcW w:w="5" w:type="pct"/>
            <w:shd w:val="clear" w:color="auto" w:fill="auto"/>
            <w:vAlign w:val="bottom"/>
          </w:tcPr>
          <w:p w14:paraId="518B71E9" w14:textId="77777777" w:rsidR="005C332D" w:rsidRDefault="005C332D">
            <w:pPr>
              <w:rPr>
                <w:rFonts w:ascii="宋体"/>
              </w:rPr>
            </w:pPr>
          </w:p>
        </w:tc>
        <w:tc>
          <w:tcPr>
            <w:tcW w:w="5" w:type="pct"/>
            <w:shd w:val="clear" w:color="auto" w:fill="auto"/>
            <w:vAlign w:val="bottom"/>
          </w:tcPr>
          <w:p w14:paraId="518B71EA" w14:textId="77777777" w:rsidR="005C332D" w:rsidRDefault="005C332D">
            <w:pPr>
              <w:rPr>
                <w:rFonts w:ascii="宋体"/>
              </w:rPr>
            </w:pPr>
          </w:p>
        </w:tc>
        <w:tc>
          <w:tcPr>
            <w:tcW w:w="26" w:type="pct"/>
            <w:shd w:val="clear" w:color="auto" w:fill="auto"/>
            <w:vAlign w:val="bottom"/>
          </w:tcPr>
          <w:p w14:paraId="518B71EB" w14:textId="77777777" w:rsidR="005C332D" w:rsidRDefault="005C332D">
            <w:pPr>
              <w:rPr>
                <w:rFonts w:ascii="宋体"/>
              </w:rPr>
            </w:pPr>
          </w:p>
        </w:tc>
        <w:tc>
          <w:tcPr>
            <w:tcW w:w="5" w:type="pct"/>
            <w:shd w:val="clear" w:color="auto" w:fill="auto"/>
            <w:vAlign w:val="bottom"/>
          </w:tcPr>
          <w:p w14:paraId="518B71EC" w14:textId="77777777" w:rsidR="005C332D" w:rsidRDefault="005C332D">
            <w:pPr>
              <w:rPr>
                <w:rFonts w:ascii="宋体"/>
              </w:rPr>
            </w:pPr>
          </w:p>
        </w:tc>
        <w:tc>
          <w:tcPr>
            <w:tcW w:w="50" w:type="pct"/>
            <w:shd w:val="clear" w:color="auto" w:fill="auto"/>
            <w:vAlign w:val="bottom"/>
          </w:tcPr>
          <w:p w14:paraId="518B71ED" w14:textId="77777777" w:rsidR="005C332D" w:rsidRDefault="005C332D">
            <w:pPr>
              <w:rPr>
                <w:rFonts w:ascii="宋体"/>
              </w:rPr>
            </w:pPr>
          </w:p>
        </w:tc>
        <w:tc>
          <w:tcPr>
            <w:tcW w:w="483" w:type="pct"/>
            <w:shd w:val="clear" w:color="auto" w:fill="auto"/>
            <w:vAlign w:val="bottom"/>
          </w:tcPr>
          <w:p w14:paraId="518B71EE" w14:textId="77777777" w:rsidR="005C332D" w:rsidRDefault="005C332D">
            <w:pPr>
              <w:rPr>
                <w:rFonts w:ascii="宋体"/>
              </w:rPr>
            </w:pPr>
          </w:p>
        </w:tc>
        <w:tc>
          <w:tcPr>
            <w:tcW w:w="5" w:type="pct"/>
            <w:shd w:val="clear" w:color="auto" w:fill="auto"/>
            <w:vAlign w:val="bottom"/>
          </w:tcPr>
          <w:p w14:paraId="518B71EF" w14:textId="77777777" w:rsidR="005C332D" w:rsidRDefault="005C332D">
            <w:pPr>
              <w:rPr>
                <w:rFonts w:ascii="宋体"/>
              </w:rPr>
            </w:pPr>
          </w:p>
        </w:tc>
      </w:tr>
      <w:tr w:rsidR="005C332D" w14:paraId="518B71F7" w14:textId="77777777">
        <w:tc>
          <w:tcPr>
            <w:tcW w:w="0" w:type="auto"/>
            <w:gridSpan w:val="3"/>
            <w:shd w:val="clear" w:color="auto" w:fill="auto"/>
            <w:tcMar>
              <w:top w:w="40" w:type="dxa"/>
              <w:left w:w="20" w:type="dxa"/>
              <w:bottom w:w="40" w:type="dxa"/>
              <w:right w:w="20" w:type="dxa"/>
            </w:tcMar>
            <w:vAlign w:val="bottom"/>
          </w:tcPr>
          <w:p w14:paraId="518B71F1" w14:textId="77777777" w:rsidR="005C332D" w:rsidRDefault="00B93EA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518B71F2" w14:textId="77777777" w:rsidR="005C332D" w:rsidRDefault="00B93EAE">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vAlign w:val="bottom"/>
          </w:tcPr>
          <w:p w14:paraId="518B71F3"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71F4" w14:textId="77777777" w:rsidR="005C332D" w:rsidRDefault="00B93EAE">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r>
            <w:r>
              <w:rPr>
                <w:rFonts w:ascii="Times New Roman" w:eastAsia="宋体" w:hAnsi="Times New Roman"/>
                <w:color w:val="000000"/>
                <w:sz w:val="18"/>
                <w:szCs w:val="18"/>
              </w:rPr>
              <w:t>12 MONTHS OR GREATER</w:t>
            </w:r>
          </w:p>
        </w:tc>
        <w:tc>
          <w:tcPr>
            <w:tcW w:w="0" w:type="auto"/>
            <w:gridSpan w:val="3"/>
            <w:shd w:val="clear" w:color="auto" w:fill="auto"/>
            <w:tcMar>
              <w:top w:w="0" w:type="dxa"/>
              <w:left w:w="20" w:type="dxa"/>
              <w:bottom w:w="0" w:type="dxa"/>
              <w:right w:w="20" w:type="dxa"/>
            </w:tcMar>
            <w:vAlign w:val="bottom"/>
          </w:tcPr>
          <w:p w14:paraId="518B71F5"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71F6" w14:textId="77777777" w:rsidR="005C332D" w:rsidRDefault="00B93EAE">
            <w:pPr>
              <w:jc w:val="center"/>
              <w:textAlignment w:val="bottom"/>
            </w:pPr>
            <w:r>
              <w:rPr>
                <w:rFonts w:ascii="Times New Roman" w:eastAsia="宋体" w:hAnsi="Times New Roman"/>
                <w:color w:val="000000"/>
                <w:sz w:val="18"/>
                <w:szCs w:val="18"/>
              </w:rPr>
              <w:t>TOTAL</w:t>
            </w:r>
          </w:p>
        </w:tc>
      </w:tr>
      <w:tr w:rsidR="005C332D" w14:paraId="518B7204" w14:textId="77777777">
        <w:tc>
          <w:tcPr>
            <w:tcW w:w="0" w:type="auto"/>
            <w:gridSpan w:val="3"/>
            <w:shd w:val="clear" w:color="auto" w:fill="auto"/>
            <w:tcMar>
              <w:top w:w="40" w:type="dxa"/>
              <w:left w:w="20" w:type="dxa"/>
              <w:bottom w:w="40" w:type="dxa"/>
              <w:right w:w="20" w:type="dxa"/>
            </w:tcMar>
            <w:vAlign w:val="bottom"/>
          </w:tcPr>
          <w:p w14:paraId="518B71F8" w14:textId="77777777" w:rsidR="005C332D" w:rsidRDefault="00B93EAE">
            <w:pPr>
              <w:textAlignment w:val="bottom"/>
            </w:pPr>
            <w:r>
              <w:rPr>
                <w:rFonts w:ascii="Times New Roman" w:eastAsia="宋体" w:hAnsi="Times New Roman"/>
                <w:color w:val="000000"/>
                <w:sz w:val="16"/>
                <w:szCs w:val="16"/>
                <w:u w:val="single"/>
              </w:rPr>
              <w:t>July 31,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1F9" w14:textId="77777777" w:rsidR="005C332D" w:rsidRDefault="00B93EAE">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1F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1FB" w14:textId="77777777" w:rsidR="005C332D" w:rsidRDefault="00B93EAE">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518B71F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1FD" w14:textId="77777777" w:rsidR="005C332D" w:rsidRDefault="00B93EAE">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1F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1FF" w14:textId="77777777" w:rsidR="005C332D" w:rsidRDefault="00B93EAE">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518B720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201" w14:textId="77777777" w:rsidR="005C332D" w:rsidRDefault="00B93EAE">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20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203" w14:textId="77777777" w:rsidR="005C332D" w:rsidRDefault="00B93EAE">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5C332D" w14:paraId="518B721D" w14:textId="77777777">
        <w:tc>
          <w:tcPr>
            <w:tcW w:w="0" w:type="auto"/>
            <w:gridSpan w:val="3"/>
            <w:shd w:val="clear" w:color="auto" w:fill="CCEEFF"/>
            <w:tcMar>
              <w:top w:w="40" w:type="dxa"/>
              <w:left w:w="245" w:type="dxa"/>
              <w:bottom w:w="40" w:type="dxa"/>
              <w:right w:w="20" w:type="dxa"/>
            </w:tcMar>
          </w:tcPr>
          <w:p w14:paraId="518B7205" w14:textId="77777777" w:rsidR="005C332D" w:rsidRDefault="00B93EAE">
            <w:pPr>
              <w:textAlignment w:val="top"/>
            </w:pPr>
            <w:r>
              <w:rPr>
                <w:rFonts w:ascii="Times New Roman" w:eastAsia="宋体" w:hAnsi="Times New Roman"/>
                <w:color w:val="000000"/>
                <w:sz w:val="18"/>
                <w:szCs w:val="18"/>
              </w:rPr>
              <w:t>U.S</w:t>
            </w:r>
            <w:r>
              <w:rPr>
                <w:rFonts w:ascii="Times New Roman" w:eastAsia="宋体" w:hAnsi="Times New Roman"/>
                <w:color w:val="000000"/>
                <w:sz w:val="18"/>
                <w:szCs w:val="18"/>
              </w:rPr>
              <w:t>.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20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207" w14:textId="77777777" w:rsidR="005C332D" w:rsidRDefault="00B93EAE">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20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0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20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20B"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20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0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20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20F"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21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11"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21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213"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21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1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21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217" w14:textId="77777777" w:rsidR="005C332D" w:rsidRDefault="00B93EAE">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21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1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21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21B"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21C" w14:textId="77777777" w:rsidR="005C332D" w:rsidRDefault="005C332D">
            <w:pPr>
              <w:jc w:val="right"/>
              <w:rPr>
                <w:rFonts w:ascii="宋体"/>
              </w:rPr>
            </w:pPr>
          </w:p>
        </w:tc>
      </w:tr>
      <w:tr w:rsidR="005C332D" w14:paraId="518B7230" w14:textId="77777777">
        <w:tc>
          <w:tcPr>
            <w:tcW w:w="0" w:type="auto"/>
            <w:gridSpan w:val="3"/>
            <w:shd w:val="clear" w:color="auto" w:fill="FFFFFF"/>
            <w:tcMar>
              <w:top w:w="40" w:type="dxa"/>
              <w:left w:w="245" w:type="dxa"/>
              <w:bottom w:w="40" w:type="dxa"/>
              <w:right w:w="20" w:type="dxa"/>
            </w:tcMar>
          </w:tcPr>
          <w:p w14:paraId="518B721E" w14:textId="77777777" w:rsidR="005C332D" w:rsidRDefault="00B93EAE">
            <w:pPr>
              <w:textAlignment w:val="top"/>
            </w:pPr>
            <w:r>
              <w:rPr>
                <w:rFonts w:ascii="Times New Roman" w:eastAsia="宋体" w:hAnsi="Times New Roman"/>
                <w:color w:val="000000"/>
                <w:sz w:val="18"/>
                <w:szCs w:val="18"/>
              </w:rPr>
              <w:t>U.S. government agency securities</w:t>
            </w:r>
          </w:p>
        </w:tc>
        <w:tc>
          <w:tcPr>
            <w:tcW w:w="0" w:type="auto"/>
            <w:gridSpan w:val="2"/>
            <w:shd w:val="clear" w:color="auto" w:fill="FFFFFF"/>
            <w:tcMar>
              <w:top w:w="40" w:type="dxa"/>
              <w:left w:w="20" w:type="dxa"/>
              <w:bottom w:w="40" w:type="dxa"/>
              <w:right w:w="0" w:type="dxa"/>
            </w:tcMar>
            <w:vAlign w:val="bottom"/>
          </w:tcPr>
          <w:p w14:paraId="518B721F" w14:textId="77777777" w:rsidR="005C332D" w:rsidRDefault="00B93EAE">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518B722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2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222"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22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2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225"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22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2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228"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22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2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22B" w14:textId="77777777" w:rsidR="005C332D" w:rsidRDefault="00B93EAE">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518B722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2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22E"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22F" w14:textId="77777777" w:rsidR="005C332D" w:rsidRDefault="005C332D">
            <w:pPr>
              <w:jc w:val="right"/>
              <w:rPr>
                <w:rFonts w:ascii="宋体"/>
              </w:rPr>
            </w:pPr>
          </w:p>
        </w:tc>
      </w:tr>
      <w:tr w:rsidR="005C332D" w14:paraId="518B7243" w14:textId="77777777">
        <w:tc>
          <w:tcPr>
            <w:tcW w:w="0" w:type="auto"/>
            <w:gridSpan w:val="3"/>
            <w:shd w:val="clear" w:color="auto" w:fill="CCEEFF"/>
            <w:tcMar>
              <w:top w:w="40" w:type="dxa"/>
              <w:left w:w="245" w:type="dxa"/>
              <w:bottom w:w="40" w:type="dxa"/>
              <w:right w:w="20" w:type="dxa"/>
            </w:tcMar>
          </w:tcPr>
          <w:p w14:paraId="518B7231" w14:textId="77777777" w:rsidR="005C332D" w:rsidRDefault="00B93EAE">
            <w:pPr>
              <w:textAlignment w:val="top"/>
            </w:pPr>
            <w:r>
              <w:rPr>
                <w:rFonts w:ascii="Times New Roman" w:eastAsia="宋体" w:hAnsi="Times New Roman"/>
                <w:color w:val="000000"/>
                <w:sz w:val="18"/>
                <w:szCs w:val="18"/>
              </w:rPr>
              <w:t>Corporate debt securities</w:t>
            </w:r>
          </w:p>
        </w:tc>
        <w:tc>
          <w:tcPr>
            <w:tcW w:w="0" w:type="auto"/>
            <w:gridSpan w:val="2"/>
            <w:shd w:val="clear" w:color="auto" w:fill="CCEEFF"/>
            <w:tcMar>
              <w:top w:w="40" w:type="dxa"/>
              <w:left w:w="20" w:type="dxa"/>
              <w:bottom w:w="40" w:type="dxa"/>
              <w:right w:w="0" w:type="dxa"/>
            </w:tcMar>
            <w:vAlign w:val="bottom"/>
          </w:tcPr>
          <w:p w14:paraId="518B7232" w14:textId="77777777" w:rsidR="005C332D" w:rsidRDefault="00B93EAE">
            <w:pPr>
              <w:jc w:val="right"/>
              <w:textAlignment w:val="bottom"/>
            </w:pPr>
            <w:r>
              <w:rPr>
                <w:rFonts w:ascii="Times New Roman" w:eastAsia="宋体" w:hAnsi="Times New Roman"/>
                <w:color w:val="000000"/>
                <w:sz w:val="20"/>
                <w:szCs w:val="20"/>
              </w:rPr>
              <w:t>1,086 </w:t>
            </w:r>
          </w:p>
        </w:tc>
        <w:tc>
          <w:tcPr>
            <w:tcW w:w="0" w:type="auto"/>
            <w:shd w:val="clear" w:color="auto" w:fill="CCEEFF"/>
            <w:tcMar>
              <w:top w:w="40" w:type="dxa"/>
              <w:left w:w="0" w:type="dxa"/>
              <w:bottom w:w="40" w:type="dxa"/>
              <w:right w:w="20" w:type="dxa"/>
            </w:tcMar>
            <w:vAlign w:val="bottom"/>
          </w:tcPr>
          <w:p w14:paraId="518B723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3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35" w14:textId="77777777" w:rsidR="005C332D" w:rsidRDefault="00B93EAE">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518B723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3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38"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518B723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3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3B"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23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3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3E" w14:textId="77777777" w:rsidR="005C332D" w:rsidRDefault="00B93EAE">
            <w:pPr>
              <w:jc w:val="right"/>
              <w:textAlignment w:val="bottom"/>
            </w:pPr>
            <w:r>
              <w:rPr>
                <w:rFonts w:ascii="Times New Roman" w:eastAsia="宋体" w:hAnsi="Times New Roman"/>
                <w:color w:val="000000"/>
                <w:sz w:val="20"/>
                <w:szCs w:val="20"/>
              </w:rPr>
              <w:t>1,092 </w:t>
            </w:r>
          </w:p>
        </w:tc>
        <w:tc>
          <w:tcPr>
            <w:tcW w:w="0" w:type="auto"/>
            <w:shd w:val="clear" w:color="auto" w:fill="CCEEFF"/>
            <w:tcMar>
              <w:top w:w="40" w:type="dxa"/>
              <w:left w:w="0" w:type="dxa"/>
              <w:bottom w:w="40" w:type="dxa"/>
              <w:right w:w="20" w:type="dxa"/>
            </w:tcMar>
            <w:vAlign w:val="bottom"/>
          </w:tcPr>
          <w:p w14:paraId="518B723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4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41" w14:textId="77777777" w:rsidR="005C332D" w:rsidRDefault="00B93EAE">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518B7242" w14:textId="77777777" w:rsidR="005C332D" w:rsidRDefault="005C332D">
            <w:pPr>
              <w:jc w:val="right"/>
              <w:rPr>
                <w:rFonts w:ascii="宋体"/>
              </w:rPr>
            </w:pPr>
          </w:p>
        </w:tc>
      </w:tr>
      <w:tr w:rsidR="005C332D" w14:paraId="518B7256" w14:textId="77777777">
        <w:tc>
          <w:tcPr>
            <w:tcW w:w="0" w:type="auto"/>
            <w:gridSpan w:val="3"/>
            <w:shd w:val="clear" w:color="auto" w:fill="FFFFFF"/>
            <w:tcMar>
              <w:top w:w="40" w:type="dxa"/>
              <w:left w:w="245" w:type="dxa"/>
              <w:bottom w:w="40" w:type="dxa"/>
              <w:right w:w="20" w:type="dxa"/>
            </w:tcMar>
          </w:tcPr>
          <w:p w14:paraId="518B7244" w14:textId="77777777" w:rsidR="005C332D" w:rsidRDefault="00B93EAE">
            <w:pPr>
              <w:textAlignment w:val="top"/>
            </w:pPr>
            <w:r>
              <w:rPr>
                <w:rFonts w:ascii="Times New Roman" w:eastAsia="宋体" w:hAnsi="Times New Roman"/>
                <w:color w:val="000000"/>
                <w:sz w:val="18"/>
                <w:szCs w:val="18"/>
              </w:rPr>
              <w:t>U.S. agency mortgage-backed securities</w:t>
            </w:r>
          </w:p>
        </w:tc>
        <w:tc>
          <w:tcPr>
            <w:tcW w:w="0" w:type="auto"/>
            <w:gridSpan w:val="2"/>
            <w:shd w:val="clear" w:color="auto" w:fill="FFFFFF"/>
            <w:tcMar>
              <w:top w:w="40" w:type="dxa"/>
              <w:left w:w="20" w:type="dxa"/>
              <w:bottom w:w="40" w:type="dxa"/>
              <w:right w:w="0" w:type="dxa"/>
            </w:tcMar>
            <w:vAlign w:val="bottom"/>
          </w:tcPr>
          <w:p w14:paraId="518B7245" w14:textId="77777777" w:rsidR="005C332D" w:rsidRDefault="00B93EAE">
            <w:pPr>
              <w:jc w:val="right"/>
              <w:textAlignment w:val="bottom"/>
            </w:pPr>
            <w:r>
              <w:rPr>
                <w:rFonts w:ascii="Times New Roman" w:eastAsia="宋体" w:hAnsi="Times New Roman"/>
                <w:color w:val="000000"/>
                <w:sz w:val="20"/>
                <w:szCs w:val="20"/>
              </w:rPr>
              <w:t>1,293 </w:t>
            </w:r>
          </w:p>
        </w:tc>
        <w:tc>
          <w:tcPr>
            <w:tcW w:w="0" w:type="auto"/>
            <w:shd w:val="clear" w:color="auto" w:fill="FFFFFF"/>
            <w:tcMar>
              <w:top w:w="40" w:type="dxa"/>
              <w:left w:w="0" w:type="dxa"/>
              <w:bottom w:w="40" w:type="dxa"/>
              <w:right w:w="20" w:type="dxa"/>
            </w:tcMar>
            <w:vAlign w:val="bottom"/>
          </w:tcPr>
          <w:p w14:paraId="518B724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4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248" w14:textId="77777777" w:rsidR="005C332D" w:rsidRDefault="00B93EAE">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518B724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4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24B" w14:textId="77777777" w:rsidR="005C332D" w:rsidRDefault="00B93EAE">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518B724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4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24E"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24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5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251" w14:textId="77777777" w:rsidR="005C332D" w:rsidRDefault="00B93EAE">
            <w:pPr>
              <w:jc w:val="right"/>
              <w:textAlignment w:val="bottom"/>
            </w:pPr>
            <w:r>
              <w:rPr>
                <w:rFonts w:ascii="Times New Roman" w:eastAsia="宋体" w:hAnsi="Times New Roman"/>
                <w:color w:val="000000"/>
                <w:sz w:val="20"/>
                <w:szCs w:val="20"/>
              </w:rPr>
              <w:t>1,306 </w:t>
            </w:r>
          </w:p>
        </w:tc>
        <w:tc>
          <w:tcPr>
            <w:tcW w:w="0" w:type="auto"/>
            <w:shd w:val="clear" w:color="auto" w:fill="FFFFFF"/>
            <w:tcMar>
              <w:top w:w="40" w:type="dxa"/>
              <w:left w:w="0" w:type="dxa"/>
              <w:bottom w:w="40" w:type="dxa"/>
              <w:right w:w="20" w:type="dxa"/>
            </w:tcMar>
            <w:vAlign w:val="bottom"/>
          </w:tcPr>
          <w:p w14:paraId="518B725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5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254" w14:textId="77777777" w:rsidR="005C332D" w:rsidRDefault="00B93EAE">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518B7255" w14:textId="77777777" w:rsidR="005C332D" w:rsidRDefault="005C332D">
            <w:pPr>
              <w:jc w:val="right"/>
              <w:rPr>
                <w:rFonts w:ascii="宋体"/>
              </w:rPr>
            </w:pPr>
          </w:p>
        </w:tc>
      </w:tr>
      <w:tr w:rsidR="005C332D" w14:paraId="518B7269" w14:textId="77777777">
        <w:tc>
          <w:tcPr>
            <w:tcW w:w="0" w:type="auto"/>
            <w:gridSpan w:val="3"/>
            <w:shd w:val="clear" w:color="auto" w:fill="CCEEFF"/>
            <w:tcMar>
              <w:top w:w="40" w:type="dxa"/>
              <w:left w:w="245" w:type="dxa"/>
              <w:bottom w:w="40" w:type="dxa"/>
              <w:right w:w="20" w:type="dxa"/>
            </w:tcMar>
          </w:tcPr>
          <w:p w14:paraId="518B7257" w14:textId="77777777" w:rsidR="005C332D" w:rsidRDefault="00B93EAE">
            <w:pPr>
              <w:textAlignment w:val="top"/>
            </w:pPr>
            <w:r>
              <w:rPr>
                <w:rFonts w:ascii="Times New Roman" w:eastAsia="宋体" w:hAnsi="Times New Roman"/>
                <w:color w:val="000000"/>
                <w:sz w:val="18"/>
                <w:szCs w:val="18"/>
              </w:rPr>
              <w:t>Commercial paper</w:t>
            </w:r>
          </w:p>
        </w:tc>
        <w:tc>
          <w:tcPr>
            <w:tcW w:w="0" w:type="auto"/>
            <w:gridSpan w:val="2"/>
            <w:shd w:val="clear" w:color="auto" w:fill="CCEEFF"/>
            <w:tcMar>
              <w:top w:w="40" w:type="dxa"/>
              <w:left w:w="20" w:type="dxa"/>
              <w:bottom w:w="40" w:type="dxa"/>
              <w:right w:w="0" w:type="dxa"/>
            </w:tcMar>
            <w:vAlign w:val="bottom"/>
          </w:tcPr>
          <w:p w14:paraId="518B7258" w14:textId="77777777" w:rsidR="005C332D" w:rsidRDefault="00B93EAE">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518B725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5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5B"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25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5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5E"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25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6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61"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26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6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64" w14:textId="77777777" w:rsidR="005C332D" w:rsidRDefault="00B93EAE">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518B726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6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67"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268" w14:textId="77777777" w:rsidR="005C332D" w:rsidRDefault="005C332D">
            <w:pPr>
              <w:jc w:val="right"/>
              <w:rPr>
                <w:rFonts w:ascii="宋体"/>
              </w:rPr>
            </w:pPr>
          </w:p>
        </w:tc>
      </w:tr>
      <w:tr w:rsidR="005C332D" w14:paraId="518B7282" w14:textId="77777777">
        <w:tc>
          <w:tcPr>
            <w:tcW w:w="0" w:type="auto"/>
            <w:gridSpan w:val="3"/>
            <w:shd w:val="clear" w:color="auto" w:fill="FFFFFF"/>
            <w:tcMar>
              <w:top w:w="40" w:type="dxa"/>
              <w:left w:w="740" w:type="dxa"/>
              <w:bottom w:w="40" w:type="dxa"/>
              <w:right w:w="20" w:type="dxa"/>
            </w:tcMar>
          </w:tcPr>
          <w:p w14:paraId="518B726A" w14:textId="77777777" w:rsidR="005C332D" w:rsidRDefault="00B93EAE">
            <w:pPr>
              <w:textAlignment w:val="top"/>
            </w:pPr>
            <w:r>
              <w:rPr>
                <w:rFonts w:ascii="Times New Roman" w:eastAsia="宋体" w:hAnsi="Times New Roman"/>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26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26C" w14:textId="77777777" w:rsidR="005C332D" w:rsidRDefault="00B93EAE">
            <w:pPr>
              <w:jc w:val="right"/>
              <w:textAlignment w:val="bottom"/>
            </w:pPr>
            <w:r>
              <w:rPr>
                <w:rFonts w:ascii="Times New Roman" w:eastAsia="宋体" w:hAnsi="Times New Roman"/>
                <w:color w:val="000000"/>
                <w:sz w:val="20"/>
                <w:szCs w:val="20"/>
              </w:rPr>
              <w:t>2,910 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26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6E"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26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270" w14:textId="77777777" w:rsidR="005C332D" w:rsidRDefault="00B93EAE">
            <w:pPr>
              <w:jc w:val="right"/>
              <w:textAlignment w:val="bottom"/>
            </w:pPr>
            <w:r>
              <w:rPr>
                <w:rFonts w:ascii="Times New Roman" w:eastAsia="宋体" w:hAnsi="Times New Roman"/>
                <w:color w:val="000000"/>
                <w:sz w:val="20"/>
                <w:szCs w:val="20"/>
              </w:rPr>
              <w:t>(15)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27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72"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27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274" w14:textId="77777777" w:rsidR="005C332D" w:rsidRDefault="00B93EAE">
            <w:pPr>
              <w:jc w:val="right"/>
              <w:textAlignment w:val="bottom"/>
            </w:pPr>
            <w:r>
              <w:rPr>
                <w:rFonts w:ascii="Times New Roman" w:eastAsia="宋体" w:hAnsi="Times New Roman"/>
                <w:color w:val="000000"/>
                <w:sz w:val="20"/>
                <w:szCs w:val="20"/>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27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76"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27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278"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27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7A"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27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27C" w14:textId="77777777" w:rsidR="005C332D" w:rsidRDefault="00B93EAE">
            <w:pPr>
              <w:jc w:val="right"/>
              <w:textAlignment w:val="bottom"/>
            </w:pPr>
            <w:r>
              <w:rPr>
                <w:rFonts w:ascii="Times New Roman" w:eastAsia="宋体" w:hAnsi="Times New Roman"/>
                <w:color w:val="000000"/>
                <w:sz w:val="20"/>
                <w:szCs w:val="20"/>
              </w:rPr>
              <w:t>2,929 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27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27E"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27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280" w14:textId="77777777" w:rsidR="005C332D" w:rsidRDefault="00B93EAE">
            <w:pPr>
              <w:jc w:val="right"/>
              <w:textAlignment w:val="bottom"/>
            </w:pPr>
            <w:r>
              <w:rPr>
                <w:rFonts w:ascii="Times New Roman" w:eastAsia="宋体" w:hAnsi="Times New Roman"/>
                <w:color w:val="000000"/>
                <w:sz w:val="20"/>
                <w:szCs w:val="20"/>
              </w:rPr>
              <w:t>(15)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281" w14:textId="77777777" w:rsidR="005C332D" w:rsidRDefault="005C332D">
            <w:pPr>
              <w:jc w:val="right"/>
              <w:rPr>
                <w:rFonts w:ascii="宋体"/>
              </w:rPr>
            </w:pPr>
          </w:p>
        </w:tc>
      </w:tr>
    </w:tbl>
    <w:p w14:paraId="518B7283" w14:textId="77777777" w:rsidR="005C332D" w:rsidRDefault="00B93EAE">
      <w:pPr>
        <w:jc w:val="center"/>
      </w:pPr>
      <w:r>
        <w:rPr>
          <w:rFonts w:ascii="Times New Roman" w:eastAsia="宋体" w:hAnsi="Times New Roman"/>
          <w:color w:val="000000"/>
          <w:sz w:val="20"/>
          <w:szCs w:val="20"/>
        </w:rPr>
        <w:t>82</w:t>
      </w:r>
    </w:p>
    <w:p w14:paraId="518B7284" w14:textId="77777777" w:rsidR="005C332D" w:rsidRDefault="00B93EAE">
      <w:r>
        <w:pict w14:anchorId="518B8767">
          <v:rect id="_x0000_i1108" style="width:415.3pt;height:1.5pt" o:hralign="center" o:hrstd="t" o:hr="t" fillcolor="#a0a0a0" stroked="f"/>
        </w:pict>
      </w:r>
    </w:p>
    <w:p w14:paraId="518B7285" w14:textId="77777777" w:rsidR="005C332D" w:rsidRDefault="005C332D"/>
    <w:p w14:paraId="518B7286" w14:textId="77777777" w:rsidR="005C332D" w:rsidRDefault="00B93EAE">
      <w:pPr>
        <w:spacing w:before="120"/>
        <w:jc w:val="both"/>
      </w:pPr>
      <w:r>
        <w:rPr>
          <w:rFonts w:ascii="Times New Roman" w:eastAsia="宋体" w:hAnsi="Times New Roman"/>
          <w:color w:val="000000"/>
          <w:sz w:val="20"/>
          <w:szCs w:val="20"/>
        </w:rPr>
        <w:t>The following table summarizes the maturities of our available-for-sale debt investments as of July 30, 2022 (in millions):</w:t>
      </w:r>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39"/>
        <w:gridCol w:w="5680"/>
        <w:gridCol w:w="38"/>
        <w:gridCol w:w="121"/>
        <w:gridCol w:w="1084"/>
        <w:gridCol w:w="36"/>
        <w:gridCol w:w="36"/>
        <w:gridCol w:w="36"/>
        <w:gridCol w:w="36"/>
        <w:gridCol w:w="121"/>
        <w:gridCol w:w="1048"/>
        <w:gridCol w:w="36"/>
      </w:tblGrid>
      <w:tr w:rsidR="005C332D" w14:paraId="518B7293" w14:textId="77777777">
        <w:tc>
          <w:tcPr>
            <w:tcW w:w="50" w:type="pct"/>
            <w:shd w:val="clear" w:color="auto" w:fill="auto"/>
            <w:vAlign w:val="bottom"/>
          </w:tcPr>
          <w:p w14:paraId="518B7287" w14:textId="77777777" w:rsidR="005C332D" w:rsidRDefault="005C332D">
            <w:pPr>
              <w:rPr>
                <w:rFonts w:ascii="宋体"/>
              </w:rPr>
            </w:pPr>
          </w:p>
        </w:tc>
        <w:tc>
          <w:tcPr>
            <w:tcW w:w="3442" w:type="pct"/>
            <w:shd w:val="clear" w:color="auto" w:fill="auto"/>
            <w:vAlign w:val="bottom"/>
          </w:tcPr>
          <w:p w14:paraId="518B7288" w14:textId="77777777" w:rsidR="005C332D" w:rsidRDefault="005C332D">
            <w:pPr>
              <w:rPr>
                <w:rFonts w:ascii="宋体"/>
              </w:rPr>
            </w:pPr>
          </w:p>
        </w:tc>
        <w:tc>
          <w:tcPr>
            <w:tcW w:w="5" w:type="pct"/>
            <w:shd w:val="clear" w:color="auto" w:fill="auto"/>
            <w:vAlign w:val="bottom"/>
          </w:tcPr>
          <w:p w14:paraId="518B7289" w14:textId="77777777" w:rsidR="005C332D" w:rsidRDefault="005C332D">
            <w:pPr>
              <w:rPr>
                <w:rFonts w:ascii="宋体"/>
              </w:rPr>
            </w:pPr>
          </w:p>
        </w:tc>
        <w:tc>
          <w:tcPr>
            <w:tcW w:w="50" w:type="pct"/>
            <w:shd w:val="clear" w:color="auto" w:fill="auto"/>
            <w:vAlign w:val="bottom"/>
          </w:tcPr>
          <w:p w14:paraId="518B728A" w14:textId="77777777" w:rsidR="005C332D" w:rsidRDefault="005C332D">
            <w:pPr>
              <w:rPr>
                <w:rFonts w:ascii="宋体"/>
              </w:rPr>
            </w:pPr>
          </w:p>
        </w:tc>
        <w:tc>
          <w:tcPr>
            <w:tcW w:w="678" w:type="pct"/>
            <w:shd w:val="clear" w:color="auto" w:fill="auto"/>
            <w:vAlign w:val="bottom"/>
          </w:tcPr>
          <w:p w14:paraId="518B728B" w14:textId="77777777" w:rsidR="005C332D" w:rsidRDefault="005C332D">
            <w:pPr>
              <w:rPr>
                <w:rFonts w:ascii="宋体"/>
              </w:rPr>
            </w:pPr>
          </w:p>
        </w:tc>
        <w:tc>
          <w:tcPr>
            <w:tcW w:w="5" w:type="pct"/>
            <w:shd w:val="clear" w:color="auto" w:fill="auto"/>
            <w:vAlign w:val="bottom"/>
          </w:tcPr>
          <w:p w14:paraId="518B728C" w14:textId="77777777" w:rsidR="005C332D" w:rsidRDefault="005C332D">
            <w:pPr>
              <w:rPr>
                <w:rFonts w:ascii="宋体"/>
              </w:rPr>
            </w:pPr>
          </w:p>
        </w:tc>
        <w:tc>
          <w:tcPr>
            <w:tcW w:w="5" w:type="pct"/>
            <w:shd w:val="clear" w:color="auto" w:fill="auto"/>
            <w:vAlign w:val="bottom"/>
          </w:tcPr>
          <w:p w14:paraId="518B728D" w14:textId="77777777" w:rsidR="005C332D" w:rsidRDefault="005C332D">
            <w:pPr>
              <w:rPr>
                <w:rFonts w:ascii="宋体"/>
              </w:rPr>
            </w:pPr>
          </w:p>
        </w:tc>
        <w:tc>
          <w:tcPr>
            <w:tcW w:w="26" w:type="pct"/>
            <w:shd w:val="clear" w:color="auto" w:fill="auto"/>
            <w:vAlign w:val="bottom"/>
          </w:tcPr>
          <w:p w14:paraId="518B728E" w14:textId="77777777" w:rsidR="005C332D" w:rsidRDefault="005C332D">
            <w:pPr>
              <w:rPr>
                <w:rFonts w:ascii="宋体"/>
              </w:rPr>
            </w:pPr>
          </w:p>
        </w:tc>
        <w:tc>
          <w:tcPr>
            <w:tcW w:w="5" w:type="pct"/>
            <w:shd w:val="clear" w:color="auto" w:fill="auto"/>
            <w:vAlign w:val="bottom"/>
          </w:tcPr>
          <w:p w14:paraId="518B728F" w14:textId="77777777" w:rsidR="005C332D" w:rsidRDefault="005C332D">
            <w:pPr>
              <w:rPr>
                <w:rFonts w:ascii="宋体"/>
              </w:rPr>
            </w:pPr>
          </w:p>
        </w:tc>
        <w:tc>
          <w:tcPr>
            <w:tcW w:w="50" w:type="pct"/>
            <w:shd w:val="clear" w:color="auto" w:fill="auto"/>
            <w:vAlign w:val="bottom"/>
          </w:tcPr>
          <w:p w14:paraId="518B7290" w14:textId="77777777" w:rsidR="005C332D" w:rsidRDefault="005C332D">
            <w:pPr>
              <w:rPr>
                <w:rFonts w:ascii="宋体"/>
              </w:rPr>
            </w:pPr>
          </w:p>
        </w:tc>
        <w:tc>
          <w:tcPr>
            <w:tcW w:w="678" w:type="pct"/>
            <w:shd w:val="clear" w:color="auto" w:fill="auto"/>
            <w:vAlign w:val="bottom"/>
          </w:tcPr>
          <w:p w14:paraId="518B7291" w14:textId="77777777" w:rsidR="005C332D" w:rsidRDefault="005C332D">
            <w:pPr>
              <w:rPr>
                <w:rFonts w:ascii="宋体"/>
              </w:rPr>
            </w:pPr>
          </w:p>
        </w:tc>
        <w:tc>
          <w:tcPr>
            <w:tcW w:w="5" w:type="pct"/>
            <w:shd w:val="clear" w:color="auto" w:fill="auto"/>
            <w:vAlign w:val="bottom"/>
          </w:tcPr>
          <w:p w14:paraId="518B7292" w14:textId="77777777" w:rsidR="005C332D" w:rsidRDefault="005C332D">
            <w:pPr>
              <w:rPr>
                <w:rFonts w:ascii="宋体"/>
              </w:rPr>
            </w:pPr>
          </w:p>
        </w:tc>
      </w:tr>
      <w:tr w:rsidR="005C332D" w14:paraId="518B7298" w14:textId="77777777">
        <w:tc>
          <w:tcPr>
            <w:tcW w:w="0" w:type="auto"/>
            <w:gridSpan w:val="3"/>
            <w:shd w:val="clear" w:color="auto" w:fill="auto"/>
            <w:tcMar>
              <w:top w:w="0" w:type="dxa"/>
              <w:left w:w="20" w:type="dxa"/>
              <w:bottom w:w="0" w:type="dxa"/>
              <w:right w:w="20" w:type="dxa"/>
            </w:tcMar>
            <w:vAlign w:val="bottom"/>
          </w:tcPr>
          <w:p w14:paraId="518B729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295" w14:textId="77777777" w:rsidR="005C332D" w:rsidRDefault="00B93EAE">
            <w:pPr>
              <w:jc w:val="center"/>
              <w:textAlignment w:val="bottom"/>
            </w:pPr>
            <w:r>
              <w:rPr>
                <w:rFonts w:ascii="Times New Roman" w:eastAsia="宋体" w:hAnsi="Times New Roman"/>
                <w:color w:val="000000"/>
                <w:sz w:val="18"/>
                <w:szCs w:val="18"/>
              </w:rPr>
              <w:t>Amortized Cost</w:t>
            </w:r>
          </w:p>
        </w:tc>
        <w:tc>
          <w:tcPr>
            <w:tcW w:w="0" w:type="auto"/>
            <w:gridSpan w:val="3"/>
            <w:shd w:val="clear" w:color="auto" w:fill="auto"/>
            <w:tcMar>
              <w:top w:w="0" w:type="dxa"/>
              <w:left w:w="20" w:type="dxa"/>
              <w:bottom w:w="0" w:type="dxa"/>
              <w:right w:w="20" w:type="dxa"/>
            </w:tcMar>
            <w:vAlign w:val="bottom"/>
          </w:tcPr>
          <w:p w14:paraId="518B729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297" w14:textId="77777777" w:rsidR="005C332D" w:rsidRDefault="00B93EAE">
            <w:pPr>
              <w:jc w:val="center"/>
              <w:textAlignment w:val="bottom"/>
            </w:pPr>
            <w:r>
              <w:rPr>
                <w:rFonts w:ascii="Times New Roman" w:eastAsia="宋体" w:hAnsi="Times New Roman"/>
                <w:color w:val="000000"/>
                <w:sz w:val="18"/>
                <w:szCs w:val="18"/>
              </w:rPr>
              <w:t>Fair Value</w:t>
            </w:r>
          </w:p>
        </w:tc>
      </w:tr>
      <w:tr w:rsidR="005C332D" w14:paraId="518B72A1" w14:textId="77777777">
        <w:tc>
          <w:tcPr>
            <w:tcW w:w="0" w:type="auto"/>
            <w:gridSpan w:val="3"/>
            <w:shd w:val="clear" w:color="auto" w:fill="CCEEFF"/>
            <w:tcMar>
              <w:top w:w="40" w:type="dxa"/>
              <w:left w:w="20" w:type="dxa"/>
              <w:bottom w:w="40" w:type="dxa"/>
              <w:right w:w="20" w:type="dxa"/>
            </w:tcMar>
          </w:tcPr>
          <w:p w14:paraId="518B7299" w14:textId="77777777" w:rsidR="005C332D" w:rsidRDefault="00B93EAE">
            <w:pPr>
              <w:textAlignment w:val="top"/>
            </w:pPr>
            <w:r>
              <w:rPr>
                <w:rFonts w:ascii="Times New Roman" w:eastAsia="宋体" w:hAnsi="Times New Roman"/>
                <w:color w:val="000000"/>
                <w:sz w:val="20"/>
                <w:szCs w:val="20"/>
              </w:rPr>
              <w:t>Within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29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29B" w14:textId="77777777" w:rsidR="005C332D" w:rsidRDefault="00B93EAE">
            <w:pPr>
              <w:jc w:val="right"/>
              <w:textAlignment w:val="bottom"/>
            </w:pPr>
            <w:r>
              <w:rPr>
                <w:rFonts w:ascii="Times New Roman" w:eastAsia="宋体" w:hAnsi="Times New Roman"/>
                <w:color w:val="000000"/>
                <w:sz w:val="20"/>
                <w:szCs w:val="20"/>
              </w:rPr>
              <w:t>3,273 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29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9D"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29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29F" w14:textId="77777777" w:rsidR="005C332D" w:rsidRDefault="00B93EAE">
            <w:pPr>
              <w:jc w:val="right"/>
              <w:textAlignment w:val="bottom"/>
            </w:pPr>
            <w:r>
              <w:rPr>
                <w:rFonts w:ascii="Times New Roman" w:eastAsia="宋体" w:hAnsi="Times New Roman"/>
                <w:color w:val="000000"/>
                <w:sz w:val="20"/>
                <w:szCs w:val="20"/>
              </w:rPr>
              <w:t>3,219 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2A0" w14:textId="77777777" w:rsidR="005C332D" w:rsidRDefault="005C332D">
            <w:pPr>
              <w:jc w:val="right"/>
              <w:rPr>
                <w:rFonts w:ascii="宋体"/>
              </w:rPr>
            </w:pPr>
          </w:p>
        </w:tc>
      </w:tr>
      <w:tr w:rsidR="005C332D" w14:paraId="518B72A8" w14:textId="77777777">
        <w:tc>
          <w:tcPr>
            <w:tcW w:w="0" w:type="auto"/>
            <w:gridSpan w:val="3"/>
            <w:shd w:val="clear" w:color="auto" w:fill="auto"/>
            <w:tcMar>
              <w:top w:w="40" w:type="dxa"/>
              <w:left w:w="20" w:type="dxa"/>
              <w:bottom w:w="40" w:type="dxa"/>
              <w:right w:w="20" w:type="dxa"/>
            </w:tcMar>
          </w:tcPr>
          <w:p w14:paraId="518B72A2" w14:textId="77777777" w:rsidR="005C332D" w:rsidRDefault="00B93EAE">
            <w:pPr>
              <w:textAlignment w:val="top"/>
            </w:pPr>
            <w:r>
              <w:rPr>
                <w:rFonts w:ascii="Times New Roman" w:eastAsia="宋体" w:hAnsi="Times New Roman"/>
                <w:color w:val="000000"/>
                <w:sz w:val="20"/>
                <w:szCs w:val="20"/>
              </w:rPr>
              <w:t>After 1 year through 5 years</w:t>
            </w:r>
          </w:p>
        </w:tc>
        <w:tc>
          <w:tcPr>
            <w:tcW w:w="0" w:type="auto"/>
            <w:gridSpan w:val="2"/>
            <w:shd w:val="clear" w:color="auto" w:fill="auto"/>
            <w:tcMar>
              <w:top w:w="40" w:type="dxa"/>
              <w:left w:w="20" w:type="dxa"/>
              <w:bottom w:w="40" w:type="dxa"/>
              <w:right w:w="0" w:type="dxa"/>
            </w:tcMar>
            <w:vAlign w:val="bottom"/>
          </w:tcPr>
          <w:p w14:paraId="518B72A3" w14:textId="77777777" w:rsidR="005C332D" w:rsidRDefault="00B93EAE">
            <w:pPr>
              <w:jc w:val="right"/>
              <w:textAlignment w:val="bottom"/>
            </w:pPr>
            <w:r>
              <w:rPr>
                <w:rFonts w:ascii="Times New Roman" w:eastAsia="宋体" w:hAnsi="Times New Roman"/>
                <w:color w:val="000000"/>
                <w:sz w:val="20"/>
                <w:szCs w:val="20"/>
              </w:rPr>
              <w:t>6,946 </w:t>
            </w:r>
          </w:p>
        </w:tc>
        <w:tc>
          <w:tcPr>
            <w:tcW w:w="0" w:type="auto"/>
            <w:shd w:val="clear" w:color="auto" w:fill="auto"/>
            <w:tcMar>
              <w:top w:w="40" w:type="dxa"/>
              <w:left w:w="0" w:type="dxa"/>
              <w:bottom w:w="40" w:type="dxa"/>
              <w:right w:w="20" w:type="dxa"/>
            </w:tcMar>
            <w:vAlign w:val="bottom"/>
          </w:tcPr>
          <w:p w14:paraId="518B72A4"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2A5"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2A6" w14:textId="77777777" w:rsidR="005C332D" w:rsidRDefault="00B93EAE">
            <w:pPr>
              <w:jc w:val="right"/>
              <w:textAlignment w:val="bottom"/>
            </w:pPr>
            <w:r>
              <w:rPr>
                <w:rFonts w:ascii="Times New Roman" w:eastAsia="宋体" w:hAnsi="Times New Roman"/>
                <w:color w:val="000000"/>
                <w:sz w:val="20"/>
                <w:szCs w:val="20"/>
              </w:rPr>
              <w:t>6,646 </w:t>
            </w:r>
          </w:p>
        </w:tc>
        <w:tc>
          <w:tcPr>
            <w:tcW w:w="0" w:type="auto"/>
            <w:shd w:val="clear" w:color="auto" w:fill="auto"/>
            <w:tcMar>
              <w:top w:w="40" w:type="dxa"/>
              <w:left w:w="0" w:type="dxa"/>
              <w:bottom w:w="40" w:type="dxa"/>
              <w:right w:w="20" w:type="dxa"/>
            </w:tcMar>
            <w:vAlign w:val="bottom"/>
          </w:tcPr>
          <w:p w14:paraId="518B72A7" w14:textId="77777777" w:rsidR="005C332D" w:rsidRDefault="005C332D">
            <w:pPr>
              <w:jc w:val="right"/>
              <w:rPr>
                <w:rFonts w:ascii="宋体"/>
              </w:rPr>
            </w:pPr>
          </w:p>
        </w:tc>
      </w:tr>
      <w:tr w:rsidR="005C332D" w14:paraId="518B72AF" w14:textId="77777777">
        <w:tc>
          <w:tcPr>
            <w:tcW w:w="0" w:type="auto"/>
            <w:gridSpan w:val="3"/>
            <w:shd w:val="clear" w:color="auto" w:fill="CCEEFF"/>
            <w:tcMar>
              <w:top w:w="40" w:type="dxa"/>
              <w:left w:w="20" w:type="dxa"/>
              <w:bottom w:w="40" w:type="dxa"/>
              <w:right w:w="20" w:type="dxa"/>
            </w:tcMar>
          </w:tcPr>
          <w:p w14:paraId="518B72A9" w14:textId="77777777" w:rsidR="005C332D" w:rsidRDefault="00B93EAE">
            <w:pPr>
              <w:textAlignment w:val="top"/>
            </w:pPr>
            <w:r>
              <w:rPr>
                <w:rFonts w:ascii="Times New Roman" w:eastAsia="宋体" w:hAnsi="Times New Roman"/>
                <w:color w:val="000000"/>
                <w:sz w:val="20"/>
                <w:szCs w:val="20"/>
              </w:rPr>
              <w:t>After 5 years through 10 years</w:t>
            </w:r>
          </w:p>
        </w:tc>
        <w:tc>
          <w:tcPr>
            <w:tcW w:w="0" w:type="auto"/>
            <w:gridSpan w:val="2"/>
            <w:shd w:val="clear" w:color="auto" w:fill="CCEEFF"/>
            <w:tcMar>
              <w:top w:w="40" w:type="dxa"/>
              <w:left w:w="20" w:type="dxa"/>
              <w:bottom w:w="40" w:type="dxa"/>
              <w:right w:w="0" w:type="dxa"/>
            </w:tcMar>
            <w:vAlign w:val="bottom"/>
          </w:tcPr>
          <w:p w14:paraId="518B72AA" w14:textId="77777777" w:rsidR="005C332D" w:rsidRDefault="00B93EAE">
            <w:pPr>
              <w:jc w:val="right"/>
              <w:textAlignment w:val="bottom"/>
            </w:pPr>
            <w:r>
              <w:rPr>
                <w:rFonts w:ascii="Times New Roman" w:eastAsia="宋体" w:hAnsi="Times New Roman"/>
                <w:color w:val="000000"/>
                <w:sz w:val="20"/>
                <w:szCs w:val="20"/>
              </w:rPr>
              <w:t>111 </w:t>
            </w:r>
          </w:p>
        </w:tc>
        <w:tc>
          <w:tcPr>
            <w:tcW w:w="0" w:type="auto"/>
            <w:shd w:val="clear" w:color="auto" w:fill="CCEEFF"/>
            <w:tcMar>
              <w:top w:w="40" w:type="dxa"/>
              <w:left w:w="0" w:type="dxa"/>
              <w:bottom w:w="40" w:type="dxa"/>
              <w:right w:w="20" w:type="dxa"/>
            </w:tcMar>
            <w:vAlign w:val="bottom"/>
          </w:tcPr>
          <w:p w14:paraId="518B72A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A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AD" w14:textId="77777777" w:rsidR="005C332D" w:rsidRDefault="00B93EAE">
            <w:pPr>
              <w:jc w:val="right"/>
              <w:textAlignment w:val="bottom"/>
            </w:pPr>
            <w:r>
              <w:rPr>
                <w:rFonts w:ascii="Times New Roman" w:eastAsia="宋体" w:hAnsi="Times New Roman"/>
                <w:color w:val="000000"/>
                <w:sz w:val="20"/>
                <w:szCs w:val="20"/>
              </w:rPr>
              <w:t>103 </w:t>
            </w:r>
          </w:p>
        </w:tc>
        <w:tc>
          <w:tcPr>
            <w:tcW w:w="0" w:type="auto"/>
            <w:shd w:val="clear" w:color="auto" w:fill="CCEEFF"/>
            <w:tcMar>
              <w:top w:w="40" w:type="dxa"/>
              <w:left w:w="0" w:type="dxa"/>
              <w:bottom w:w="40" w:type="dxa"/>
              <w:right w:w="20" w:type="dxa"/>
            </w:tcMar>
            <w:vAlign w:val="bottom"/>
          </w:tcPr>
          <w:p w14:paraId="518B72AE" w14:textId="77777777" w:rsidR="005C332D" w:rsidRDefault="005C332D">
            <w:pPr>
              <w:jc w:val="right"/>
              <w:rPr>
                <w:rFonts w:ascii="宋体"/>
              </w:rPr>
            </w:pPr>
          </w:p>
        </w:tc>
      </w:tr>
      <w:tr w:rsidR="005C332D" w14:paraId="518B72B6" w14:textId="77777777">
        <w:tc>
          <w:tcPr>
            <w:tcW w:w="0" w:type="auto"/>
            <w:gridSpan w:val="3"/>
            <w:shd w:val="clear" w:color="auto" w:fill="auto"/>
            <w:tcMar>
              <w:top w:w="40" w:type="dxa"/>
              <w:left w:w="20" w:type="dxa"/>
              <w:bottom w:w="40" w:type="dxa"/>
              <w:right w:w="20" w:type="dxa"/>
            </w:tcMar>
          </w:tcPr>
          <w:p w14:paraId="518B72B0" w14:textId="77777777" w:rsidR="005C332D" w:rsidRDefault="00B93EAE">
            <w:pPr>
              <w:textAlignment w:val="top"/>
            </w:pPr>
            <w:r>
              <w:rPr>
                <w:rFonts w:ascii="Times New Roman" w:eastAsia="宋体" w:hAnsi="Times New Roman"/>
                <w:color w:val="000000"/>
                <w:sz w:val="20"/>
                <w:szCs w:val="20"/>
              </w:rPr>
              <w:t>After 10 years</w:t>
            </w:r>
          </w:p>
        </w:tc>
        <w:tc>
          <w:tcPr>
            <w:tcW w:w="0" w:type="auto"/>
            <w:gridSpan w:val="2"/>
            <w:shd w:val="clear" w:color="auto" w:fill="auto"/>
            <w:tcMar>
              <w:top w:w="40" w:type="dxa"/>
              <w:left w:w="20" w:type="dxa"/>
              <w:bottom w:w="40" w:type="dxa"/>
              <w:right w:w="0" w:type="dxa"/>
            </w:tcMar>
            <w:vAlign w:val="bottom"/>
          </w:tcPr>
          <w:p w14:paraId="518B72B1"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auto"/>
            <w:tcMar>
              <w:top w:w="40" w:type="dxa"/>
              <w:left w:w="0" w:type="dxa"/>
              <w:bottom w:w="40" w:type="dxa"/>
              <w:right w:w="20" w:type="dxa"/>
            </w:tcMar>
            <w:vAlign w:val="bottom"/>
          </w:tcPr>
          <w:p w14:paraId="518B72B2"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2B3"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2B4"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auto"/>
            <w:tcMar>
              <w:top w:w="40" w:type="dxa"/>
              <w:left w:w="0" w:type="dxa"/>
              <w:bottom w:w="40" w:type="dxa"/>
              <w:right w:w="20" w:type="dxa"/>
            </w:tcMar>
            <w:vAlign w:val="bottom"/>
          </w:tcPr>
          <w:p w14:paraId="518B72B5" w14:textId="77777777" w:rsidR="005C332D" w:rsidRDefault="005C332D">
            <w:pPr>
              <w:jc w:val="right"/>
              <w:rPr>
                <w:rFonts w:ascii="宋体"/>
              </w:rPr>
            </w:pPr>
          </w:p>
        </w:tc>
      </w:tr>
      <w:tr w:rsidR="005C332D" w14:paraId="518B72BD" w14:textId="77777777">
        <w:tc>
          <w:tcPr>
            <w:tcW w:w="0" w:type="auto"/>
            <w:gridSpan w:val="3"/>
            <w:shd w:val="clear" w:color="auto" w:fill="CCEEFF"/>
            <w:tcMar>
              <w:top w:w="40" w:type="dxa"/>
              <w:left w:w="20" w:type="dxa"/>
              <w:bottom w:w="40" w:type="dxa"/>
              <w:right w:w="20" w:type="dxa"/>
            </w:tcMar>
          </w:tcPr>
          <w:p w14:paraId="518B72B7" w14:textId="77777777" w:rsidR="005C332D" w:rsidRDefault="00B93EAE">
            <w:pPr>
              <w:textAlignment w:val="top"/>
            </w:pPr>
            <w:r>
              <w:rPr>
                <w:rFonts w:ascii="Times New Roman" w:eastAsia="宋体" w:hAnsi="Times New Roman"/>
                <w:color w:val="000000"/>
                <w:sz w:val="20"/>
                <w:szCs w:val="20"/>
              </w:rPr>
              <w:t>Mortgage-backed securities with no single maturity</w:t>
            </w:r>
          </w:p>
        </w:tc>
        <w:tc>
          <w:tcPr>
            <w:tcW w:w="0" w:type="auto"/>
            <w:gridSpan w:val="2"/>
            <w:shd w:val="clear" w:color="auto" w:fill="CCEEFF"/>
            <w:tcMar>
              <w:top w:w="40" w:type="dxa"/>
              <w:left w:w="20" w:type="dxa"/>
              <w:bottom w:w="40" w:type="dxa"/>
              <w:right w:w="0" w:type="dxa"/>
            </w:tcMar>
            <w:vAlign w:val="bottom"/>
          </w:tcPr>
          <w:p w14:paraId="518B72B8" w14:textId="77777777" w:rsidR="005C332D" w:rsidRDefault="00B93EAE">
            <w:pPr>
              <w:jc w:val="right"/>
              <w:textAlignment w:val="bottom"/>
            </w:pPr>
            <w:r>
              <w:rPr>
                <w:rFonts w:ascii="Times New Roman" w:eastAsia="宋体" w:hAnsi="Times New Roman"/>
                <w:color w:val="000000"/>
                <w:sz w:val="20"/>
                <w:szCs w:val="20"/>
              </w:rPr>
              <w:t>2,134 </w:t>
            </w:r>
          </w:p>
        </w:tc>
        <w:tc>
          <w:tcPr>
            <w:tcW w:w="0" w:type="auto"/>
            <w:shd w:val="clear" w:color="auto" w:fill="CCEEFF"/>
            <w:tcMar>
              <w:top w:w="40" w:type="dxa"/>
              <w:left w:w="0" w:type="dxa"/>
              <w:bottom w:w="40" w:type="dxa"/>
              <w:right w:w="20" w:type="dxa"/>
            </w:tcMar>
            <w:vAlign w:val="bottom"/>
          </w:tcPr>
          <w:p w14:paraId="518B72B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2B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2BB" w14:textId="77777777" w:rsidR="005C332D" w:rsidRDefault="00B93EAE">
            <w:pPr>
              <w:jc w:val="right"/>
              <w:textAlignment w:val="bottom"/>
            </w:pPr>
            <w:r>
              <w:rPr>
                <w:rFonts w:ascii="Times New Roman" w:eastAsia="宋体" w:hAnsi="Times New Roman"/>
                <w:color w:val="000000"/>
                <w:sz w:val="20"/>
                <w:szCs w:val="20"/>
              </w:rPr>
              <w:t>1,976 </w:t>
            </w:r>
          </w:p>
        </w:tc>
        <w:tc>
          <w:tcPr>
            <w:tcW w:w="0" w:type="auto"/>
            <w:shd w:val="clear" w:color="auto" w:fill="CCEEFF"/>
            <w:tcMar>
              <w:top w:w="40" w:type="dxa"/>
              <w:left w:w="0" w:type="dxa"/>
              <w:bottom w:w="40" w:type="dxa"/>
              <w:right w:w="20" w:type="dxa"/>
            </w:tcMar>
            <w:vAlign w:val="bottom"/>
          </w:tcPr>
          <w:p w14:paraId="518B72BC" w14:textId="77777777" w:rsidR="005C332D" w:rsidRDefault="005C332D">
            <w:pPr>
              <w:jc w:val="right"/>
              <w:rPr>
                <w:rFonts w:ascii="宋体"/>
              </w:rPr>
            </w:pPr>
          </w:p>
        </w:tc>
      </w:tr>
      <w:tr w:rsidR="005C332D" w14:paraId="518B72C6" w14:textId="77777777">
        <w:tc>
          <w:tcPr>
            <w:tcW w:w="0" w:type="auto"/>
            <w:gridSpan w:val="3"/>
            <w:shd w:val="clear" w:color="auto" w:fill="auto"/>
            <w:tcMar>
              <w:top w:w="40" w:type="dxa"/>
              <w:left w:w="380" w:type="dxa"/>
              <w:bottom w:w="40" w:type="dxa"/>
              <w:right w:w="20" w:type="dxa"/>
            </w:tcMar>
          </w:tcPr>
          <w:p w14:paraId="518B72BE"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72B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72C0" w14:textId="77777777" w:rsidR="005C332D" w:rsidRDefault="00B93EAE">
            <w:pPr>
              <w:jc w:val="right"/>
              <w:textAlignment w:val="bottom"/>
            </w:pPr>
            <w:r>
              <w:rPr>
                <w:rFonts w:ascii="Times New Roman" w:eastAsia="宋体" w:hAnsi="Times New Roman"/>
                <w:color w:val="000000"/>
                <w:sz w:val="20"/>
                <w:szCs w:val="20"/>
              </w:rPr>
              <w:t>12,467 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72C1"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2C2"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72C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72C4" w14:textId="77777777" w:rsidR="005C332D" w:rsidRDefault="00B93EAE">
            <w:pPr>
              <w:jc w:val="right"/>
              <w:textAlignment w:val="bottom"/>
            </w:pPr>
            <w:r>
              <w:rPr>
                <w:rFonts w:ascii="Times New Roman" w:eastAsia="宋体" w:hAnsi="Times New Roman"/>
                <w:color w:val="000000"/>
                <w:sz w:val="20"/>
                <w:szCs w:val="20"/>
              </w:rPr>
              <w:t>11,947 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72C5" w14:textId="77777777" w:rsidR="005C332D" w:rsidRDefault="005C332D">
            <w:pPr>
              <w:jc w:val="right"/>
              <w:rPr>
                <w:rFonts w:ascii="宋体"/>
              </w:rPr>
            </w:pPr>
          </w:p>
        </w:tc>
      </w:tr>
    </w:tbl>
    <w:p w14:paraId="518B72C7" w14:textId="77777777" w:rsidR="005C332D" w:rsidRDefault="00B93EAE">
      <w:pPr>
        <w:spacing w:before="120"/>
        <w:jc w:val="both"/>
      </w:pPr>
      <w:r>
        <w:rPr>
          <w:rFonts w:ascii="Times New Roman" w:eastAsia="宋体" w:hAnsi="Times New Roman"/>
          <w:color w:val="000000"/>
          <w:sz w:val="20"/>
          <w:szCs w:val="20"/>
        </w:rPr>
        <w:t xml:space="preserve">Actual maturities may differ from the contractual maturities because borrowers may have the right to call or prepay certain obligations. </w:t>
      </w:r>
    </w:p>
    <w:p w14:paraId="518B72C8" w14:textId="77777777" w:rsidR="005C332D" w:rsidRDefault="00B93EAE">
      <w:pPr>
        <w:spacing w:before="120"/>
        <w:ind w:hanging="360"/>
        <w:jc w:val="both"/>
      </w:pPr>
      <w:r>
        <w:rPr>
          <w:rFonts w:ascii="Times New Roman" w:eastAsia="宋体" w:hAnsi="Times New Roman"/>
          <w:b/>
          <w:bCs/>
          <w:color w:val="000000"/>
          <w:sz w:val="20"/>
          <w:szCs w:val="20"/>
        </w:rPr>
        <w:t>(b)Summary of Equity Investments</w:t>
      </w:r>
    </w:p>
    <w:p w14:paraId="518B72C9" w14:textId="77777777" w:rsidR="005C332D" w:rsidRDefault="00B93EAE">
      <w:pPr>
        <w:spacing w:before="120"/>
        <w:jc w:val="both"/>
      </w:pPr>
      <w:r>
        <w:rPr>
          <w:rFonts w:ascii="Times New Roman" w:eastAsia="宋体" w:hAnsi="Times New Roman"/>
          <w:color w:val="000000"/>
          <w:sz w:val="20"/>
          <w:szCs w:val="20"/>
        </w:rPr>
        <w:t xml:space="preserve">We held marketable equity securities of $241 million and $137 million as of </w:t>
      </w:r>
      <w:r>
        <w:rPr>
          <w:rFonts w:ascii="Times New Roman" w:eastAsia="宋体" w:hAnsi="Times New Roman"/>
          <w:color w:val="000000"/>
          <w:sz w:val="20"/>
          <w:szCs w:val="20"/>
        </w:rPr>
        <w:t>July 30, 2022 and July 31, 2021, respectively. We recognized a net unrealized loss of $38 million during fiscal 2022 and a net unrealized gain of $8 million during fiscal 2021 on our marketable securities still held as of the reporting date. Our net adjust</w:t>
      </w:r>
      <w:r>
        <w:rPr>
          <w:rFonts w:ascii="Times New Roman" w:eastAsia="宋体" w:hAnsi="Times New Roman"/>
          <w:color w:val="000000"/>
          <w:sz w:val="20"/>
          <w:szCs w:val="20"/>
        </w:rPr>
        <w:t>ments to non-marketable equity securities measured using the measurement alternative still held was a net gain of $32 million and $39 million for fiscal 2022 and 2021, respectively. We held equity interests in certain private equity funds of $1.1 billion a</w:t>
      </w:r>
      <w:r>
        <w:rPr>
          <w:rFonts w:ascii="Times New Roman" w:eastAsia="宋体" w:hAnsi="Times New Roman"/>
          <w:color w:val="000000"/>
          <w:sz w:val="20"/>
          <w:szCs w:val="20"/>
        </w:rPr>
        <w:t>nd $0.9 billion as of July 30, 2022 and July 31, 2021, respectively, which are accounted for under the NAV practical expedient.</w:t>
      </w:r>
    </w:p>
    <w:p w14:paraId="518B72CA" w14:textId="77777777" w:rsidR="005C332D" w:rsidRDefault="00B93EAE">
      <w:pPr>
        <w:spacing w:before="120"/>
        <w:jc w:val="both"/>
      </w:pPr>
      <w:r>
        <w:rPr>
          <w:rFonts w:ascii="Times New Roman" w:eastAsia="宋体" w:hAnsi="Times New Roman"/>
          <w:color w:val="000000"/>
          <w:sz w:val="20"/>
          <w:szCs w:val="20"/>
        </w:rPr>
        <w:t xml:space="preserve">In the ordinary course of business, we have investments in privately held companies and provide financing to certain customers. </w:t>
      </w:r>
      <w:r>
        <w:rPr>
          <w:rFonts w:ascii="Times New Roman" w:eastAsia="宋体" w:hAnsi="Times New Roman"/>
          <w:color w:val="000000"/>
          <w:sz w:val="20"/>
          <w:szCs w:val="20"/>
        </w:rPr>
        <w:t>These privately held companies and customers are evaluated for consolidation under the variable interest or voting interest entity models. We evaluate on an ongoing basis our investments in these privately held companies and our customer financings, and ha</w:t>
      </w:r>
      <w:r>
        <w:rPr>
          <w:rFonts w:ascii="Times New Roman" w:eastAsia="宋体" w:hAnsi="Times New Roman"/>
          <w:color w:val="000000"/>
          <w:sz w:val="20"/>
          <w:szCs w:val="20"/>
        </w:rPr>
        <w:t>ve determined that as of July 30, 2022, there were no significant variable interest or voting interest entities required to be consolidated in our Consolidated Financial Statements.</w:t>
      </w:r>
    </w:p>
    <w:p w14:paraId="518B72CB" w14:textId="77777777" w:rsidR="005C332D" w:rsidRDefault="00B93EAE">
      <w:pPr>
        <w:spacing w:before="120"/>
        <w:jc w:val="both"/>
      </w:pPr>
      <w:r>
        <w:rPr>
          <w:rFonts w:ascii="Times New Roman" w:eastAsia="宋体" w:hAnsi="Times New Roman"/>
          <w:color w:val="000000"/>
          <w:sz w:val="20"/>
          <w:szCs w:val="20"/>
        </w:rPr>
        <w:t>As of July 30, 2022, the carrying value of our investments in privately he</w:t>
      </w:r>
      <w:r>
        <w:rPr>
          <w:rFonts w:ascii="Times New Roman" w:eastAsia="宋体" w:hAnsi="Times New Roman"/>
          <w:color w:val="000000"/>
          <w:sz w:val="20"/>
          <w:szCs w:val="20"/>
        </w:rPr>
        <w:t>ld companies was $1.9 billion. Of the total carrying value of our investments in privately held companies as of July 30, 2022, $1.1 billion of such investments are considered to be in variable interest entities which are unconsolidated. We have total fundi</w:t>
      </w:r>
      <w:r>
        <w:rPr>
          <w:rFonts w:ascii="Times New Roman" w:eastAsia="宋体" w:hAnsi="Times New Roman"/>
          <w:color w:val="000000"/>
          <w:sz w:val="20"/>
          <w:szCs w:val="20"/>
        </w:rPr>
        <w:t>ng commitments of $0.4 billion related to privately held investments, some of which may be based on the achievement of certain agreed-upon milestones or are required to be funded on demand. The carrying value of these investments and the additional funding</w:t>
      </w:r>
      <w:r>
        <w:rPr>
          <w:rFonts w:ascii="Times New Roman" w:eastAsia="宋体" w:hAnsi="Times New Roman"/>
          <w:color w:val="000000"/>
          <w:sz w:val="20"/>
          <w:szCs w:val="20"/>
        </w:rPr>
        <w:t xml:space="preserve"> commitments, collectively, represent our maximum exposure related to privately held investments. </w:t>
      </w:r>
    </w:p>
    <w:p w14:paraId="518B72CC" w14:textId="77777777" w:rsidR="005C332D" w:rsidRDefault="005C332D">
      <w:pPr>
        <w:spacing w:before="120"/>
        <w:jc w:val="both"/>
      </w:pPr>
    </w:p>
    <w:p w14:paraId="518B72CD" w14:textId="77777777" w:rsidR="005C332D" w:rsidRDefault="00B93EAE">
      <w:pPr>
        <w:jc w:val="center"/>
      </w:pPr>
      <w:r>
        <w:rPr>
          <w:rFonts w:ascii="Times New Roman" w:eastAsia="宋体" w:hAnsi="Times New Roman"/>
          <w:color w:val="000000"/>
          <w:sz w:val="20"/>
          <w:szCs w:val="20"/>
        </w:rPr>
        <w:t>83</w:t>
      </w:r>
    </w:p>
    <w:p w14:paraId="518B72CE" w14:textId="77777777" w:rsidR="005C332D" w:rsidRDefault="00B93EAE">
      <w:r>
        <w:pict w14:anchorId="518B8768">
          <v:rect id="_x0000_i1109" style="width:415.3pt;height:1.5pt" o:hralign="center" o:hrstd="t" o:hr="t" fillcolor="#a0a0a0" stroked="f"/>
        </w:pict>
      </w:r>
    </w:p>
    <w:p w14:paraId="518B72CF" w14:textId="77777777" w:rsidR="005C332D" w:rsidRDefault="005C332D"/>
    <w:p w14:paraId="518B72D0" w14:textId="77777777" w:rsidR="005C332D" w:rsidRDefault="00B93EAE">
      <w:pPr>
        <w:ind w:hanging="360"/>
      </w:pPr>
      <w:r>
        <w:rPr>
          <w:rFonts w:ascii="Times New Roman" w:eastAsia="宋体" w:hAnsi="Times New Roman"/>
          <w:b/>
          <w:bCs/>
          <w:color w:val="000000"/>
          <w:sz w:val="20"/>
          <w:szCs w:val="20"/>
        </w:rPr>
        <w:t xml:space="preserve">11.Fair Value </w:t>
      </w:r>
    </w:p>
    <w:p w14:paraId="518B72D1" w14:textId="77777777" w:rsidR="005C332D" w:rsidRDefault="00B93EAE">
      <w:pPr>
        <w:spacing w:before="120"/>
        <w:ind w:hanging="360"/>
      </w:pPr>
      <w:r>
        <w:rPr>
          <w:rFonts w:ascii="Times New Roman" w:eastAsia="宋体" w:hAnsi="Times New Roman"/>
          <w:b/>
          <w:bCs/>
          <w:color w:val="000000"/>
          <w:sz w:val="20"/>
          <w:szCs w:val="20"/>
        </w:rPr>
        <w:t>(a)Assets and Liabilities Measured at Fair Value on a Recurring Basis</w:t>
      </w:r>
    </w:p>
    <w:p w14:paraId="518B72D2" w14:textId="77777777" w:rsidR="005C332D" w:rsidRDefault="00B93EAE">
      <w:pPr>
        <w:spacing w:before="120"/>
        <w:jc w:val="both"/>
      </w:pPr>
      <w:r>
        <w:rPr>
          <w:rFonts w:ascii="Times New Roman" w:eastAsia="宋体" w:hAnsi="Times New Roman"/>
          <w:color w:val="000000"/>
          <w:sz w:val="20"/>
          <w:szCs w:val="20"/>
        </w:rPr>
        <w:t xml:space="preserve">Assets and liabilities measured at fair value on a </w:t>
      </w:r>
      <w:r>
        <w:rPr>
          <w:rFonts w:ascii="Times New Roman" w:eastAsia="宋体" w:hAnsi="Times New Roman"/>
          <w:color w:val="000000"/>
          <w:sz w:val="20"/>
          <w:szCs w:val="20"/>
        </w:rPr>
        <w:t>recurring basis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8"/>
        <w:gridCol w:w="2971"/>
        <w:gridCol w:w="39"/>
        <w:gridCol w:w="120"/>
        <w:gridCol w:w="671"/>
        <w:gridCol w:w="36"/>
        <w:gridCol w:w="36"/>
        <w:gridCol w:w="36"/>
        <w:gridCol w:w="36"/>
        <w:gridCol w:w="120"/>
        <w:gridCol w:w="625"/>
        <w:gridCol w:w="36"/>
        <w:gridCol w:w="36"/>
        <w:gridCol w:w="36"/>
        <w:gridCol w:w="36"/>
        <w:gridCol w:w="120"/>
        <w:gridCol w:w="626"/>
        <w:gridCol w:w="36"/>
        <w:gridCol w:w="36"/>
        <w:gridCol w:w="36"/>
        <w:gridCol w:w="36"/>
        <w:gridCol w:w="120"/>
        <w:gridCol w:w="626"/>
        <w:gridCol w:w="36"/>
        <w:gridCol w:w="36"/>
        <w:gridCol w:w="36"/>
        <w:gridCol w:w="36"/>
        <w:gridCol w:w="120"/>
        <w:gridCol w:w="626"/>
        <w:gridCol w:w="36"/>
        <w:gridCol w:w="36"/>
        <w:gridCol w:w="36"/>
        <w:gridCol w:w="36"/>
        <w:gridCol w:w="120"/>
        <w:gridCol w:w="628"/>
        <w:gridCol w:w="36"/>
      </w:tblGrid>
      <w:tr w:rsidR="005C332D" w14:paraId="518B72F7" w14:textId="77777777">
        <w:tc>
          <w:tcPr>
            <w:tcW w:w="50" w:type="pct"/>
            <w:shd w:val="clear" w:color="auto" w:fill="auto"/>
            <w:vAlign w:val="bottom"/>
          </w:tcPr>
          <w:p w14:paraId="518B72D3" w14:textId="77777777" w:rsidR="005C332D" w:rsidRDefault="005C332D">
            <w:pPr>
              <w:rPr>
                <w:rFonts w:ascii="宋体"/>
              </w:rPr>
            </w:pPr>
          </w:p>
        </w:tc>
        <w:tc>
          <w:tcPr>
            <w:tcW w:w="1823" w:type="pct"/>
            <w:shd w:val="clear" w:color="auto" w:fill="auto"/>
            <w:vAlign w:val="bottom"/>
          </w:tcPr>
          <w:p w14:paraId="518B72D4" w14:textId="77777777" w:rsidR="005C332D" w:rsidRDefault="005C332D">
            <w:pPr>
              <w:rPr>
                <w:rFonts w:ascii="宋体"/>
              </w:rPr>
            </w:pPr>
          </w:p>
        </w:tc>
        <w:tc>
          <w:tcPr>
            <w:tcW w:w="5" w:type="pct"/>
            <w:shd w:val="clear" w:color="auto" w:fill="auto"/>
            <w:vAlign w:val="bottom"/>
          </w:tcPr>
          <w:p w14:paraId="518B72D5" w14:textId="77777777" w:rsidR="005C332D" w:rsidRDefault="005C332D">
            <w:pPr>
              <w:rPr>
                <w:rFonts w:ascii="宋体"/>
              </w:rPr>
            </w:pPr>
          </w:p>
        </w:tc>
        <w:tc>
          <w:tcPr>
            <w:tcW w:w="50" w:type="pct"/>
            <w:shd w:val="clear" w:color="auto" w:fill="auto"/>
            <w:vAlign w:val="bottom"/>
          </w:tcPr>
          <w:p w14:paraId="518B72D6" w14:textId="77777777" w:rsidR="005C332D" w:rsidRDefault="005C332D">
            <w:pPr>
              <w:rPr>
                <w:rFonts w:ascii="宋体"/>
              </w:rPr>
            </w:pPr>
          </w:p>
        </w:tc>
        <w:tc>
          <w:tcPr>
            <w:tcW w:w="434" w:type="pct"/>
            <w:shd w:val="clear" w:color="auto" w:fill="auto"/>
            <w:vAlign w:val="bottom"/>
          </w:tcPr>
          <w:p w14:paraId="518B72D7" w14:textId="77777777" w:rsidR="005C332D" w:rsidRDefault="005C332D">
            <w:pPr>
              <w:rPr>
                <w:rFonts w:ascii="宋体"/>
              </w:rPr>
            </w:pPr>
          </w:p>
        </w:tc>
        <w:tc>
          <w:tcPr>
            <w:tcW w:w="5" w:type="pct"/>
            <w:shd w:val="clear" w:color="auto" w:fill="auto"/>
            <w:vAlign w:val="bottom"/>
          </w:tcPr>
          <w:p w14:paraId="518B72D8" w14:textId="77777777" w:rsidR="005C332D" w:rsidRDefault="005C332D">
            <w:pPr>
              <w:rPr>
                <w:rFonts w:ascii="宋体"/>
              </w:rPr>
            </w:pPr>
          </w:p>
        </w:tc>
        <w:tc>
          <w:tcPr>
            <w:tcW w:w="5" w:type="pct"/>
            <w:shd w:val="clear" w:color="auto" w:fill="auto"/>
            <w:vAlign w:val="bottom"/>
          </w:tcPr>
          <w:p w14:paraId="518B72D9" w14:textId="77777777" w:rsidR="005C332D" w:rsidRDefault="005C332D">
            <w:pPr>
              <w:rPr>
                <w:rFonts w:ascii="宋体"/>
              </w:rPr>
            </w:pPr>
          </w:p>
        </w:tc>
        <w:tc>
          <w:tcPr>
            <w:tcW w:w="26" w:type="pct"/>
            <w:shd w:val="clear" w:color="auto" w:fill="auto"/>
            <w:vAlign w:val="bottom"/>
          </w:tcPr>
          <w:p w14:paraId="518B72DA" w14:textId="77777777" w:rsidR="005C332D" w:rsidRDefault="005C332D">
            <w:pPr>
              <w:rPr>
                <w:rFonts w:ascii="宋体"/>
              </w:rPr>
            </w:pPr>
          </w:p>
        </w:tc>
        <w:tc>
          <w:tcPr>
            <w:tcW w:w="5" w:type="pct"/>
            <w:shd w:val="clear" w:color="auto" w:fill="auto"/>
            <w:vAlign w:val="bottom"/>
          </w:tcPr>
          <w:p w14:paraId="518B72DB" w14:textId="77777777" w:rsidR="005C332D" w:rsidRDefault="005C332D">
            <w:pPr>
              <w:rPr>
                <w:rFonts w:ascii="宋体"/>
              </w:rPr>
            </w:pPr>
          </w:p>
        </w:tc>
        <w:tc>
          <w:tcPr>
            <w:tcW w:w="50" w:type="pct"/>
            <w:shd w:val="clear" w:color="auto" w:fill="auto"/>
            <w:vAlign w:val="bottom"/>
          </w:tcPr>
          <w:p w14:paraId="518B72DC" w14:textId="77777777" w:rsidR="005C332D" w:rsidRDefault="005C332D">
            <w:pPr>
              <w:rPr>
                <w:rFonts w:ascii="宋体"/>
              </w:rPr>
            </w:pPr>
          </w:p>
        </w:tc>
        <w:tc>
          <w:tcPr>
            <w:tcW w:w="434" w:type="pct"/>
            <w:shd w:val="clear" w:color="auto" w:fill="auto"/>
            <w:vAlign w:val="bottom"/>
          </w:tcPr>
          <w:p w14:paraId="518B72DD" w14:textId="77777777" w:rsidR="005C332D" w:rsidRDefault="005C332D">
            <w:pPr>
              <w:rPr>
                <w:rFonts w:ascii="宋体"/>
              </w:rPr>
            </w:pPr>
          </w:p>
        </w:tc>
        <w:tc>
          <w:tcPr>
            <w:tcW w:w="5" w:type="pct"/>
            <w:shd w:val="clear" w:color="auto" w:fill="auto"/>
            <w:vAlign w:val="bottom"/>
          </w:tcPr>
          <w:p w14:paraId="518B72DE" w14:textId="77777777" w:rsidR="005C332D" w:rsidRDefault="005C332D">
            <w:pPr>
              <w:rPr>
                <w:rFonts w:ascii="宋体"/>
              </w:rPr>
            </w:pPr>
          </w:p>
        </w:tc>
        <w:tc>
          <w:tcPr>
            <w:tcW w:w="5" w:type="pct"/>
            <w:shd w:val="clear" w:color="auto" w:fill="auto"/>
            <w:vAlign w:val="bottom"/>
          </w:tcPr>
          <w:p w14:paraId="518B72DF" w14:textId="77777777" w:rsidR="005C332D" w:rsidRDefault="005C332D">
            <w:pPr>
              <w:rPr>
                <w:rFonts w:ascii="宋体"/>
              </w:rPr>
            </w:pPr>
          </w:p>
        </w:tc>
        <w:tc>
          <w:tcPr>
            <w:tcW w:w="26" w:type="pct"/>
            <w:shd w:val="clear" w:color="auto" w:fill="auto"/>
            <w:vAlign w:val="bottom"/>
          </w:tcPr>
          <w:p w14:paraId="518B72E0" w14:textId="77777777" w:rsidR="005C332D" w:rsidRDefault="005C332D">
            <w:pPr>
              <w:rPr>
                <w:rFonts w:ascii="宋体"/>
              </w:rPr>
            </w:pPr>
          </w:p>
        </w:tc>
        <w:tc>
          <w:tcPr>
            <w:tcW w:w="5" w:type="pct"/>
            <w:shd w:val="clear" w:color="auto" w:fill="auto"/>
            <w:vAlign w:val="bottom"/>
          </w:tcPr>
          <w:p w14:paraId="518B72E1" w14:textId="77777777" w:rsidR="005C332D" w:rsidRDefault="005C332D">
            <w:pPr>
              <w:rPr>
                <w:rFonts w:ascii="宋体"/>
              </w:rPr>
            </w:pPr>
          </w:p>
        </w:tc>
        <w:tc>
          <w:tcPr>
            <w:tcW w:w="50" w:type="pct"/>
            <w:shd w:val="clear" w:color="auto" w:fill="auto"/>
            <w:vAlign w:val="bottom"/>
          </w:tcPr>
          <w:p w14:paraId="518B72E2" w14:textId="77777777" w:rsidR="005C332D" w:rsidRDefault="005C332D">
            <w:pPr>
              <w:rPr>
                <w:rFonts w:ascii="宋体"/>
              </w:rPr>
            </w:pPr>
          </w:p>
        </w:tc>
        <w:tc>
          <w:tcPr>
            <w:tcW w:w="434" w:type="pct"/>
            <w:shd w:val="clear" w:color="auto" w:fill="auto"/>
            <w:vAlign w:val="bottom"/>
          </w:tcPr>
          <w:p w14:paraId="518B72E3" w14:textId="77777777" w:rsidR="005C332D" w:rsidRDefault="005C332D">
            <w:pPr>
              <w:rPr>
                <w:rFonts w:ascii="宋体"/>
              </w:rPr>
            </w:pPr>
          </w:p>
        </w:tc>
        <w:tc>
          <w:tcPr>
            <w:tcW w:w="5" w:type="pct"/>
            <w:shd w:val="clear" w:color="auto" w:fill="auto"/>
            <w:vAlign w:val="bottom"/>
          </w:tcPr>
          <w:p w14:paraId="518B72E4" w14:textId="77777777" w:rsidR="005C332D" w:rsidRDefault="005C332D">
            <w:pPr>
              <w:rPr>
                <w:rFonts w:ascii="宋体"/>
              </w:rPr>
            </w:pPr>
          </w:p>
        </w:tc>
        <w:tc>
          <w:tcPr>
            <w:tcW w:w="5" w:type="pct"/>
            <w:shd w:val="clear" w:color="auto" w:fill="auto"/>
            <w:vAlign w:val="bottom"/>
          </w:tcPr>
          <w:p w14:paraId="518B72E5" w14:textId="77777777" w:rsidR="005C332D" w:rsidRDefault="005C332D">
            <w:pPr>
              <w:rPr>
                <w:rFonts w:ascii="宋体"/>
              </w:rPr>
            </w:pPr>
          </w:p>
        </w:tc>
        <w:tc>
          <w:tcPr>
            <w:tcW w:w="26" w:type="pct"/>
            <w:shd w:val="clear" w:color="auto" w:fill="auto"/>
            <w:vAlign w:val="bottom"/>
          </w:tcPr>
          <w:p w14:paraId="518B72E6" w14:textId="77777777" w:rsidR="005C332D" w:rsidRDefault="005C332D">
            <w:pPr>
              <w:rPr>
                <w:rFonts w:ascii="宋体"/>
              </w:rPr>
            </w:pPr>
          </w:p>
        </w:tc>
        <w:tc>
          <w:tcPr>
            <w:tcW w:w="5" w:type="pct"/>
            <w:shd w:val="clear" w:color="auto" w:fill="auto"/>
            <w:vAlign w:val="bottom"/>
          </w:tcPr>
          <w:p w14:paraId="518B72E7" w14:textId="77777777" w:rsidR="005C332D" w:rsidRDefault="005C332D">
            <w:pPr>
              <w:rPr>
                <w:rFonts w:ascii="宋体"/>
              </w:rPr>
            </w:pPr>
          </w:p>
        </w:tc>
        <w:tc>
          <w:tcPr>
            <w:tcW w:w="50" w:type="pct"/>
            <w:shd w:val="clear" w:color="auto" w:fill="auto"/>
            <w:vAlign w:val="bottom"/>
          </w:tcPr>
          <w:p w14:paraId="518B72E8" w14:textId="77777777" w:rsidR="005C332D" w:rsidRDefault="005C332D">
            <w:pPr>
              <w:rPr>
                <w:rFonts w:ascii="宋体"/>
              </w:rPr>
            </w:pPr>
          </w:p>
        </w:tc>
        <w:tc>
          <w:tcPr>
            <w:tcW w:w="434" w:type="pct"/>
            <w:shd w:val="clear" w:color="auto" w:fill="auto"/>
            <w:vAlign w:val="bottom"/>
          </w:tcPr>
          <w:p w14:paraId="518B72E9" w14:textId="77777777" w:rsidR="005C332D" w:rsidRDefault="005C332D">
            <w:pPr>
              <w:rPr>
                <w:rFonts w:ascii="宋体"/>
              </w:rPr>
            </w:pPr>
          </w:p>
        </w:tc>
        <w:tc>
          <w:tcPr>
            <w:tcW w:w="5" w:type="pct"/>
            <w:shd w:val="clear" w:color="auto" w:fill="auto"/>
            <w:vAlign w:val="bottom"/>
          </w:tcPr>
          <w:p w14:paraId="518B72EA" w14:textId="77777777" w:rsidR="005C332D" w:rsidRDefault="005C332D">
            <w:pPr>
              <w:rPr>
                <w:rFonts w:ascii="宋体"/>
              </w:rPr>
            </w:pPr>
          </w:p>
        </w:tc>
        <w:tc>
          <w:tcPr>
            <w:tcW w:w="5" w:type="pct"/>
            <w:shd w:val="clear" w:color="auto" w:fill="auto"/>
            <w:vAlign w:val="bottom"/>
          </w:tcPr>
          <w:p w14:paraId="518B72EB" w14:textId="77777777" w:rsidR="005C332D" w:rsidRDefault="005C332D">
            <w:pPr>
              <w:rPr>
                <w:rFonts w:ascii="宋体"/>
              </w:rPr>
            </w:pPr>
          </w:p>
        </w:tc>
        <w:tc>
          <w:tcPr>
            <w:tcW w:w="26" w:type="pct"/>
            <w:shd w:val="clear" w:color="auto" w:fill="auto"/>
            <w:vAlign w:val="bottom"/>
          </w:tcPr>
          <w:p w14:paraId="518B72EC" w14:textId="77777777" w:rsidR="005C332D" w:rsidRDefault="005C332D">
            <w:pPr>
              <w:rPr>
                <w:rFonts w:ascii="宋体"/>
              </w:rPr>
            </w:pPr>
          </w:p>
        </w:tc>
        <w:tc>
          <w:tcPr>
            <w:tcW w:w="5" w:type="pct"/>
            <w:shd w:val="clear" w:color="auto" w:fill="auto"/>
            <w:vAlign w:val="bottom"/>
          </w:tcPr>
          <w:p w14:paraId="518B72ED" w14:textId="77777777" w:rsidR="005C332D" w:rsidRDefault="005C332D">
            <w:pPr>
              <w:rPr>
                <w:rFonts w:ascii="宋体"/>
              </w:rPr>
            </w:pPr>
          </w:p>
        </w:tc>
        <w:tc>
          <w:tcPr>
            <w:tcW w:w="50" w:type="pct"/>
            <w:shd w:val="clear" w:color="auto" w:fill="auto"/>
            <w:vAlign w:val="bottom"/>
          </w:tcPr>
          <w:p w14:paraId="518B72EE" w14:textId="77777777" w:rsidR="005C332D" w:rsidRDefault="005C332D">
            <w:pPr>
              <w:rPr>
                <w:rFonts w:ascii="宋体"/>
              </w:rPr>
            </w:pPr>
          </w:p>
        </w:tc>
        <w:tc>
          <w:tcPr>
            <w:tcW w:w="434" w:type="pct"/>
            <w:shd w:val="clear" w:color="auto" w:fill="auto"/>
            <w:vAlign w:val="bottom"/>
          </w:tcPr>
          <w:p w14:paraId="518B72EF" w14:textId="77777777" w:rsidR="005C332D" w:rsidRDefault="005C332D">
            <w:pPr>
              <w:rPr>
                <w:rFonts w:ascii="宋体"/>
              </w:rPr>
            </w:pPr>
          </w:p>
        </w:tc>
        <w:tc>
          <w:tcPr>
            <w:tcW w:w="5" w:type="pct"/>
            <w:shd w:val="clear" w:color="auto" w:fill="auto"/>
            <w:vAlign w:val="bottom"/>
          </w:tcPr>
          <w:p w14:paraId="518B72F0" w14:textId="77777777" w:rsidR="005C332D" w:rsidRDefault="005C332D">
            <w:pPr>
              <w:rPr>
                <w:rFonts w:ascii="宋体"/>
              </w:rPr>
            </w:pPr>
          </w:p>
        </w:tc>
        <w:tc>
          <w:tcPr>
            <w:tcW w:w="5" w:type="pct"/>
            <w:shd w:val="clear" w:color="auto" w:fill="auto"/>
            <w:vAlign w:val="bottom"/>
          </w:tcPr>
          <w:p w14:paraId="518B72F1" w14:textId="77777777" w:rsidR="005C332D" w:rsidRDefault="005C332D">
            <w:pPr>
              <w:rPr>
                <w:rFonts w:ascii="宋体"/>
              </w:rPr>
            </w:pPr>
          </w:p>
        </w:tc>
        <w:tc>
          <w:tcPr>
            <w:tcW w:w="26" w:type="pct"/>
            <w:shd w:val="clear" w:color="auto" w:fill="auto"/>
            <w:vAlign w:val="bottom"/>
          </w:tcPr>
          <w:p w14:paraId="518B72F2" w14:textId="77777777" w:rsidR="005C332D" w:rsidRDefault="005C332D">
            <w:pPr>
              <w:rPr>
                <w:rFonts w:ascii="宋体"/>
              </w:rPr>
            </w:pPr>
          </w:p>
        </w:tc>
        <w:tc>
          <w:tcPr>
            <w:tcW w:w="5" w:type="pct"/>
            <w:shd w:val="clear" w:color="auto" w:fill="auto"/>
            <w:vAlign w:val="bottom"/>
          </w:tcPr>
          <w:p w14:paraId="518B72F3" w14:textId="77777777" w:rsidR="005C332D" w:rsidRDefault="005C332D">
            <w:pPr>
              <w:rPr>
                <w:rFonts w:ascii="宋体"/>
              </w:rPr>
            </w:pPr>
          </w:p>
        </w:tc>
        <w:tc>
          <w:tcPr>
            <w:tcW w:w="50" w:type="pct"/>
            <w:shd w:val="clear" w:color="auto" w:fill="auto"/>
            <w:vAlign w:val="bottom"/>
          </w:tcPr>
          <w:p w14:paraId="518B72F4" w14:textId="77777777" w:rsidR="005C332D" w:rsidRDefault="005C332D">
            <w:pPr>
              <w:rPr>
                <w:rFonts w:ascii="宋体"/>
              </w:rPr>
            </w:pPr>
          </w:p>
        </w:tc>
        <w:tc>
          <w:tcPr>
            <w:tcW w:w="435" w:type="pct"/>
            <w:shd w:val="clear" w:color="auto" w:fill="auto"/>
            <w:vAlign w:val="bottom"/>
          </w:tcPr>
          <w:p w14:paraId="518B72F5" w14:textId="77777777" w:rsidR="005C332D" w:rsidRDefault="005C332D">
            <w:pPr>
              <w:rPr>
                <w:rFonts w:ascii="宋体"/>
              </w:rPr>
            </w:pPr>
          </w:p>
        </w:tc>
        <w:tc>
          <w:tcPr>
            <w:tcW w:w="5" w:type="pct"/>
            <w:shd w:val="clear" w:color="auto" w:fill="auto"/>
            <w:vAlign w:val="bottom"/>
          </w:tcPr>
          <w:p w14:paraId="518B72F6" w14:textId="77777777" w:rsidR="005C332D" w:rsidRDefault="005C332D">
            <w:pPr>
              <w:rPr>
                <w:rFonts w:ascii="宋体"/>
              </w:rPr>
            </w:pPr>
          </w:p>
        </w:tc>
      </w:tr>
      <w:tr w:rsidR="005C332D" w14:paraId="518B72FC" w14:textId="77777777">
        <w:tc>
          <w:tcPr>
            <w:tcW w:w="0" w:type="auto"/>
            <w:gridSpan w:val="3"/>
            <w:shd w:val="clear" w:color="auto" w:fill="auto"/>
            <w:tcMar>
              <w:top w:w="0" w:type="dxa"/>
              <w:left w:w="20" w:type="dxa"/>
              <w:bottom w:w="0" w:type="dxa"/>
              <w:right w:w="20" w:type="dxa"/>
            </w:tcMar>
            <w:vAlign w:val="bottom"/>
          </w:tcPr>
          <w:p w14:paraId="518B72F8"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72F9"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2FA"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72FB"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7301" w14:textId="77777777">
        <w:tc>
          <w:tcPr>
            <w:tcW w:w="0" w:type="auto"/>
            <w:gridSpan w:val="3"/>
            <w:shd w:val="clear" w:color="auto" w:fill="auto"/>
            <w:tcMar>
              <w:top w:w="0" w:type="dxa"/>
              <w:left w:w="20" w:type="dxa"/>
              <w:bottom w:w="0" w:type="dxa"/>
              <w:right w:w="20" w:type="dxa"/>
            </w:tcMar>
            <w:vAlign w:val="bottom"/>
          </w:tcPr>
          <w:p w14:paraId="518B72FD"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72FE" w14:textId="77777777" w:rsidR="005C332D" w:rsidRDefault="00B93EAE">
            <w:pPr>
              <w:jc w:val="center"/>
              <w:textAlignment w:val="bottom"/>
            </w:pPr>
            <w:r>
              <w:rPr>
                <w:rFonts w:ascii="Times New Roman" w:eastAsia="宋体" w:hAnsi="Times New Roman"/>
                <w:b/>
                <w:bCs/>
                <w:color w:val="000000"/>
                <w:sz w:val="18"/>
                <w:szCs w:val="18"/>
              </w:rPr>
              <w:t>FAIR VALUE MEASUREMENTS</w:t>
            </w:r>
          </w:p>
        </w:tc>
        <w:tc>
          <w:tcPr>
            <w:tcW w:w="0" w:type="auto"/>
            <w:gridSpan w:val="3"/>
            <w:shd w:val="clear" w:color="auto" w:fill="auto"/>
            <w:tcMar>
              <w:top w:w="0" w:type="dxa"/>
              <w:left w:w="20" w:type="dxa"/>
              <w:bottom w:w="0" w:type="dxa"/>
              <w:right w:w="20" w:type="dxa"/>
            </w:tcMar>
            <w:vAlign w:val="bottom"/>
          </w:tcPr>
          <w:p w14:paraId="518B72FF"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7300" w14:textId="77777777" w:rsidR="005C332D" w:rsidRDefault="00B93EAE">
            <w:pPr>
              <w:jc w:val="center"/>
              <w:textAlignment w:val="bottom"/>
            </w:pPr>
            <w:r>
              <w:rPr>
                <w:rFonts w:ascii="Times New Roman" w:eastAsia="宋体" w:hAnsi="Times New Roman"/>
                <w:color w:val="000000"/>
                <w:sz w:val="18"/>
                <w:szCs w:val="18"/>
              </w:rPr>
              <w:t>FAIR VALUE MEASUREMENTS</w:t>
            </w:r>
          </w:p>
        </w:tc>
      </w:tr>
      <w:tr w:rsidR="005C332D" w14:paraId="518B730E" w14:textId="77777777">
        <w:tc>
          <w:tcPr>
            <w:tcW w:w="0" w:type="auto"/>
            <w:gridSpan w:val="3"/>
            <w:shd w:val="clear" w:color="auto" w:fill="auto"/>
            <w:tcMar>
              <w:top w:w="0" w:type="dxa"/>
              <w:left w:w="20" w:type="dxa"/>
              <w:bottom w:w="0" w:type="dxa"/>
              <w:right w:w="20" w:type="dxa"/>
            </w:tcMar>
            <w:vAlign w:val="bottom"/>
          </w:tcPr>
          <w:p w14:paraId="518B730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303" w14:textId="77777777" w:rsidR="005C332D" w:rsidRDefault="00B93EAE">
            <w:pPr>
              <w:jc w:val="center"/>
              <w:textAlignment w:val="bottom"/>
            </w:pPr>
            <w:r>
              <w:rPr>
                <w:rFonts w:ascii="Times New Roman" w:eastAsia="宋体" w:hAnsi="Times New Roman"/>
                <w:b/>
                <w:bCs/>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30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305" w14:textId="77777777" w:rsidR="005C332D" w:rsidRDefault="00B93EAE">
            <w:pPr>
              <w:jc w:val="center"/>
              <w:textAlignment w:val="bottom"/>
            </w:pPr>
            <w:r>
              <w:rPr>
                <w:rFonts w:ascii="Times New Roman" w:eastAsia="宋体" w:hAnsi="Times New Roman"/>
                <w:b/>
                <w:bCs/>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30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307" w14:textId="77777777" w:rsidR="005C332D" w:rsidRDefault="00B93EAE">
            <w:pPr>
              <w:jc w:val="center"/>
              <w:textAlignment w:val="bottom"/>
            </w:pPr>
            <w:r>
              <w:rPr>
                <w:rFonts w:ascii="Times New Roman" w:eastAsia="宋体" w:hAnsi="Times New Roman"/>
                <w:b/>
                <w:bCs/>
                <w:color w:val="000000"/>
                <w:sz w:val="18"/>
                <w:szCs w:val="18"/>
              </w:rPr>
              <w:t>Total</w:t>
            </w:r>
            <w:r>
              <w:rPr>
                <w:rFonts w:ascii="Times New Roman" w:eastAsia="宋体" w:hAnsi="Times New Roman"/>
                <w:b/>
                <w:bCs/>
                <w:color w:val="000000"/>
                <w:sz w:val="18"/>
                <w:szCs w:val="18"/>
              </w:rPr>
              <w:br/>
              <w:t>Balance</w:t>
            </w:r>
          </w:p>
        </w:tc>
        <w:tc>
          <w:tcPr>
            <w:tcW w:w="0" w:type="auto"/>
            <w:gridSpan w:val="3"/>
            <w:shd w:val="clear" w:color="auto" w:fill="auto"/>
            <w:tcMar>
              <w:top w:w="0" w:type="dxa"/>
              <w:left w:w="20" w:type="dxa"/>
              <w:bottom w:w="0" w:type="dxa"/>
              <w:right w:w="20" w:type="dxa"/>
            </w:tcMar>
            <w:vAlign w:val="bottom"/>
          </w:tcPr>
          <w:p w14:paraId="518B730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309" w14:textId="77777777" w:rsidR="005C332D" w:rsidRDefault="00B93EAE">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30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30B" w14:textId="77777777" w:rsidR="005C332D" w:rsidRDefault="00B93EAE">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30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30D" w14:textId="77777777" w:rsidR="005C332D" w:rsidRDefault="00B93EAE">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r>
      <w:tr w:rsidR="005C332D" w14:paraId="518B731B" w14:textId="77777777">
        <w:tc>
          <w:tcPr>
            <w:tcW w:w="0" w:type="auto"/>
            <w:gridSpan w:val="3"/>
            <w:shd w:val="clear" w:color="auto" w:fill="CCEEFF"/>
            <w:tcMar>
              <w:top w:w="40" w:type="dxa"/>
              <w:left w:w="20" w:type="dxa"/>
              <w:bottom w:w="40" w:type="dxa"/>
              <w:right w:w="20" w:type="dxa"/>
            </w:tcMar>
            <w:vAlign w:val="bottom"/>
          </w:tcPr>
          <w:p w14:paraId="518B730F" w14:textId="77777777" w:rsidR="005C332D" w:rsidRDefault="00B93EAE">
            <w:pPr>
              <w:textAlignment w:val="bottom"/>
            </w:pPr>
            <w:r>
              <w:rPr>
                <w:rFonts w:ascii="Times New Roman" w:eastAsia="宋体" w:hAnsi="Times New Roman"/>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31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311"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31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313"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31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315"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31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317"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31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319"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31A" w14:textId="77777777" w:rsidR="005C332D" w:rsidRDefault="005C332D">
            <w:pPr>
              <w:rPr>
                <w:rFonts w:ascii="宋体"/>
              </w:rPr>
            </w:pPr>
          </w:p>
        </w:tc>
      </w:tr>
      <w:tr w:rsidR="005C332D" w14:paraId="518B7328" w14:textId="77777777">
        <w:tc>
          <w:tcPr>
            <w:tcW w:w="0" w:type="auto"/>
            <w:gridSpan w:val="3"/>
            <w:shd w:val="clear" w:color="auto" w:fill="FFFFFF"/>
            <w:tcMar>
              <w:top w:w="40" w:type="dxa"/>
              <w:left w:w="20" w:type="dxa"/>
              <w:bottom w:w="40" w:type="dxa"/>
              <w:right w:w="20" w:type="dxa"/>
            </w:tcMar>
            <w:vAlign w:val="bottom"/>
          </w:tcPr>
          <w:p w14:paraId="518B731C" w14:textId="77777777" w:rsidR="005C332D" w:rsidRDefault="00B93EAE">
            <w:pPr>
              <w:textAlignment w:val="bottom"/>
            </w:pPr>
            <w:r>
              <w:rPr>
                <w:rFonts w:ascii="Times New Roman" w:eastAsia="宋体" w:hAnsi="Times New Roman"/>
                <w:color w:val="000000"/>
                <w:sz w:val="20"/>
                <w:szCs w:val="20"/>
              </w:rPr>
              <w:t>Cash equivalents:</w:t>
            </w:r>
          </w:p>
        </w:tc>
        <w:tc>
          <w:tcPr>
            <w:tcW w:w="0" w:type="auto"/>
            <w:gridSpan w:val="3"/>
            <w:shd w:val="clear" w:color="auto" w:fill="FFFFFF"/>
            <w:tcMar>
              <w:top w:w="0" w:type="dxa"/>
              <w:left w:w="20" w:type="dxa"/>
              <w:bottom w:w="0" w:type="dxa"/>
              <w:right w:w="20" w:type="dxa"/>
            </w:tcMar>
            <w:vAlign w:val="bottom"/>
          </w:tcPr>
          <w:p w14:paraId="518B731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1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1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2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2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2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2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2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2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2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27" w14:textId="77777777" w:rsidR="005C332D" w:rsidRDefault="005C332D">
            <w:pPr>
              <w:rPr>
                <w:rFonts w:ascii="宋体"/>
              </w:rPr>
            </w:pPr>
          </w:p>
        </w:tc>
      </w:tr>
      <w:tr w:rsidR="005C332D" w14:paraId="518B7341" w14:textId="77777777">
        <w:tc>
          <w:tcPr>
            <w:tcW w:w="0" w:type="auto"/>
            <w:gridSpan w:val="3"/>
            <w:shd w:val="clear" w:color="auto" w:fill="CCEEFF"/>
            <w:tcMar>
              <w:top w:w="40" w:type="dxa"/>
              <w:left w:w="380" w:type="dxa"/>
              <w:bottom w:w="40" w:type="dxa"/>
              <w:right w:w="20" w:type="dxa"/>
            </w:tcMar>
            <w:vAlign w:val="bottom"/>
          </w:tcPr>
          <w:p w14:paraId="518B7329" w14:textId="77777777" w:rsidR="005C332D" w:rsidRDefault="00B93EAE">
            <w:pPr>
              <w:textAlignment w:val="bottom"/>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right w:w="0" w:type="dxa"/>
            </w:tcMar>
            <w:vAlign w:val="bottom"/>
          </w:tcPr>
          <w:p w14:paraId="518B732A"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732B" w14:textId="77777777" w:rsidR="005C332D" w:rsidRDefault="00B93EAE">
            <w:pPr>
              <w:jc w:val="right"/>
              <w:textAlignment w:val="bottom"/>
            </w:pPr>
            <w:r>
              <w:rPr>
                <w:rFonts w:ascii="Times New Roman" w:eastAsia="宋体" w:hAnsi="Times New Roman"/>
                <w:b/>
                <w:bCs/>
                <w:color w:val="000000"/>
                <w:sz w:val="20"/>
                <w:szCs w:val="20"/>
              </w:rPr>
              <w:t>3,930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2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2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32E"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732F"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3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31"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332"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7333" w14:textId="77777777" w:rsidR="005C332D" w:rsidRDefault="00B93EAE">
            <w:pPr>
              <w:jc w:val="right"/>
              <w:textAlignment w:val="bottom"/>
            </w:pPr>
            <w:r>
              <w:rPr>
                <w:rFonts w:ascii="Times New Roman" w:eastAsia="宋体" w:hAnsi="Times New Roman"/>
                <w:b/>
                <w:bCs/>
                <w:color w:val="000000"/>
                <w:sz w:val="20"/>
                <w:szCs w:val="20"/>
              </w:rPr>
              <w:t>3,930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3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35"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33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337" w14:textId="77777777" w:rsidR="005C332D" w:rsidRDefault="00B93EAE">
            <w:pPr>
              <w:jc w:val="right"/>
              <w:textAlignment w:val="bottom"/>
            </w:pPr>
            <w:r>
              <w:rPr>
                <w:rFonts w:ascii="Times New Roman" w:eastAsia="宋体" w:hAnsi="Times New Roman"/>
                <w:color w:val="000000"/>
                <w:sz w:val="20"/>
                <w:szCs w:val="20"/>
              </w:rPr>
              <w:t>5,694 </w:t>
            </w:r>
          </w:p>
        </w:tc>
        <w:tc>
          <w:tcPr>
            <w:tcW w:w="0" w:type="auto"/>
            <w:shd w:val="clear" w:color="auto" w:fill="CCEEFF"/>
            <w:tcMar>
              <w:top w:w="40" w:type="dxa"/>
              <w:left w:w="0" w:type="dxa"/>
              <w:bottom w:w="40" w:type="dxa"/>
              <w:right w:w="20" w:type="dxa"/>
            </w:tcMar>
            <w:vAlign w:val="bottom"/>
          </w:tcPr>
          <w:p w14:paraId="518B733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39"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33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33B"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3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3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33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33F" w14:textId="77777777" w:rsidR="005C332D" w:rsidRDefault="00B93EAE">
            <w:pPr>
              <w:jc w:val="right"/>
              <w:textAlignment w:val="bottom"/>
            </w:pPr>
            <w:r>
              <w:rPr>
                <w:rFonts w:ascii="Times New Roman" w:eastAsia="宋体" w:hAnsi="Times New Roman"/>
                <w:color w:val="000000"/>
                <w:sz w:val="20"/>
                <w:szCs w:val="20"/>
              </w:rPr>
              <w:t>5,694 </w:t>
            </w:r>
          </w:p>
        </w:tc>
        <w:tc>
          <w:tcPr>
            <w:tcW w:w="0" w:type="auto"/>
            <w:shd w:val="clear" w:color="auto" w:fill="CCEEFF"/>
            <w:tcMar>
              <w:top w:w="40" w:type="dxa"/>
              <w:left w:w="0" w:type="dxa"/>
              <w:bottom w:w="40" w:type="dxa"/>
              <w:right w:w="20" w:type="dxa"/>
            </w:tcMar>
            <w:vAlign w:val="bottom"/>
          </w:tcPr>
          <w:p w14:paraId="518B7340" w14:textId="77777777" w:rsidR="005C332D" w:rsidRDefault="005C332D">
            <w:pPr>
              <w:jc w:val="right"/>
              <w:rPr>
                <w:rFonts w:ascii="宋体"/>
              </w:rPr>
            </w:pPr>
          </w:p>
        </w:tc>
      </w:tr>
      <w:tr w:rsidR="005C332D" w14:paraId="518B7354" w14:textId="77777777">
        <w:tc>
          <w:tcPr>
            <w:tcW w:w="0" w:type="auto"/>
            <w:gridSpan w:val="3"/>
            <w:shd w:val="clear" w:color="auto" w:fill="FFFFFF"/>
            <w:tcMar>
              <w:top w:w="40" w:type="dxa"/>
              <w:left w:w="380" w:type="dxa"/>
              <w:bottom w:w="40" w:type="dxa"/>
              <w:right w:w="20" w:type="dxa"/>
            </w:tcMar>
            <w:vAlign w:val="bottom"/>
          </w:tcPr>
          <w:p w14:paraId="518B7342" w14:textId="77777777" w:rsidR="005C332D" w:rsidRDefault="00B93EAE">
            <w:pPr>
              <w:textAlignment w:val="bottom"/>
            </w:pPr>
            <w:r>
              <w:rPr>
                <w:rFonts w:ascii="Times New Roman" w:eastAsia="宋体" w:hAnsi="Times New Roman"/>
                <w:color w:val="000000"/>
                <w:sz w:val="20"/>
                <w:szCs w:val="20"/>
              </w:rPr>
              <w:t>Commerc</w:t>
            </w:r>
            <w:r>
              <w:rPr>
                <w:rFonts w:ascii="Times New Roman" w:eastAsia="宋体" w:hAnsi="Times New Roman"/>
                <w:color w:val="000000"/>
                <w:sz w:val="20"/>
                <w:szCs w:val="20"/>
              </w:rPr>
              <w:t>ial paper</w:t>
            </w:r>
          </w:p>
        </w:tc>
        <w:tc>
          <w:tcPr>
            <w:tcW w:w="0" w:type="auto"/>
            <w:gridSpan w:val="2"/>
            <w:shd w:val="clear" w:color="auto" w:fill="FFFFFF"/>
            <w:tcMar>
              <w:top w:w="40" w:type="dxa"/>
              <w:left w:w="20" w:type="dxa"/>
              <w:bottom w:w="40" w:type="dxa"/>
              <w:right w:w="0" w:type="dxa"/>
            </w:tcMar>
            <w:vAlign w:val="bottom"/>
          </w:tcPr>
          <w:p w14:paraId="518B7343"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4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4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46" w14:textId="77777777" w:rsidR="005C332D" w:rsidRDefault="00B93EAE">
            <w:pPr>
              <w:jc w:val="right"/>
              <w:textAlignment w:val="bottom"/>
            </w:pPr>
            <w:r>
              <w:rPr>
                <w:rFonts w:ascii="Times New Roman" w:eastAsia="宋体" w:hAnsi="Times New Roman"/>
                <w:b/>
                <w:bCs/>
                <w:color w:val="000000"/>
                <w:sz w:val="20"/>
                <w:szCs w:val="20"/>
              </w:rPr>
              <w:t>72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4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4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49" w14:textId="77777777" w:rsidR="005C332D" w:rsidRDefault="00B93EAE">
            <w:pPr>
              <w:jc w:val="right"/>
              <w:textAlignment w:val="bottom"/>
            </w:pPr>
            <w:r>
              <w:rPr>
                <w:rFonts w:ascii="Times New Roman" w:eastAsia="宋体" w:hAnsi="Times New Roman"/>
                <w:b/>
                <w:bCs/>
                <w:color w:val="000000"/>
                <w:sz w:val="20"/>
                <w:szCs w:val="20"/>
              </w:rPr>
              <w:t>72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4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4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4C"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4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4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4F" w14:textId="77777777" w:rsidR="005C332D" w:rsidRDefault="00B93EAE">
            <w:pPr>
              <w:jc w:val="right"/>
              <w:textAlignment w:val="bottom"/>
            </w:pPr>
            <w:r>
              <w:rPr>
                <w:rFonts w:ascii="Times New Roman" w:eastAsia="宋体" w:hAnsi="Times New Roman"/>
                <w:color w:val="000000"/>
                <w:sz w:val="20"/>
                <w:szCs w:val="20"/>
              </w:rPr>
              <w:t>114 </w:t>
            </w:r>
          </w:p>
        </w:tc>
        <w:tc>
          <w:tcPr>
            <w:tcW w:w="0" w:type="auto"/>
            <w:shd w:val="clear" w:color="auto" w:fill="FFFFFF"/>
            <w:tcMar>
              <w:top w:w="40" w:type="dxa"/>
              <w:left w:w="0" w:type="dxa"/>
              <w:bottom w:w="40" w:type="dxa"/>
              <w:right w:w="20" w:type="dxa"/>
            </w:tcMar>
            <w:vAlign w:val="bottom"/>
          </w:tcPr>
          <w:p w14:paraId="518B735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5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52" w14:textId="77777777" w:rsidR="005C332D" w:rsidRDefault="00B93EAE">
            <w:pPr>
              <w:jc w:val="right"/>
              <w:textAlignment w:val="bottom"/>
            </w:pPr>
            <w:r>
              <w:rPr>
                <w:rFonts w:ascii="Times New Roman" w:eastAsia="宋体" w:hAnsi="Times New Roman"/>
                <w:color w:val="000000"/>
                <w:sz w:val="20"/>
                <w:szCs w:val="20"/>
              </w:rPr>
              <w:t>114 </w:t>
            </w:r>
          </w:p>
        </w:tc>
        <w:tc>
          <w:tcPr>
            <w:tcW w:w="0" w:type="auto"/>
            <w:shd w:val="clear" w:color="auto" w:fill="FFFFFF"/>
            <w:tcMar>
              <w:top w:w="40" w:type="dxa"/>
              <w:left w:w="0" w:type="dxa"/>
              <w:bottom w:w="40" w:type="dxa"/>
              <w:right w:w="20" w:type="dxa"/>
            </w:tcMar>
            <w:vAlign w:val="bottom"/>
          </w:tcPr>
          <w:p w14:paraId="518B7353" w14:textId="77777777" w:rsidR="005C332D" w:rsidRDefault="005C332D">
            <w:pPr>
              <w:jc w:val="right"/>
              <w:rPr>
                <w:rFonts w:ascii="宋体"/>
              </w:rPr>
            </w:pPr>
          </w:p>
        </w:tc>
      </w:tr>
      <w:tr w:rsidR="005C332D" w14:paraId="518B7367" w14:textId="77777777">
        <w:tc>
          <w:tcPr>
            <w:tcW w:w="0" w:type="auto"/>
            <w:gridSpan w:val="3"/>
            <w:shd w:val="clear" w:color="auto" w:fill="CCEEFF"/>
            <w:tcMar>
              <w:top w:w="40" w:type="dxa"/>
              <w:left w:w="380" w:type="dxa"/>
              <w:bottom w:w="40" w:type="dxa"/>
              <w:right w:w="20" w:type="dxa"/>
            </w:tcMar>
            <w:vAlign w:val="bottom"/>
          </w:tcPr>
          <w:p w14:paraId="518B7355" w14:textId="77777777" w:rsidR="005C332D" w:rsidRDefault="00B93EAE">
            <w:pPr>
              <w:textAlignment w:val="bottom"/>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518B7356"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5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5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59" w14:textId="77777777" w:rsidR="005C332D" w:rsidRDefault="00B93EAE">
            <w:pPr>
              <w:jc w:val="right"/>
              <w:textAlignment w:val="bottom"/>
            </w:pPr>
            <w:r>
              <w:rPr>
                <w:rFonts w:ascii="Times New Roman" w:eastAsia="宋体" w:hAnsi="Times New Roman"/>
                <w:b/>
                <w:bCs/>
                <w:color w:val="000000"/>
                <w:sz w:val="20"/>
                <w:szCs w:val="20"/>
              </w:rPr>
              <w:t>32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5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5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5C" w14:textId="77777777" w:rsidR="005C332D" w:rsidRDefault="00B93EAE">
            <w:pPr>
              <w:jc w:val="right"/>
              <w:textAlignment w:val="bottom"/>
            </w:pPr>
            <w:r>
              <w:rPr>
                <w:rFonts w:ascii="Times New Roman" w:eastAsia="宋体" w:hAnsi="Times New Roman"/>
                <w:b/>
                <w:bCs/>
                <w:color w:val="000000"/>
                <w:sz w:val="20"/>
                <w:szCs w:val="20"/>
              </w:rPr>
              <w:t>32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5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5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5F"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6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6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62"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6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6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65"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66" w14:textId="77777777" w:rsidR="005C332D" w:rsidRDefault="005C332D">
            <w:pPr>
              <w:jc w:val="right"/>
              <w:rPr>
                <w:rFonts w:ascii="宋体"/>
              </w:rPr>
            </w:pPr>
          </w:p>
        </w:tc>
      </w:tr>
      <w:tr w:rsidR="005C332D" w14:paraId="518B737A" w14:textId="77777777">
        <w:tc>
          <w:tcPr>
            <w:tcW w:w="0" w:type="auto"/>
            <w:gridSpan w:val="3"/>
            <w:shd w:val="clear" w:color="auto" w:fill="FFFFFF"/>
            <w:tcMar>
              <w:top w:w="40" w:type="dxa"/>
              <w:left w:w="380" w:type="dxa"/>
              <w:bottom w:w="40" w:type="dxa"/>
              <w:right w:w="20" w:type="dxa"/>
            </w:tcMar>
            <w:vAlign w:val="bottom"/>
          </w:tcPr>
          <w:p w14:paraId="518B7368" w14:textId="77777777" w:rsidR="005C332D" w:rsidRDefault="00B93EAE">
            <w:pPr>
              <w:textAlignment w:val="bottom"/>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518B7369"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6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6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6C" w14:textId="77777777" w:rsidR="005C332D" w:rsidRDefault="00B93EAE">
            <w:pPr>
              <w:jc w:val="right"/>
              <w:textAlignment w:val="bottom"/>
            </w:pPr>
            <w:r>
              <w:rPr>
                <w:rFonts w:ascii="Times New Roman" w:eastAsia="宋体" w:hAnsi="Times New Roman"/>
                <w:b/>
                <w:bCs/>
                <w:color w:val="000000"/>
                <w:sz w:val="20"/>
                <w:szCs w:val="20"/>
              </w:rPr>
              <w:t>12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6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6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6F" w14:textId="77777777" w:rsidR="005C332D" w:rsidRDefault="00B93EAE">
            <w:pPr>
              <w:jc w:val="right"/>
              <w:textAlignment w:val="bottom"/>
            </w:pPr>
            <w:r>
              <w:rPr>
                <w:rFonts w:ascii="Times New Roman" w:eastAsia="宋体" w:hAnsi="Times New Roman"/>
                <w:b/>
                <w:bCs/>
                <w:color w:val="000000"/>
                <w:sz w:val="20"/>
                <w:szCs w:val="20"/>
              </w:rPr>
              <w:t>12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7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7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72"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7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7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75" w14:textId="77777777" w:rsidR="005C332D" w:rsidRDefault="00B93EAE">
            <w:pPr>
              <w:jc w:val="right"/>
              <w:textAlignment w:val="bottom"/>
            </w:pPr>
            <w:r>
              <w:rPr>
                <w:rFonts w:ascii="Times New Roman" w:eastAsia="宋体" w:hAnsi="Times New Roman"/>
                <w:color w:val="000000"/>
                <w:sz w:val="20"/>
                <w:szCs w:val="20"/>
              </w:rPr>
              <w:t>300 </w:t>
            </w:r>
          </w:p>
        </w:tc>
        <w:tc>
          <w:tcPr>
            <w:tcW w:w="0" w:type="auto"/>
            <w:shd w:val="clear" w:color="auto" w:fill="FFFFFF"/>
            <w:tcMar>
              <w:top w:w="40" w:type="dxa"/>
              <w:left w:w="0" w:type="dxa"/>
              <w:bottom w:w="40" w:type="dxa"/>
              <w:right w:w="20" w:type="dxa"/>
            </w:tcMar>
            <w:vAlign w:val="bottom"/>
          </w:tcPr>
          <w:p w14:paraId="518B737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7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78" w14:textId="77777777" w:rsidR="005C332D" w:rsidRDefault="00B93EAE">
            <w:pPr>
              <w:jc w:val="right"/>
              <w:textAlignment w:val="bottom"/>
            </w:pPr>
            <w:r>
              <w:rPr>
                <w:rFonts w:ascii="Times New Roman" w:eastAsia="宋体" w:hAnsi="Times New Roman"/>
                <w:color w:val="000000"/>
                <w:sz w:val="20"/>
                <w:szCs w:val="20"/>
              </w:rPr>
              <w:t>300 </w:t>
            </w:r>
          </w:p>
        </w:tc>
        <w:tc>
          <w:tcPr>
            <w:tcW w:w="0" w:type="auto"/>
            <w:shd w:val="clear" w:color="auto" w:fill="FFFFFF"/>
            <w:tcMar>
              <w:top w:w="40" w:type="dxa"/>
              <w:left w:w="0" w:type="dxa"/>
              <w:bottom w:w="40" w:type="dxa"/>
              <w:right w:w="20" w:type="dxa"/>
            </w:tcMar>
            <w:vAlign w:val="bottom"/>
          </w:tcPr>
          <w:p w14:paraId="518B7379" w14:textId="77777777" w:rsidR="005C332D" w:rsidRDefault="005C332D">
            <w:pPr>
              <w:jc w:val="right"/>
              <w:rPr>
                <w:rFonts w:ascii="宋体"/>
              </w:rPr>
            </w:pPr>
          </w:p>
        </w:tc>
      </w:tr>
      <w:tr w:rsidR="005C332D" w14:paraId="518B738D" w14:textId="77777777">
        <w:tc>
          <w:tcPr>
            <w:tcW w:w="0" w:type="auto"/>
            <w:gridSpan w:val="3"/>
            <w:shd w:val="clear" w:color="auto" w:fill="CCEEFF"/>
            <w:tcMar>
              <w:top w:w="40" w:type="dxa"/>
              <w:left w:w="380" w:type="dxa"/>
              <w:bottom w:w="40" w:type="dxa"/>
              <w:right w:w="20" w:type="dxa"/>
            </w:tcMar>
            <w:vAlign w:val="bottom"/>
          </w:tcPr>
          <w:p w14:paraId="518B737B" w14:textId="77777777" w:rsidR="005C332D" w:rsidRDefault="00B93EAE">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518B737C"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7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7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7F"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8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8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82"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8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8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85"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8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8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88"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8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8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8B"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8C" w14:textId="77777777" w:rsidR="005C332D" w:rsidRDefault="005C332D">
            <w:pPr>
              <w:jc w:val="right"/>
              <w:rPr>
                <w:rFonts w:ascii="宋体"/>
              </w:rPr>
            </w:pPr>
          </w:p>
        </w:tc>
      </w:tr>
      <w:tr w:rsidR="005C332D" w14:paraId="518B739A" w14:textId="77777777">
        <w:tc>
          <w:tcPr>
            <w:tcW w:w="0" w:type="auto"/>
            <w:gridSpan w:val="3"/>
            <w:shd w:val="clear" w:color="auto" w:fill="FFFFFF"/>
            <w:tcMar>
              <w:top w:w="40" w:type="dxa"/>
              <w:left w:w="20" w:type="dxa"/>
              <w:bottom w:w="40" w:type="dxa"/>
              <w:right w:w="20" w:type="dxa"/>
            </w:tcMar>
            <w:vAlign w:val="bottom"/>
          </w:tcPr>
          <w:p w14:paraId="518B738E" w14:textId="77777777" w:rsidR="005C332D" w:rsidRDefault="00B93EAE">
            <w:pPr>
              <w:textAlignment w:val="bottom"/>
            </w:pPr>
            <w:r>
              <w:rPr>
                <w:rFonts w:ascii="Times New Roman" w:eastAsia="宋体" w:hAnsi="Times New Roman"/>
                <w:color w:val="000000"/>
                <w:sz w:val="20"/>
                <w:szCs w:val="20"/>
              </w:rPr>
              <w:t>Available-for-sale debt investments:</w:t>
            </w:r>
          </w:p>
        </w:tc>
        <w:tc>
          <w:tcPr>
            <w:tcW w:w="0" w:type="auto"/>
            <w:gridSpan w:val="3"/>
            <w:shd w:val="clear" w:color="auto" w:fill="FFFFFF"/>
            <w:tcMar>
              <w:top w:w="0" w:type="dxa"/>
              <w:left w:w="20" w:type="dxa"/>
              <w:bottom w:w="0" w:type="dxa"/>
              <w:right w:w="20" w:type="dxa"/>
            </w:tcMar>
            <w:vAlign w:val="bottom"/>
          </w:tcPr>
          <w:p w14:paraId="518B738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9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9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9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9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9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9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9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9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9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399" w14:textId="77777777" w:rsidR="005C332D" w:rsidRDefault="005C332D">
            <w:pPr>
              <w:rPr>
                <w:rFonts w:ascii="宋体"/>
              </w:rPr>
            </w:pPr>
          </w:p>
        </w:tc>
      </w:tr>
      <w:tr w:rsidR="005C332D" w14:paraId="518B73AD" w14:textId="77777777">
        <w:tc>
          <w:tcPr>
            <w:tcW w:w="0" w:type="auto"/>
            <w:gridSpan w:val="3"/>
            <w:shd w:val="clear" w:color="auto" w:fill="CCEEFF"/>
            <w:tcMar>
              <w:top w:w="40" w:type="dxa"/>
              <w:left w:w="380" w:type="dxa"/>
              <w:bottom w:w="40" w:type="dxa"/>
              <w:right w:w="20" w:type="dxa"/>
            </w:tcMar>
            <w:vAlign w:val="bottom"/>
          </w:tcPr>
          <w:p w14:paraId="518B739B" w14:textId="77777777" w:rsidR="005C332D" w:rsidRDefault="00B93EAE">
            <w:pPr>
              <w:textAlignment w:val="bottom"/>
            </w:pPr>
            <w:r>
              <w:rPr>
                <w:rFonts w:ascii="Times New Roman" w:eastAsia="宋体" w:hAnsi="Times New Roman"/>
                <w:color w:val="000000"/>
                <w:sz w:val="20"/>
                <w:szCs w:val="20"/>
              </w:rPr>
              <w:t>U.S. government securities</w:t>
            </w:r>
          </w:p>
        </w:tc>
        <w:tc>
          <w:tcPr>
            <w:tcW w:w="0" w:type="auto"/>
            <w:gridSpan w:val="2"/>
            <w:shd w:val="clear" w:color="auto" w:fill="CCEEFF"/>
            <w:tcMar>
              <w:top w:w="40" w:type="dxa"/>
              <w:left w:w="20" w:type="dxa"/>
              <w:bottom w:w="40" w:type="dxa"/>
              <w:right w:w="0" w:type="dxa"/>
            </w:tcMar>
            <w:vAlign w:val="bottom"/>
          </w:tcPr>
          <w:p w14:paraId="518B739C"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9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9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9F" w14:textId="77777777" w:rsidR="005C332D" w:rsidRDefault="00B93EAE">
            <w:pPr>
              <w:jc w:val="right"/>
              <w:textAlignment w:val="bottom"/>
            </w:pPr>
            <w:r>
              <w:rPr>
                <w:rFonts w:ascii="Times New Roman" w:eastAsia="宋体" w:hAnsi="Times New Roman"/>
                <w:b/>
                <w:bCs/>
                <w:color w:val="000000"/>
                <w:sz w:val="20"/>
                <w:szCs w:val="20"/>
              </w:rPr>
              <w:t>1,238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A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A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A2" w14:textId="77777777" w:rsidR="005C332D" w:rsidRDefault="00B93EAE">
            <w:pPr>
              <w:jc w:val="right"/>
              <w:textAlignment w:val="bottom"/>
            </w:pPr>
            <w:r>
              <w:rPr>
                <w:rFonts w:ascii="Times New Roman" w:eastAsia="宋体" w:hAnsi="Times New Roman"/>
                <w:b/>
                <w:bCs/>
                <w:color w:val="000000"/>
                <w:sz w:val="20"/>
                <w:szCs w:val="20"/>
              </w:rPr>
              <w:t>1,238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A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A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A5"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A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A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A8" w14:textId="77777777" w:rsidR="005C332D" w:rsidRDefault="00B93EAE">
            <w:pPr>
              <w:jc w:val="right"/>
              <w:textAlignment w:val="bottom"/>
            </w:pPr>
            <w:r>
              <w:rPr>
                <w:rFonts w:ascii="Times New Roman" w:eastAsia="宋体" w:hAnsi="Times New Roman"/>
                <w:color w:val="000000"/>
                <w:sz w:val="20"/>
                <w:szCs w:val="20"/>
              </w:rPr>
              <w:t>1,794 </w:t>
            </w:r>
          </w:p>
        </w:tc>
        <w:tc>
          <w:tcPr>
            <w:tcW w:w="0" w:type="auto"/>
            <w:shd w:val="clear" w:color="auto" w:fill="CCEEFF"/>
            <w:tcMar>
              <w:top w:w="40" w:type="dxa"/>
              <w:left w:w="0" w:type="dxa"/>
              <w:bottom w:w="40" w:type="dxa"/>
              <w:right w:w="20" w:type="dxa"/>
            </w:tcMar>
            <w:vAlign w:val="bottom"/>
          </w:tcPr>
          <w:p w14:paraId="518B73A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A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AB" w14:textId="77777777" w:rsidR="005C332D" w:rsidRDefault="00B93EAE">
            <w:pPr>
              <w:jc w:val="right"/>
              <w:textAlignment w:val="bottom"/>
            </w:pPr>
            <w:r>
              <w:rPr>
                <w:rFonts w:ascii="Times New Roman" w:eastAsia="宋体" w:hAnsi="Times New Roman"/>
                <w:color w:val="000000"/>
                <w:sz w:val="20"/>
                <w:szCs w:val="20"/>
              </w:rPr>
              <w:t>1,794 </w:t>
            </w:r>
          </w:p>
        </w:tc>
        <w:tc>
          <w:tcPr>
            <w:tcW w:w="0" w:type="auto"/>
            <w:shd w:val="clear" w:color="auto" w:fill="CCEEFF"/>
            <w:tcMar>
              <w:top w:w="40" w:type="dxa"/>
              <w:left w:w="0" w:type="dxa"/>
              <w:bottom w:w="40" w:type="dxa"/>
              <w:right w:w="20" w:type="dxa"/>
            </w:tcMar>
            <w:vAlign w:val="bottom"/>
          </w:tcPr>
          <w:p w14:paraId="518B73AC" w14:textId="77777777" w:rsidR="005C332D" w:rsidRDefault="005C332D">
            <w:pPr>
              <w:jc w:val="right"/>
              <w:rPr>
                <w:rFonts w:ascii="宋体"/>
              </w:rPr>
            </w:pPr>
          </w:p>
        </w:tc>
      </w:tr>
      <w:tr w:rsidR="005C332D" w14:paraId="518B73C0" w14:textId="77777777">
        <w:tc>
          <w:tcPr>
            <w:tcW w:w="0" w:type="auto"/>
            <w:gridSpan w:val="3"/>
            <w:shd w:val="clear" w:color="auto" w:fill="FFFFFF"/>
            <w:tcMar>
              <w:top w:w="40" w:type="dxa"/>
              <w:left w:w="380" w:type="dxa"/>
              <w:bottom w:w="40" w:type="dxa"/>
              <w:right w:w="20" w:type="dxa"/>
            </w:tcMar>
            <w:vAlign w:val="bottom"/>
          </w:tcPr>
          <w:p w14:paraId="518B73AE" w14:textId="77777777" w:rsidR="005C332D" w:rsidRDefault="00B93EAE">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518B73AF"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B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B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B2" w14:textId="77777777" w:rsidR="005C332D" w:rsidRDefault="00B93EAE">
            <w:pPr>
              <w:jc w:val="right"/>
              <w:textAlignment w:val="bottom"/>
            </w:pPr>
            <w:r>
              <w:rPr>
                <w:rFonts w:ascii="Times New Roman" w:eastAsia="宋体" w:hAnsi="Times New Roman"/>
                <w:b/>
                <w:bCs/>
                <w:color w:val="000000"/>
                <w:sz w:val="20"/>
                <w:szCs w:val="20"/>
              </w:rPr>
              <w:t>138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B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B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B5" w14:textId="77777777" w:rsidR="005C332D" w:rsidRDefault="00B93EAE">
            <w:pPr>
              <w:jc w:val="right"/>
              <w:textAlignment w:val="bottom"/>
            </w:pPr>
            <w:r>
              <w:rPr>
                <w:rFonts w:ascii="Times New Roman" w:eastAsia="宋体" w:hAnsi="Times New Roman"/>
                <w:b/>
                <w:bCs/>
                <w:color w:val="000000"/>
                <w:sz w:val="20"/>
                <w:szCs w:val="20"/>
              </w:rPr>
              <w:t>138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B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B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B8"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B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B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BB" w14:textId="77777777" w:rsidR="005C332D" w:rsidRDefault="00B93EAE">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518B73B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B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BE" w14:textId="77777777" w:rsidR="005C332D" w:rsidRDefault="00B93EAE">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518B73BF" w14:textId="77777777" w:rsidR="005C332D" w:rsidRDefault="005C332D">
            <w:pPr>
              <w:jc w:val="right"/>
              <w:rPr>
                <w:rFonts w:ascii="宋体"/>
              </w:rPr>
            </w:pPr>
          </w:p>
        </w:tc>
      </w:tr>
      <w:tr w:rsidR="005C332D" w14:paraId="518B73D3" w14:textId="77777777">
        <w:tc>
          <w:tcPr>
            <w:tcW w:w="0" w:type="auto"/>
            <w:gridSpan w:val="3"/>
            <w:shd w:val="clear" w:color="auto" w:fill="CCEEFF"/>
            <w:tcMar>
              <w:top w:w="40" w:type="dxa"/>
              <w:left w:w="380" w:type="dxa"/>
              <w:bottom w:w="40" w:type="dxa"/>
              <w:right w:w="20" w:type="dxa"/>
            </w:tcMar>
            <w:vAlign w:val="bottom"/>
          </w:tcPr>
          <w:p w14:paraId="518B73C1" w14:textId="77777777" w:rsidR="005C332D" w:rsidRDefault="00B93EAE">
            <w:pPr>
              <w:textAlignment w:val="bottom"/>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518B73C2"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C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C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C5" w14:textId="77777777" w:rsidR="005C332D" w:rsidRDefault="00B93EAE">
            <w:pPr>
              <w:jc w:val="right"/>
              <w:textAlignment w:val="bottom"/>
            </w:pPr>
            <w:r>
              <w:rPr>
                <w:rFonts w:ascii="Times New Roman" w:eastAsia="宋体" w:hAnsi="Times New Roman"/>
                <w:b/>
                <w:bCs/>
                <w:color w:val="000000"/>
                <w:sz w:val="20"/>
                <w:szCs w:val="20"/>
              </w:rPr>
              <w:t>272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C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C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C8" w14:textId="77777777" w:rsidR="005C332D" w:rsidRDefault="00B93EAE">
            <w:pPr>
              <w:jc w:val="right"/>
              <w:textAlignment w:val="bottom"/>
            </w:pPr>
            <w:r>
              <w:rPr>
                <w:rFonts w:ascii="Times New Roman" w:eastAsia="宋体" w:hAnsi="Times New Roman"/>
                <w:b/>
                <w:bCs/>
                <w:color w:val="000000"/>
                <w:sz w:val="20"/>
                <w:szCs w:val="20"/>
              </w:rPr>
              <w:t>272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C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C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CB"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C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C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CE"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518B73C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D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D1"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518B73D2" w14:textId="77777777" w:rsidR="005C332D" w:rsidRDefault="005C332D">
            <w:pPr>
              <w:jc w:val="right"/>
              <w:rPr>
                <w:rFonts w:ascii="宋体"/>
              </w:rPr>
            </w:pPr>
          </w:p>
        </w:tc>
      </w:tr>
      <w:tr w:rsidR="005C332D" w14:paraId="518B73E6" w14:textId="77777777">
        <w:tc>
          <w:tcPr>
            <w:tcW w:w="0" w:type="auto"/>
            <w:gridSpan w:val="3"/>
            <w:shd w:val="clear" w:color="auto" w:fill="FFFFFF"/>
            <w:tcMar>
              <w:top w:w="40" w:type="dxa"/>
              <w:left w:w="380" w:type="dxa"/>
              <w:bottom w:w="40" w:type="dxa"/>
              <w:right w:w="20" w:type="dxa"/>
            </w:tcMar>
            <w:vAlign w:val="bottom"/>
          </w:tcPr>
          <w:p w14:paraId="518B73D4" w14:textId="77777777" w:rsidR="005C332D" w:rsidRDefault="00B93EAE">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518B73D5"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D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D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D8" w14:textId="77777777" w:rsidR="005C332D" w:rsidRDefault="00B93EAE">
            <w:pPr>
              <w:jc w:val="right"/>
              <w:textAlignment w:val="bottom"/>
            </w:pPr>
            <w:r>
              <w:rPr>
                <w:rFonts w:ascii="Times New Roman" w:eastAsia="宋体" w:hAnsi="Times New Roman"/>
                <w:b/>
                <w:bCs/>
                <w:color w:val="000000"/>
                <w:sz w:val="20"/>
                <w:szCs w:val="20"/>
              </w:rPr>
              <w:t>7,818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D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D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DB" w14:textId="77777777" w:rsidR="005C332D" w:rsidRDefault="00B93EAE">
            <w:pPr>
              <w:jc w:val="right"/>
              <w:textAlignment w:val="bottom"/>
            </w:pPr>
            <w:r>
              <w:rPr>
                <w:rFonts w:ascii="Times New Roman" w:eastAsia="宋体" w:hAnsi="Times New Roman"/>
                <w:b/>
                <w:bCs/>
                <w:color w:val="000000"/>
                <w:sz w:val="20"/>
                <w:szCs w:val="20"/>
              </w:rPr>
              <w:t>7,818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D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D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DE"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D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E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E1" w14:textId="77777777" w:rsidR="005C332D" w:rsidRDefault="00B93EAE">
            <w:pPr>
              <w:jc w:val="right"/>
              <w:textAlignment w:val="bottom"/>
            </w:pPr>
            <w:r>
              <w:rPr>
                <w:rFonts w:ascii="Times New Roman" w:eastAsia="宋体" w:hAnsi="Times New Roman"/>
                <w:color w:val="000000"/>
                <w:sz w:val="20"/>
                <w:szCs w:val="20"/>
              </w:rPr>
              <w:t>8,910 </w:t>
            </w:r>
          </w:p>
        </w:tc>
        <w:tc>
          <w:tcPr>
            <w:tcW w:w="0" w:type="auto"/>
            <w:shd w:val="clear" w:color="auto" w:fill="FFFFFF"/>
            <w:tcMar>
              <w:top w:w="40" w:type="dxa"/>
              <w:left w:w="0" w:type="dxa"/>
              <w:bottom w:w="40" w:type="dxa"/>
              <w:right w:w="20" w:type="dxa"/>
            </w:tcMar>
            <w:vAlign w:val="bottom"/>
          </w:tcPr>
          <w:p w14:paraId="518B73E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E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E4" w14:textId="77777777" w:rsidR="005C332D" w:rsidRDefault="00B93EAE">
            <w:pPr>
              <w:jc w:val="right"/>
              <w:textAlignment w:val="bottom"/>
            </w:pPr>
            <w:r>
              <w:rPr>
                <w:rFonts w:ascii="Times New Roman" w:eastAsia="宋体" w:hAnsi="Times New Roman"/>
                <w:color w:val="000000"/>
                <w:sz w:val="20"/>
                <w:szCs w:val="20"/>
              </w:rPr>
              <w:t>8,910 </w:t>
            </w:r>
          </w:p>
        </w:tc>
        <w:tc>
          <w:tcPr>
            <w:tcW w:w="0" w:type="auto"/>
            <w:shd w:val="clear" w:color="auto" w:fill="FFFFFF"/>
            <w:tcMar>
              <w:top w:w="40" w:type="dxa"/>
              <w:left w:w="0" w:type="dxa"/>
              <w:bottom w:w="40" w:type="dxa"/>
              <w:right w:w="20" w:type="dxa"/>
            </w:tcMar>
            <w:vAlign w:val="bottom"/>
          </w:tcPr>
          <w:p w14:paraId="518B73E5" w14:textId="77777777" w:rsidR="005C332D" w:rsidRDefault="005C332D">
            <w:pPr>
              <w:jc w:val="right"/>
              <w:rPr>
                <w:rFonts w:ascii="宋体"/>
              </w:rPr>
            </w:pPr>
          </w:p>
        </w:tc>
      </w:tr>
      <w:tr w:rsidR="005C332D" w14:paraId="518B73F9" w14:textId="77777777">
        <w:tc>
          <w:tcPr>
            <w:tcW w:w="0" w:type="auto"/>
            <w:gridSpan w:val="3"/>
            <w:shd w:val="clear" w:color="auto" w:fill="CCEEFF"/>
            <w:tcMar>
              <w:top w:w="40" w:type="dxa"/>
              <w:left w:w="380" w:type="dxa"/>
              <w:bottom w:w="40" w:type="dxa"/>
              <w:right w:w="20" w:type="dxa"/>
            </w:tcMar>
            <w:vAlign w:val="bottom"/>
          </w:tcPr>
          <w:p w14:paraId="518B73E7" w14:textId="77777777" w:rsidR="005C332D" w:rsidRDefault="00B93EAE">
            <w:pPr>
              <w:textAlignment w:val="bottom"/>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518B73E8"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E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E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EB" w14:textId="77777777" w:rsidR="005C332D" w:rsidRDefault="00B93EAE">
            <w:pPr>
              <w:jc w:val="right"/>
              <w:textAlignment w:val="bottom"/>
            </w:pPr>
            <w:r>
              <w:rPr>
                <w:rFonts w:ascii="Times New Roman" w:eastAsia="宋体" w:hAnsi="Times New Roman"/>
                <w:b/>
                <w:bCs/>
                <w:color w:val="000000"/>
                <w:sz w:val="20"/>
                <w:szCs w:val="20"/>
              </w:rPr>
              <w:t>1,976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E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E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EE" w14:textId="77777777" w:rsidR="005C332D" w:rsidRDefault="00B93EAE">
            <w:pPr>
              <w:jc w:val="right"/>
              <w:textAlignment w:val="bottom"/>
            </w:pPr>
            <w:r>
              <w:rPr>
                <w:rFonts w:ascii="Times New Roman" w:eastAsia="宋体" w:hAnsi="Times New Roman"/>
                <w:b/>
                <w:bCs/>
                <w:color w:val="000000"/>
                <w:sz w:val="20"/>
                <w:szCs w:val="20"/>
              </w:rPr>
              <w:t>1,976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E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F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F1"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3F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F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F4" w14:textId="77777777" w:rsidR="005C332D" w:rsidRDefault="00B93EAE">
            <w:pPr>
              <w:jc w:val="right"/>
              <w:textAlignment w:val="bottom"/>
            </w:pPr>
            <w:r>
              <w:rPr>
                <w:rFonts w:ascii="Times New Roman" w:eastAsia="宋体" w:hAnsi="Times New Roman"/>
                <w:color w:val="000000"/>
                <w:sz w:val="20"/>
                <w:szCs w:val="20"/>
              </w:rPr>
              <w:t>2,862 </w:t>
            </w:r>
          </w:p>
        </w:tc>
        <w:tc>
          <w:tcPr>
            <w:tcW w:w="0" w:type="auto"/>
            <w:shd w:val="clear" w:color="auto" w:fill="CCEEFF"/>
            <w:tcMar>
              <w:top w:w="40" w:type="dxa"/>
              <w:left w:w="0" w:type="dxa"/>
              <w:bottom w:w="40" w:type="dxa"/>
              <w:right w:w="20" w:type="dxa"/>
            </w:tcMar>
            <w:vAlign w:val="bottom"/>
          </w:tcPr>
          <w:p w14:paraId="518B73F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3F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3F7" w14:textId="77777777" w:rsidR="005C332D" w:rsidRDefault="00B93EAE">
            <w:pPr>
              <w:jc w:val="right"/>
              <w:textAlignment w:val="bottom"/>
            </w:pPr>
            <w:r>
              <w:rPr>
                <w:rFonts w:ascii="Times New Roman" w:eastAsia="宋体" w:hAnsi="Times New Roman"/>
                <w:color w:val="000000"/>
                <w:sz w:val="20"/>
                <w:szCs w:val="20"/>
              </w:rPr>
              <w:t>2,862 </w:t>
            </w:r>
          </w:p>
        </w:tc>
        <w:tc>
          <w:tcPr>
            <w:tcW w:w="0" w:type="auto"/>
            <w:shd w:val="clear" w:color="auto" w:fill="CCEEFF"/>
            <w:tcMar>
              <w:top w:w="40" w:type="dxa"/>
              <w:left w:w="0" w:type="dxa"/>
              <w:bottom w:w="40" w:type="dxa"/>
              <w:right w:w="20" w:type="dxa"/>
            </w:tcMar>
            <w:vAlign w:val="bottom"/>
          </w:tcPr>
          <w:p w14:paraId="518B73F8" w14:textId="77777777" w:rsidR="005C332D" w:rsidRDefault="005C332D">
            <w:pPr>
              <w:jc w:val="right"/>
              <w:rPr>
                <w:rFonts w:ascii="宋体"/>
              </w:rPr>
            </w:pPr>
          </w:p>
        </w:tc>
      </w:tr>
      <w:tr w:rsidR="005C332D" w14:paraId="518B740C" w14:textId="77777777">
        <w:tc>
          <w:tcPr>
            <w:tcW w:w="0" w:type="auto"/>
            <w:gridSpan w:val="3"/>
            <w:shd w:val="clear" w:color="auto" w:fill="FFFFFF"/>
            <w:tcMar>
              <w:top w:w="40" w:type="dxa"/>
              <w:left w:w="380" w:type="dxa"/>
              <w:bottom w:w="40" w:type="dxa"/>
              <w:right w:w="20" w:type="dxa"/>
            </w:tcMar>
            <w:vAlign w:val="bottom"/>
          </w:tcPr>
          <w:p w14:paraId="518B73FA" w14:textId="77777777" w:rsidR="005C332D" w:rsidRDefault="00B93EAE">
            <w:pPr>
              <w:textAlignment w:val="bottom"/>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518B73FB"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F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3F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3FE" w14:textId="77777777" w:rsidR="005C332D" w:rsidRDefault="00B93EAE">
            <w:pPr>
              <w:jc w:val="right"/>
              <w:textAlignment w:val="bottom"/>
            </w:pPr>
            <w:r>
              <w:rPr>
                <w:rFonts w:ascii="Times New Roman" w:eastAsia="宋体" w:hAnsi="Times New Roman"/>
                <w:b/>
                <w:bCs/>
                <w:color w:val="000000"/>
                <w:sz w:val="20"/>
                <w:szCs w:val="20"/>
              </w:rPr>
              <w:t>255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3F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0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401" w14:textId="77777777" w:rsidR="005C332D" w:rsidRDefault="00B93EAE">
            <w:pPr>
              <w:jc w:val="right"/>
              <w:textAlignment w:val="bottom"/>
            </w:pPr>
            <w:r>
              <w:rPr>
                <w:rFonts w:ascii="Times New Roman" w:eastAsia="宋体" w:hAnsi="Times New Roman"/>
                <w:b/>
                <w:bCs/>
                <w:color w:val="000000"/>
                <w:sz w:val="20"/>
                <w:szCs w:val="20"/>
              </w:rPr>
              <w:t>255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40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0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404"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40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0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407" w14:textId="77777777" w:rsidR="005C332D" w:rsidRDefault="00B93EAE">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518B740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0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40A" w14:textId="77777777" w:rsidR="005C332D" w:rsidRDefault="00B93EAE">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518B740B" w14:textId="77777777" w:rsidR="005C332D" w:rsidRDefault="005C332D">
            <w:pPr>
              <w:jc w:val="right"/>
              <w:rPr>
                <w:rFonts w:ascii="宋体"/>
              </w:rPr>
            </w:pPr>
          </w:p>
        </w:tc>
      </w:tr>
      <w:tr w:rsidR="005C332D" w14:paraId="518B741F" w14:textId="77777777">
        <w:tc>
          <w:tcPr>
            <w:tcW w:w="0" w:type="auto"/>
            <w:gridSpan w:val="3"/>
            <w:shd w:val="clear" w:color="auto" w:fill="CCEEFF"/>
            <w:tcMar>
              <w:top w:w="40" w:type="dxa"/>
              <w:left w:w="380" w:type="dxa"/>
              <w:bottom w:w="40" w:type="dxa"/>
              <w:right w:w="20" w:type="dxa"/>
            </w:tcMar>
            <w:vAlign w:val="bottom"/>
          </w:tcPr>
          <w:p w14:paraId="518B740D" w14:textId="77777777" w:rsidR="005C332D" w:rsidRDefault="00B93EAE">
            <w:pPr>
              <w:textAlignment w:val="bottom"/>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518B740E"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0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1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11" w14:textId="77777777" w:rsidR="005C332D" w:rsidRDefault="00B93EAE">
            <w:pPr>
              <w:jc w:val="right"/>
              <w:textAlignment w:val="bottom"/>
            </w:pPr>
            <w:r>
              <w:rPr>
                <w:rFonts w:ascii="Times New Roman" w:eastAsia="宋体" w:hAnsi="Times New Roman"/>
                <w:b/>
                <w:bCs/>
                <w:color w:val="000000"/>
                <w:sz w:val="20"/>
                <w:szCs w:val="20"/>
              </w:rPr>
              <w:t>250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1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1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14" w14:textId="77777777" w:rsidR="005C332D" w:rsidRDefault="00B93EAE">
            <w:pPr>
              <w:jc w:val="right"/>
              <w:textAlignment w:val="bottom"/>
            </w:pPr>
            <w:r>
              <w:rPr>
                <w:rFonts w:ascii="Times New Roman" w:eastAsia="宋体" w:hAnsi="Times New Roman"/>
                <w:b/>
                <w:bCs/>
                <w:color w:val="000000"/>
                <w:sz w:val="20"/>
                <w:szCs w:val="20"/>
              </w:rPr>
              <w:t>250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1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1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17"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1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1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1A" w14:textId="77777777" w:rsidR="005C332D" w:rsidRDefault="00B93EAE">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518B741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1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1D" w14:textId="77777777" w:rsidR="005C332D" w:rsidRDefault="00B93EAE">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518B741E" w14:textId="77777777" w:rsidR="005C332D" w:rsidRDefault="005C332D">
            <w:pPr>
              <w:jc w:val="right"/>
              <w:rPr>
                <w:rFonts w:ascii="宋体"/>
              </w:rPr>
            </w:pPr>
          </w:p>
        </w:tc>
      </w:tr>
      <w:tr w:rsidR="005C332D" w14:paraId="518B742C" w14:textId="77777777">
        <w:tc>
          <w:tcPr>
            <w:tcW w:w="0" w:type="auto"/>
            <w:gridSpan w:val="3"/>
            <w:shd w:val="clear" w:color="auto" w:fill="FFFFFF"/>
            <w:tcMar>
              <w:top w:w="40" w:type="dxa"/>
              <w:left w:w="20" w:type="dxa"/>
              <w:bottom w:w="40" w:type="dxa"/>
              <w:right w:w="20" w:type="dxa"/>
            </w:tcMar>
            <w:vAlign w:val="bottom"/>
          </w:tcPr>
          <w:p w14:paraId="518B7420" w14:textId="77777777" w:rsidR="005C332D" w:rsidRDefault="00B93EAE">
            <w:pPr>
              <w:textAlignment w:val="bottom"/>
            </w:pPr>
            <w:r>
              <w:rPr>
                <w:rFonts w:ascii="Times New Roman" w:eastAsia="宋体" w:hAnsi="Times New Roman"/>
                <w:color w:val="000000"/>
                <w:sz w:val="20"/>
                <w:szCs w:val="20"/>
              </w:rPr>
              <w:t>Equity investments:</w:t>
            </w:r>
          </w:p>
        </w:tc>
        <w:tc>
          <w:tcPr>
            <w:tcW w:w="0" w:type="auto"/>
            <w:gridSpan w:val="3"/>
            <w:shd w:val="clear" w:color="auto" w:fill="FFFFFF"/>
            <w:tcMar>
              <w:top w:w="0" w:type="dxa"/>
              <w:left w:w="20" w:type="dxa"/>
              <w:bottom w:w="0" w:type="dxa"/>
              <w:right w:w="20" w:type="dxa"/>
            </w:tcMar>
            <w:vAlign w:val="bottom"/>
          </w:tcPr>
          <w:p w14:paraId="518B742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2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2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2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2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2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2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2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2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2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2B" w14:textId="77777777" w:rsidR="005C332D" w:rsidRDefault="005C332D">
            <w:pPr>
              <w:rPr>
                <w:rFonts w:ascii="宋体"/>
              </w:rPr>
            </w:pPr>
          </w:p>
        </w:tc>
      </w:tr>
      <w:tr w:rsidR="005C332D" w14:paraId="518B743F" w14:textId="77777777">
        <w:tc>
          <w:tcPr>
            <w:tcW w:w="0" w:type="auto"/>
            <w:gridSpan w:val="3"/>
            <w:shd w:val="clear" w:color="auto" w:fill="CCEEFF"/>
            <w:tcMar>
              <w:top w:w="40" w:type="dxa"/>
              <w:left w:w="380" w:type="dxa"/>
              <w:bottom w:w="40" w:type="dxa"/>
              <w:right w:w="20" w:type="dxa"/>
            </w:tcMar>
            <w:vAlign w:val="bottom"/>
          </w:tcPr>
          <w:p w14:paraId="518B742D" w14:textId="77777777" w:rsidR="005C332D" w:rsidRDefault="00B93EAE">
            <w:pPr>
              <w:textAlignment w:val="bottom"/>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518B742E" w14:textId="77777777" w:rsidR="005C332D" w:rsidRDefault="00B93EAE">
            <w:pPr>
              <w:jc w:val="right"/>
              <w:textAlignment w:val="bottom"/>
            </w:pPr>
            <w:r>
              <w:rPr>
                <w:rFonts w:ascii="Times New Roman" w:eastAsia="宋体" w:hAnsi="Times New Roman"/>
                <w:b/>
                <w:bCs/>
                <w:color w:val="000000"/>
                <w:sz w:val="20"/>
                <w:szCs w:val="20"/>
              </w:rPr>
              <w:t>241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2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3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31"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3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3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34" w14:textId="77777777" w:rsidR="005C332D" w:rsidRDefault="00B93EAE">
            <w:pPr>
              <w:jc w:val="right"/>
              <w:textAlignment w:val="bottom"/>
            </w:pPr>
            <w:r>
              <w:rPr>
                <w:rFonts w:ascii="Times New Roman" w:eastAsia="宋体" w:hAnsi="Times New Roman"/>
                <w:b/>
                <w:bCs/>
                <w:color w:val="000000"/>
                <w:sz w:val="20"/>
                <w:szCs w:val="20"/>
              </w:rPr>
              <w:t>241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3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3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37" w14:textId="77777777" w:rsidR="005C332D" w:rsidRDefault="00B93EAE">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518B743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3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3A"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3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3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3D" w14:textId="77777777" w:rsidR="005C332D" w:rsidRDefault="00B93EAE">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518B743E" w14:textId="77777777" w:rsidR="005C332D" w:rsidRDefault="005C332D">
            <w:pPr>
              <w:jc w:val="right"/>
              <w:rPr>
                <w:rFonts w:ascii="宋体"/>
              </w:rPr>
            </w:pPr>
          </w:p>
        </w:tc>
      </w:tr>
      <w:tr w:rsidR="005C332D" w14:paraId="518B744C" w14:textId="77777777">
        <w:tc>
          <w:tcPr>
            <w:tcW w:w="0" w:type="auto"/>
            <w:gridSpan w:val="3"/>
            <w:shd w:val="clear" w:color="auto" w:fill="FFFFFF"/>
            <w:tcMar>
              <w:top w:w="40" w:type="dxa"/>
              <w:left w:w="20" w:type="dxa"/>
              <w:bottom w:w="40" w:type="dxa"/>
              <w:right w:w="20" w:type="dxa"/>
            </w:tcMar>
            <w:vAlign w:val="bottom"/>
          </w:tcPr>
          <w:p w14:paraId="518B7440" w14:textId="77777777" w:rsidR="005C332D" w:rsidRDefault="00B93EAE">
            <w:pPr>
              <w:textAlignment w:val="bottom"/>
            </w:pPr>
            <w:r>
              <w:rPr>
                <w:rFonts w:ascii="Times New Roman" w:eastAsia="宋体" w:hAnsi="Times New Roman"/>
                <w:color w:val="000000"/>
                <w:sz w:val="20"/>
                <w:szCs w:val="20"/>
              </w:rPr>
              <w:t>Other assets:</w:t>
            </w:r>
          </w:p>
        </w:tc>
        <w:tc>
          <w:tcPr>
            <w:tcW w:w="0" w:type="auto"/>
            <w:gridSpan w:val="3"/>
            <w:shd w:val="clear" w:color="auto" w:fill="FFFFFF"/>
            <w:tcMar>
              <w:top w:w="0" w:type="dxa"/>
              <w:left w:w="20" w:type="dxa"/>
              <w:bottom w:w="0" w:type="dxa"/>
              <w:right w:w="20" w:type="dxa"/>
            </w:tcMar>
            <w:vAlign w:val="bottom"/>
          </w:tcPr>
          <w:p w14:paraId="518B744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4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4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4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4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4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4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4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4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4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4B" w14:textId="77777777" w:rsidR="005C332D" w:rsidRDefault="005C332D">
            <w:pPr>
              <w:rPr>
                <w:rFonts w:ascii="宋体"/>
              </w:rPr>
            </w:pPr>
          </w:p>
        </w:tc>
      </w:tr>
      <w:tr w:rsidR="005C332D" w14:paraId="518B745F" w14:textId="77777777">
        <w:tc>
          <w:tcPr>
            <w:tcW w:w="0" w:type="auto"/>
            <w:gridSpan w:val="3"/>
            <w:shd w:val="clear" w:color="auto" w:fill="CCEEFF"/>
            <w:tcMar>
              <w:top w:w="40" w:type="dxa"/>
              <w:left w:w="380" w:type="dxa"/>
              <w:bottom w:w="40" w:type="dxa"/>
              <w:right w:w="20" w:type="dxa"/>
            </w:tcMar>
            <w:vAlign w:val="bottom"/>
          </w:tcPr>
          <w:p w14:paraId="518B744D" w14:textId="77777777" w:rsidR="005C332D" w:rsidRDefault="00B93EAE">
            <w:pPr>
              <w:textAlignment w:val="bottom"/>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518B744E" w14:textId="77777777" w:rsidR="005C332D" w:rsidRDefault="00B93EAE">
            <w:pPr>
              <w:jc w:val="right"/>
              <w:textAlignment w:val="bottom"/>
            </w:pPr>
            <w:r>
              <w:rPr>
                <w:rFonts w:ascii="Times New Roman" w:eastAsia="宋体" w:hAnsi="Times New Roman"/>
                <w:b/>
                <w:bCs/>
                <w:color w:val="000000"/>
                <w:sz w:val="20"/>
                <w:szCs w:val="20"/>
              </w:rPr>
              <w:t>1,500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4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5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51"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5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5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54" w14:textId="77777777" w:rsidR="005C332D" w:rsidRDefault="00B93EAE">
            <w:pPr>
              <w:jc w:val="right"/>
              <w:textAlignment w:val="bottom"/>
            </w:pPr>
            <w:r>
              <w:rPr>
                <w:rFonts w:ascii="Times New Roman" w:eastAsia="宋体" w:hAnsi="Times New Roman"/>
                <w:b/>
                <w:bCs/>
                <w:color w:val="000000"/>
                <w:sz w:val="20"/>
                <w:szCs w:val="20"/>
              </w:rPr>
              <w:t>1,500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5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5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57" w14:textId="77777777" w:rsidR="005C332D" w:rsidRDefault="00B93EAE">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518B745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5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5A"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5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5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45D" w14:textId="77777777" w:rsidR="005C332D" w:rsidRDefault="00B93EAE">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518B745E" w14:textId="77777777" w:rsidR="005C332D" w:rsidRDefault="005C332D">
            <w:pPr>
              <w:jc w:val="right"/>
              <w:rPr>
                <w:rFonts w:ascii="宋体"/>
              </w:rPr>
            </w:pPr>
          </w:p>
        </w:tc>
      </w:tr>
      <w:tr w:rsidR="005C332D" w14:paraId="518B7472" w14:textId="77777777">
        <w:tc>
          <w:tcPr>
            <w:tcW w:w="0" w:type="auto"/>
            <w:gridSpan w:val="3"/>
            <w:shd w:val="clear" w:color="auto" w:fill="FFFFFF"/>
            <w:tcMar>
              <w:top w:w="40" w:type="dxa"/>
              <w:left w:w="20" w:type="dxa"/>
              <w:bottom w:w="40" w:type="dxa"/>
              <w:right w:w="20" w:type="dxa"/>
            </w:tcMar>
            <w:vAlign w:val="bottom"/>
          </w:tcPr>
          <w:p w14:paraId="518B7460" w14:textId="77777777" w:rsidR="005C332D" w:rsidRDefault="00B93EAE">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518B7461"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46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6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464" w14:textId="77777777" w:rsidR="005C332D" w:rsidRDefault="00B93EAE">
            <w:pPr>
              <w:jc w:val="right"/>
              <w:textAlignment w:val="bottom"/>
            </w:pPr>
            <w:r>
              <w:rPr>
                <w:rFonts w:ascii="Times New Roman" w:eastAsia="宋体" w:hAnsi="Times New Roman"/>
                <w:b/>
                <w:bCs/>
                <w:color w:val="000000"/>
                <w:sz w:val="20"/>
                <w:szCs w:val="20"/>
              </w:rPr>
              <w:t>78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46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6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467" w14:textId="77777777" w:rsidR="005C332D" w:rsidRDefault="00B93EAE">
            <w:pPr>
              <w:jc w:val="right"/>
              <w:textAlignment w:val="bottom"/>
            </w:pPr>
            <w:r>
              <w:rPr>
                <w:rFonts w:ascii="Times New Roman" w:eastAsia="宋体" w:hAnsi="Times New Roman"/>
                <w:b/>
                <w:bCs/>
                <w:color w:val="000000"/>
                <w:sz w:val="20"/>
                <w:szCs w:val="20"/>
              </w:rPr>
              <w:t>78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46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6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46A"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46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6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46D" w14:textId="77777777" w:rsidR="005C332D" w:rsidRDefault="00B93EAE">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518B746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6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470" w14:textId="77777777" w:rsidR="005C332D" w:rsidRDefault="00B93EAE">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518B7471" w14:textId="77777777" w:rsidR="005C332D" w:rsidRDefault="005C332D">
            <w:pPr>
              <w:jc w:val="right"/>
              <w:rPr>
                <w:rFonts w:ascii="宋体"/>
              </w:rPr>
            </w:pPr>
          </w:p>
        </w:tc>
      </w:tr>
      <w:tr w:rsidR="005C332D" w14:paraId="518B748B" w14:textId="77777777">
        <w:tc>
          <w:tcPr>
            <w:tcW w:w="0" w:type="auto"/>
            <w:gridSpan w:val="3"/>
            <w:shd w:val="clear" w:color="auto" w:fill="CCEEFF"/>
            <w:tcMar>
              <w:top w:w="40" w:type="dxa"/>
              <w:left w:w="740" w:type="dxa"/>
              <w:bottom w:w="40" w:type="dxa"/>
              <w:right w:w="20" w:type="dxa"/>
            </w:tcMar>
            <w:vAlign w:val="bottom"/>
          </w:tcPr>
          <w:p w14:paraId="518B7473" w14:textId="77777777" w:rsidR="005C332D" w:rsidRDefault="00B93EAE">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47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475" w14:textId="77777777" w:rsidR="005C332D" w:rsidRDefault="00B93EAE">
            <w:pPr>
              <w:jc w:val="right"/>
              <w:textAlignment w:val="bottom"/>
            </w:pPr>
            <w:r>
              <w:rPr>
                <w:rFonts w:ascii="Times New Roman" w:eastAsia="宋体" w:hAnsi="Times New Roman"/>
                <w:b/>
                <w:bCs/>
                <w:color w:val="000000"/>
                <w:sz w:val="20"/>
                <w:szCs w:val="20"/>
              </w:rPr>
              <w:t>5,671</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47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7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478"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479" w14:textId="77777777" w:rsidR="005C332D" w:rsidRDefault="00B93EAE">
            <w:pPr>
              <w:jc w:val="right"/>
              <w:textAlignment w:val="bottom"/>
            </w:pPr>
            <w:r>
              <w:rPr>
                <w:rFonts w:ascii="Times New Roman" w:eastAsia="宋体" w:hAnsi="Times New Roman"/>
                <w:b/>
                <w:bCs/>
                <w:color w:val="000000"/>
                <w:sz w:val="20"/>
                <w:szCs w:val="20"/>
              </w:rPr>
              <w:t>12,142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47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7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47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47D" w14:textId="77777777" w:rsidR="005C332D" w:rsidRDefault="00B93EAE">
            <w:pPr>
              <w:jc w:val="right"/>
              <w:textAlignment w:val="bottom"/>
            </w:pPr>
            <w:r>
              <w:rPr>
                <w:rFonts w:ascii="Times New Roman" w:eastAsia="宋体" w:hAnsi="Times New Roman"/>
                <w:b/>
                <w:bCs/>
                <w:color w:val="000000"/>
                <w:sz w:val="20"/>
                <w:szCs w:val="20"/>
              </w:rPr>
              <w:t>17,813</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47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7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48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481" w14:textId="77777777" w:rsidR="005C332D" w:rsidRDefault="00B93EAE">
            <w:pPr>
              <w:jc w:val="right"/>
              <w:textAlignment w:val="bottom"/>
            </w:pPr>
            <w:r>
              <w:rPr>
                <w:rFonts w:ascii="Times New Roman" w:eastAsia="宋体" w:hAnsi="Times New Roman"/>
                <w:color w:val="000000"/>
                <w:sz w:val="20"/>
                <w:szCs w:val="20"/>
              </w:rPr>
              <w:t>6,581 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48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8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48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485" w14:textId="77777777" w:rsidR="005C332D" w:rsidRDefault="00B93EAE">
            <w:pPr>
              <w:jc w:val="right"/>
              <w:textAlignment w:val="bottom"/>
            </w:pPr>
            <w:r>
              <w:rPr>
                <w:rFonts w:ascii="Times New Roman" w:eastAsia="宋体" w:hAnsi="Times New Roman"/>
                <w:color w:val="000000"/>
                <w:sz w:val="20"/>
                <w:szCs w:val="20"/>
              </w:rPr>
              <w:t>15,746 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48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8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48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489" w14:textId="77777777" w:rsidR="005C332D" w:rsidRDefault="00B93EAE">
            <w:pPr>
              <w:jc w:val="right"/>
              <w:textAlignment w:val="bottom"/>
            </w:pPr>
            <w:r>
              <w:rPr>
                <w:rFonts w:ascii="Times New Roman" w:eastAsia="宋体" w:hAnsi="Times New Roman"/>
                <w:color w:val="000000"/>
                <w:sz w:val="20"/>
                <w:szCs w:val="20"/>
              </w:rPr>
              <w:t>22,327 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48A" w14:textId="77777777" w:rsidR="005C332D" w:rsidRDefault="005C332D">
            <w:pPr>
              <w:jc w:val="right"/>
              <w:rPr>
                <w:rFonts w:ascii="宋体"/>
              </w:rPr>
            </w:pPr>
          </w:p>
        </w:tc>
      </w:tr>
      <w:tr w:rsidR="005C332D" w14:paraId="518B7498" w14:textId="77777777">
        <w:tc>
          <w:tcPr>
            <w:tcW w:w="0" w:type="auto"/>
            <w:gridSpan w:val="3"/>
            <w:shd w:val="clear" w:color="auto" w:fill="FFFFFF"/>
            <w:tcMar>
              <w:top w:w="40" w:type="dxa"/>
              <w:left w:w="20" w:type="dxa"/>
              <w:bottom w:w="40" w:type="dxa"/>
              <w:right w:w="20" w:type="dxa"/>
            </w:tcMar>
            <w:vAlign w:val="bottom"/>
          </w:tcPr>
          <w:p w14:paraId="518B748C" w14:textId="77777777" w:rsidR="005C332D" w:rsidRDefault="00B93EAE">
            <w:pPr>
              <w:textAlignment w:val="bottom"/>
            </w:pPr>
            <w:r>
              <w:rPr>
                <w:rFonts w:ascii="Times New Roman" w:eastAsia="宋体" w:hAnsi="Times New Roman"/>
                <w:color w:val="000000"/>
                <w:sz w:val="20"/>
                <w:szCs w:val="20"/>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748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8E"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748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90"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749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92"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749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94"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749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496"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7497" w14:textId="77777777" w:rsidR="005C332D" w:rsidRDefault="005C332D">
            <w:pPr>
              <w:rPr>
                <w:rFonts w:ascii="宋体"/>
              </w:rPr>
            </w:pPr>
          </w:p>
        </w:tc>
      </w:tr>
      <w:tr w:rsidR="005C332D" w14:paraId="518B74B1" w14:textId="77777777">
        <w:tc>
          <w:tcPr>
            <w:tcW w:w="0" w:type="auto"/>
            <w:gridSpan w:val="3"/>
            <w:shd w:val="clear" w:color="auto" w:fill="CCEEFF"/>
            <w:tcMar>
              <w:top w:w="40" w:type="dxa"/>
              <w:left w:w="380" w:type="dxa"/>
              <w:bottom w:w="40" w:type="dxa"/>
              <w:right w:w="20" w:type="dxa"/>
            </w:tcMar>
            <w:vAlign w:val="bottom"/>
          </w:tcPr>
          <w:p w14:paraId="518B7499" w14:textId="77777777" w:rsidR="005C332D" w:rsidRDefault="00B93EAE">
            <w:pPr>
              <w:textAlignment w:val="bottom"/>
            </w:pPr>
            <w:r>
              <w:rPr>
                <w:rFonts w:ascii="Times New Roman" w:eastAsia="宋体" w:hAnsi="Times New Roman"/>
                <w:color w:val="000000"/>
                <w:sz w:val="20"/>
                <w:szCs w:val="20"/>
              </w:rPr>
              <w:t>Derivative liabilities</w:t>
            </w:r>
          </w:p>
        </w:tc>
        <w:tc>
          <w:tcPr>
            <w:tcW w:w="0" w:type="auto"/>
            <w:shd w:val="clear" w:color="auto" w:fill="CCEEFF"/>
            <w:tcMar>
              <w:top w:w="40" w:type="dxa"/>
              <w:left w:w="20" w:type="dxa"/>
              <w:bottom w:w="40" w:type="dxa"/>
              <w:right w:w="0" w:type="dxa"/>
            </w:tcMar>
            <w:vAlign w:val="bottom"/>
          </w:tcPr>
          <w:p w14:paraId="518B749A"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749B"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9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9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49E"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749F" w14:textId="77777777" w:rsidR="005C332D" w:rsidRDefault="00B93EAE">
            <w:pPr>
              <w:jc w:val="right"/>
              <w:textAlignment w:val="bottom"/>
            </w:pPr>
            <w:r>
              <w:rPr>
                <w:rFonts w:ascii="Times New Roman" w:eastAsia="宋体" w:hAnsi="Times New Roman"/>
                <w:b/>
                <w:bCs/>
                <w:color w:val="000000"/>
                <w:sz w:val="20"/>
                <w:szCs w:val="20"/>
              </w:rPr>
              <w:t>89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A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A1"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4A2"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74A3" w14:textId="77777777" w:rsidR="005C332D" w:rsidRDefault="00B93EAE">
            <w:pPr>
              <w:jc w:val="right"/>
              <w:textAlignment w:val="bottom"/>
            </w:pPr>
            <w:r>
              <w:rPr>
                <w:rFonts w:ascii="Times New Roman" w:eastAsia="宋体" w:hAnsi="Times New Roman"/>
                <w:b/>
                <w:bCs/>
                <w:color w:val="000000"/>
                <w:sz w:val="20"/>
                <w:szCs w:val="20"/>
              </w:rPr>
              <w:t>89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A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A5"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4A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4A7"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4A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A9"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4A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4AB" w14:textId="77777777" w:rsidR="005C332D" w:rsidRDefault="00B93EAE">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518B74A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4AD"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4A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4AF" w14:textId="77777777" w:rsidR="005C332D" w:rsidRDefault="00B93EAE">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518B74B0" w14:textId="77777777" w:rsidR="005C332D" w:rsidRDefault="005C332D">
            <w:pPr>
              <w:jc w:val="right"/>
              <w:rPr>
                <w:rFonts w:ascii="宋体"/>
              </w:rPr>
            </w:pPr>
          </w:p>
        </w:tc>
      </w:tr>
      <w:tr w:rsidR="005C332D" w14:paraId="518B74CA" w14:textId="77777777">
        <w:tc>
          <w:tcPr>
            <w:tcW w:w="0" w:type="auto"/>
            <w:gridSpan w:val="3"/>
            <w:shd w:val="clear" w:color="auto" w:fill="FFFFFF"/>
            <w:tcMar>
              <w:top w:w="40" w:type="dxa"/>
              <w:left w:w="740" w:type="dxa"/>
              <w:bottom w:w="40" w:type="dxa"/>
              <w:right w:w="20" w:type="dxa"/>
            </w:tcMar>
            <w:vAlign w:val="bottom"/>
          </w:tcPr>
          <w:p w14:paraId="518B74B2" w14:textId="77777777" w:rsidR="005C332D" w:rsidRDefault="00B93EAE">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4B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4B4"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4B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B6"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4B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4B8" w14:textId="77777777" w:rsidR="005C332D" w:rsidRDefault="00B93EAE">
            <w:pPr>
              <w:jc w:val="right"/>
              <w:textAlignment w:val="bottom"/>
            </w:pPr>
            <w:r>
              <w:rPr>
                <w:rFonts w:ascii="Times New Roman" w:eastAsia="宋体" w:hAnsi="Times New Roman"/>
                <w:b/>
                <w:bCs/>
                <w:color w:val="000000"/>
                <w:sz w:val="20"/>
                <w:szCs w:val="20"/>
              </w:rPr>
              <w:t>89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4B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BA"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4B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4BC" w14:textId="77777777" w:rsidR="005C332D" w:rsidRDefault="00B93EAE">
            <w:pPr>
              <w:jc w:val="right"/>
              <w:textAlignment w:val="bottom"/>
            </w:pPr>
            <w:r>
              <w:rPr>
                <w:rFonts w:ascii="Times New Roman" w:eastAsia="宋体" w:hAnsi="Times New Roman"/>
                <w:b/>
                <w:bCs/>
                <w:color w:val="000000"/>
                <w:sz w:val="20"/>
                <w:szCs w:val="20"/>
              </w:rPr>
              <w:t>89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4B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BE"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4B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4C0"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4C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C2"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4C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4C4" w14:textId="77777777" w:rsidR="005C332D" w:rsidRDefault="00B93EAE">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4C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4C6"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4C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4C8" w14:textId="77777777" w:rsidR="005C332D" w:rsidRDefault="00B93EAE">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4C9" w14:textId="77777777" w:rsidR="005C332D" w:rsidRDefault="005C332D">
            <w:pPr>
              <w:jc w:val="right"/>
              <w:rPr>
                <w:rFonts w:ascii="宋体"/>
              </w:rPr>
            </w:pPr>
          </w:p>
        </w:tc>
      </w:tr>
    </w:tbl>
    <w:p w14:paraId="518B74CB" w14:textId="77777777" w:rsidR="005C332D" w:rsidRDefault="00B93EAE">
      <w:pPr>
        <w:spacing w:before="120"/>
        <w:ind w:hanging="360"/>
      </w:pPr>
      <w:r>
        <w:rPr>
          <w:rFonts w:ascii="Times New Roman" w:eastAsia="宋体" w:hAnsi="Times New Roman"/>
          <w:b/>
          <w:bCs/>
          <w:color w:val="000000"/>
          <w:sz w:val="20"/>
          <w:szCs w:val="20"/>
        </w:rPr>
        <w:t>(b)Assets Measured at Fair Value on a Nonrecurring Basis</w:t>
      </w:r>
    </w:p>
    <w:p w14:paraId="518B74CC" w14:textId="77777777" w:rsidR="005C332D" w:rsidRDefault="00B93EAE">
      <w:pPr>
        <w:spacing w:before="120"/>
        <w:jc w:val="both"/>
      </w:pPr>
      <w:r>
        <w:rPr>
          <w:rFonts w:ascii="Times New Roman" w:eastAsia="宋体" w:hAnsi="Times New Roman"/>
          <w:color w:val="000000"/>
          <w:sz w:val="20"/>
          <w:szCs w:val="20"/>
        </w:rPr>
        <w:t>Our non-marketable equity securities using the measurement alternative are adjusted to fair value on a non-recurring basis</w:t>
      </w:r>
      <w:r>
        <w:rPr>
          <w:rFonts w:ascii="Times New Roman" w:eastAsia="宋体" w:hAnsi="Times New Roman"/>
          <w:color w:val="000000"/>
          <w:sz w:val="20"/>
          <w:szCs w:val="20"/>
        </w:rPr>
        <w:t>. Adjustments are made when observable transactions for identical or similar investments of the same issuer occur, or due to impairment. These securities are classified as Level 3 in the fair value hierarchy because we estimate the value based on valuation</w:t>
      </w:r>
      <w:r>
        <w:rPr>
          <w:rFonts w:ascii="Times New Roman" w:eastAsia="宋体" w:hAnsi="Times New Roman"/>
          <w:color w:val="000000"/>
          <w:sz w:val="20"/>
          <w:szCs w:val="20"/>
        </w:rPr>
        <w:t xml:space="preserve"> methods using the observable transaction price at the transaction date and other unobservable inputs such as volatility, rights, and obligations of the securities we hold.</w:t>
      </w:r>
    </w:p>
    <w:p w14:paraId="518B74CD" w14:textId="77777777" w:rsidR="005C332D" w:rsidRDefault="00B93EAE">
      <w:pPr>
        <w:spacing w:before="120"/>
        <w:jc w:val="both"/>
      </w:pPr>
      <w:r>
        <w:rPr>
          <w:rFonts w:ascii="Times New Roman" w:eastAsia="宋体" w:hAnsi="Times New Roman"/>
          <w:color w:val="000000"/>
          <w:sz w:val="20"/>
          <w:szCs w:val="20"/>
        </w:rPr>
        <w:t>The fair value for purchased intangibles assets measured at fair value on a nonrecu</w:t>
      </w:r>
      <w:r>
        <w:rPr>
          <w:rFonts w:ascii="Times New Roman" w:eastAsia="宋体" w:hAnsi="Times New Roman"/>
          <w:color w:val="000000"/>
          <w:sz w:val="20"/>
          <w:szCs w:val="20"/>
        </w:rPr>
        <w:t>rring basis was categorized as Level 3 due to the use of significant unobservable inputs in the valuation. Significant unobservable inputs that were used included expected revenues and net income related to the assets and the expected life of the assets. T</w:t>
      </w:r>
      <w:r>
        <w:rPr>
          <w:rFonts w:ascii="Times New Roman" w:eastAsia="宋体" w:hAnsi="Times New Roman"/>
          <w:color w:val="000000"/>
          <w:sz w:val="20"/>
          <w:szCs w:val="20"/>
        </w:rPr>
        <w:t>he difference between the estimated fair value and the carrying value of the assets was recorded as an impairment charge, which was included in product cost of sales and operating expenses as applicable. See Note 5.</w:t>
      </w:r>
    </w:p>
    <w:p w14:paraId="518B74CE" w14:textId="77777777" w:rsidR="005C332D" w:rsidRDefault="00B93EAE">
      <w:pPr>
        <w:spacing w:before="120"/>
        <w:ind w:hanging="360"/>
        <w:jc w:val="both"/>
      </w:pPr>
      <w:r>
        <w:rPr>
          <w:rFonts w:ascii="Times New Roman" w:eastAsia="宋体" w:hAnsi="Times New Roman"/>
          <w:b/>
          <w:bCs/>
          <w:color w:val="000000"/>
          <w:sz w:val="20"/>
          <w:szCs w:val="20"/>
        </w:rPr>
        <w:t xml:space="preserve">(c)Other Fair Value Disclosures </w:t>
      </w:r>
    </w:p>
    <w:p w14:paraId="518B74CF" w14:textId="77777777" w:rsidR="005C332D" w:rsidRDefault="00B93EAE">
      <w:pPr>
        <w:spacing w:before="120"/>
        <w:jc w:val="both"/>
      </w:pPr>
      <w:r>
        <w:rPr>
          <w:rFonts w:ascii="Times New Roman" w:eastAsia="宋体" w:hAnsi="Times New Roman"/>
          <w:color w:val="000000"/>
          <w:sz w:val="20"/>
          <w:szCs w:val="20"/>
        </w:rPr>
        <w:t>The fai</w:t>
      </w:r>
      <w:r>
        <w:rPr>
          <w:rFonts w:ascii="Times New Roman" w:eastAsia="宋体" w:hAnsi="Times New Roman"/>
          <w:color w:val="000000"/>
          <w:sz w:val="20"/>
          <w:szCs w:val="20"/>
        </w:rPr>
        <w:t>r value of our short-term loan receivables and financed service contracts approximates their carrying value due to their short duration. The aggregate carrying value of our long-term loan receivables and financed service contracts as of July 30, 2022 and J</w:t>
      </w:r>
      <w:r>
        <w:rPr>
          <w:rFonts w:ascii="Times New Roman" w:eastAsia="宋体" w:hAnsi="Times New Roman"/>
          <w:color w:val="000000"/>
          <w:sz w:val="20"/>
          <w:szCs w:val="20"/>
        </w:rPr>
        <w:t xml:space="preserve">uly 31, 2021 was $3.4 billion and $4.0 billion, respectively. The estimated fair value of our long-term loan receivables and financed service contracts approximates their carrying value. We use unobservable inputs in determining </w:t>
      </w:r>
    </w:p>
    <w:p w14:paraId="518B74D0" w14:textId="77777777" w:rsidR="005C332D" w:rsidRDefault="00B93EAE">
      <w:pPr>
        <w:jc w:val="center"/>
      </w:pPr>
      <w:r>
        <w:rPr>
          <w:rFonts w:ascii="Times New Roman" w:eastAsia="宋体" w:hAnsi="Times New Roman"/>
          <w:color w:val="000000"/>
          <w:sz w:val="20"/>
          <w:szCs w:val="20"/>
        </w:rPr>
        <w:t>84</w:t>
      </w:r>
    </w:p>
    <w:p w14:paraId="518B74D1" w14:textId="77777777" w:rsidR="005C332D" w:rsidRDefault="00B93EAE">
      <w:r>
        <w:pict w14:anchorId="518B8769">
          <v:rect id="_x0000_i1110" style="width:415.3pt;height:1.5pt" o:hralign="center" o:hrstd="t" o:hr="t" fillcolor="#a0a0a0" stroked="f"/>
        </w:pict>
      </w:r>
    </w:p>
    <w:p w14:paraId="518B74D2" w14:textId="77777777" w:rsidR="005C332D" w:rsidRDefault="005C332D"/>
    <w:p w14:paraId="518B74D3" w14:textId="77777777" w:rsidR="005C332D" w:rsidRDefault="00B93EAE">
      <w:pPr>
        <w:spacing w:before="120"/>
        <w:jc w:val="both"/>
      </w:pPr>
      <w:r>
        <w:rPr>
          <w:rFonts w:ascii="Times New Roman" w:eastAsia="宋体" w:hAnsi="Times New Roman"/>
          <w:color w:val="000000"/>
          <w:sz w:val="20"/>
          <w:szCs w:val="20"/>
        </w:rPr>
        <w:t>discounted cash flow</w:t>
      </w:r>
      <w:r>
        <w:rPr>
          <w:rFonts w:ascii="Times New Roman" w:eastAsia="宋体" w:hAnsi="Times New Roman"/>
          <w:color w:val="000000"/>
          <w:sz w:val="20"/>
          <w:szCs w:val="20"/>
        </w:rPr>
        <w:t>s to estimate the fair value of our long-term loan receivables and financed service contracts, and therefore they are categorized as Level 3.</w:t>
      </w:r>
    </w:p>
    <w:p w14:paraId="518B74D4" w14:textId="77777777" w:rsidR="005C332D" w:rsidRDefault="00B93EAE">
      <w:pPr>
        <w:spacing w:before="120"/>
        <w:jc w:val="both"/>
      </w:pPr>
      <w:r>
        <w:rPr>
          <w:rFonts w:ascii="Times New Roman" w:eastAsia="宋体" w:hAnsi="Times New Roman"/>
          <w:color w:val="000000"/>
          <w:sz w:val="20"/>
          <w:szCs w:val="20"/>
        </w:rPr>
        <w:t>As of July 30, 2022 and July 31, 2021, the estimated fair value of our short-term debt approximates its carrying v</w:t>
      </w:r>
      <w:r>
        <w:rPr>
          <w:rFonts w:ascii="Times New Roman" w:eastAsia="宋体" w:hAnsi="Times New Roman"/>
          <w:color w:val="000000"/>
          <w:sz w:val="20"/>
          <w:szCs w:val="20"/>
        </w:rPr>
        <w:t>alue due to the short maturities. As of July 30, 2022, the fair value of our senior notes was $9.7 billion, with a carrying amount of $8.9 billion. This compares to a fair value of $13.7 billion and a carrying amount of $11.5 billion as of July 31, 2021. T</w:t>
      </w:r>
      <w:r>
        <w:rPr>
          <w:rFonts w:ascii="Times New Roman" w:eastAsia="宋体" w:hAnsi="Times New Roman"/>
          <w:color w:val="000000"/>
          <w:sz w:val="20"/>
          <w:szCs w:val="20"/>
        </w:rPr>
        <w:t xml:space="preserve">he fair value of the senior notes was determined based on observable market prices in a less active market and was categorized as Level 2 in the fair value hierarchy. </w:t>
      </w:r>
    </w:p>
    <w:p w14:paraId="518B74D5" w14:textId="77777777" w:rsidR="005C332D" w:rsidRDefault="005C332D">
      <w:pPr>
        <w:jc w:val="both"/>
      </w:pPr>
    </w:p>
    <w:p w14:paraId="518B74D6" w14:textId="77777777" w:rsidR="005C332D" w:rsidRDefault="00B93EAE">
      <w:pPr>
        <w:spacing w:before="120"/>
        <w:ind w:hanging="360"/>
      </w:pPr>
      <w:r>
        <w:rPr>
          <w:rFonts w:ascii="Times New Roman" w:eastAsia="宋体" w:hAnsi="Times New Roman"/>
          <w:b/>
          <w:bCs/>
          <w:color w:val="000000"/>
          <w:sz w:val="20"/>
          <w:szCs w:val="20"/>
        </w:rPr>
        <w:t xml:space="preserve">12.Borrowings </w:t>
      </w:r>
    </w:p>
    <w:p w14:paraId="518B74D7" w14:textId="77777777" w:rsidR="005C332D" w:rsidRDefault="00B93EAE">
      <w:pPr>
        <w:spacing w:before="120"/>
        <w:ind w:hanging="360"/>
      </w:pPr>
      <w:r>
        <w:rPr>
          <w:rFonts w:ascii="Times New Roman" w:eastAsia="宋体" w:hAnsi="Times New Roman"/>
          <w:b/>
          <w:bCs/>
          <w:color w:val="000000"/>
          <w:sz w:val="20"/>
          <w:szCs w:val="20"/>
        </w:rPr>
        <w:t>(a)Short-Term Debt</w:t>
      </w:r>
    </w:p>
    <w:p w14:paraId="518B74D8" w14:textId="77777777" w:rsidR="005C332D" w:rsidRDefault="00B93EAE">
      <w:pPr>
        <w:spacing w:before="120"/>
      </w:pPr>
      <w:r>
        <w:rPr>
          <w:rFonts w:ascii="Times New Roman" w:eastAsia="宋体" w:hAnsi="Times New Roman"/>
          <w:color w:val="000000"/>
          <w:sz w:val="20"/>
          <w:szCs w:val="20"/>
        </w:rPr>
        <w:t xml:space="preserve">The following table summarizes our </w:t>
      </w:r>
      <w:r>
        <w:rPr>
          <w:rFonts w:ascii="Times New Roman" w:eastAsia="宋体" w:hAnsi="Times New Roman"/>
          <w:color w:val="000000"/>
          <w:sz w:val="20"/>
          <w:szCs w:val="20"/>
        </w:rPr>
        <w:t>short-term debt (in millions, except percentages):</w:t>
      </w:r>
    </w:p>
    <w:tbl>
      <w:tblPr>
        <w:tblW w:w="4985" w:type="pct"/>
        <w:tblCellMar>
          <w:top w:w="15" w:type="dxa"/>
          <w:left w:w="15" w:type="dxa"/>
          <w:bottom w:w="15" w:type="dxa"/>
          <w:right w:w="15" w:type="dxa"/>
        </w:tblCellMar>
        <w:tblLook w:val="04A0" w:firstRow="1" w:lastRow="0" w:firstColumn="1" w:lastColumn="0" w:noHBand="0" w:noVBand="1"/>
      </w:tblPr>
      <w:tblGrid>
        <w:gridCol w:w="38"/>
        <w:gridCol w:w="3078"/>
        <w:gridCol w:w="37"/>
        <w:gridCol w:w="120"/>
        <w:gridCol w:w="1062"/>
        <w:gridCol w:w="36"/>
        <w:gridCol w:w="36"/>
        <w:gridCol w:w="36"/>
        <w:gridCol w:w="36"/>
        <w:gridCol w:w="44"/>
        <w:gridCol w:w="978"/>
        <w:gridCol w:w="220"/>
        <w:gridCol w:w="36"/>
        <w:gridCol w:w="36"/>
        <w:gridCol w:w="36"/>
        <w:gridCol w:w="120"/>
        <w:gridCol w:w="1006"/>
        <w:gridCol w:w="36"/>
        <w:gridCol w:w="36"/>
        <w:gridCol w:w="36"/>
        <w:gridCol w:w="36"/>
        <w:gridCol w:w="43"/>
        <w:gridCol w:w="982"/>
        <w:gridCol w:w="187"/>
      </w:tblGrid>
      <w:tr w:rsidR="005C332D" w14:paraId="518B74F1" w14:textId="77777777">
        <w:tc>
          <w:tcPr>
            <w:tcW w:w="50" w:type="pct"/>
            <w:shd w:val="clear" w:color="auto" w:fill="auto"/>
            <w:vAlign w:val="bottom"/>
          </w:tcPr>
          <w:p w14:paraId="518B74D9" w14:textId="77777777" w:rsidR="005C332D" w:rsidRDefault="005C332D">
            <w:pPr>
              <w:rPr>
                <w:rFonts w:ascii="宋体"/>
              </w:rPr>
            </w:pPr>
          </w:p>
        </w:tc>
        <w:tc>
          <w:tcPr>
            <w:tcW w:w="1902" w:type="pct"/>
            <w:shd w:val="clear" w:color="auto" w:fill="auto"/>
            <w:vAlign w:val="bottom"/>
          </w:tcPr>
          <w:p w14:paraId="518B74DA" w14:textId="77777777" w:rsidR="005C332D" w:rsidRDefault="005C332D">
            <w:pPr>
              <w:rPr>
                <w:rFonts w:ascii="宋体"/>
              </w:rPr>
            </w:pPr>
          </w:p>
        </w:tc>
        <w:tc>
          <w:tcPr>
            <w:tcW w:w="5" w:type="pct"/>
            <w:shd w:val="clear" w:color="auto" w:fill="auto"/>
            <w:vAlign w:val="bottom"/>
          </w:tcPr>
          <w:p w14:paraId="518B74DB" w14:textId="77777777" w:rsidR="005C332D" w:rsidRDefault="005C332D">
            <w:pPr>
              <w:rPr>
                <w:rFonts w:ascii="宋体"/>
              </w:rPr>
            </w:pPr>
          </w:p>
        </w:tc>
        <w:tc>
          <w:tcPr>
            <w:tcW w:w="50" w:type="pct"/>
            <w:shd w:val="clear" w:color="auto" w:fill="auto"/>
            <w:vAlign w:val="bottom"/>
          </w:tcPr>
          <w:p w14:paraId="518B74DC" w14:textId="77777777" w:rsidR="005C332D" w:rsidRDefault="005C332D">
            <w:pPr>
              <w:rPr>
                <w:rFonts w:ascii="宋体"/>
              </w:rPr>
            </w:pPr>
          </w:p>
        </w:tc>
        <w:tc>
          <w:tcPr>
            <w:tcW w:w="678" w:type="pct"/>
            <w:shd w:val="clear" w:color="auto" w:fill="auto"/>
            <w:vAlign w:val="bottom"/>
          </w:tcPr>
          <w:p w14:paraId="518B74DD" w14:textId="77777777" w:rsidR="005C332D" w:rsidRDefault="005C332D">
            <w:pPr>
              <w:rPr>
                <w:rFonts w:ascii="宋体"/>
              </w:rPr>
            </w:pPr>
          </w:p>
        </w:tc>
        <w:tc>
          <w:tcPr>
            <w:tcW w:w="5" w:type="pct"/>
            <w:shd w:val="clear" w:color="auto" w:fill="auto"/>
            <w:vAlign w:val="bottom"/>
          </w:tcPr>
          <w:p w14:paraId="518B74DE" w14:textId="77777777" w:rsidR="005C332D" w:rsidRDefault="005C332D">
            <w:pPr>
              <w:rPr>
                <w:rFonts w:ascii="宋体"/>
              </w:rPr>
            </w:pPr>
          </w:p>
        </w:tc>
        <w:tc>
          <w:tcPr>
            <w:tcW w:w="5" w:type="pct"/>
            <w:shd w:val="clear" w:color="auto" w:fill="auto"/>
            <w:vAlign w:val="bottom"/>
          </w:tcPr>
          <w:p w14:paraId="518B74DF" w14:textId="77777777" w:rsidR="005C332D" w:rsidRDefault="005C332D">
            <w:pPr>
              <w:rPr>
                <w:rFonts w:ascii="宋体"/>
              </w:rPr>
            </w:pPr>
          </w:p>
        </w:tc>
        <w:tc>
          <w:tcPr>
            <w:tcW w:w="26" w:type="pct"/>
            <w:shd w:val="clear" w:color="auto" w:fill="auto"/>
            <w:vAlign w:val="bottom"/>
          </w:tcPr>
          <w:p w14:paraId="518B74E0" w14:textId="77777777" w:rsidR="005C332D" w:rsidRDefault="005C332D">
            <w:pPr>
              <w:rPr>
                <w:rFonts w:ascii="宋体"/>
              </w:rPr>
            </w:pPr>
          </w:p>
        </w:tc>
        <w:tc>
          <w:tcPr>
            <w:tcW w:w="5" w:type="pct"/>
            <w:shd w:val="clear" w:color="auto" w:fill="auto"/>
            <w:vAlign w:val="bottom"/>
          </w:tcPr>
          <w:p w14:paraId="518B74E1" w14:textId="77777777" w:rsidR="005C332D" w:rsidRDefault="005C332D">
            <w:pPr>
              <w:rPr>
                <w:rFonts w:ascii="宋体"/>
              </w:rPr>
            </w:pPr>
          </w:p>
        </w:tc>
        <w:tc>
          <w:tcPr>
            <w:tcW w:w="50" w:type="pct"/>
            <w:shd w:val="clear" w:color="auto" w:fill="auto"/>
            <w:vAlign w:val="bottom"/>
          </w:tcPr>
          <w:p w14:paraId="518B74E2" w14:textId="77777777" w:rsidR="005C332D" w:rsidRDefault="005C332D">
            <w:pPr>
              <w:rPr>
                <w:rFonts w:ascii="宋体"/>
              </w:rPr>
            </w:pPr>
          </w:p>
        </w:tc>
        <w:tc>
          <w:tcPr>
            <w:tcW w:w="678" w:type="pct"/>
            <w:shd w:val="clear" w:color="auto" w:fill="auto"/>
            <w:vAlign w:val="bottom"/>
          </w:tcPr>
          <w:p w14:paraId="518B74E3" w14:textId="77777777" w:rsidR="005C332D" w:rsidRDefault="005C332D">
            <w:pPr>
              <w:rPr>
                <w:rFonts w:ascii="宋体"/>
              </w:rPr>
            </w:pPr>
          </w:p>
        </w:tc>
        <w:tc>
          <w:tcPr>
            <w:tcW w:w="5" w:type="pct"/>
            <w:shd w:val="clear" w:color="auto" w:fill="auto"/>
            <w:vAlign w:val="bottom"/>
          </w:tcPr>
          <w:p w14:paraId="518B74E4" w14:textId="77777777" w:rsidR="005C332D" w:rsidRDefault="005C332D">
            <w:pPr>
              <w:rPr>
                <w:rFonts w:ascii="宋体"/>
              </w:rPr>
            </w:pPr>
          </w:p>
        </w:tc>
        <w:tc>
          <w:tcPr>
            <w:tcW w:w="5" w:type="pct"/>
            <w:shd w:val="clear" w:color="auto" w:fill="auto"/>
            <w:vAlign w:val="bottom"/>
          </w:tcPr>
          <w:p w14:paraId="518B74E5" w14:textId="77777777" w:rsidR="005C332D" w:rsidRDefault="005C332D">
            <w:pPr>
              <w:rPr>
                <w:rFonts w:ascii="宋体"/>
              </w:rPr>
            </w:pPr>
          </w:p>
        </w:tc>
        <w:tc>
          <w:tcPr>
            <w:tcW w:w="26" w:type="pct"/>
            <w:shd w:val="clear" w:color="auto" w:fill="auto"/>
            <w:vAlign w:val="bottom"/>
          </w:tcPr>
          <w:p w14:paraId="518B74E6" w14:textId="77777777" w:rsidR="005C332D" w:rsidRDefault="005C332D">
            <w:pPr>
              <w:rPr>
                <w:rFonts w:ascii="宋体"/>
              </w:rPr>
            </w:pPr>
          </w:p>
        </w:tc>
        <w:tc>
          <w:tcPr>
            <w:tcW w:w="5" w:type="pct"/>
            <w:shd w:val="clear" w:color="auto" w:fill="auto"/>
            <w:vAlign w:val="bottom"/>
          </w:tcPr>
          <w:p w14:paraId="518B74E7" w14:textId="77777777" w:rsidR="005C332D" w:rsidRDefault="005C332D">
            <w:pPr>
              <w:rPr>
                <w:rFonts w:ascii="宋体"/>
              </w:rPr>
            </w:pPr>
          </w:p>
        </w:tc>
        <w:tc>
          <w:tcPr>
            <w:tcW w:w="50" w:type="pct"/>
            <w:shd w:val="clear" w:color="auto" w:fill="auto"/>
            <w:vAlign w:val="bottom"/>
          </w:tcPr>
          <w:p w14:paraId="518B74E8" w14:textId="77777777" w:rsidR="005C332D" w:rsidRDefault="005C332D">
            <w:pPr>
              <w:rPr>
                <w:rFonts w:ascii="宋体"/>
              </w:rPr>
            </w:pPr>
          </w:p>
        </w:tc>
        <w:tc>
          <w:tcPr>
            <w:tcW w:w="678" w:type="pct"/>
            <w:shd w:val="clear" w:color="auto" w:fill="auto"/>
            <w:vAlign w:val="bottom"/>
          </w:tcPr>
          <w:p w14:paraId="518B74E9" w14:textId="77777777" w:rsidR="005C332D" w:rsidRDefault="005C332D">
            <w:pPr>
              <w:rPr>
                <w:rFonts w:ascii="宋体"/>
              </w:rPr>
            </w:pPr>
          </w:p>
        </w:tc>
        <w:tc>
          <w:tcPr>
            <w:tcW w:w="5" w:type="pct"/>
            <w:shd w:val="clear" w:color="auto" w:fill="auto"/>
            <w:vAlign w:val="bottom"/>
          </w:tcPr>
          <w:p w14:paraId="518B74EA" w14:textId="77777777" w:rsidR="005C332D" w:rsidRDefault="005C332D">
            <w:pPr>
              <w:rPr>
                <w:rFonts w:ascii="宋体"/>
              </w:rPr>
            </w:pPr>
          </w:p>
        </w:tc>
        <w:tc>
          <w:tcPr>
            <w:tcW w:w="5" w:type="pct"/>
            <w:shd w:val="clear" w:color="auto" w:fill="auto"/>
            <w:vAlign w:val="bottom"/>
          </w:tcPr>
          <w:p w14:paraId="518B74EB" w14:textId="77777777" w:rsidR="005C332D" w:rsidRDefault="005C332D">
            <w:pPr>
              <w:rPr>
                <w:rFonts w:ascii="宋体"/>
              </w:rPr>
            </w:pPr>
          </w:p>
        </w:tc>
        <w:tc>
          <w:tcPr>
            <w:tcW w:w="26" w:type="pct"/>
            <w:shd w:val="clear" w:color="auto" w:fill="auto"/>
            <w:vAlign w:val="bottom"/>
          </w:tcPr>
          <w:p w14:paraId="518B74EC" w14:textId="77777777" w:rsidR="005C332D" w:rsidRDefault="005C332D">
            <w:pPr>
              <w:rPr>
                <w:rFonts w:ascii="宋体"/>
              </w:rPr>
            </w:pPr>
          </w:p>
        </w:tc>
        <w:tc>
          <w:tcPr>
            <w:tcW w:w="5" w:type="pct"/>
            <w:shd w:val="clear" w:color="auto" w:fill="auto"/>
            <w:vAlign w:val="bottom"/>
          </w:tcPr>
          <w:p w14:paraId="518B74ED" w14:textId="77777777" w:rsidR="005C332D" w:rsidRDefault="005C332D">
            <w:pPr>
              <w:rPr>
                <w:rFonts w:ascii="宋体"/>
              </w:rPr>
            </w:pPr>
          </w:p>
        </w:tc>
        <w:tc>
          <w:tcPr>
            <w:tcW w:w="50" w:type="pct"/>
            <w:shd w:val="clear" w:color="auto" w:fill="auto"/>
            <w:vAlign w:val="bottom"/>
          </w:tcPr>
          <w:p w14:paraId="518B74EE" w14:textId="77777777" w:rsidR="005C332D" w:rsidRDefault="005C332D">
            <w:pPr>
              <w:rPr>
                <w:rFonts w:ascii="宋体"/>
              </w:rPr>
            </w:pPr>
          </w:p>
        </w:tc>
        <w:tc>
          <w:tcPr>
            <w:tcW w:w="678" w:type="pct"/>
            <w:shd w:val="clear" w:color="auto" w:fill="auto"/>
            <w:vAlign w:val="bottom"/>
          </w:tcPr>
          <w:p w14:paraId="518B74EF" w14:textId="77777777" w:rsidR="005C332D" w:rsidRDefault="005C332D">
            <w:pPr>
              <w:rPr>
                <w:rFonts w:ascii="宋体"/>
              </w:rPr>
            </w:pPr>
          </w:p>
        </w:tc>
        <w:tc>
          <w:tcPr>
            <w:tcW w:w="5" w:type="pct"/>
            <w:shd w:val="clear" w:color="auto" w:fill="auto"/>
            <w:vAlign w:val="bottom"/>
          </w:tcPr>
          <w:p w14:paraId="518B74F0" w14:textId="77777777" w:rsidR="005C332D" w:rsidRDefault="005C332D">
            <w:pPr>
              <w:rPr>
                <w:rFonts w:ascii="宋体"/>
              </w:rPr>
            </w:pPr>
          </w:p>
        </w:tc>
      </w:tr>
      <w:tr w:rsidR="005C332D" w14:paraId="518B74F6" w14:textId="77777777">
        <w:tc>
          <w:tcPr>
            <w:tcW w:w="0" w:type="auto"/>
            <w:gridSpan w:val="3"/>
            <w:shd w:val="clear" w:color="auto" w:fill="auto"/>
            <w:tcMar>
              <w:top w:w="40" w:type="dxa"/>
              <w:left w:w="20" w:type="dxa"/>
              <w:bottom w:w="40" w:type="dxa"/>
              <w:right w:w="20" w:type="dxa"/>
            </w:tcMar>
            <w:vAlign w:val="bottom"/>
          </w:tcPr>
          <w:p w14:paraId="518B74F2" w14:textId="77777777" w:rsidR="005C332D" w:rsidRDefault="00B93EAE">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518B74F3"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4F4"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74F5"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74FF" w14:textId="77777777">
        <w:tc>
          <w:tcPr>
            <w:tcW w:w="0" w:type="auto"/>
            <w:gridSpan w:val="3"/>
            <w:shd w:val="clear" w:color="auto" w:fill="auto"/>
            <w:tcMar>
              <w:top w:w="40" w:type="dxa"/>
              <w:left w:w="20" w:type="dxa"/>
              <w:bottom w:w="40" w:type="dxa"/>
              <w:right w:w="20" w:type="dxa"/>
            </w:tcMar>
            <w:vAlign w:val="bottom"/>
          </w:tcPr>
          <w:p w14:paraId="518B74F7" w14:textId="77777777" w:rsidR="005C332D" w:rsidRDefault="00B93EAE">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4F8" w14:textId="77777777" w:rsidR="005C332D" w:rsidRDefault="00B93EAE">
            <w:pPr>
              <w:jc w:val="center"/>
              <w:textAlignment w:val="bottom"/>
            </w:pPr>
            <w:r>
              <w:rPr>
                <w:rFonts w:ascii="Times New Roman" w:eastAsia="宋体" w:hAnsi="Times New Roman"/>
                <w:b/>
                <w:bCs/>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4F9"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4FA" w14:textId="77777777" w:rsidR="005C332D" w:rsidRDefault="00B93EAE">
            <w:pPr>
              <w:jc w:val="center"/>
              <w:textAlignment w:val="bottom"/>
            </w:pPr>
            <w:r>
              <w:rPr>
                <w:rFonts w:ascii="Times New Roman" w:eastAsia="宋体" w:hAnsi="Times New Roman"/>
                <w:b/>
                <w:bCs/>
                <w:color w:val="000000"/>
                <w:sz w:val="16"/>
                <w:szCs w:val="16"/>
              </w:rPr>
              <w:t>Effective Rate</w:t>
            </w:r>
          </w:p>
        </w:tc>
        <w:tc>
          <w:tcPr>
            <w:tcW w:w="0" w:type="auto"/>
            <w:gridSpan w:val="3"/>
            <w:shd w:val="clear" w:color="auto" w:fill="auto"/>
            <w:tcMar>
              <w:top w:w="0" w:type="dxa"/>
              <w:left w:w="20" w:type="dxa"/>
              <w:bottom w:w="0" w:type="dxa"/>
              <w:right w:w="20" w:type="dxa"/>
            </w:tcMar>
            <w:vAlign w:val="bottom"/>
          </w:tcPr>
          <w:p w14:paraId="518B74FB"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4FC" w14:textId="77777777" w:rsidR="005C332D" w:rsidRDefault="00B93EAE">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4FD"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4FE" w14:textId="77777777" w:rsidR="005C332D" w:rsidRDefault="00B93EAE">
            <w:pPr>
              <w:jc w:val="center"/>
              <w:textAlignment w:val="bottom"/>
            </w:pPr>
            <w:r>
              <w:rPr>
                <w:rFonts w:ascii="Times New Roman" w:eastAsia="宋体" w:hAnsi="Times New Roman"/>
                <w:color w:val="000000"/>
                <w:sz w:val="16"/>
                <w:szCs w:val="16"/>
              </w:rPr>
              <w:t>Effective Rate</w:t>
            </w:r>
          </w:p>
        </w:tc>
      </w:tr>
      <w:tr w:rsidR="005C332D" w14:paraId="518B750E" w14:textId="77777777">
        <w:tc>
          <w:tcPr>
            <w:tcW w:w="0" w:type="auto"/>
            <w:gridSpan w:val="3"/>
            <w:shd w:val="clear" w:color="auto" w:fill="CCEEFF"/>
            <w:tcMar>
              <w:top w:w="40" w:type="dxa"/>
              <w:left w:w="20" w:type="dxa"/>
              <w:bottom w:w="40" w:type="dxa"/>
              <w:right w:w="20" w:type="dxa"/>
            </w:tcMar>
          </w:tcPr>
          <w:p w14:paraId="518B7500" w14:textId="77777777" w:rsidR="005C332D" w:rsidRDefault="00B93EAE">
            <w:pPr>
              <w:textAlignment w:val="top"/>
            </w:pPr>
            <w:r>
              <w:rPr>
                <w:rFonts w:ascii="Times New Roman" w:eastAsia="宋体" w:hAnsi="Times New Roman"/>
                <w:color w:val="000000"/>
                <w:sz w:val="20"/>
                <w:szCs w:val="20"/>
              </w:rPr>
              <w:t>Current portion of 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50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502" w14:textId="77777777" w:rsidR="005C332D" w:rsidRDefault="00B93EAE">
            <w:pPr>
              <w:jc w:val="right"/>
              <w:textAlignment w:val="bottom"/>
            </w:pPr>
            <w:r>
              <w:rPr>
                <w:rFonts w:ascii="Times New Roman" w:eastAsia="宋体" w:hAnsi="Times New Roman"/>
                <w:b/>
                <w:bCs/>
                <w:color w:val="000000"/>
                <w:sz w:val="20"/>
                <w:szCs w:val="20"/>
              </w:rPr>
              <w:t>499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50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04"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505" w14:textId="77777777" w:rsidR="005C332D" w:rsidRDefault="00B93EAE">
            <w:pPr>
              <w:jc w:val="right"/>
              <w:textAlignment w:val="bottom"/>
            </w:pPr>
            <w:r>
              <w:rPr>
                <w:rFonts w:ascii="Times New Roman" w:eastAsia="宋体" w:hAnsi="Times New Roman"/>
                <w:b/>
                <w:bCs/>
                <w:color w:val="000000"/>
                <w:sz w:val="20"/>
                <w:szCs w:val="20"/>
              </w:rPr>
              <w:t>2.68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506"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750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50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509" w14:textId="77777777" w:rsidR="005C332D" w:rsidRDefault="00B93EAE">
            <w:pPr>
              <w:jc w:val="right"/>
              <w:textAlignment w:val="bottom"/>
            </w:pPr>
            <w:r>
              <w:rPr>
                <w:rFonts w:ascii="Times New Roman" w:eastAsia="宋体" w:hAnsi="Times New Roman"/>
                <w:color w:val="000000"/>
                <w:sz w:val="20"/>
                <w:szCs w:val="20"/>
              </w:rPr>
              <w:t>2,508 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50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0B"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50C" w14:textId="77777777" w:rsidR="005C332D" w:rsidRDefault="00B93EAE">
            <w:pPr>
              <w:jc w:val="right"/>
              <w:textAlignment w:val="bottom"/>
            </w:pPr>
            <w:r>
              <w:rPr>
                <w:rFonts w:ascii="Times New Roman" w:eastAsia="宋体" w:hAnsi="Times New Roman"/>
                <w:color w:val="000000"/>
                <w:sz w:val="20"/>
                <w:szCs w:val="20"/>
              </w:rPr>
              <w:t>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50D"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751B" w14:textId="77777777">
        <w:tc>
          <w:tcPr>
            <w:tcW w:w="0" w:type="auto"/>
            <w:gridSpan w:val="3"/>
            <w:shd w:val="clear" w:color="auto" w:fill="FFFFFF"/>
            <w:tcMar>
              <w:top w:w="40" w:type="dxa"/>
              <w:left w:w="20" w:type="dxa"/>
              <w:bottom w:w="40" w:type="dxa"/>
              <w:right w:w="20" w:type="dxa"/>
            </w:tcMar>
          </w:tcPr>
          <w:p w14:paraId="518B750F" w14:textId="77777777" w:rsidR="005C332D" w:rsidRDefault="00B93EAE">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518B7510" w14:textId="77777777" w:rsidR="005C332D" w:rsidRDefault="00B93EAE">
            <w:pPr>
              <w:jc w:val="right"/>
              <w:textAlignment w:val="bottom"/>
            </w:pPr>
            <w:r>
              <w:rPr>
                <w:rFonts w:ascii="Times New Roman" w:eastAsia="宋体" w:hAnsi="Times New Roman"/>
                <w:b/>
                <w:bCs/>
                <w:color w:val="000000"/>
                <w:sz w:val="20"/>
                <w:szCs w:val="20"/>
              </w:rPr>
              <w:t>600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51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1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13" w14:textId="77777777" w:rsidR="005C332D" w:rsidRDefault="00B93EAE">
            <w:pPr>
              <w:jc w:val="right"/>
              <w:textAlignment w:val="bottom"/>
            </w:pPr>
            <w:r>
              <w:rPr>
                <w:rFonts w:ascii="Times New Roman" w:eastAsia="宋体" w:hAnsi="Times New Roman"/>
                <w:b/>
                <w:bCs/>
                <w:color w:val="000000"/>
                <w:sz w:val="20"/>
                <w:szCs w:val="20"/>
              </w:rPr>
              <w:t>2.05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514"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751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16"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51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1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19"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51A" w14:textId="77777777" w:rsidR="005C332D" w:rsidRDefault="005C332D">
            <w:pPr>
              <w:jc w:val="right"/>
              <w:rPr>
                <w:rFonts w:ascii="宋体"/>
              </w:rPr>
            </w:pPr>
          </w:p>
        </w:tc>
      </w:tr>
      <w:tr w:rsidR="005C332D" w14:paraId="518B7528" w14:textId="77777777">
        <w:tc>
          <w:tcPr>
            <w:tcW w:w="0" w:type="auto"/>
            <w:gridSpan w:val="3"/>
            <w:shd w:val="clear" w:color="auto" w:fill="CCEEFF"/>
            <w:tcMar>
              <w:top w:w="40" w:type="dxa"/>
              <w:left w:w="380" w:type="dxa"/>
              <w:bottom w:w="40" w:type="dxa"/>
              <w:right w:w="20" w:type="dxa"/>
            </w:tcMar>
          </w:tcPr>
          <w:p w14:paraId="518B751C"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51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51E" w14:textId="77777777" w:rsidR="005C332D" w:rsidRDefault="00B93EAE">
            <w:pPr>
              <w:jc w:val="right"/>
              <w:textAlignment w:val="bottom"/>
            </w:pPr>
            <w:r>
              <w:rPr>
                <w:rFonts w:ascii="Times New Roman" w:eastAsia="宋体" w:hAnsi="Times New Roman"/>
                <w:b/>
                <w:bCs/>
                <w:color w:val="000000"/>
                <w:sz w:val="20"/>
                <w:szCs w:val="20"/>
              </w:rPr>
              <w:t>1,099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51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2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52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52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52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524" w14:textId="77777777" w:rsidR="005C332D" w:rsidRDefault="00B93EAE">
            <w:pPr>
              <w:jc w:val="right"/>
              <w:textAlignment w:val="bottom"/>
            </w:pPr>
            <w:r>
              <w:rPr>
                <w:rFonts w:ascii="Times New Roman" w:eastAsia="宋体" w:hAnsi="Times New Roman"/>
                <w:color w:val="000000"/>
                <w:sz w:val="20"/>
                <w:szCs w:val="20"/>
              </w:rPr>
              <w:t>2,508 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52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2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527" w14:textId="77777777" w:rsidR="005C332D" w:rsidRDefault="005C332D">
            <w:pPr>
              <w:rPr>
                <w:rFonts w:ascii="宋体"/>
              </w:rPr>
            </w:pPr>
          </w:p>
        </w:tc>
      </w:tr>
    </w:tbl>
    <w:p w14:paraId="518B7529" w14:textId="77777777" w:rsidR="005C332D" w:rsidRDefault="00B93EAE">
      <w:pPr>
        <w:spacing w:before="120"/>
        <w:jc w:val="both"/>
      </w:pPr>
      <w:r>
        <w:rPr>
          <w:rFonts w:ascii="Times New Roman" w:eastAsia="宋体" w:hAnsi="Times New Roman"/>
          <w:color w:val="000000"/>
          <w:sz w:val="20"/>
          <w:szCs w:val="20"/>
        </w:rPr>
        <w:t>We have a short-term debt financing program of up to $10.0 billion through the issuance of commercial paper notes. We use the proceeds from the issuance of commercial paper notes for general corp</w:t>
      </w:r>
      <w:r>
        <w:rPr>
          <w:rFonts w:ascii="Times New Roman" w:eastAsia="宋体" w:hAnsi="Times New Roman"/>
          <w:color w:val="000000"/>
          <w:sz w:val="20"/>
          <w:szCs w:val="20"/>
        </w:rPr>
        <w:t>orate purposes.</w:t>
      </w:r>
    </w:p>
    <w:p w14:paraId="518B752A" w14:textId="77777777" w:rsidR="005C332D" w:rsidRDefault="00B93EAE">
      <w:pPr>
        <w:spacing w:before="120"/>
        <w:jc w:val="both"/>
      </w:pPr>
      <w:r>
        <w:rPr>
          <w:rFonts w:ascii="Times New Roman" w:eastAsia="宋体" w:hAnsi="Times New Roman"/>
          <w:color w:val="000000"/>
          <w:sz w:val="20"/>
          <w:szCs w:val="20"/>
        </w:rPr>
        <w:t>The effective rates for the short- and long-term debt include the interest on the notes, the accretion of the discount, the issuance costs, and, if applicable, adjustments related to hedging.</w:t>
      </w:r>
    </w:p>
    <w:p w14:paraId="518B752B" w14:textId="77777777" w:rsidR="005C332D" w:rsidRDefault="00B93EAE">
      <w:pPr>
        <w:spacing w:before="120"/>
        <w:ind w:hanging="360"/>
      </w:pPr>
      <w:r>
        <w:rPr>
          <w:rFonts w:ascii="Times New Roman" w:eastAsia="宋体" w:hAnsi="Times New Roman"/>
          <w:b/>
          <w:bCs/>
          <w:color w:val="000000"/>
          <w:sz w:val="20"/>
          <w:szCs w:val="20"/>
        </w:rPr>
        <w:t>(b)Long-Term Debt</w:t>
      </w:r>
    </w:p>
    <w:p w14:paraId="518B752C" w14:textId="77777777" w:rsidR="005C332D" w:rsidRDefault="00B93EAE">
      <w:pPr>
        <w:spacing w:before="120"/>
      </w:pPr>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summarizes our long-term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2727"/>
        <w:gridCol w:w="39"/>
        <w:gridCol w:w="53"/>
        <w:gridCol w:w="1168"/>
        <w:gridCol w:w="37"/>
        <w:gridCol w:w="36"/>
        <w:gridCol w:w="94"/>
        <w:gridCol w:w="36"/>
        <w:gridCol w:w="121"/>
        <w:gridCol w:w="587"/>
        <w:gridCol w:w="37"/>
        <w:gridCol w:w="36"/>
        <w:gridCol w:w="36"/>
        <w:gridCol w:w="36"/>
        <w:gridCol w:w="93"/>
        <w:gridCol w:w="1023"/>
        <w:gridCol w:w="36"/>
        <w:gridCol w:w="36"/>
        <w:gridCol w:w="36"/>
        <w:gridCol w:w="36"/>
        <w:gridCol w:w="120"/>
        <w:gridCol w:w="600"/>
        <w:gridCol w:w="36"/>
        <w:gridCol w:w="36"/>
        <w:gridCol w:w="36"/>
        <w:gridCol w:w="36"/>
        <w:gridCol w:w="89"/>
        <w:gridCol w:w="978"/>
        <w:gridCol w:w="36"/>
      </w:tblGrid>
      <w:tr w:rsidR="005C332D" w14:paraId="518B754B" w14:textId="77777777">
        <w:trPr>
          <w:jc w:val="center"/>
        </w:trPr>
        <w:tc>
          <w:tcPr>
            <w:tcW w:w="50" w:type="pct"/>
            <w:shd w:val="clear" w:color="auto" w:fill="auto"/>
            <w:vAlign w:val="bottom"/>
          </w:tcPr>
          <w:p w14:paraId="518B752D" w14:textId="77777777" w:rsidR="005C332D" w:rsidRDefault="005C332D">
            <w:pPr>
              <w:rPr>
                <w:rFonts w:ascii="宋体"/>
              </w:rPr>
            </w:pPr>
          </w:p>
        </w:tc>
        <w:tc>
          <w:tcPr>
            <w:tcW w:w="1733" w:type="pct"/>
            <w:shd w:val="clear" w:color="auto" w:fill="auto"/>
            <w:vAlign w:val="bottom"/>
          </w:tcPr>
          <w:p w14:paraId="518B752E" w14:textId="77777777" w:rsidR="005C332D" w:rsidRDefault="005C332D">
            <w:pPr>
              <w:rPr>
                <w:rFonts w:ascii="宋体"/>
              </w:rPr>
            </w:pPr>
          </w:p>
        </w:tc>
        <w:tc>
          <w:tcPr>
            <w:tcW w:w="5" w:type="pct"/>
            <w:shd w:val="clear" w:color="auto" w:fill="auto"/>
            <w:vAlign w:val="bottom"/>
          </w:tcPr>
          <w:p w14:paraId="518B752F" w14:textId="77777777" w:rsidR="005C332D" w:rsidRDefault="005C332D">
            <w:pPr>
              <w:rPr>
                <w:rFonts w:ascii="宋体"/>
              </w:rPr>
            </w:pPr>
          </w:p>
        </w:tc>
        <w:tc>
          <w:tcPr>
            <w:tcW w:w="50" w:type="pct"/>
            <w:shd w:val="clear" w:color="auto" w:fill="auto"/>
            <w:vAlign w:val="bottom"/>
          </w:tcPr>
          <w:p w14:paraId="518B7530" w14:textId="77777777" w:rsidR="005C332D" w:rsidRDefault="005C332D">
            <w:pPr>
              <w:rPr>
                <w:rFonts w:ascii="宋体"/>
              </w:rPr>
            </w:pPr>
          </w:p>
        </w:tc>
        <w:tc>
          <w:tcPr>
            <w:tcW w:w="802" w:type="pct"/>
            <w:shd w:val="clear" w:color="auto" w:fill="auto"/>
            <w:vAlign w:val="bottom"/>
          </w:tcPr>
          <w:p w14:paraId="518B7531" w14:textId="77777777" w:rsidR="005C332D" w:rsidRDefault="005C332D">
            <w:pPr>
              <w:rPr>
                <w:rFonts w:ascii="宋体"/>
              </w:rPr>
            </w:pPr>
          </w:p>
        </w:tc>
        <w:tc>
          <w:tcPr>
            <w:tcW w:w="5" w:type="pct"/>
            <w:shd w:val="clear" w:color="auto" w:fill="auto"/>
            <w:vAlign w:val="bottom"/>
          </w:tcPr>
          <w:p w14:paraId="518B7532" w14:textId="77777777" w:rsidR="005C332D" w:rsidRDefault="005C332D">
            <w:pPr>
              <w:rPr>
                <w:rFonts w:ascii="宋体"/>
              </w:rPr>
            </w:pPr>
          </w:p>
        </w:tc>
        <w:tc>
          <w:tcPr>
            <w:tcW w:w="5" w:type="pct"/>
            <w:shd w:val="clear" w:color="auto" w:fill="auto"/>
            <w:vAlign w:val="bottom"/>
          </w:tcPr>
          <w:p w14:paraId="518B7533" w14:textId="77777777" w:rsidR="005C332D" w:rsidRDefault="005C332D">
            <w:pPr>
              <w:rPr>
                <w:rFonts w:ascii="宋体"/>
              </w:rPr>
            </w:pPr>
          </w:p>
        </w:tc>
        <w:tc>
          <w:tcPr>
            <w:tcW w:w="136" w:type="pct"/>
            <w:shd w:val="clear" w:color="auto" w:fill="auto"/>
            <w:vAlign w:val="bottom"/>
          </w:tcPr>
          <w:p w14:paraId="518B7534" w14:textId="77777777" w:rsidR="005C332D" w:rsidRDefault="005C332D">
            <w:pPr>
              <w:rPr>
                <w:rFonts w:ascii="宋体"/>
              </w:rPr>
            </w:pPr>
          </w:p>
        </w:tc>
        <w:tc>
          <w:tcPr>
            <w:tcW w:w="5" w:type="pct"/>
            <w:shd w:val="clear" w:color="auto" w:fill="auto"/>
            <w:vAlign w:val="bottom"/>
          </w:tcPr>
          <w:p w14:paraId="518B7535" w14:textId="77777777" w:rsidR="005C332D" w:rsidRDefault="005C332D">
            <w:pPr>
              <w:rPr>
                <w:rFonts w:ascii="宋体"/>
              </w:rPr>
            </w:pPr>
          </w:p>
        </w:tc>
        <w:tc>
          <w:tcPr>
            <w:tcW w:w="50" w:type="pct"/>
            <w:shd w:val="clear" w:color="auto" w:fill="auto"/>
            <w:vAlign w:val="bottom"/>
          </w:tcPr>
          <w:p w14:paraId="518B7536" w14:textId="77777777" w:rsidR="005C332D" w:rsidRDefault="005C332D">
            <w:pPr>
              <w:rPr>
                <w:rFonts w:ascii="宋体"/>
              </w:rPr>
            </w:pPr>
          </w:p>
        </w:tc>
        <w:tc>
          <w:tcPr>
            <w:tcW w:w="384" w:type="pct"/>
            <w:shd w:val="clear" w:color="auto" w:fill="auto"/>
            <w:vAlign w:val="bottom"/>
          </w:tcPr>
          <w:p w14:paraId="518B7537" w14:textId="77777777" w:rsidR="005C332D" w:rsidRDefault="005C332D">
            <w:pPr>
              <w:rPr>
                <w:rFonts w:ascii="宋体"/>
              </w:rPr>
            </w:pPr>
          </w:p>
        </w:tc>
        <w:tc>
          <w:tcPr>
            <w:tcW w:w="5" w:type="pct"/>
            <w:shd w:val="clear" w:color="auto" w:fill="auto"/>
            <w:vAlign w:val="bottom"/>
          </w:tcPr>
          <w:p w14:paraId="518B7538" w14:textId="77777777" w:rsidR="005C332D" w:rsidRDefault="005C332D">
            <w:pPr>
              <w:rPr>
                <w:rFonts w:ascii="宋体"/>
              </w:rPr>
            </w:pPr>
          </w:p>
        </w:tc>
        <w:tc>
          <w:tcPr>
            <w:tcW w:w="5" w:type="pct"/>
            <w:shd w:val="clear" w:color="auto" w:fill="auto"/>
            <w:vAlign w:val="bottom"/>
          </w:tcPr>
          <w:p w14:paraId="518B7539" w14:textId="77777777" w:rsidR="005C332D" w:rsidRDefault="005C332D">
            <w:pPr>
              <w:rPr>
                <w:rFonts w:ascii="宋体"/>
              </w:rPr>
            </w:pPr>
          </w:p>
        </w:tc>
        <w:tc>
          <w:tcPr>
            <w:tcW w:w="26" w:type="pct"/>
            <w:shd w:val="clear" w:color="auto" w:fill="auto"/>
            <w:vAlign w:val="bottom"/>
          </w:tcPr>
          <w:p w14:paraId="518B753A" w14:textId="77777777" w:rsidR="005C332D" w:rsidRDefault="005C332D">
            <w:pPr>
              <w:rPr>
                <w:rFonts w:ascii="宋体"/>
              </w:rPr>
            </w:pPr>
          </w:p>
        </w:tc>
        <w:tc>
          <w:tcPr>
            <w:tcW w:w="5" w:type="pct"/>
            <w:shd w:val="clear" w:color="auto" w:fill="auto"/>
            <w:vAlign w:val="bottom"/>
          </w:tcPr>
          <w:p w14:paraId="518B753B" w14:textId="77777777" w:rsidR="005C332D" w:rsidRDefault="005C332D">
            <w:pPr>
              <w:rPr>
                <w:rFonts w:ascii="宋体"/>
              </w:rPr>
            </w:pPr>
          </w:p>
        </w:tc>
        <w:tc>
          <w:tcPr>
            <w:tcW w:w="50" w:type="pct"/>
            <w:shd w:val="clear" w:color="auto" w:fill="auto"/>
            <w:vAlign w:val="bottom"/>
          </w:tcPr>
          <w:p w14:paraId="518B753C" w14:textId="77777777" w:rsidR="005C332D" w:rsidRDefault="005C332D">
            <w:pPr>
              <w:rPr>
                <w:rFonts w:ascii="宋体"/>
              </w:rPr>
            </w:pPr>
          </w:p>
        </w:tc>
        <w:tc>
          <w:tcPr>
            <w:tcW w:w="553" w:type="pct"/>
            <w:shd w:val="clear" w:color="auto" w:fill="auto"/>
            <w:vAlign w:val="bottom"/>
          </w:tcPr>
          <w:p w14:paraId="518B753D" w14:textId="77777777" w:rsidR="005C332D" w:rsidRDefault="005C332D">
            <w:pPr>
              <w:rPr>
                <w:rFonts w:ascii="宋体"/>
              </w:rPr>
            </w:pPr>
          </w:p>
        </w:tc>
        <w:tc>
          <w:tcPr>
            <w:tcW w:w="5" w:type="pct"/>
            <w:shd w:val="clear" w:color="auto" w:fill="auto"/>
            <w:vAlign w:val="bottom"/>
          </w:tcPr>
          <w:p w14:paraId="518B753E" w14:textId="77777777" w:rsidR="005C332D" w:rsidRDefault="005C332D">
            <w:pPr>
              <w:rPr>
                <w:rFonts w:ascii="宋体"/>
              </w:rPr>
            </w:pPr>
          </w:p>
        </w:tc>
        <w:tc>
          <w:tcPr>
            <w:tcW w:w="5" w:type="pct"/>
            <w:shd w:val="clear" w:color="auto" w:fill="auto"/>
            <w:vAlign w:val="bottom"/>
          </w:tcPr>
          <w:p w14:paraId="518B753F" w14:textId="77777777" w:rsidR="005C332D" w:rsidRDefault="005C332D">
            <w:pPr>
              <w:rPr>
                <w:rFonts w:ascii="宋体"/>
              </w:rPr>
            </w:pPr>
          </w:p>
        </w:tc>
        <w:tc>
          <w:tcPr>
            <w:tcW w:w="26" w:type="pct"/>
            <w:shd w:val="clear" w:color="auto" w:fill="auto"/>
            <w:vAlign w:val="bottom"/>
          </w:tcPr>
          <w:p w14:paraId="518B7540" w14:textId="77777777" w:rsidR="005C332D" w:rsidRDefault="005C332D">
            <w:pPr>
              <w:rPr>
                <w:rFonts w:ascii="宋体"/>
              </w:rPr>
            </w:pPr>
          </w:p>
        </w:tc>
        <w:tc>
          <w:tcPr>
            <w:tcW w:w="5" w:type="pct"/>
            <w:shd w:val="clear" w:color="auto" w:fill="auto"/>
            <w:vAlign w:val="bottom"/>
          </w:tcPr>
          <w:p w14:paraId="518B7541" w14:textId="77777777" w:rsidR="005C332D" w:rsidRDefault="005C332D">
            <w:pPr>
              <w:rPr>
                <w:rFonts w:ascii="宋体"/>
              </w:rPr>
            </w:pPr>
          </w:p>
        </w:tc>
        <w:tc>
          <w:tcPr>
            <w:tcW w:w="50" w:type="pct"/>
            <w:shd w:val="clear" w:color="auto" w:fill="auto"/>
            <w:vAlign w:val="bottom"/>
          </w:tcPr>
          <w:p w14:paraId="518B7542" w14:textId="77777777" w:rsidR="005C332D" w:rsidRDefault="005C332D">
            <w:pPr>
              <w:rPr>
                <w:rFonts w:ascii="宋体"/>
              </w:rPr>
            </w:pPr>
          </w:p>
        </w:tc>
        <w:tc>
          <w:tcPr>
            <w:tcW w:w="384" w:type="pct"/>
            <w:shd w:val="clear" w:color="auto" w:fill="auto"/>
            <w:vAlign w:val="bottom"/>
          </w:tcPr>
          <w:p w14:paraId="518B7543" w14:textId="77777777" w:rsidR="005C332D" w:rsidRDefault="005C332D">
            <w:pPr>
              <w:rPr>
                <w:rFonts w:ascii="宋体"/>
              </w:rPr>
            </w:pPr>
          </w:p>
        </w:tc>
        <w:tc>
          <w:tcPr>
            <w:tcW w:w="5" w:type="pct"/>
            <w:shd w:val="clear" w:color="auto" w:fill="auto"/>
            <w:vAlign w:val="bottom"/>
          </w:tcPr>
          <w:p w14:paraId="518B7544" w14:textId="77777777" w:rsidR="005C332D" w:rsidRDefault="005C332D">
            <w:pPr>
              <w:rPr>
                <w:rFonts w:ascii="宋体"/>
              </w:rPr>
            </w:pPr>
          </w:p>
        </w:tc>
        <w:tc>
          <w:tcPr>
            <w:tcW w:w="5" w:type="pct"/>
            <w:shd w:val="clear" w:color="auto" w:fill="auto"/>
            <w:vAlign w:val="bottom"/>
          </w:tcPr>
          <w:p w14:paraId="518B7545" w14:textId="77777777" w:rsidR="005C332D" w:rsidRDefault="005C332D">
            <w:pPr>
              <w:rPr>
                <w:rFonts w:ascii="宋体"/>
              </w:rPr>
            </w:pPr>
          </w:p>
        </w:tc>
        <w:tc>
          <w:tcPr>
            <w:tcW w:w="26" w:type="pct"/>
            <w:shd w:val="clear" w:color="auto" w:fill="auto"/>
            <w:vAlign w:val="bottom"/>
          </w:tcPr>
          <w:p w14:paraId="518B7546" w14:textId="77777777" w:rsidR="005C332D" w:rsidRDefault="005C332D">
            <w:pPr>
              <w:rPr>
                <w:rFonts w:ascii="宋体"/>
              </w:rPr>
            </w:pPr>
          </w:p>
        </w:tc>
        <w:tc>
          <w:tcPr>
            <w:tcW w:w="5" w:type="pct"/>
            <w:shd w:val="clear" w:color="auto" w:fill="auto"/>
            <w:vAlign w:val="bottom"/>
          </w:tcPr>
          <w:p w14:paraId="518B7547" w14:textId="77777777" w:rsidR="005C332D" w:rsidRDefault="005C332D">
            <w:pPr>
              <w:rPr>
                <w:rFonts w:ascii="宋体"/>
              </w:rPr>
            </w:pPr>
          </w:p>
        </w:tc>
        <w:tc>
          <w:tcPr>
            <w:tcW w:w="50" w:type="pct"/>
            <w:shd w:val="clear" w:color="auto" w:fill="auto"/>
            <w:vAlign w:val="bottom"/>
          </w:tcPr>
          <w:p w14:paraId="518B7548" w14:textId="77777777" w:rsidR="005C332D" w:rsidRDefault="005C332D">
            <w:pPr>
              <w:rPr>
                <w:rFonts w:ascii="宋体"/>
              </w:rPr>
            </w:pPr>
          </w:p>
        </w:tc>
        <w:tc>
          <w:tcPr>
            <w:tcW w:w="553" w:type="pct"/>
            <w:shd w:val="clear" w:color="auto" w:fill="auto"/>
            <w:vAlign w:val="bottom"/>
          </w:tcPr>
          <w:p w14:paraId="518B7549" w14:textId="77777777" w:rsidR="005C332D" w:rsidRDefault="005C332D">
            <w:pPr>
              <w:rPr>
                <w:rFonts w:ascii="宋体"/>
              </w:rPr>
            </w:pPr>
          </w:p>
        </w:tc>
        <w:tc>
          <w:tcPr>
            <w:tcW w:w="5" w:type="pct"/>
            <w:shd w:val="clear" w:color="auto" w:fill="auto"/>
            <w:vAlign w:val="bottom"/>
          </w:tcPr>
          <w:p w14:paraId="518B754A" w14:textId="77777777" w:rsidR="005C332D" w:rsidRDefault="005C332D">
            <w:pPr>
              <w:rPr>
                <w:rFonts w:ascii="宋体"/>
              </w:rPr>
            </w:pPr>
          </w:p>
        </w:tc>
      </w:tr>
      <w:tr w:rsidR="005C332D" w14:paraId="518B7552" w14:textId="77777777">
        <w:trPr>
          <w:jc w:val="center"/>
        </w:trPr>
        <w:tc>
          <w:tcPr>
            <w:tcW w:w="0" w:type="auto"/>
            <w:gridSpan w:val="3"/>
            <w:shd w:val="clear" w:color="auto" w:fill="auto"/>
            <w:tcMar>
              <w:top w:w="40" w:type="dxa"/>
              <w:left w:w="20" w:type="dxa"/>
              <w:bottom w:w="40" w:type="dxa"/>
              <w:right w:w="20" w:type="dxa"/>
            </w:tcMar>
            <w:vAlign w:val="bottom"/>
          </w:tcPr>
          <w:p w14:paraId="518B754C"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518B754D"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754E"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754F"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550"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7551"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755D" w14:textId="77777777">
        <w:trPr>
          <w:jc w:val="center"/>
        </w:trPr>
        <w:tc>
          <w:tcPr>
            <w:tcW w:w="0" w:type="auto"/>
            <w:gridSpan w:val="3"/>
            <w:shd w:val="clear" w:color="auto" w:fill="auto"/>
            <w:tcMar>
              <w:top w:w="40" w:type="dxa"/>
              <w:left w:w="20" w:type="dxa"/>
              <w:bottom w:w="40" w:type="dxa"/>
              <w:right w:w="20" w:type="dxa"/>
            </w:tcMar>
            <w:vAlign w:val="bottom"/>
          </w:tcPr>
          <w:p w14:paraId="518B7553"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518B7554" w14:textId="77777777" w:rsidR="005C332D" w:rsidRDefault="00B93EAE">
            <w:pP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vAlign w:val="bottom"/>
          </w:tcPr>
          <w:p w14:paraId="518B7555"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556" w14:textId="77777777" w:rsidR="005C332D" w:rsidRDefault="00B93EAE">
            <w:pPr>
              <w:jc w:val="center"/>
              <w:textAlignment w:val="bottom"/>
            </w:pPr>
            <w:r>
              <w:rPr>
                <w:rFonts w:ascii="Times New Roman" w:eastAsia="宋体" w:hAnsi="Times New Roman"/>
                <w:b/>
                <w:bCs/>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557"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558" w14:textId="77777777" w:rsidR="005C332D" w:rsidRDefault="00B93EAE">
            <w:pPr>
              <w:jc w:val="center"/>
              <w:textAlignment w:val="bottom"/>
            </w:pPr>
            <w:r>
              <w:rPr>
                <w:rFonts w:ascii="Times New Roman" w:eastAsia="宋体" w:hAnsi="Times New Roman"/>
                <w:b/>
                <w:bCs/>
                <w:color w:val="000000"/>
                <w:sz w:val="18"/>
                <w:szCs w:val="18"/>
              </w:rPr>
              <w:t>Effective Rate</w:t>
            </w:r>
          </w:p>
        </w:tc>
        <w:tc>
          <w:tcPr>
            <w:tcW w:w="0" w:type="auto"/>
            <w:gridSpan w:val="3"/>
            <w:shd w:val="clear" w:color="auto" w:fill="auto"/>
            <w:tcMar>
              <w:top w:w="0" w:type="dxa"/>
              <w:left w:w="20" w:type="dxa"/>
              <w:bottom w:w="0" w:type="dxa"/>
              <w:right w:w="20" w:type="dxa"/>
            </w:tcMar>
            <w:vAlign w:val="bottom"/>
          </w:tcPr>
          <w:p w14:paraId="518B7559"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55A" w14:textId="77777777" w:rsidR="005C332D" w:rsidRDefault="00B93EAE">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55B"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55C" w14:textId="77777777" w:rsidR="005C332D" w:rsidRDefault="00B93EAE">
            <w:pPr>
              <w:jc w:val="center"/>
              <w:textAlignment w:val="bottom"/>
            </w:pPr>
            <w:r>
              <w:rPr>
                <w:rFonts w:ascii="Times New Roman" w:eastAsia="宋体" w:hAnsi="Times New Roman"/>
                <w:color w:val="000000"/>
                <w:sz w:val="18"/>
                <w:szCs w:val="18"/>
              </w:rPr>
              <w:t>Effective Rate</w:t>
            </w:r>
          </w:p>
        </w:tc>
      </w:tr>
      <w:tr w:rsidR="005C332D" w14:paraId="518B7568" w14:textId="77777777">
        <w:trPr>
          <w:jc w:val="center"/>
        </w:trPr>
        <w:tc>
          <w:tcPr>
            <w:tcW w:w="0" w:type="auto"/>
            <w:gridSpan w:val="3"/>
            <w:shd w:val="clear" w:color="auto" w:fill="CCEEFF"/>
            <w:tcMar>
              <w:top w:w="40" w:type="dxa"/>
              <w:left w:w="20" w:type="dxa"/>
              <w:bottom w:w="40" w:type="dxa"/>
              <w:right w:w="20" w:type="dxa"/>
            </w:tcMar>
          </w:tcPr>
          <w:p w14:paraId="518B755E" w14:textId="77777777" w:rsidR="005C332D" w:rsidRDefault="00B93EAE">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55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560"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56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562"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56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564"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56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566"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567" w14:textId="77777777" w:rsidR="005C332D" w:rsidRDefault="005C332D">
            <w:pPr>
              <w:rPr>
                <w:rFonts w:ascii="宋体"/>
              </w:rPr>
            </w:pPr>
          </w:p>
        </w:tc>
      </w:tr>
      <w:tr w:rsidR="005C332D" w14:paraId="518B7573" w14:textId="77777777">
        <w:trPr>
          <w:jc w:val="center"/>
        </w:trPr>
        <w:tc>
          <w:tcPr>
            <w:tcW w:w="0" w:type="auto"/>
            <w:gridSpan w:val="3"/>
            <w:shd w:val="clear" w:color="auto" w:fill="FFFFFF"/>
            <w:tcMar>
              <w:top w:w="40" w:type="dxa"/>
              <w:left w:w="155" w:type="dxa"/>
              <w:bottom w:w="40" w:type="dxa"/>
              <w:right w:w="20" w:type="dxa"/>
            </w:tcMar>
          </w:tcPr>
          <w:p w14:paraId="518B7569" w14:textId="77777777" w:rsidR="005C332D" w:rsidRDefault="00B93EAE">
            <w:pPr>
              <w:textAlignment w:val="top"/>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vAlign w:val="bottom"/>
          </w:tcPr>
          <w:p w14:paraId="518B756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56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56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56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56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56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57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57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572" w14:textId="77777777" w:rsidR="005C332D" w:rsidRDefault="005C332D">
            <w:pPr>
              <w:rPr>
                <w:rFonts w:ascii="宋体"/>
              </w:rPr>
            </w:pPr>
          </w:p>
        </w:tc>
      </w:tr>
      <w:tr w:rsidR="005C332D" w14:paraId="518B7582" w14:textId="77777777">
        <w:trPr>
          <w:jc w:val="center"/>
        </w:trPr>
        <w:tc>
          <w:tcPr>
            <w:tcW w:w="0" w:type="auto"/>
            <w:gridSpan w:val="3"/>
            <w:shd w:val="clear" w:color="auto" w:fill="CCEEFF"/>
            <w:tcMar>
              <w:top w:w="40" w:type="dxa"/>
              <w:left w:w="380" w:type="dxa"/>
              <w:bottom w:w="40" w:type="dxa"/>
              <w:right w:w="20" w:type="dxa"/>
            </w:tcMar>
            <w:vAlign w:val="center"/>
          </w:tcPr>
          <w:p w14:paraId="518B7574" w14:textId="77777777" w:rsidR="005C332D" w:rsidRDefault="00B93EAE">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518B7575" w14:textId="77777777" w:rsidR="005C332D" w:rsidRDefault="00B93EAE">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vAlign w:val="bottom"/>
          </w:tcPr>
          <w:p w14:paraId="518B757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577"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7578"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57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7A"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57B" w14:textId="77777777" w:rsidR="005C332D" w:rsidRDefault="00B93EAE">
            <w:pPr>
              <w:jc w:val="center"/>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757C"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57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57E" w14:textId="77777777" w:rsidR="005C332D" w:rsidRDefault="00B93EAE">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518B757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80"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581" w14:textId="77777777" w:rsidR="005C332D" w:rsidRDefault="00B93EAE">
            <w:pPr>
              <w:jc w:val="center"/>
              <w:textAlignment w:val="bottom"/>
            </w:pPr>
            <w:r>
              <w:rPr>
                <w:rFonts w:ascii="Times New Roman" w:eastAsia="宋体" w:hAnsi="Times New Roman"/>
                <w:color w:val="000000"/>
                <w:sz w:val="20"/>
                <w:szCs w:val="20"/>
              </w:rPr>
              <w:t>1.90%</w:t>
            </w:r>
          </w:p>
        </w:tc>
      </w:tr>
      <w:tr w:rsidR="005C332D" w14:paraId="518B758F" w14:textId="77777777">
        <w:trPr>
          <w:jc w:val="center"/>
        </w:trPr>
        <w:tc>
          <w:tcPr>
            <w:tcW w:w="0" w:type="auto"/>
            <w:gridSpan w:val="3"/>
            <w:shd w:val="clear" w:color="auto" w:fill="FFFFFF"/>
            <w:tcMar>
              <w:top w:w="40" w:type="dxa"/>
              <w:left w:w="380" w:type="dxa"/>
              <w:bottom w:w="40" w:type="dxa"/>
              <w:right w:w="20" w:type="dxa"/>
            </w:tcMar>
            <w:vAlign w:val="center"/>
          </w:tcPr>
          <w:p w14:paraId="518B7583" w14:textId="77777777" w:rsidR="005C332D" w:rsidRDefault="00B93EAE">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518B7584" w14:textId="77777777" w:rsidR="005C332D" w:rsidRDefault="00B93EAE">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vAlign w:val="bottom"/>
          </w:tcPr>
          <w:p w14:paraId="518B758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86"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58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88"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589" w14:textId="77777777" w:rsidR="005C332D" w:rsidRDefault="00B93EAE">
            <w:pPr>
              <w:jc w:val="center"/>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518B758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8B" w14:textId="77777777" w:rsidR="005C332D" w:rsidRDefault="00B93EAE">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518B758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8D"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58E" w14:textId="77777777" w:rsidR="005C332D" w:rsidRDefault="00B93EAE">
            <w:pPr>
              <w:jc w:val="center"/>
              <w:textAlignment w:val="bottom"/>
            </w:pPr>
            <w:r>
              <w:rPr>
                <w:rFonts w:ascii="Times New Roman" w:eastAsia="宋体" w:hAnsi="Times New Roman"/>
                <w:color w:val="000000"/>
                <w:sz w:val="20"/>
                <w:szCs w:val="20"/>
              </w:rPr>
              <w:t>1.13%</w:t>
            </w:r>
          </w:p>
        </w:tc>
      </w:tr>
      <w:tr w:rsidR="005C332D" w14:paraId="518B759C" w14:textId="77777777">
        <w:trPr>
          <w:jc w:val="center"/>
        </w:trPr>
        <w:tc>
          <w:tcPr>
            <w:tcW w:w="0" w:type="auto"/>
            <w:gridSpan w:val="3"/>
            <w:shd w:val="clear" w:color="auto" w:fill="CCEEFF"/>
            <w:tcMar>
              <w:top w:w="40" w:type="dxa"/>
              <w:left w:w="380" w:type="dxa"/>
              <w:bottom w:w="40" w:type="dxa"/>
              <w:right w:w="20" w:type="dxa"/>
            </w:tcMar>
            <w:vAlign w:val="center"/>
          </w:tcPr>
          <w:p w14:paraId="518B7590" w14:textId="77777777" w:rsidR="005C332D" w:rsidRDefault="00B93EAE">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518B7591" w14:textId="77777777" w:rsidR="005C332D" w:rsidRDefault="00B93EAE">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vAlign w:val="bottom"/>
          </w:tcPr>
          <w:p w14:paraId="518B759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593" w14:textId="77777777" w:rsidR="005C332D" w:rsidRDefault="00B93EAE">
            <w:pPr>
              <w:jc w:val="right"/>
              <w:textAlignment w:val="bottom"/>
            </w:pPr>
            <w:r>
              <w:rPr>
                <w:rFonts w:ascii="Times New Roman" w:eastAsia="宋体" w:hAnsi="Times New Roman"/>
                <w:b/>
                <w:bCs/>
                <w:color w:val="000000"/>
                <w:sz w:val="20"/>
                <w:szCs w:val="20"/>
              </w:rPr>
              <w:t>500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59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9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596" w14:textId="77777777" w:rsidR="005C332D" w:rsidRDefault="00B93EAE">
            <w:pPr>
              <w:jc w:val="center"/>
              <w:textAlignment w:val="bottom"/>
            </w:pPr>
            <w:r>
              <w:rPr>
                <w:rFonts w:ascii="Times New Roman" w:eastAsia="宋体" w:hAnsi="Times New Roman"/>
                <w:b/>
                <w:bCs/>
                <w:color w:val="000000"/>
                <w:sz w:val="20"/>
                <w:szCs w:val="20"/>
              </w:rPr>
              <w:t>2.68%</w:t>
            </w:r>
          </w:p>
        </w:tc>
        <w:tc>
          <w:tcPr>
            <w:tcW w:w="0" w:type="auto"/>
            <w:gridSpan w:val="3"/>
            <w:shd w:val="clear" w:color="auto" w:fill="CCEEFF"/>
            <w:tcMar>
              <w:top w:w="0" w:type="dxa"/>
              <w:left w:w="20" w:type="dxa"/>
              <w:bottom w:w="0" w:type="dxa"/>
              <w:right w:w="20" w:type="dxa"/>
            </w:tcMar>
            <w:vAlign w:val="bottom"/>
          </w:tcPr>
          <w:p w14:paraId="518B759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598" w14:textId="77777777" w:rsidR="005C332D" w:rsidRDefault="00B93EAE">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518B759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9A"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59B" w14:textId="77777777" w:rsidR="005C332D" w:rsidRDefault="00B93EAE">
            <w:pPr>
              <w:jc w:val="center"/>
              <w:textAlignment w:val="bottom"/>
            </w:pPr>
            <w:r>
              <w:rPr>
                <w:rFonts w:ascii="Times New Roman" w:eastAsia="宋体" w:hAnsi="Times New Roman"/>
                <w:color w:val="000000"/>
                <w:sz w:val="20"/>
                <w:szCs w:val="20"/>
              </w:rPr>
              <w:t>2.68%</w:t>
            </w:r>
          </w:p>
        </w:tc>
      </w:tr>
      <w:tr w:rsidR="005C332D" w14:paraId="518B75A9" w14:textId="77777777">
        <w:trPr>
          <w:jc w:val="center"/>
        </w:trPr>
        <w:tc>
          <w:tcPr>
            <w:tcW w:w="0" w:type="auto"/>
            <w:gridSpan w:val="3"/>
            <w:shd w:val="clear" w:color="auto" w:fill="FFFFFF"/>
            <w:tcMar>
              <w:top w:w="40" w:type="dxa"/>
              <w:left w:w="380" w:type="dxa"/>
              <w:bottom w:w="40" w:type="dxa"/>
              <w:right w:w="20" w:type="dxa"/>
            </w:tcMar>
            <w:vAlign w:val="center"/>
          </w:tcPr>
          <w:p w14:paraId="518B759D" w14:textId="77777777" w:rsidR="005C332D" w:rsidRDefault="00B93EAE">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518B759E" w14:textId="77777777" w:rsidR="005C332D" w:rsidRDefault="00B93EAE">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vAlign w:val="bottom"/>
          </w:tcPr>
          <w:p w14:paraId="518B759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A0" w14:textId="77777777" w:rsidR="005C332D" w:rsidRDefault="00B93EAE">
            <w:pPr>
              <w:jc w:val="right"/>
              <w:textAlignment w:val="bottom"/>
            </w:pPr>
            <w:r>
              <w:rPr>
                <w:rFonts w:ascii="Times New Roman" w:eastAsia="宋体" w:hAnsi="Times New Roman"/>
                <w:b/>
                <w:bCs/>
                <w:color w:val="000000"/>
                <w:sz w:val="20"/>
                <w:szCs w:val="20"/>
              </w:rPr>
              <w:t>750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5A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A2"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5A3" w14:textId="77777777" w:rsidR="005C332D" w:rsidRDefault="00B93EAE">
            <w:pPr>
              <w:jc w:val="center"/>
              <w:textAlignment w:val="bottom"/>
            </w:pPr>
            <w:r>
              <w:rPr>
                <w:rFonts w:ascii="Times New Roman" w:eastAsia="宋体" w:hAnsi="Times New Roman"/>
                <w:b/>
                <w:bCs/>
                <w:color w:val="000000"/>
                <w:sz w:val="20"/>
                <w:szCs w:val="20"/>
              </w:rPr>
              <w:t>2.27%</w:t>
            </w:r>
          </w:p>
        </w:tc>
        <w:tc>
          <w:tcPr>
            <w:tcW w:w="0" w:type="auto"/>
            <w:gridSpan w:val="3"/>
            <w:shd w:val="clear" w:color="auto" w:fill="FFFFFF"/>
            <w:tcMar>
              <w:top w:w="0" w:type="dxa"/>
              <w:left w:w="20" w:type="dxa"/>
              <w:bottom w:w="0" w:type="dxa"/>
              <w:right w:w="20" w:type="dxa"/>
            </w:tcMar>
            <w:vAlign w:val="bottom"/>
          </w:tcPr>
          <w:p w14:paraId="518B75A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A5" w14:textId="77777777" w:rsidR="005C332D" w:rsidRDefault="00B93EAE">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518B75A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A7"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5A8" w14:textId="77777777" w:rsidR="005C332D" w:rsidRDefault="00B93EAE">
            <w:pPr>
              <w:jc w:val="center"/>
              <w:textAlignment w:val="bottom"/>
            </w:pPr>
            <w:r>
              <w:rPr>
                <w:rFonts w:ascii="Times New Roman" w:eastAsia="宋体" w:hAnsi="Times New Roman"/>
                <w:color w:val="000000"/>
                <w:sz w:val="20"/>
                <w:szCs w:val="20"/>
              </w:rPr>
              <w:t>2.27%</w:t>
            </w:r>
          </w:p>
        </w:tc>
      </w:tr>
      <w:tr w:rsidR="005C332D" w14:paraId="518B75B6" w14:textId="77777777">
        <w:trPr>
          <w:jc w:val="center"/>
        </w:trPr>
        <w:tc>
          <w:tcPr>
            <w:tcW w:w="0" w:type="auto"/>
            <w:gridSpan w:val="3"/>
            <w:shd w:val="clear" w:color="auto" w:fill="CCEEFF"/>
            <w:tcMar>
              <w:top w:w="40" w:type="dxa"/>
              <w:left w:w="380" w:type="dxa"/>
              <w:bottom w:w="40" w:type="dxa"/>
              <w:right w:w="20" w:type="dxa"/>
            </w:tcMar>
            <w:vAlign w:val="center"/>
          </w:tcPr>
          <w:p w14:paraId="518B75AA" w14:textId="77777777" w:rsidR="005C332D" w:rsidRDefault="00B93EAE">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518B75AB" w14:textId="77777777" w:rsidR="005C332D" w:rsidRDefault="00B93EAE">
            <w:pPr>
              <w:textAlignment w:val="bottom"/>
            </w:pPr>
            <w:r>
              <w:rPr>
                <w:rFonts w:ascii="Times New Roman" w:eastAsia="宋体" w:hAnsi="Times New Roman"/>
                <w:color w:val="000000"/>
                <w:sz w:val="20"/>
                <w:szCs w:val="20"/>
              </w:rPr>
              <w:t>March 4, 2024</w:t>
            </w:r>
          </w:p>
        </w:tc>
        <w:tc>
          <w:tcPr>
            <w:tcW w:w="0" w:type="auto"/>
            <w:gridSpan w:val="3"/>
            <w:shd w:val="clear" w:color="auto" w:fill="CCEEFF"/>
            <w:tcMar>
              <w:top w:w="0" w:type="dxa"/>
              <w:left w:w="20" w:type="dxa"/>
              <w:bottom w:w="0" w:type="dxa"/>
              <w:right w:w="20" w:type="dxa"/>
            </w:tcMar>
            <w:vAlign w:val="bottom"/>
          </w:tcPr>
          <w:p w14:paraId="518B75A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5AD" w14:textId="77777777" w:rsidR="005C332D" w:rsidRDefault="00B93EAE">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5A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AF"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5B0" w14:textId="77777777" w:rsidR="005C332D" w:rsidRDefault="00B93EAE">
            <w:pPr>
              <w:jc w:val="center"/>
              <w:textAlignment w:val="bottom"/>
            </w:pPr>
            <w:r>
              <w:rPr>
                <w:rFonts w:ascii="Times New Roman" w:eastAsia="宋体" w:hAnsi="Times New Roman"/>
                <w:b/>
                <w:bCs/>
                <w:color w:val="000000"/>
                <w:sz w:val="20"/>
                <w:szCs w:val="20"/>
              </w:rPr>
              <w:t>2.69%</w:t>
            </w:r>
          </w:p>
        </w:tc>
        <w:tc>
          <w:tcPr>
            <w:tcW w:w="0" w:type="auto"/>
            <w:gridSpan w:val="3"/>
            <w:shd w:val="clear" w:color="auto" w:fill="CCEEFF"/>
            <w:tcMar>
              <w:top w:w="0" w:type="dxa"/>
              <w:left w:w="20" w:type="dxa"/>
              <w:bottom w:w="0" w:type="dxa"/>
              <w:right w:w="20" w:type="dxa"/>
            </w:tcMar>
            <w:vAlign w:val="bottom"/>
          </w:tcPr>
          <w:p w14:paraId="518B75B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5B2" w14:textId="77777777" w:rsidR="005C332D" w:rsidRDefault="00B93EAE">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518B75B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B4"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5B5" w14:textId="77777777" w:rsidR="005C332D" w:rsidRDefault="00B93EAE">
            <w:pPr>
              <w:jc w:val="center"/>
              <w:textAlignment w:val="bottom"/>
            </w:pPr>
            <w:r>
              <w:rPr>
                <w:rFonts w:ascii="Times New Roman" w:eastAsia="宋体" w:hAnsi="Times New Roman"/>
                <w:color w:val="000000"/>
                <w:sz w:val="20"/>
                <w:szCs w:val="20"/>
              </w:rPr>
              <w:t>1.00%</w:t>
            </w:r>
          </w:p>
        </w:tc>
      </w:tr>
      <w:tr w:rsidR="005C332D" w14:paraId="518B75C3" w14:textId="77777777">
        <w:trPr>
          <w:jc w:val="center"/>
        </w:trPr>
        <w:tc>
          <w:tcPr>
            <w:tcW w:w="0" w:type="auto"/>
            <w:gridSpan w:val="3"/>
            <w:shd w:val="clear" w:color="auto" w:fill="FFFFFF"/>
            <w:tcMar>
              <w:top w:w="40" w:type="dxa"/>
              <w:left w:w="380" w:type="dxa"/>
              <w:bottom w:w="40" w:type="dxa"/>
              <w:right w:w="20" w:type="dxa"/>
            </w:tcMar>
            <w:vAlign w:val="center"/>
          </w:tcPr>
          <w:p w14:paraId="518B75B7" w14:textId="77777777" w:rsidR="005C332D" w:rsidRDefault="00B93EAE">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518B75B8" w14:textId="77777777" w:rsidR="005C332D" w:rsidRDefault="00B93EAE">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vAlign w:val="bottom"/>
          </w:tcPr>
          <w:p w14:paraId="518B75B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BA" w14:textId="77777777" w:rsidR="005C332D" w:rsidRDefault="00B93EAE">
            <w:pPr>
              <w:jc w:val="right"/>
              <w:textAlignment w:val="bottom"/>
            </w:pPr>
            <w:r>
              <w:rPr>
                <w:rFonts w:ascii="Times New Roman" w:eastAsia="宋体" w:hAnsi="Times New Roman"/>
                <w:b/>
                <w:bCs/>
                <w:color w:val="000000"/>
                <w:sz w:val="20"/>
                <w:szCs w:val="20"/>
              </w:rPr>
              <w:t>500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5B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BC"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5BD" w14:textId="77777777" w:rsidR="005C332D" w:rsidRDefault="00B93EAE">
            <w:pPr>
              <w:jc w:val="center"/>
              <w:textAlignment w:val="bottom"/>
            </w:pPr>
            <w:r>
              <w:rPr>
                <w:rFonts w:ascii="Times New Roman" w:eastAsia="宋体" w:hAnsi="Times New Roman"/>
                <w:b/>
                <w:bCs/>
                <w:color w:val="000000"/>
                <w:sz w:val="20"/>
                <w:szCs w:val="20"/>
              </w:rPr>
              <w:t>3.20%</w:t>
            </w:r>
          </w:p>
        </w:tc>
        <w:tc>
          <w:tcPr>
            <w:tcW w:w="0" w:type="auto"/>
            <w:gridSpan w:val="3"/>
            <w:shd w:val="clear" w:color="auto" w:fill="FFFFFF"/>
            <w:tcMar>
              <w:top w:w="0" w:type="dxa"/>
              <w:left w:w="20" w:type="dxa"/>
              <w:bottom w:w="0" w:type="dxa"/>
              <w:right w:w="20" w:type="dxa"/>
            </w:tcMar>
            <w:vAlign w:val="bottom"/>
          </w:tcPr>
          <w:p w14:paraId="518B75B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BF" w14:textId="77777777" w:rsidR="005C332D" w:rsidRDefault="00B93EAE">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518B75C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C1"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5C2" w14:textId="77777777" w:rsidR="005C332D" w:rsidRDefault="00B93EAE">
            <w:pPr>
              <w:jc w:val="center"/>
              <w:textAlignment w:val="bottom"/>
            </w:pPr>
            <w:r>
              <w:rPr>
                <w:rFonts w:ascii="Times New Roman" w:eastAsia="宋体" w:hAnsi="Times New Roman"/>
                <w:color w:val="000000"/>
                <w:sz w:val="20"/>
                <w:szCs w:val="20"/>
              </w:rPr>
              <w:t>1.29%</w:t>
            </w:r>
          </w:p>
        </w:tc>
      </w:tr>
      <w:tr w:rsidR="005C332D" w14:paraId="518B75D0" w14:textId="77777777">
        <w:trPr>
          <w:jc w:val="center"/>
        </w:trPr>
        <w:tc>
          <w:tcPr>
            <w:tcW w:w="0" w:type="auto"/>
            <w:gridSpan w:val="3"/>
            <w:shd w:val="clear" w:color="auto" w:fill="CCEEFF"/>
            <w:tcMar>
              <w:top w:w="40" w:type="dxa"/>
              <w:left w:w="380" w:type="dxa"/>
              <w:bottom w:w="40" w:type="dxa"/>
              <w:right w:w="20" w:type="dxa"/>
            </w:tcMar>
            <w:vAlign w:val="center"/>
          </w:tcPr>
          <w:p w14:paraId="518B75C4" w14:textId="77777777" w:rsidR="005C332D" w:rsidRDefault="00B93EAE">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518B75C5" w14:textId="77777777" w:rsidR="005C332D" w:rsidRDefault="00B93EAE">
            <w:pPr>
              <w:textAlignment w:val="bottom"/>
            </w:pPr>
            <w:r>
              <w:rPr>
                <w:rFonts w:ascii="Times New Roman" w:eastAsia="宋体" w:hAnsi="Times New Roman"/>
                <w:color w:val="000000"/>
                <w:sz w:val="20"/>
                <w:szCs w:val="20"/>
              </w:rPr>
              <w:t>February 28, 2026</w:t>
            </w:r>
          </w:p>
        </w:tc>
        <w:tc>
          <w:tcPr>
            <w:tcW w:w="0" w:type="auto"/>
            <w:gridSpan w:val="3"/>
            <w:shd w:val="clear" w:color="auto" w:fill="CCEEFF"/>
            <w:tcMar>
              <w:top w:w="0" w:type="dxa"/>
              <w:left w:w="20" w:type="dxa"/>
              <w:bottom w:w="0" w:type="dxa"/>
              <w:right w:w="20" w:type="dxa"/>
            </w:tcMar>
            <w:vAlign w:val="bottom"/>
          </w:tcPr>
          <w:p w14:paraId="518B75C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5C7" w14:textId="77777777" w:rsidR="005C332D" w:rsidRDefault="00B93EAE">
            <w:pPr>
              <w:jc w:val="right"/>
              <w:textAlignment w:val="bottom"/>
            </w:pPr>
            <w:r>
              <w:rPr>
                <w:rFonts w:ascii="Times New Roman" w:eastAsia="宋体" w:hAnsi="Times New Roman"/>
                <w:b/>
                <w:bCs/>
                <w:color w:val="000000"/>
                <w:sz w:val="20"/>
                <w:szCs w:val="20"/>
              </w:rPr>
              <w:t>750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5C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C9"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5CA" w14:textId="77777777" w:rsidR="005C332D" w:rsidRDefault="00B93EAE">
            <w:pPr>
              <w:jc w:val="center"/>
              <w:textAlignment w:val="bottom"/>
            </w:pPr>
            <w:r>
              <w:rPr>
                <w:rFonts w:ascii="Times New Roman" w:eastAsia="宋体" w:hAnsi="Times New Roman"/>
                <w:b/>
                <w:bCs/>
                <w:color w:val="000000"/>
                <w:sz w:val="20"/>
                <w:szCs w:val="20"/>
              </w:rPr>
              <w:t>3.01%</w:t>
            </w:r>
          </w:p>
        </w:tc>
        <w:tc>
          <w:tcPr>
            <w:tcW w:w="0" w:type="auto"/>
            <w:gridSpan w:val="3"/>
            <w:shd w:val="clear" w:color="auto" w:fill="CCEEFF"/>
            <w:tcMar>
              <w:top w:w="0" w:type="dxa"/>
              <w:left w:w="20" w:type="dxa"/>
              <w:bottom w:w="0" w:type="dxa"/>
              <w:right w:w="20" w:type="dxa"/>
            </w:tcMar>
            <w:vAlign w:val="bottom"/>
          </w:tcPr>
          <w:p w14:paraId="518B75C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5CC" w14:textId="77777777" w:rsidR="005C332D" w:rsidRDefault="00B93EAE">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518B75C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CE"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5CF" w14:textId="77777777" w:rsidR="005C332D" w:rsidRDefault="00B93EAE">
            <w:pPr>
              <w:jc w:val="center"/>
              <w:textAlignment w:val="bottom"/>
            </w:pPr>
            <w:r>
              <w:rPr>
                <w:rFonts w:ascii="Times New Roman" w:eastAsia="宋体" w:hAnsi="Times New Roman"/>
                <w:color w:val="000000"/>
                <w:sz w:val="20"/>
                <w:szCs w:val="20"/>
              </w:rPr>
              <w:t>3.01%</w:t>
            </w:r>
          </w:p>
        </w:tc>
      </w:tr>
      <w:tr w:rsidR="005C332D" w14:paraId="518B75DD" w14:textId="77777777">
        <w:trPr>
          <w:jc w:val="center"/>
        </w:trPr>
        <w:tc>
          <w:tcPr>
            <w:tcW w:w="0" w:type="auto"/>
            <w:gridSpan w:val="3"/>
            <w:shd w:val="clear" w:color="auto" w:fill="FFFFFF"/>
            <w:tcMar>
              <w:top w:w="40" w:type="dxa"/>
              <w:left w:w="380" w:type="dxa"/>
              <w:bottom w:w="40" w:type="dxa"/>
              <w:right w:w="20" w:type="dxa"/>
            </w:tcMar>
            <w:vAlign w:val="center"/>
          </w:tcPr>
          <w:p w14:paraId="518B75D1" w14:textId="77777777" w:rsidR="005C332D" w:rsidRDefault="00B93EAE">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518B75D2" w14:textId="77777777" w:rsidR="005C332D" w:rsidRDefault="00B93EAE">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vAlign w:val="bottom"/>
          </w:tcPr>
          <w:p w14:paraId="518B75D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D4" w14:textId="77777777" w:rsidR="005C332D" w:rsidRDefault="00B93EAE">
            <w:pPr>
              <w:jc w:val="right"/>
              <w:textAlignment w:val="bottom"/>
            </w:pPr>
            <w:r>
              <w:rPr>
                <w:rFonts w:ascii="Times New Roman" w:eastAsia="宋体" w:hAnsi="Times New Roman"/>
                <w:b/>
                <w:bCs/>
                <w:color w:val="000000"/>
                <w:sz w:val="20"/>
                <w:szCs w:val="20"/>
              </w:rPr>
              <w:t>1,500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5D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D6"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5D7" w14:textId="77777777" w:rsidR="005C332D" w:rsidRDefault="00B93EAE">
            <w:pPr>
              <w:jc w:val="center"/>
              <w:textAlignment w:val="bottom"/>
            </w:pPr>
            <w:r>
              <w:rPr>
                <w:rFonts w:ascii="Times New Roman" w:eastAsia="宋体" w:hAnsi="Times New Roman"/>
                <w:b/>
                <w:bCs/>
                <w:color w:val="000000"/>
                <w:sz w:val="20"/>
                <w:szCs w:val="20"/>
              </w:rPr>
              <w:t>2.55%</w:t>
            </w:r>
          </w:p>
        </w:tc>
        <w:tc>
          <w:tcPr>
            <w:tcW w:w="0" w:type="auto"/>
            <w:gridSpan w:val="3"/>
            <w:shd w:val="clear" w:color="auto" w:fill="FFFFFF"/>
            <w:tcMar>
              <w:top w:w="0" w:type="dxa"/>
              <w:left w:w="20" w:type="dxa"/>
              <w:bottom w:w="0" w:type="dxa"/>
              <w:right w:w="20" w:type="dxa"/>
            </w:tcMar>
            <w:vAlign w:val="bottom"/>
          </w:tcPr>
          <w:p w14:paraId="518B75D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D9" w14:textId="77777777" w:rsidR="005C332D" w:rsidRDefault="00B93EAE">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518B75D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D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5DC" w14:textId="77777777" w:rsidR="005C332D" w:rsidRDefault="00B93EAE">
            <w:pPr>
              <w:jc w:val="center"/>
              <w:textAlignment w:val="bottom"/>
            </w:pPr>
            <w:r>
              <w:rPr>
                <w:rFonts w:ascii="Times New Roman" w:eastAsia="宋体" w:hAnsi="Times New Roman"/>
                <w:color w:val="000000"/>
                <w:sz w:val="20"/>
                <w:szCs w:val="20"/>
              </w:rPr>
              <w:t>2.55%</w:t>
            </w:r>
          </w:p>
        </w:tc>
      </w:tr>
      <w:tr w:rsidR="005C332D" w14:paraId="518B75EA" w14:textId="77777777">
        <w:trPr>
          <w:jc w:val="center"/>
        </w:trPr>
        <w:tc>
          <w:tcPr>
            <w:tcW w:w="0" w:type="auto"/>
            <w:gridSpan w:val="3"/>
            <w:shd w:val="clear" w:color="auto" w:fill="CCEEFF"/>
            <w:tcMar>
              <w:top w:w="40" w:type="dxa"/>
              <w:left w:w="380" w:type="dxa"/>
              <w:bottom w:w="40" w:type="dxa"/>
              <w:right w:w="20" w:type="dxa"/>
            </w:tcMar>
            <w:vAlign w:val="center"/>
          </w:tcPr>
          <w:p w14:paraId="518B75DE" w14:textId="77777777" w:rsidR="005C332D" w:rsidRDefault="00B93EAE">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518B75DF" w14:textId="77777777" w:rsidR="005C332D" w:rsidRDefault="00B93EAE">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vAlign w:val="bottom"/>
          </w:tcPr>
          <w:p w14:paraId="518B75E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5E1" w14:textId="77777777" w:rsidR="005C332D" w:rsidRDefault="00B93EAE">
            <w:pPr>
              <w:jc w:val="right"/>
              <w:textAlignment w:val="bottom"/>
            </w:pPr>
            <w:r>
              <w:rPr>
                <w:rFonts w:ascii="Times New Roman" w:eastAsia="宋体" w:hAnsi="Times New Roman"/>
                <w:b/>
                <w:bCs/>
                <w:color w:val="000000"/>
                <w:sz w:val="20"/>
                <w:szCs w:val="20"/>
              </w:rPr>
              <w:t>2,000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5E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E3"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5E4" w14:textId="77777777" w:rsidR="005C332D" w:rsidRDefault="00B93EAE">
            <w:pPr>
              <w:jc w:val="center"/>
              <w:textAlignment w:val="bottom"/>
            </w:pPr>
            <w:r>
              <w:rPr>
                <w:rFonts w:ascii="Times New Roman" w:eastAsia="宋体" w:hAnsi="Times New Roman"/>
                <w:b/>
                <w:bCs/>
                <w:color w:val="000000"/>
                <w:sz w:val="20"/>
                <w:szCs w:val="20"/>
              </w:rPr>
              <w:t>6.11%</w:t>
            </w:r>
          </w:p>
        </w:tc>
        <w:tc>
          <w:tcPr>
            <w:tcW w:w="0" w:type="auto"/>
            <w:gridSpan w:val="3"/>
            <w:shd w:val="clear" w:color="auto" w:fill="CCEEFF"/>
            <w:tcMar>
              <w:top w:w="0" w:type="dxa"/>
              <w:left w:w="20" w:type="dxa"/>
              <w:bottom w:w="0" w:type="dxa"/>
              <w:right w:w="20" w:type="dxa"/>
            </w:tcMar>
            <w:vAlign w:val="bottom"/>
          </w:tcPr>
          <w:p w14:paraId="518B75E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5E6" w14:textId="77777777" w:rsidR="005C332D" w:rsidRDefault="00B93EAE">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518B75E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E8"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5E9" w14:textId="77777777" w:rsidR="005C332D" w:rsidRDefault="00B93EAE">
            <w:pPr>
              <w:jc w:val="center"/>
              <w:textAlignment w:val="bottom"/>
            </w:pPr>
            <w:r>
              <w:rPr>
                <w:rFonts w:ascii="Times New Roman" w:eastAsia="宋体" w:hAnsi="Times New Roman"/>
                <w:color w:val="000000"/>
                <w:sz w:val="20"/>
                <w:szCs w:val="20"/>
              </w:rPr>
              <w:t>6.11%</w:t>
            </w:r>
          </w:p>
        </w:tc>
      </w:tr>
      <w:tr w:rsidR="005C332D" w14:paraId="518B75F7" w14:textId="77777777">
        <w:trPr>
          <w:jc w:val="center"/>
        </w:trPr>
        <w:tc>
          <w:tcPr>
            <w:tcW w:w="0" w:type="auto"/>
            <w:gridSpan w:val="3"/>
            <w:shd w:val="clear" w:color="auto" w:fill="FFFFFF"/>
            <w:tcMar>
              <w:top w:w="40" w:type="dxa"/>
              <w:left w:w="380" w:type="dxa"/>
              <w:bottom w:w="40" w:type="dxa"/>
              <w:right w:w="20" w:type="dxa"/>
            </w:tcMar>
            <w:vAlign w:val="center"/>
          </w:tcPr>
          <w:p w14:paraId="518B75EB" w14:textId="77777777" w:rsidR="005C332D" w:rsidRDefault="00B93EAE">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518B75EC" w14:textId="77777777" w:rsidR="005C332D" w:rsidRDefault="00B93EAE">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vAlign w:val="bottom"/>
          </w:tcPr>
          <w:p w14:paraId="518B75E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EE" w14:textId="77777777" w:rsidR="005C332D" w:rsidRDefault="00B93EAE">
            <w:pPr>
              <w:jc w:val="right"/>
              <w:textAlignment w:val="bottom"/>
            </w:pPr>
            <w:r>
              <w:rPr>
                <w:rFonts w:ascii="Times New Roman" w:eastAsia="宋体" w:hAnsi="Times New Roman"/>
                <w:b/>
                <w:bCs/>
                <w:color w:val="000000"/>
                <w:sz w:val="20"/>
                <w:szCs w:val="20"/>
              </w:rPr>
              <w:t>2,000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5E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F0"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5F1" w14:textId="77777777" w:rsidR="005C332D" w:rsidRDefault="00B93EAE">
            <w:pPr>
              <w:jc w:val="center"/>
              <w:textAlignment w:val="bottom"/>
            </w:pPr>
            <w:r>
              <w:rPr>
                <w:rFonts w:ascii="Times New Roman" w:eastAsia="宋体" w:hAnsi="Times New Roman"/>
                <w:b/>
                <w:bCs/>
                <w:color w:val="000000"/>
                <w:sz w:val="20"/>
                <w:szCs w:val="20"/>
              </w:rPr>
              <w:t>5.67%</w:t>
            </w:r>
          </w:p>
        </w:tc>
        <w:tc>
          <w:tcPr>
            <w:tcW w:w="0" w:type="auto"/>
            <w:gridSpan w:val="3"/>
            <w:shd w:val="clear" w:color="auto" w:fill="FFFFFF"/>
            <w:tcMar>
              <w:top w:w="0" w:type="dxa"/>
              <w:left w:w="20" w:type="dxa"/>
              <w:bottom w:w="0" w:type="dxa"/>
              <w:right w:w="20" w:type="dxa"/>
            </w:tcMar>
            <w:vAlign w:val="bottom"/>
          </w:tcPr>
          <w:p w14:paraId="518B75F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5F3" w14:textId="77777777" w:rsidR="005C332D" w:rsidRDefault="00B93EAE">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518B75F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5F5"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5F6" w14:textId="77777777" w:rsidR="005C332D" w:rsidRDefault="00B93EAE">
            <w:pPr>
              <w:jc w:val="center"/>
              <w:textAlignment w:val="bottom"/>
            </w:pPr>
            <w:r>
              <w:rPr>
                <w:rFonts w:ascii="Times New Roman" w:eastAsia="宋体" w:hAnsi="Times New Roman"/>
                <w:color w:val="000000"/>
                <w:sz w:val="20"/>
                <w:szCs w:val="20"/>
              </w:rPr>
              <w:t>5.67%</w:t>
            </w:r>
          </w:p>
        </w:tc>
      </w:tr>
      <w:tr w:rsidR="005C332D" w14:paraId="518B7604" w14:textId="77777777">
        <w:trPr>
          <w:jc w:val="center"/>
        </w:trPr>
        <w:tc>
          <w:tcPr>
            <w:tcW w:w="0" w:type="auto"/>
            <w:gridSpan w:val="3"/>
            <w:shd w:val="clear" w:color="auto" w:fill="CCEEFF"/>
            <w:tcMar>
              <w:top w:w="40" w:type="dxa"/>
              <w:left w:w="740" w:type="dxa"/>
              <w:bottom w:w="40" w:type="dxa"/>
              <w:right w:w="20" w:type="dxa"/>
            </w:tcMar>
          </w:tcPr>
          <w:p w14:paraId="518B75F8"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75F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5FA"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5FB" w14:textId="77777777" w:rsidR="005C332D" w:rsidRDefault="00B93EAE">
            <w:pPr>
              <w:jc w:val="right"/>
              <w:textAlignment w:val="bottom"/>
            </w:pPr>
            <w:r>
              <w:rPr>
                <w:rFonts w:ascii="Times New Roman" w:eastAsia="宋体" w:hAnsi="Times New Roman"/>
                <w:b/>
                <w:bCs/>
                <w:color w:val="000000"/>
                <w:sz w:val="20"/>
                <w:szCs w:val="20"/>
              </w:rPr>
              <w:t>9,000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5F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5F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5F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5FF"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600" w14:textId="77777777" w:rsidR="005C332D" w:rsidRDefault="00B93EAE">
            <w:pPr>
              <w:jc w:val="right"/>
              <w:textAlignment w:val="bottom"/>
            </w:pPr>
            <w:r>
              <w:rPr>
                <w:rFonts w:ascii="Times New Roman" w:eastAsia="宋体" w:hAnsi="Times New Roman"/>
                <w:color w:val="000000"/>
                <w:sz w:val="20"/>
                <w:szCs w:val="20"/>
              </w:rPr>
              <w:t>11,500 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60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60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03" w14:textId="77777777" w:rsidR="005C332D" w:rsidRDefault="005C332D">
            <w:pPr>
              <w:rPr>
                <w:rFonts w:ascii="宋体"/>
              </w:rPr>
            </w:pPr>
          </w:p>
        </w:tc>
      </w:tr>
      <w:tr w:rsidR="005C332D" w14:paraId="518B7611" w14:textId="77777777">
        <w:trPr>
          <w:jc w:val="center"/>
        </w:trPr>
        <w:tc>
          <w:tcPr>
            <w:tcW w:w="0" w:type="auto"/>
            <w:gridSpan w:val="3"/>
            <w:shd w:val="clear" w:color="auto" w:fill="FFFFFF"/>
            <w:tcMar>
              <w:top w:w="40" w:type="dxa"/>
              <w:left w:w="20" w:type="dxa"/>
              <w:bottom w:w="40" w:type="dxa"/>
              <w:right w:w="20" w:type="dxa"/>
            </w:tcMar>
          </w:tcPr>
          <w:p w14:paraId="518B7605" w14:textId="77777777" w:rsidR="005C332D" w:rsidRDefault="00B93EAE">
            <w:pPr>
              <w:textAlignment w:val="top"/>
            </w:pPr>
            <w:r>
              <w:rPr>
                <w:rFonts w:ascii="Times New Roman" w:eastAsia="宋体" w:hAnsi="Times New Roman"/>
                <w:color w:val="000000"/>
                <w:sz w:val="20"/>
                <w:szCs w:val="20"/>
              </w:rPr>
              <w:t>Unaccreted discount/issuance costs</w:t>
            </w:r>
          </w:p>
        </w:tc>
        <w:tc>
          <w:tcPr>
            <w:tcW w:w="0" w:type="auto"/>
            <w:gridSpan w:val="3"/>
            <w:shd w:val="clear" w:color="auto" w:fill="FFFFFF"/>
            <w:tcMar>
              <w:top w:w="0" w:type="dxa"/>
              <w:left w:w="20" w:type="dxa"/>
              <w:bottom w:w="0" w:type="dxa"/>
              <w:right w:w="20" w:type="dxa"/>
            </w:tcMar>
            <w:vAlign w:val="bottom"/>
          </w:tcPr>
          <w:p w14:paraId="518B760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0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608" w14:textId="77777777" w:rsidR="005C332D" w:rsidRDefault="00B93EAE">
            <w:pPr>
              <w:jc w:val="right"/>
              <w:textAlignment w:val="bottom"/>
            </w:pPr>
            <w:r>
              <w:rPr>
                <w:rFonts w:ascii="Times New Roman" w:eastAsia="宋体" w:hAnsi="Times New Roman"/>
                <w:b/>
                <w:bCs/>
                <w:color w:val="000000"/>
                <w:sz w:val="20"/>
                <w:szCs w:val="20"/>
              </w:rPr>
              <w:t>(75)</w:t>
            </w:r>
          </w:p>
        </w:tc>
        <w:tc>
          <w:tcPr>
            <w:tcW w:w="0" w:type="auto"/>
            <w:shd w:val="clear" w:color="auto" w:fill="FFFFFF"/>
            <w:tcMar>
              <w:top w:w="40" w:type="dxa"/>
              <w:left w:w="0" w:type="dxa"/>
              <w:bottom w:w="40" w:type="dxa"/>
              <w:right w:w="20" w:type="dxa"/>
            </w:tcMar>
            <w:vAlign w:val="bottom"/>
          </w:tcPr>
          <w:p w14:paraId="518B760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60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0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0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60D" w14:textId="77777777" w:rsidR="005C332D" w:rsidRDefault="00B93EAE">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left w:w="0" w:type="dxa"/>
              <w:bottom w:w="40" w:type="dxa"/>
              <w:right w:w="20" w:type="dxa"/>
            </w:tcMar>
            <w:vAlign w:val="bottom"/>
          </w:tcPr>
          <w:p w14:paraId="518B760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60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10" w14:textId="77777777" w:rsidR="005C332D" w:rsidRDefault="005C332D">
            <w:pPr>
              <w:rPr>
                <w:rFonts w:ascii="宋体"/>
              </w:rPr>
            </w:pPr>
          </w:p>
        </w:tc>
      </w:tr>
      <w:tr w:rsidR="005C332D" w14:paraId="518B761E" w14:textId="77777777">
        <w:trPr>
          <w:jc w:val="center"/>
        </w:trPr>
        <w:tc>
          <w:tcPr>
            <w:tcW w:w="0" w:type="auto"/>
            <w:gridSpan w:val="3"/>
            <w:shd w:val="clear" w:color="auto" w:fill="CCEEFF"/>
            <w:tcMar>
              <w:top w:w="40" w:type="dxa"/>
              <w:left w:w="20" w:type="dxa"/>
              <w:bottom w:w="40" w:type="dxa"/>
              <w:right w:w="20" w:type="dxa"/>
            </w:tcMar>
          </w:tcPr>
          <w:p w14:paraId="518B7612" w14:textId="77777777" w:rsidR="005C332D" w:rsidRDefault="00B93EAE">
            <w:pPr>
              <w:textAlignment w:val="top"/>
            </w:pPr>
            <w:r>
              <w:rPr>
                <w:rFonts w:ascii="Times New Roman" w:eastAsia="宋体" w:hAnsi="Times New Roman"/>
                <w:color w:val="000000"/>
                <w:sz w:val="20"/>
                <w:szCs w:val="20"/>
              </w:rPr>
              <w:t>Hedge accounting fair value adjustments</w:t>
            </w:r>
          </w:p>
        </w:tc>
        <w:tc>
          <w:tcPr>
            <w:tcW w:w="0" w:type="auto"/>
            <w:gridSpan w:val="3"/>
            <w:shd w:val="clear" w:color="auto" w:fill="CCEEFF"/>
            <w:tcMar>
              <w:top w:w="0" w:type="dxa"/>
              <w:left w:w="20" w:type="dxa"/>
              <w:bottom w:w="0" w:type="dxa"/>
              <w:right w:w="20" w:type="dxa"/>
            </w:tcMar>
            <w:vAlign w:val="bottom"/>
          </w:tcPr>
          <w:p w14:paraId="518B761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1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615" w14:textId="77777777" w:rsidR="005C332D" w:rsidRDefault="00B93EAE">
            <w:pPr>
              <w:jc w:val="right"/>
              <w:textAlignment w:val="bottom"/>
            </w:pPr>
            <w:r>
              <w:rPr>
                <w:rFonts w:ascii="Times New Roman" w:eastAsia="宋体" w:hAnsi="Times New Roman"/>
                <w:b/>
                <w:bCs/>
                <w:color w:val="000000"/>
                <w:sz w:val="20"/>
                <w:szCs w:val="20"/>
              </w:rPr>
              <w:t>(10)</w:t>
            </w:r>
          </w:p>
        </w:tc>
        <w:tc>
          <w:tcPr>
            <w:tcW w:w="0" w:type="auto"/>
            <w:shd w:val="clear" w:color="auto" w:fill="CCEEFF"/>
            <w:tcMar>
              <w:top w:w="40" w:type="dxa"/>
              <w:left w:w="0" w:type="dxa"/>
              <w:bottom w:w="40" w:type="dxa"/>
              <w:right w:w="20" w:type="dxa"/>
            </w:tcMar>
            <w:vAlign w:val="bottom"/>
          </w:tcPr>
          <w:p w14:paraId="518B761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61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1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1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61A" w14:textId="77777777" w:rsidR="005C332D" w:rsidRDefault="00B93EAE">
            <w:pPr>
              <w:jc w:val="right"/>
              <w:textAlignment w:val="bottom"/>
            </w:pPr>
            <w:r>
              <w:rPr>
                <w:rFonts w:ascii="Times New Roman" w:eastAsia="宋体" w:hAnsi="Times New Roman"/>
                <w:color w:val="000000"/>
                <w:sz w:val="20"/>
                <w:szCs w:val="20"/>
              </w:rPr>
              <w:t>106 </w:t>
            </w:r>
          </w:p>
        </w:tc>
        <w:tc>
          <w:tcPr>
            <w:tcW w:w="0" w:type="auto"/>
            <w:shd w:val="clear" w:color="auto" w:fill="CCEEFF"/>
            <w:tcMar>
              <w:top w:w="40" w:type="dxa"/>
              <w:left w:w="0" w:type="dxa"/>
              <w:bottom w:w="40" w:type="dxa"/>
              <w:right w:w="20" w:type="dxa"/>
            </w:tcMar>
            <w:vAlign w:val="bottom"/>
          </w:tcPr>
          <w:p w14:paraId="518B761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61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1D" w14:textId="77777777" w:rsidR="005C332D" w:rsidRDefault="005C332D">
            <w:pPr>
              <w:rPr>
                <w:rFonts w:ascii="宋体"/>
              </w:rPr>
            </w:pPr>
          </w:p>
        </w:tc>
      </w:tr>
      <w:tr w:rsidR="005C332D" w14:paraId="518B762D" w14:textId="77777777">
        <w:trPr>
          <w:jc w:val="center"/>
        </w:trPr>
        <w:tc>
          <w:tcPr>
            <w:tcW w:w="0" w:type="auto"/>
            <w:gridSpan w:val="3"/>
            <w:shd w:val="clear" w:color="auto" w:fill="FFFFFF"/>
            <w:tcMar>
              <w:top w:w="40" w:type="dxa"/>
              <w:left w:w="740" w:type="dxa"/>
              <w:bottom w:w="40" w:type="dxa"/>
              <w:right w:w="20" w:type="dxa"/>
            </w:tcMar>
          </w:tcPr>
          <w:p w14:paraId="518B761F"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518B762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21"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7622"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7623" w14:textId="77777777" w:rsidR="005C332D" w:rsidRDefault="00B93EAE">
            <w:pPr>
              <w:jc w:val="right"/>
              <w:textAlignment w:val="bottom"/>
            </w:pPr>
            <w:r>
              <w:rPr>
                <w:rFonts w:ascii="Times New Roman" w:eastAsia="宋体" w:hAnsi="Times New Roman"/>
                <w:b/>
                <w:bCs/>
                <w:color w:val="000000"/>
                <w:sz w:val="20"/>
                <w:szCs w:val="20"/>
              </w:rPr>
              <w:t>8,915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62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62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2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27" w14:textId="77777777" w:rsidR="005C332D" w:rsidRDefault="005C332D">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518B762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518B7629" w14:textId="77777777" w:rsidR="005C332D" w:rsidRDefault="00B93EAE">
            <w:pPr>
              <w:jc w:val="right"/>
              <w:textAlignment w:val="bottom"/>
            </w:pPr>
            <w:r>
              <w:rPr>
                <w:rFonts w:ascii="Times New Roman" w:eastAsia="宋体" w:hAnsi="Times New Roman"/>
                <w:color w:val="000000"/>
                <w:sz w:val="20"/>
                <w:szCs w:val="20"/>
              </w:rPr>
              <w:t>11,526 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62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62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2C" w14:textId="77777777" w:rsidR="005C332D" w:rsidRDefault="005C332D">
            <w:pPr>
              <w:rPr>
                <w:rFonts w:ascii="宋体"/>
              </w:rPr>
            </w:pPr>
          </w:p>
        </w:tc>
      </w:tr>
      <w:tr w:rsidR="005C332D" w14:paraId="518B7638" w14:textId="77777777">
        <w:trPr>
          <w:trHeight w:val="120"/>
          <w:jc w:val="center"/>
        </w:trPr>
        <w:tc>
          <w:tcPr>
            <w:tcW w:w="0" w:type="auto"/>
            <w:gridSpan w:val="3"/>
            <w:shd w:val="clear" w:color="auto" w:fill="CCEEFF"/>
            <w:tcMar>
              <w:top w:w="0" w:type="dxa"/>
              <w:left w:w="20" w:type="dxa"/>
              <w:bottom w:w="0" w:type="dxa"/>
              <w:right w:w="20" w:type="dxa"/>
            </w:tcMar>
            <w:vAlign w:val="bottom"/>
          </w:tcPr>
          <w:p w14:paraId="518B762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2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30"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763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3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3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34" w14:textId="77777777" w:rsidR="005C332D" w:rsidRDefault="005C332D">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518B763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3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37" w14:textId="77777777" w:rsidR="005C332D" w:rsidRDefault="005C332D">
            <w:pPr>
              <w:rPr>
                <w:rFonts w:ascii="宋体"/>
              </w:rPr>
            </w:pPr>
          </w:p>
        </w:tc>
      </w:tr>
      <w:tr w:rsidR="005C332D" w14:paraId="518B7643" w14:textId="77777777">
        <w:trPr>
          <w:jc w:val="center"/>
        </w:trPr>
        <w:tc>
          <w:tcPr>
            <w:tcW w:w="0" w:type="auto"/>
            <w:gridSpan w:val="3"/>
            <w:shd w:val="clear" w:color="auto" w:fill="FFFFFF"/>
            <w:tcMar>
              <w:top w:w="40" w:type="dxa"/>
              <w:left w:w="20" w:type="dxa"/>
              <w:bottom w:w="40" w:type="dxa"/>
              <w:right w:w="20" w:type="dxa"/>
            </w:tcMar>
          </w:tcPr>
          <w:p w14:paraId="518B7639" w14:textId="77777777" w:rsidR="005C332D" w:rsidRDefault="00B93EAE">
            <w:pPr>
              <w:textAlignment w:val="top"/>
            </w:pPr>
            <w:r>
              <w:rPr>
                <w:rFonts w:ascii="Times New Roman" w:eastAsia="宋体" w:hAnsi="Times New Roman"/>
                <w:color w:val="000000"/>
                <w:sz w:val="20"/>
                <w:szCs w:val="20"/>
              </w:rPr>
              <w:t>Reported as:</w:t>
            </w:r>
          </w:p>
        </w:tc>
        <w:tc>
          <w:tcPr>
            <w:tcW w:w="0" w:type="auto"/>
            <w:gridSpan w:val="3"/>
            <w:shd w:val="clear" w:color="auto" w:fill="FFFFFF"/>
            <w:tcMar>
              <w:top w:w="0" w:type="dxa"/>
              <w:left w:w="20" w:type="dxa"/>
              <w:bottom w:w="0" w:type="dxa"/>
              <w:right w:w="20" w:type="dxa"/>
            </w:tcMar>
            <w:vAlign w:val="bottom"/>
          </w:tcPr>
          <w:p w14:paraId="518B763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3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3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3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3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3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4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4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42" w14:textId="77777777" w:rsidR="005C332D" w:rsidRDefault="005C332D">
            <w:pPr>
              <w:rPr>
                <w:rFonts w:ascii="宋体"/>
              </w:rPr>
            </w:pPr>
          </w:p>
        </w:tc>
      </w:tr>
      <w:tr w:rsidR="005C332D" w14:paraId="518B7652" w14:textId="77777777">
        <w:trPr>
          <w:jc w:val="center"/>
        </w:trPr>
        <w:tc>
          <w:tcPr>
            <w:tcW w:w="0" w:type="auto"/>
            <w:gridSpan w:val="3"/>
            <w:shd w:val="clear" w:color="auto" w:fill="CCEEFF"/>
            <w:tcMar>
              <w:top w:w="40" w:type="dxa"/>
              <w:left w:w="20" w:type="dxa"/>
              <w:bottom w:w="40" w:type="dxa"/>
              <w:right w:w="20" w:type="dxa"/>
            </w:tcMar>
          </w:tcPr>
          <w:p w14:paraId="518B7644" w14:textId="77777777" w:rsidR="005C332D" w:rsidRDefault="00B93EAE">
            <w:pPr>
              <w:textAlignment w:val="top"/>
            </w:pPr>
            <w:r>
              <w:rPr>
                <w:rFonts w:ascii="Times New Roman" w:eastAsia="宋体" w:hAnsi="Times New Roman"/>
                <w:color w:val="000000"/>
                <w:sz w:val="20"/>
                <w:szCs w:val="20"/>
              </w:rPr>
              <w:t>Short-term debt</w:t>
            </w:r>
          </w:p>
        </w:tc>
        <w:tc>
          <w:tcPr>
            <w:tcW w:w="0" w:type="auto"/>
            <w:gridSpan w:val="3"/>
            <w:shd w:val="clear" w:color="auto" w:fill="CCEEFF"/>
            <w:tcMar>
              <w:top w:w="0" w:type="dxa"/>
              <w:left w:w="20" w:type="dxa"/>
              <w:bottom w:w="0" w:type="dxa"/>
              <w:right w:w="20" w:type="dxa"/>
            </w:tcMar>
            <w:vAlign w:val="bottom"/>
          </w:tcPr>
          <w:p w14:paraId="518B764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4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647"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7648" w14:textId="77777777" w:rsidR="005C332D" w:rsidRDefault="00B93EAE">
            <w:pPr>
              <w:jc w:val="right"/>
              <w:textAlignment w:val="bottom"/>
            </w:pPr>
            <w:r>
              <w:rPr>
                <w:rFonts w:ascii="Times New Roman" w:eastAsia="宋体" w:hAnsi="Times New Roman"/>
                <w:b/>
                <w:bCs/>
                <w:color w:val="000000"/>
                <w:sz w:val="20"/>
                <w:szCs w:val="20"/>
              </w:rPr>
              <w:t>499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64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64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4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4C"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64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64E" w14:textId="77777777" w:rsidR="005C332D" w:rsidRDefault="00B93EAE">
            <w:pPr>
              <w:jc w:val="right"/>
              <w:textAlignment w:val="bottom"/>
            </w:pPr>
            <w:r>
              <w:rPr>
                <w:rFonts w:ascii="Times New Roman" w:eastAsia="宋体" w:hAnsi="Times New Roman"/>
                <w:color w:val="000000"/>
                <w:sz w:val="20"/>
                <w:szCs w:val="20"/>
              </w:rPr>
              <w:t>2,508 </w:t>
            </w:r>
          </w:p>
        </w:tc>
        <w:tc>
          <w:tcPr>
            <w:tcW w:w="0" w:type="auto"/>
            <w:shd w:val="clear" w:color="auto" w:fill="CCEEFF"/>
            <w:tcMar>
              <w:top w:w="40" w:type="dxa"/>
              <w:left w:w="0" w:type="dxa"/>
              <w:bottom w:w="40" w:type="dxa"/>
              <w:right w:w="20" w:type="dxa"/>
            </w:tcMar>
            <w:vAlign w:val="bottom"/>
          </w:tcPr>
          <w:p w14:paraId="518B764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65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51" w14:textId="77777777" w:rsidR="005C332D" w:rsidRDefault="005C332D">
            <w:pPr>
              <w:rPr>
                <w:rFonts w:ascii="宋体"/>
              </w:rPr>
            </w:pPr>
          </w:p>
        </w:tc>
      </w:tr>
      <w:tr w:rsidR="005C332D" w14:paraId="518B765F" w14:textId="77777777">
        <w:trPr>
          <w:jc w:val="center"/>
        </w:trPr>
        <w:tc>
          <w:tcPr>
            <w:tcW w:w="0" w:type="auto"/>
            <w:gridSpan w:val="3"/>
            <w:shd w:val="clear" w:color="auto" w:fill="FFFFFF"/>
            <w:tcMar>
              <w:top w:w="40" w:type="dxa"/>
              <w:left w:w="20" w:type="dxa"/>
              <w:bottom w:w="40" w:type="dxa"/>
              <w:right w:w="20" w:type="dxa"/>
            </w:tcMar>
          </w:tcPr>
          <w:p w14:paraId="518B7653" w14:textId="77777777" w:rsidR="005C332D" w:rsidRDefault="00B93EAE">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bottom"/>
          </w:tcPr>
          <w:p w14:paraId="518B765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5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656" w14:textId="77777777" w:rsidR="005C332D" w:rsidRDefault="00B93EAE">
            <w:pPr>
              <w:jc w:val="right"/>
              <w:textAlignment w:val="bottom"/>
            </w:pPr>
            <w:r>
              <w:rPr>
                <w:rFonts w:ascii="Times New Roman" w:eastAsia="宋体" w:hAnsi="Times New Roman"/>
                <w:b/>
                <w:bCs/>
                <w:color w:val="000000"/>
                <w:sz w:val="20"/>
                <w:szCs w:val="20"/>
              </w:rPr>
              <w:t>8,416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65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65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5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5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65B" w14:textId="77777777" w:rsidR="005C332D" w:rsidRDefault="00B93EAE">
            <w:pPr>
              <w:jc w:val="right"/>
              <w:textAlignment w:val="bottom"/>
            </w:pPr>
            <w:r>
              <w:rPr>
                <w:rFonts w:ascii="Times New Roman" w:eastAsia="宋体" w:hAnsi="Times New Roman"/>
                <w:color w:val="000000"/>
                <w:sz w:val="20"/>
                <w:szCs w:val="20"/>
              </w:rPr>
              <w:t>9,018 </w:t>
            </w:r>
          </w:p>
        </w:tc>
        <w:tc>
          <w:tcPr>
            <w:tcW w:w="0" w:type="auto"/>
            <w:shd w:val="clear" w:color="auto" w:fill="FFFFFF"/>
            <w:tcMar>
              <w:top w:w="40" w:type="dxa"/>
              <w:left w:w="0" w:type="dxa"/>
              <w:bottom w:w="40" w:type="dxa"/>
              <w:right w:w="20" w:type="dxa"/>
            </w:tcMar>
            <w:vAlign w:val="bottom"/>
          </w:tcPr>
          <w:p w14:paraId="518B765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65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65E" w14:textId="77777777" w:rsidR="005C332D" w:rsidRDefault="005C332D">
            <w:pPr>
              <w:rPr>
                <w:rFonts w:ascii="宋体"/>
              </w:rPr>
            </w:pPr>
          </w:p>
        </w:tc>
      </w:tr>
      <w:tr w:rsidR="005C332D" w14:paraId="518B766E" w14:textId="77777777">
        <w:trPr>
          <w:jc w:val="center"/>
        </w:trPr>
        <w:tc>
          <w:tcPr>
            <w:tcW w:w="0" w:type="auto"/>
            <w:gridSpan w:val="3"/>
            <w:shd w:val="clear" w:color="auto" w:fill="CCEEFF"/>
            <w:tcMar>
              <w:top w:w="40" w:type="dxa"/>
              <w:left w:w="740" w:type="dxa"/>
              <w:bottom w:w="40" w:type="dxa"/>
              <w:right w:w="20" w:type="dxa"/>
            </w:tcMar>
          </w:tcPr>
          <w:p w14:paraId="518B7660" w14:textId="77777777" w:rsidR="005C332D" w:rsidRDefault="00B93EAE">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518B766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6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66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664" w14:textId="77777777" w:rsidR="005C332D" w:rsidRDefault="00B93EAE">
            <w:pPr>
              <w:jc w:val="right"/>
              <w:textAlignment w:val="bottom"/>
            </w:pPr>
            <w:r>
              <w:rPr>
                <w:rFonts w:ascii="Times New Roman" w:eastAsia="宋体" w:hAnsi="Times New Roman"/>
                <w:b/>
                <w:bCs/>
                <w:color w:val="000000"/>
                <w:sz w:val="20"/>
                <w:szCs w:val="20"/>
              </w:rPr>
              <w:t>8,915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66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66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6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68"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66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66A" w14:textId="77777777" w:rsidR="005C332D" w:rsidRDefault="00B93EAE">
            <w:pPr>
              <w:jc w:val="right"/>
              <w:textAlignment w:val="bottom"/>
            </w:pPr>
            <w:r>
              <w:rPr>
                <w:rFonts w:ascii="Times New Roman" w:eastAsia="宋体" w:hAnsi="Times New Roman"/>
                <w:color w:val="000000"/>
                <w:sz w:val="20"/>
                <w:szCs w:val="20"/>
              </w:rPr>
              <w:t>11,526 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66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66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6D" w14:textId="77777777" w:rsidR="005C332D" w:rsidRDefault="005C332D">
            <w:pPr>
              <w:rPr>
                <w:rFonts w:ascii="宋体"/>
              </w:rPr>
            </w:pPr>
          </w:p>
        </w:tc>
      </w:tr>
    </w:tbl>
    <w:p w14:paraId="518B766F" w14:textId="77777777" w:rsidR="005C332D" w:rsidRDefault="005C332D">
      <w:pPr>
        <w:spacing w:before="120"/>
        <w:jc w:val="both"/>
      </w:pPr>
    </w:p>
    <w:p w14:paraId="518B7670" w14:textId="77777777" w:rsidR="005C332D" w:rsidRDefault="00B93EAE">
      <w:pPr>
        <w:jc w:val="center"/>
      </w:pPr>
      <w:r>
        <w:rPr>
          <w:rFonts w:ascii="Times New Roman" w:eastAsia="宋体" w:hAnsi="Times New Roman"/>
          <w:color w:val="000000"/>
          <w:sz w:val="20"/>
          <w:szCs w:val="20"/>
        </w:rPr>
        <w:t>85</w:t>
      </w:r>
    </w:p>
    <w:p w14:paraId="518B7671" w14:textId="77777777" w:rsidR="005C332D" w:rsidRDefault="00B93EAE">
      <w:r>
        <w:pict w14:anchorId="518B876A">
          <v:rect id="_x0000_i1111" style="width:415.3pt;height:1.5pt" o:hralign="center" o:hrstd="t" o:hr="t" fillcolor="#a0a0a0" stroked="f"/>
        </w:pict>
      </w:r>
    </w:p>
    <w:p w14:paraId="518B7672" w14:textId="77777777" w:rsidR="005C332D" w:rsidRDefault="005C332D"/>
    <w:p w14:paraId="518B7673" w14:textId="77777777" w:rsidR="005C332D" w:rsidRDefault="00B93EAE">
      <w:pPr>
        <w:spacing w:before="120"/>
        <w:jc w:val="both"/>
      </w:pPr>
      <w:r>
        <w:rPr>
          <w:rFonts w:ascii="Times New Roman" w:eastAsia="宋体" w:hAnsi="Times New Roman"/>
          <w:color w:val="000000"/>
          <w:sz w:val="20"/>
          <w:szCs w:val="20"/>
        </w:rPr>
        <w:t xml:space="preserve">We have entered into interest rate swaps in prior periods with an aggregate notional amount of $1.5 billion designated as fair value hedges of certain of our fixed-rate senior notes. These swaps convert the </w:t>
      </w:r>
      <w:r>
        <w:rPr>
          <w:rFonts w:ascii="Times New Roman" w:eastAsia="宋体" w:hAnsi="Times New Roman"/>
          <w:color w:val="000000"/>
          <w:sz w:val="20"/>
          <w:szCs w:val="20"/>
        </w:rPr>
        <w:t>fixed interest rates of the fixed-rate notes to floating interest rates based on the LIBOR. The gains and losses related to changes in the fair value of the interest rate swaps substantially offset changes in the fair value of the hedged portion of the und</w:t>
      </w:r>
      <w:r>
        <w:rPr>
          <w:rFonts w:ascii="Times New Roman" w:eastAsia="宋体" w:hAnsi="Times New Roman"/>
          <w:color w:val="000000"/>
          <w:sz w:val="20"/>
          <w:szCs w:val="20"/>
        </w:rPr>
        <w:t>erlying debt that are attributable to the changes in market interest rates. For additional information, see Note 13.</w:t>
      </w:r>
    </w:p>
    <w:p w14:paraId="518B7674" w14:textId="77777777" w:rsidR="005C332D" w:rsidRDefault="00B93EAE">
      <w:pPr>
        <w:spacing w:before="120"/>
        <w:jc w:val="both"/>
      </w:pPr>
      <w:r>
        <w:rPr>
          <w:rFonts w:ascii="Times New Roman" w:eastAsia="宋体" w:hAnsi="Times New Roman"/>
          <w:color w:val="000000"/>
          <w:sz w:val="20"/>
          <w:szCs w:val="20"/>
        </w:rPr>
        <w:t>Interest is payable semiannually on each class of the senior fixed-rate notes. Each of the senior fixed-rate notes is redeemable by us at a</w:t>
      </w:r>
      <w:r>
        <w:rPr>
          <w:rFonts w:ascii="Times New Roman" w:eastAsia="宋体" w:hAnsi="Times New Roman"/>
          <w:color w:val="000000"/>
          <w:sz w:val="20"/>
          <w:szCs w:val="20"/>
        </w:rPr>
        <w:t xml:space="preserve">ny time, subject to a make-whole premium. The senior notes rank at par with the commercial paper notes that may be issued in the future pursuant to our short-term debt financing program, as discussed above under “(a) Short-Term Debt.” As of July 30, 2022, </w:t>
      </w:r>
      <w:r>
        <w:rPr>
          <w:rFonts w:ascii="Times New Roman" w:eastAsia="宋体" w:hAnsi="Times New Roman"/>
          <w:color w:val="000000"/>
          <w:sz w:val="20"/>
          <w:szCs w:val="20"/>
        </w:rPr>
        <w:t>we were in compliance with all debt covenants.</w:t>
      </w:r>
    </w:p>
    <w:p w14:paraId="518B7675" w14:textId="77777777" w:rsidR="005C332D" w:rsidRDefault="00B93EAE">
      <w:pPr>
        <w:spacing w:before="120"/>
        <w:jc w:val="both"/>
      </w:pPr>
      <w:r>
        <w:rPr>
          <w:rFonts w:ascii="Times New Roman" w:eastAsia="宋体" w:hAnsi="Times New Roman"/>
          <w:color w:val="000000"/>
          <w:sz w:val="20"/>
          <w:szCs w:val="20"/>
        </w:rPr>
        <w:t>As of July 30, 2022, future principal payments for long-term debt, including the current portion, are summarized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52"/>
        <w:gridCol w:w="6983"/>
        <w:gridCol w:w="36"/>
        <w:gridCol w:w="120"/>
        <w:gridCol w:w="1097"/>
        <w:gridCol w:w="36"/>
      </w:tblGrid>
      <w:tr w:rsidR="005C332D" w14:paraId="518B767C" w14:textId="77777777">
        <w:tc>
          <w:tcPr>
            <w:tcW w:w="50" w:type="pct"/>
            <w:shd w:val="clear" w:color="auto" w:fill="auto"/>
            <w:vAlign w:val="bottom"/>
          </w:tcPr>
          <w:p w14:paraId="518B7676" w14:textId="77777777" w:rsidR="005C332D" w:rsidRDefault="005C332D">
            <w:pPr>
              <w:rPr>
                <w:rFonts w:ascii="宋体"/>
              </w:rPr>
            </w:pPr>
          </w:p>
        </w:tc>
        <w:tc>
          <w:tcPr>
            <w:tcW w:w="4212" w:type="pct"/>
            <w:shd w:val="clear" w:color="auto" w:fill="auto"/>
            <w:vAlign w:val="bottom"/>
          </w:tcPr>
          <w:p w14:paraId="518B7677" w14:textId="77777777" w:rsidR="005C332D" w:rsidRDefault="005C332D">
            <w:pPr>
              <w:rPr>
                <w:rFonts w:ascii="宋体"/>
              </w:rPr>
            </w:pPr>
          </w:p>
        </w:tc>
        <w:tc>
          <w:tcPr>
            <w:tcW w:w="5" w:type="pct"/>
            <w:shd w:val="clear" w:color="auto" w:fill="auto"/>
            <w:vAlign w:val="bottom"/>
          </w:tcPr>
          <w:p w14:paraId="518B7678" w14:textId="77777777" w:rsidR="005C332D" w:rsidRDefault="005C332D">
            <w:pPr>
              <w:rPr>
                <w:rFonts w:ascii="宋体"/>
              </w:rPr>
            </w:pPr>
          </w:p>
        </w:tc>
        <w:tc>
          <w:tcPr>
            <w:tcW w:w="50" w:type="pct"/>
            <w:shd w:val="clear" w:color="auto" w:fill="auto"/>
            <w:vAlign w:val="bottom"/>
          </w:tcPr>
          <w:p w14:paraId="518B7679" w14:textId="77777777" w:rsidR="005C332D" w:rsidRDefault="005C332D">
            <w:pPr>
              <w:rPr>
                <w:rFonts w:ascii="宋体"/>
              </w:rPr>
            </w:pPr>
          </w:p>
        </w:tc>
        <w:tc>
          <w:tcPr>
            <w:tcW w:w="677" w:type="pct"/>
            <w:shd w:val="clear" w:color="auto" w:fill="auto"/>
            <w:vAlign w:val="bottom"/>
          </w:tcPr>
          <w:p w14:paraId="518B767A" w14:textId="77777777" w:rsidR="005C332D" w:rsidRDefault="005C332D">
            <w:pPr>
              <w:rPr>
                <w:rFonts w:ascii="宋体"/>
              </w:rPr>
            </w:pPr>
          </w:p>
        </w:tc>
        <w:tc>
          <w:tcPr>
            <w:tcW w:w="5" w:type="pct"/>
            <w:shd w:val="clear" w:color="auto" w:fill="auto"/>
            <w:vAlign w:val="bottom"/>
          </w:tcPr>
          <w:p w14:paraId="518B767B" w14:textId="77777777" w:rsidR="005C332D" w:rsidRDefault="005C332D">
            <w:pPr>
              <w:rPr>
                <w:rFonts w:ascii="宋体"/>
              </w:rPr>
            </w:pPr>
          </w:p>
        </w:tc>
      </w:tr>
      <w:tr w:rsidR="005C332D" w14:paraId="518B767F" w14:textId="77777777">
        <w:tc>
          <w:tcPr>
            <w:tcW w:w="0" w:type="auto"/>
            <w:gridSpan w:val="3"/>
            <w:shd w:val="clear" w:color="auto" w:fill="auto"/>
            <w:tcMar>
              <w:top w:w="40" w:type="dxa"/>
              <w:left w:w="20" w:type="dxa"/>
              <w:bottom w:w="40" w:type="dxa"/>
              <w:right w:w="20" w:type="dxa"/>
            </w:tcMar>
            <w:vAlign w:val="bottom"/>
          </w:tcPr>
          <w:p w14:paraId="518B767D" w14:textId="77777777" w:rsidR="005C332D" w:rsidRDefault="00B93EAE">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518B767E" w14:textId="77777777" w:rsidR="005C332D" w:rsidRDefault="00B93EAE">
            <w:pPr>
              <w:jc w:val="center"/>
              <w:textAlignment w:val="bottom"/>
            </w:pPr>
            <w:r>
              <w:rPr>
                <w:rFonts w:ascii="Times New Roman" w:eastAsia="宋体" w:hAnsi="Times New Roman"/>
                <w:color w:val="000000"/>
                <w:sz w:val="18"/>
                <w:szCs w:val="18"/>
              </w:rPr>
              <w:t>Amount</w:t>
            </w:r>
          </w:p>
        </w:tc>
      </w:tr>
      <w:tr w:rsidR="005C332D" w14:paraId="518B7684" w14:textId="77777777">
        <w:tc>
          <w:tcPr>
            <w:tcW w:w="0" w:type="auto"/>
            <w:gridSpan w:val="3"/>
            <w:shd w:val="clear" w:color="auto" w:fill="CCEEFF"/>
            <w:tcMar>
              <w:top w:w="40" w:type="dxa"/>
              <w:left w:w="20" w:type="dxa"/>
              <w:bottom w:w="40" w:type="dxa"/>
              <w:right w:w="20" w:type="dxa"/>
            </w:tcMar>
          </w:tcPr>
          <w:p w14:paraId="518B7680" w14:textId="77777777" w:rsidR="005C332D" w:rsidRDefault="00B93EAE">
            <w:pPr>
              <w:textAlignment w:val="top"/>
            </w:pPr>
            <w:r>
              <w:rPr>
                <w:rFonts w:ascii="Times New Roman" w:eastAsia="宋体" w:hAnsi="Times New Roman"/>
                <w:color w:val="000000"/>
                <w:sz w:val="20"/>
                <w:szCs w:val="20"/>
              </w:rPr>
              <w:t>2023</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68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682" w14:textId="77777777" w:rsidR="005C332D" w:rsidRDefault="00B93EAE">
            <w:pPr>
              <w:jc w:val="right"/>
              <w:textAlignment w:val="bottom"/>
            </w:pPr>
            <w:r>
              <w:rPr>
                <w:rFonts w:ascii="Times New Roman" w:eastAsia="宋体" w:hAnsi="Times New Roman"/>
                <w:color w:val="000000"/>
                <w:sz w:val="20"/>
                <w:szCs w:val="20"/>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683" w14:textId="77777777" w:rsidR="005C332D" w:rsidRDefault="005C332D">
            <w:pPr>
              <w:jc w:val="right"/>
              <w:rPr>
                <w:rFonts w:ascii="宋体"/>
              </w:rPr>
            </w:pPr>
          </w:p>
        </w:tc>
      </w:tr>
      <w:tr w:rsidR="005C332D" w14:paraId="518B7688" w14:textId="77777777">
        <w:tc>
          <w:tcPr>
            <w:tcW w:w="0" w:type="auto"/>
            <w:gridSpan w:val="3"/>
            <w:shd w:val="clear" w:color="auto" w:fill="FFFFFF"/>
            <w:tcMar>
              <w:top w:w="40" w:type="dxa"/>
              <w:left w:w="20" w:type="dxa"/>
              <w:bottom w:w="40" w:type="dxa"/>
              <w:right w:w="20" w:type="dxa"/>
            </w:tcMar>
          </w:tcPr>
          <w:p w14:paraId="518B7685" w14:textId="77777777" w:rsidR="005C332D" w:rsidRDefault="00B93EAE">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518B7686" w14:textId="77777777" w:rsidR="005C332D" w:rsidRDefault="00B93EAE">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518B7687" w14:textId="77777777" w:rsidR="005C332D" w:rsidRDefault="005C332D">
            <w:pPr>
              <w:jc w:val="right"/>
              <w:rPr>
                <w:rFonts w:ascii="宋体"/>
              </w:rPr>
            </w:pPr>
          </w:p>
        </w:tc>
      </w:tr>
      <w:tr w:rsidR="005C332D" w14:paraId="518B768C" w14:textId="77777777">
        <w:tc>
          <w:tcPr>
            <w:tcW w:w="0" w:type="auto"/>
            <w:gridSpan w:val="3"/>
            <w:shd w:val="clear" w:color="auto" w:fill="CCEEFF"/>
            <w:tcMar>
              <w:top w:w="40" w:type="dxa"/>
              <w:left w:w="20" w:type="dxa"/>
              <w:bottom w:w="40" w:type="dxa"/>
              <w:right w:w="20" w:type="dxa"/>
            </w:tcMar>
          </w:tcPr>
          <w:p w14:paraId="518B7689" w14:textId="77777777" w:rsidR="005C332D" w:rsidRDefault="00B93EAE">
            <w:pPr>
              <w:textAlignment w:val="top"/>
            </w:pPr>
            <w:r>
              <w:rPr>
                <w:rFonts w:ascii="Times New Roman" w:eastAsia="宋体" w:hAnsi="Times New Roman"/>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518B768A" w14:textId="77777777" w:rsidR="005C332D" w:rsidRDefault="00B93EAE">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518B768B" w14:textId="77777777" w:rsidR="005C332D" w:rsidRDefault="005C332D">
            <w:pPr>
              <w:jc w:val="right"/>
              <w:rPr>
                <w:rFonts w:ascii="宋体"/>
              </w:rPr>
            </w:pPr>
          </w:p>
        </w:tc>
      </w:tr>
      <w:tr w:rsidR="005C332D" w14:paraId="518B7690" w14:textId="77777777">
        <w:tc>
          <w:tcPr>
            <w:tcW w:w="0" w:type="auto"/>
            <w:gridSpan w:val="3"/>
            <w:shd w:val="clear" w:color="auto" w:fill="FFFFFF"/>
            <w:tcMar>
              <w:top w:w="40" w:type="dxa"/>
              <w:left w:w="20" w:type="dxa"/>
              <w:bottom w:w="40" w:type="dxa"/>
              <w:right w:w="20" w:type="dxa"/>
            </w:tcMar>
          </w:tcPr>
          <w:p w14:paraId="518B768D" w14:textId="77777777" w:rsidR="005C332D" w:rsidRDefault="00B93EAE">
            <w:pPr>
              <w:textAlignment w:val="top"/>
            </w:pPr>
            <w:r>
              <w:rPr>
                <w:rFonts w:ascii="Times New Roman" w:eastAsia="宋体" w:hAnsi="Times New Roman"/>
                <w:color w:val="000000"/>
                <w:sz w:val="20"/>
                <w:szCs w:val="20"/>
              </w:rPr>
              <w:t>2026</w:t>
            </w:r>
          </w:p>
        </w:tc>
        <w:tc>
          <w:tcPr>
            <w:tcW w:w="0" w:type="auto"/>
            <w:gridSpan w:val="2"/>
            <w:shd w:val="clear" w:color="auto" w:fill="FFFFFF"/>
            <w:tcMar>
              <w:top w:w="40" w:type="dxa"/>
              <w:left w:w="20" w:type="dxa"/>
              <w:bottom w:w="40" w:type="dxa"/>
              <w:right w:w="0" w:type="dxa"/>
            </w:tcMar>
            <w:vAlign w:val="bottom"/>
          </w:tcPr>
          <w:p w14:paraId="518B768E" w14:textId="77777777" w:rsidR="005C332D" w:rsidRDefault="00B93EAE">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518B768F" w14:textId="77777777" w:rsidR="005C332D" w:rsidRDefault="005C332D">
            <w:pPr>
              <w:jc w:val="right"/>
              <w:rPr>
                <w:rFonts w:ascii="宋体"/>
              </w:rPr>
            </w:pPr>
          </w:p>
        </w:tc>
      </w:tr>
      <w:tr w:rsidR="005C332D" w14:paraId="518B7694" w14:textId="77777777">
        <w:tc>
          <w:tcPr>
            <w:tcW w:w="0" w:type="auto"/>
            <w:gridSpan w:val="3"/>
            <w:shd w:val="clear" w:color="auto" w:fill="CCEEFF"/>
            <w:tcMar>
              <w:top w:w="40" w:type="dxa"/>
              <w:left w:w="20" w:type="dxa"/>
              <w:bottom w:w="40" w:type="dxa"/>
              <w:right w:w="20" w:type="dxa"/>
            </w:tcMar>
          </w:tcPr>
          <w:p w14:paraId="518B7691" w14:textId="77777777" w:rsidR="005C332D" w:rsidRDefault="00B93EAE">
            <w:pPr>
              <w:textAlignment w:val="top"/>
            </w:pPr>
            <w:r>
              <w:rPr>
                <w:rFonts w:ascii="Times New Roman" w:eastAsia="宋体" w:hAnsi="Times New Roman"/>
                <w:color w:val="000000"/>
                <w:sz w:val="20"/>
                <w:szCs w:val="20"/>
              </w:rPr>
              <w:t>2027</w:t>
            </w:r>
          </w:p>
        </w:tc>
        <w:tc>
          <w:tcPr>
            <w:tcW w:w="0" w:type="auto"/>
            <w:gridSpan w:val="2"/>
            <w:shd w:val="clear" w:color="auto" w:fill="CCEEFF"/>
            <w:tcMar>
              <w:top w:w="40" w:type="dxa"/>
              <w:left w:w="20" w:type="dxa"/>
              <w:bottom w:w="40" w:type="dxa"/>
              <w:right w:w="0" w:type="dxa"/>
            </w:tcMar>
            <w:vAlign w:val="bottom"/>
          </w:tcPr>
          <w:p w14:paraId="518B7692" w14:textId="77777777" w:rsidR="005C332D" w:rsidRDefault="00B93EAE">
            <w:pPr>
              <w:jc w:val="right"/>
              <w:textAlignment w:val="bottom"/>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bottom"/>
          </w:tcPr>
          <w:p w14:paraId="518B7693" w14:textId="77777777" w:rsidR="005C332D" w:rsidRDefault="005C332D">
            <w:pPr>
              <w:jc w:val="right"/>
              <w:rPr>
                <w:rFonts w:ascii="宋体"/>
              </w:rPr>
            </w:pPr>
          </w:p>
        </w:tc>
      </w:tr>
      <w:tr w:rsidR="005C332D" w14:paraId="518B7698" w14:textId="77777777">
        <w:tc>
          <w:tcPr>
            <w:tcW w:w="0" w:type="auto"/>
            <w:gridSpan w:val="3"/>
            <w:shd w:val="clear" w:color="auto" w:fill="FFFFFF"/>
            <w:tcMar>
              <w:top w:w="40" w:type="dxa"/>
              <w:left w:w="20" w:type="dxa"/>
              <w:bottom w:w="40" w:type="dxa"/>
              <w:right w:w="20" w:type="dxa"/>
            </w:tcMar>
          </w:tcPr>
          <w:p w14:paraId="518B7695" w14:textId="77777777" w:rsidR="005C332D" w:rsidRDefault="00B93EAE">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518B7696" w14:textId="77777777" w:rsidR="005C332D" w:rsidRDefault="00B93EAE">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518B7697" w14:textId="77777777" w:rsidR="005C332D" w:rsidRDefault="005C332D">
            <w:pPr>
              <w:jc w:val="right"/>
              <w:rPr>
                <w:rFonts w:ascii="宋体"/>
              </w:rPr>
            </w:pPr>
          </w:p>
        </w:tc>
      </w:tr>
      <w:tr w:rsidR="005C332D" w14:paraId="518B769D" w14:textId="77777777">
        <w:tc>
          <w:tcPr>
            <w:tcW w:w="0" w:type="auto"/>
            <w:gridSpan w:val="3"/>
            <w:shd w:val="clear" w:color="auto" w:fill="CCEEFF"/>
            <w:tcMar>
              <w:top w:w="40" w:type="dxa"/>
              <w:left w:w="380" w:type="dxa"/>
              <w:bottom w:w="40" w:type="dxa"/>
              <w:right w:w="20" w:type="dxa"/>
            </w:tcMar>
          </w:tcPr>
          <w:p w14:paraId="518B7699"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69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69B" w14:textId="77777777" w:rsidR="005C332D" w:rsidRDefault="00B93EAE">
            <w:pPr>
              <w:jc w:val="right"/>
              <w:textAlignment w:val="bottom"/>
            </w:pPr>
            <w:r>
              <w:rPr>
                <w:rFonts w:ascii="Times New Roman" w:eastAsia="宋体" w:hAnsi="Times New Roman"/>
                <w:color w:val="000000"/>
                <w:sz w:val="20"/>
                <w:szCs w:val="20"/>
              </w:rPr>
              <w:t>9,000 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69C" w14:textId="77777777" w:rsidR="005C332D" w:rsidRDefault="005C332D">
            <w:pPr>
              <w:jc w:val="right"/>
              <w:rPr>
                <w:rFonts w:ascii="宋体"/>
              </w:rPr>
            </w:pPr>
          </w:p>
        </w:tc>
      </w:tr>
    </w:tbl>
    <w:p w14:paraId="518B769E" w14:textId="77777777" w:rsidR="005C332D" w:rsidRDefault="00B93EAE">
      <w:pPr>
        <w:spacing w:before="120"/>
        <w:ind w:hanging="360"/>
        <w:jc w:val="both"/>
      </w:pPr>
      <w:r>
        <w:rPr>
          <w:rFonts w:ascii="Times New Roman" w:eastAsia="宋体" w:hAnsi="Times New Roman"/>
          <w:b/>
          <w:bCs/>
          <w:color w:val="000000"/>
          <w:sz w:val="20"/>
          <w:szCs w:val="20"/>
        </w:rPr>
        <w:t>(c)Credit Facility</w:t>
      </w:r>
    </w:p>
    <w:p w14:paraId="518B769F" w14:textId="77777777" w:rsidR="005C332D" w:rsidRDefault="00B93EAE">
      <w:pPr>
        <w:spacing w:before="120"/>
        <w:jc w:val="both"/>
      </w:pPr>
      <w:r>
        <w:rPr>
          <w:rFonts w:ascii="Times New Roman" w:eastAsia="宋体" w:hAnsi="Times New Roman"/>
          <w:color w:val="000000"/>
          <w:sz w:val="20"/>
          <w:szCs w:val="20"/>
        </w:rPr>
        <w:t xml:space="preserve">On May 13, 2021, we entered into a 5-year credit agreement with certain institutional lenders that provides for a $3.0 billion unsecured revolving credit facility that is scheduled to expire on May 13, 2026. As of July 30, 2022, we were in compliance with </w:t>
      </w:r>
      <w:r>
        <w:rPr>
          <w:rFonts w:ascii="Times New Roman" w:eastAsia="宋体" w:hAnsi="Times New Roman"/>
          <w:color w:val="000000"/>
          <w:sz w:val="20"/>
          <w:szCs w:val="20"/>
        </w:rPr>
        <w:t xml:space="preserve">the required interest coverage ratio and the other covenants, and we had not borrowed any funds under the credit agreement. </w:t>
      </w:r>
    </w:p>
    <w:p w14:paraId="518B76A0" w14:textId="77777777" w:rsidR="005C332D" w:rsidRDefault="00B93EAE">
      <w:pPr>
        <w:spacing w:before="120"/>
        <w:jc w:val="both"/>
      </w:pPr>
      <w:r>
        <w:rPr>
          <w:rFonts w:ascii="Times New Roman" w:eastAsia="宋体" w:hAnsi="Times New Roman"/>
          <w:color w:val="000000"/>
          <w:sz w:val="20"/>
          <w:szCs w:val="20"/>
        </w:rPr>
        <w:t>Any advances under the 5-year credit agreement will accrue interest at rates that are equal to, based on certain conditions, either</w:t>
      </w:r>
      <w:r>
        <w:rPr>
          <w:rFonts w:ascii="Times New Roman" w:eastAsia="宋体" w:hAnsi="Times New Roman"/>
          <w:color w:val="000000"/>
          <w:sz w:val="20"/>
          <w:szCs w:val="20"/>
        </w:rPr>
        <w:t xml:space="preserve"> (a) with respect to loans in U.S. dollars, (i) LIBOR or (ii) the Base Rate (to be defined as the highest of (x) the Bank of America prime rate, (y) the Federal Funds rate plus 0.50% and (z) a daily rate equal to one-month LIBOR plus 1.0%), (b) with respec</w:t>
      </w:r>
      <w:r>
        <w:rPr>
          <w:rFonts w:ascii="Times New Roman" w:eastAsia="宋体" w:hAnsi="Times New Roman"/>
          <w:color w:val="000000"/>
          <w:sz w:val="20"/>
          <w:szCs w:val="20"/>
        </w:rPr>
        <w:t>t to loans in Euros, EURIBOR, (c) with respect to loans in Yen, TIBOR and (d) with respect to loans in Pounds Sterling, SONIA plus a credit spread adjustment, plus a margin that is based on our senior debt credit ratings as published by Standard &amp; Poor’s F</w:t>
      </w:r>
      <w:r>
        <w:rPr>
          <w:rFonts w:ascii="Times New Roman" w:eastAsia="宋体" w:hAnsi="Times New Roman"/>
          <w:color w:val="000000"/>
          <w:sz w:val="20"/>
          <w:szCs w:val="20"/>
        </w:rPr>
        <w:t>inancial Services, LLC and Moody’s Investors Service, Inc., provided that in no event will the interest rate be less than 0.0%. We will pay a quarterly commitment fee during the term of the 5-year credit agreement which may vary depending on our senior deb</w:t>
      </w:r>
      <w:r>
        <w:rPr>
          <w:rFonts w:ascii="Times New Roman" w:eastAsia="宋体" w:hAnsi="Times New Roman"/>
          <w:color w:val="000000"/>
          <w:sz w:val="20"/>
          <w:szCs w:val="20"/>
        </w:rPr>
        <w:t>t credit ratings. In addition, the 5-year credit agreement incorporates certain sustainability-linked metrics. Specifically, our applicable interest rate and commitment fee are subject to upward or downward adjustments if we achieve, or fail to achieve, ce</w:t>
      </w:r>
      <w:r>
        <w:rPr>
          <w:rFonts w:ascii="Times New Roman" w:eastAsia="宋体" w:hAnsi="Times New Roman"/>
          <w:color w:val="000000"/>
          <w:sz w:val="20"/>
          <w:szCs w:val="20"/>
        </w:rPr>
        <w:t>rtain specified targets based on two key performance indicator metrics: (i) social impact and (ii) foam reduction. We may also, upon the agreement of either the then-existing lenders or additional lenders not currently parties to the agreement, increase th</w:t>
      </w:r>
      <w:r>
        <w:rPr>
          <w:rFonts w:ascii="Times New Roman" w:eastAsia="宋体" w:hAnsi="Times New Roman"/>
          <w:color w:val="000000"/>
          <w:sz w:val="20"/>
          <w:szCs w:val="20"/>
        </w:rPr>
        <w:t xml:space="preserve">e commitments under the credit facility by up to an additional $2.0 billion and, at our option, extend the maturity of the facility for an additional year up to two times. The credit agreement requires that we comply with certain covenants, including that </w:t>
      </w:r>
      <w:r>
        <w:rPr>
          <w:rFonts w:ascii="Times New Roman" w:eastAsia="宋体" w:hAnsi="Times New Roman"/>
          <w:color w:val="000000"/>
          <w:sz w:val="20"/>
          <w:szCs w:val="20"/>
        </w:rPr>
        <w:t>we maintain an interest coverage ratio as defined in the agreement.</w:t>
      </w:r>
    </w:p>
    <w:p w14:paraId="518B76A1" w14:textId="77777777" w:rsidR="005C332D" w:rsidRDefault="005C332D">
      <w:pPr>
        <w:jc w:val="both"/>
      </w:pPr>
    </w:p>
    <w:p w14:paraId="518B76A2" w14:textId="77777777" w:rsidR="005C332D" w:rsidRDefault="00B93EAE">
      <w:pPr>
        <w:jc w:val="center"/>
      </w:pPr>
      <w:r>
        <w:rPr>
          <w:rFonts w:ascii="Times New Roman" w:eastAsia="宋体" w:hAnsi="Times New Roman"/>
          <w:color w:val="000000"/>
          <w:sz w:val="20"/>
          <w:szCs w:val="20"/>
        </w:rPr>
        <w:t>86</w:t>
      </w:r>
    </w:p>
    <w:p w14:paraId="518B76A3" w14:textId="77777777" w:rsidR="005C332D" w:rsidRDefault="00B93EAE">
      <w:r>
        <w:pict w14:anchorId="518B876B">
          <v:rect id="_x0000_i1112" style="width:415.3pt;height:1.5pt" o:hralign="center" o:hrstd="t" o:hr="t" fillcolor="#a0a0a0" stroked="f"/>
        </w:pict>
      </w:r>
    </w:p>
    <w:p w14:paraId="518B76A4" w14:textId="77777777" w:rsidR="005C332D" w:rsidRDefault="005C332D"/>
    <w:p w14:paraId="518B76A5" w14:textId="77777777" w:rsidR="005C332D" w:rsidRDefault="00B93EAE">
      <w:pPr>
        <w:ind w:hanging="360"/>
      </w:pPr>
      <w:r>
        <w:rPr>
          <w:rFonts w:ascii="Times New Roman" w:eastAsia="宋体" w:hAnsi="Times New Roman"/>
          <w:b/>
          <w:bCs/>
          <w:color w:val="000000"/>
          <w:sz w:val="20"/>
          <w:szCs w:val="20"/>
        </w:rPr>
        <w:t xml:space="preserve">13.Derivative Instruments </w:t>
      </w:r>
    </w:p>
    <w:p w14:paraId="518B76A6" w14:textId="77777777" w:rsidR="005C332D" w:rsidRDefault="00B93EAE">
      <w:pPr>
        <w:spacing w:before="120"/>
        <w:ind w:hanging="360"/>
      </w:pPr>
      <w:r>
        <w:rPr>
          <w:rFonts w:ascii="Times New Roman" w:eastAsia="宋体" w:hAnsi="Times New Roman"/>
          <w:b/>
          <w:bCs/>
          <w:color w:val="000000"/>
          <w:sz w:val="20"/>
          <w:szCs w:val="20"/>
        </w:rPr>
        <w:t>(a)Summary of Derivative Instruments</w:t>
      </w:r>
    </w:p>
    <w:p w14:paraId="518B76A7" w14:textId="77777777" w:rsidR="005C332D" w:rsidRDefault="00B93EAE">
      <w:pPr>
        <w:spacing w:before="120"/>
        <w:jc w:val="both"/>
      </w:pPr>
      <w:r>
        <w:rPr>
          <w:rFonts w:ascii="Times New Roman" w:eastAsia="宋体" w:hAnsi="Times New Roman"/>
          <w:color w:val="000000"/>
          <w:sz w:val="20"/>
          <w:szCs w:val="20"/>
        </w:rPr>
        <w:t xml:space="preserve">We use derivative instruments primarily to manage exposures to foreign currency exchange rate, interest rate, and </w:t>
      </w:r>
      <w:r>
        <w:rPr>
          <w:rFonts w:ascii="Times New Roman" w:eastAsia="宋体" w:hAnsi="Times New Roman"/>
          <w:color w:val="000000"/>
          <w:sz w:val="20"/>
          <w:szCs w:val="20"/>
        </w:rPr>
        <w:t xml:space="preserve">equity price risks. Our primary objective in holding derivatives is to reduce the volatility of earnings and cash flows associated with changes in foreign currency exchange rates, interest rates, and equity prices. Our derivatives expose us to credit risk </w:t>
      </w:r>
      <w:r>
        <w:rPr>
          <w:rFonts w:ascii="Times New Roman" w:eastAsia="宋体" w:hAnsi="Times New Roman"/>
          <w:color w:val="000000"/>
          <w:sz w:val="20"/>
          <w:szCs w:val="20"/>
        </w:rPr>
        <w:t>to the extent that the counterparties may be unable to meet the terms of the agreement. We do, however, seek to mitigate such risks by limiting our counterparties to major financial institutions and requiring collateral in certain cases. In addition, the p</w:t>
      </w:r>
      <w:r>
        <w:rPr>
          <w:rFonts w:ascii="Times New Roman" w:eastAsia="宋体" w:hAnsi="Times New Roman"/>
          <w:color w:val="000000"/>
          <w:sz w:val="20"/>
          <w:szCs w:val="20"/>
        </w:rPr>
        <w:t>otential risk of loss with any one counterparty resulting from this type of credit risk is monitored. Management does not expect material losses as a result of defaults by counterparties.</w:t>
      </w:r>
    </w:p>
    <w:p w14:paraId="518B76A8" w14:textId="77777777" w:rsidR="005C332D" w:rsidRDefault="00B93EAE">
      <w:pPr>
        <w:spacing w:before="120"/>
        <w:jc w:val="both"/>
      </w:pPr>
      <w:r>
        <w:rPr>
          <w:rFonts w:ascii="Times New Roman" w:eastAsia="宋体" w:hAnsi="Times New Roman"/>
          <w:color w:val="000000"/>
          <w:sz w:val="20"/>
          <w:szCs w:val="20"/>
        </w:rPr>
        <w:t xml:space="preserve">The fair values of our derivative instruments and the line items on </w:t>
      </w:r>
      <w:r>
        <w:rPr>
          <w:rFonts w:ascii="Times New Roman" w:eastAsia="宋体" w:hAnsi="Times New Roman"/>
          <w:color w:val="000000"/>
          <w:sz w:val="20"/>
          <w:szCs w:val="20"/>
        </w:rPr>
        <w:t>the Consolidated Balance Sheets to which they were recorded are summarized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79"/>
        <w:gridCol w:w="2384"/>
        <w:gridCol w:w="37"/>
        <w:gridCol w:w="98"/>
        <w:gridCol w:w="1511"/>
        <w:gridCol w:w="36"/>
        <w:gridCol w:w="36"/>
        <w:gridCol w:w="36"/>
        <w:gridCol w:w="36"/>
        <w:gridCol w:w="120"/>
        <w:gridCol w:w="340"/>
        <w:gridCol w:w="36"/>
        <w:gridCol w:w="36"/>
        <w:gridCol w:w="36"/>
        <w:gridCol w:w="36"/>
        <w:gridCol w:w="120"/>
        <w:gridCol w:w="350"/>
        <w:gridCol w:w="36"/>
        <w:gridCol w:w="36"/>
        <w:gridCol w:w="36"/>
        <w:gridCol w:w="36"/>
        <w:gridCol w:w="89"/>
        <w:gridCol w:w="1623"/>
        <w:gridCol w:w="36"/>
        <w:gridCol w:w="36"/>
        <w:gridCol w:w="36"/>
        <w:gridCol w:w="36"/>
        <w:gridCol w:w="120"/>
        <w:gridCol w:w="250"/>
        <w:gridCol w:w="36"/>
        <w:gridCol w:w="36"/>
        <w:gridCol w:w="36"/>
        <w:gridCol w:w="36"/>
        <w:gridCol w:w="120"/>
        <w:gridCol w:w="314"/>
        <w:gridCol w:w="36"/>
      </w:tblGrid>
      <w:tr w:rsidR="005C332D" w14:paraId="518B76CD" w14:textId="77777777">
        <w:tc>
          <w:tcPr>
            <w:tcW w:w="50" w:type="pct"/>
            <w:shd w:val="clear" w:color="auto" w:fill="auto"/>
            <w:vAlign w:val="bottom"/>
          </w:tcPr>
          <w:p w14:paraId="518B76A9" w14:textId="77777777" w:rsidR="005C332D" w:rsidRDefault="005C332D">
            <w:pPr>
              <w:rPr>
                <w:rFonts w:ascii="宋体"/>
              </w:rPr>
            </w:pPr>
          </w:p>
        </w:tc>
        <w:tc>
          <w:tcPr>
            <w:tcW w:w="1521" w:type="pct"/>
            <w:shd w:val="clear" w:color="auto" w:fill="auto"/>
            <w:vAlign w:val="bottom"/>
          </w:tcPr>
          <w:p w14:paraId="518B76AA" w14:textId="77777777" w:rsidR="005C332D" w:rsidRDefault="005C332D">
            <w:pPr>
              <w:rPr>
                <w:rFonts w:ascii="宋体"/>
              </w:rPr>
            </w:pPr>
          </w:p>
        </w:tc>
        <w:tc>
          <w:tcPr>
            <w:tcW w:w="5" w:type="pct"/>
            <w:shd w:val="clear" w:color="auto" w:fill="auto"/>
            <w:vAlign w:val="bottom"/>
          </w:tcPr>
          <w:p w14:paraId="518B76AB" w14:textId="77777777" w:rsidR="005C332D" w:rsidRDefault="005C332D">
            <w:pPr>
              <w:rPr>
                <w:rFonts w:ascii="宋体"/>
              </w:rPr>
            </w:pPr>
          </w:p>
        </w:tc>
        <w:tc>
          <w:tcPr>
            <w:tcW w:w="50" w:type="pct"/>
            <w:shd w:val="clear" w:color="auto" w:fill="auto"/>
            <w:vAlign w:val="bottom"/>
          </w:tcPr>
          <w:p w14:paraId="518B76AC" w14:textId="77777777" w:rsidR="005C332D" w:rsidRDefault="005C332D">
            <w:pPr>
              <w:rPr>
                <w:rFonts w:ascii="宋体"/>
              </w:rPr>
            </w:pPr>
          </w:p>
        </w:tc>
        <w:tc>
          <w:tcPr>
            <w:tcW w:w="773" w:type="pct"/>
            <w:shd w:val="clear" w:color="auto" w:fill="auto"/>
            <w:vAlign w:val="bottom"/>
          </w:tcPr>
          <w:p w14:paraId="518B76AD" w14:textId="77777777" w:rsidR="005C332D" w:rsidRDefault="005C332D">
            <w:pPr>
              <w:rPr>
                <w:rFonts w:ascii="宋体"/>
              </w:rPr>
            </w:pPr>
          </w:p>
        </w:tc>
        <w:tc>
          <w:tcPr>
            <w:tcW w:w="5" w:type="pct"/>
            <w:shd w:val="clear" w:color="auto" w:fill="auto"/>
            <w:vAlign w:val="bottom"/>
          </w:tcPr>
          <w:p w14:paraId="518B76AE" w14:textId="77777777" w:rsidR="005C332D" w:rsidRDefault="005C332D">
            <w:pPr>
              <w:rPr>
                <w:rFonts w:ascii="宋体"/>
              </w:rPr>
            </w:pPr>
          </w:p>
        </w:tc>
        <w:tc>
          <w:tcPr>
            <w:tcW w:w="5" w:type="pct"/>
            <w:shd w:val="clear" w:color="auto" w:fill="auto"/>
            <w:vAlign w:val="bottom"/>
          </w:tcPr>
          <w:p w14:paraId="518B76AF" w14:textId="77777777" w:rsidR="005C332D" w:rsidRDefault="005C332D">
            <w:pPr>
              <w:rPr>
                <w:rFonts w:ascii="宋体"/>
              </w:rPr>
            </w:pPr>
          </w:p>
        </w:tc>
        <w:tc>
          <w:tcPr>
            <w:tcW w:w="26" w:type="pct"/>
            <w:shd w:val="clear" w:color="auto" w:fill="auto"/>
            <w:vAlign w:val="bottom"/>
          </w:tcPr>
          <w:p w14:paraId="518B76B0" w14:textId="77777777" w:rsidR="005C332D" w:rsidRDefault="005C332D">
            <w:pPr>
              <w:rPr>
                <w:rFonts w:ascii="宋体"/>
              </w:rPr>
            </w:pPr>
          </w:p>
        </w:tc>
        <w:tc>
          <w:tcPr>
            <w:tcW w:w="5" w:type="pct"/>
            <w:shd w:val="clear" w:color="auto" w:fill="auto"/>
            <w:vAlign w:val="bottom"/>
          </w:tcPr>
          <w:p w14:paraId="518B76B1" w14:textId="77777777" w:rsidR="005C332D" w:rsidRDefault="005C332D">
            <w:pPr>
              <w:rPr>
                <w:rFonts w:ascii="宋体"/>
              </w:rPr>
            </w:pPr>
          </w:p>
        </w:tc>
        <w:tc>
          <w:tcPr>
            <w:tcW w:w="50" w:type="pct"/>
            <w:shd w:val="clear" w:color="auto" w:fill="auto"/>
            <w:vAlign w:val="bottom"/>
          </w:tcPr>
          <w:p w14:paraId="518B76B2" w14:textId="77777777" w:rsidR="005C332D" w:rsidRDefault="005C332D">
            <w:pPr>
              <w:rPr>
                <w:rFonts w:ascii="宋体"/>
              </w:rPr>
            </w:pPr>
          </w:p>
        </w:tc>
        <w:tc>
          <w:tcPr>
            <w:tcW w:w="318" w:type="pct"/>
            <w:shd w:val="clear" w:color="auto" w:fill="auto"/>
            <w:vAlign w:val="bottom"/>
          </w:tcPr>
          <w:p w14:paraId="518B76B3" w14:textId="77777777" w:rsidR="005C332D" w:rsidRDefault="005C332D">
            <w:pPr>
              <w:rPr>
                <w:rFonts w:ascii="宋体"/>
              </w:rPr>
            </w:pPr>
          </w:p>
        </w:tc>
        <w:tc>
          <w:tcPr>
            <w:tcW w:w="5" w:type="pct"/>
            <w:shd w:val="clear" w:color="auto" w:fill="auto"/>
            <w:vAlign w:val="bottom"/>
          </w:tcPr>
          <w:p w14:paraId="518B76B4" w14:textId="77777777" w:rsidR="005C332D" w:rsidRDefault="005C332D">
            <w:pPr>
              <w:rPr>
                <w:rFonts w:ascii="宋体"/>
              </w:rPr>
            </w:pPr>
          </w:p>
        </w:tc>
        <w:tc>
          <w:tcPr>
            <w:tcW w:w="5" w:type="pct"/>
            <w:shd w:val="clear" w:color="auto" w:fill="auto"/>
            <w:vAlign w:val="bottom"/>
          </w:tcPr>
          <w:p w14:paraId="518B76B5" w14:textId="77777777" w:rsidR="005C332D" w:rsidRDefault="005C332D">
            <w:pPr>
              <w:rPr>
                <w:rFonts w:ascii="宋体"/>
              </w:rPr>
            </w:pPr>
          </w:p>
        </w:tc>
        <w:tc>
          <w:tcPr>
            <w:tcW w:w="26" w:type="pct"/>
            <w:shd w:val="clear" w:color="auto" w:fill="auto"/>
            <w:vAlign w:val="bottom"/>
          </w:tcPr>
          <w:p w14:paraId="518B76B6" w14:textId="77777777" w:rsidR="005C332D" w:rsidRDefault="005C332D">
            <w:pPr>
              <w:rPr>
                <w:rFonts w:ascii="宋体"/>
              </w:rPr>
            </w:pPr>
          </w:p>
        </w:tc>
        <w:tc>
          <w:tcPr>
            <w:tcW w:w="5" w:type="pct"/>
            <w:shd w:val="clear" w:color="auto" w:fill="auto"/>
            <w:vAlign w:val="bottom"/>
          </w:tcPr>
          <w:p w14:paraId="518B76B7" w14:textId="77777777" w:rsidR="005C332D" w:rsidRDefault="005C332D">
            <w:pPr>
              <w:rPr>
                <w:rFonts w:ascii="宋体"/>
              </w:rPr>
            </w:pPr>
          </w:p>
        </w:tc>
        <w:tc>
          <w:tcPr>
            <w:tcW w:w="50" w:type="pct"/>
            <w:shd w:val="clear" w:color="auto" w:fill="auto"/>
            <w:vAlign w:val="bottom"/>
          </w:tcPr>
          <w:p w14:paraId="518B76B8" w14:textId="77777777" w:rsidR="005C332D" w:rsidRDefault="005C332D">
            <w:pPr>
              <w:rPr>
                <w:rFonts w:ascii="宋体"/>
              </w:rPr>
            </w:pPr>
          </w:p>
        </w:tc>
        <w:tc>
          <w:tcPr>
            <w:tcW w:w="289" w:type="pct"/>
            <w:shd w:val="clear" w:color="auto" w:fill="auto"/>
            <w:vAlign w:val="bottom"/>
          </w:tcPr>
          <w:p w14:paraId="518B76B9" w14:textId="77777777" w:rsidR="005C332D" w:rsidRDefault="005C332D">
            <w:pPr>
              <w:rPr>
                <w:rFonts w:ascii="宋体"/>
              </w:rPr>
            </w:pPr>
          </w:p>
        </w:tc>
        <w:tc>
          <w:tcPr>
            <w:tcW w:w="5" w:type="pct"/>
            <w:shd w:val="clear" w:color="auto" w:fill="auto"/>
            <w:vAlign w:val="bottom"/>
          </w:tcPr>
          <w:p w14:paraId="518B76BA" w14:textId="77777777" w:rsidR="005C332D" w:rsidRDefault="005C332D">
            <w:pPr>
              <w:rPr>
                <w:rFonts w:ascii="宋体"/>
              </w:rPr>
            </w:pPr>
          </w:p>
        </w:tc>
        <w:tc>
          <w:tcPr>
            <w:tcW w:w="5" w:type="pct"/>
            <w:shd w:val="clear" w:color="auto" w:fill="auto"/>
            <w:vAlign w:val="bottom"/>
          </w:tcPr>
          <w:p w14:paraId="518B76BB" w14:textId="77777777" w:rsidR="005C332D" w:rsidRDefault="005C332D">
            <w:pPr>
              <w:rPr>
                <w:rFonts w:ascii="宋体"/>
              </w:rPr>
            </w:pPr>
          </w:p>
        </w:tc>
        <w:tc>
          <w:tcPr>
            <w:tcW w:w="26" w:type="pct"/>
            <w:shd w:val="clear" w:color="auto" w:fill="auto"/>
            <w:vAlign w:val="bottom"/>
          </w:tcPr>
          <w:p w14:paraId="518B76BC" w14:textId="77777777" w:rsidR="005C332D" w:rsidRDefault="005C332D">
            <w:pPr>
              <w:rPr>
                <w:rFonts w:ascii="宋体"/>
              </w:rPr>
            </w:pPr>
          </w:p>
        </w:tc>
        <w:tc>
          <w:tcPr>
            <w:tcW w:w="5" w:type="pct"/>
            <w:shd w:val="clear" w:color="auto" w:fill="auto"/>
            <w:vAlign w:val="bottom"/>
          </w:tcPr>
          <w:p w14:paraId="518B76BD" w14:textId="77777777" w:rsidR="005C332D" w:rsidRDefault="005C332D">
            <w:pPr>
              <w:rPr>
                <w:rFonts w:ascii="宋体"/>
              </w:rPr>
            </w:pPr>
          </w:p>
        </w:tc>
        <w:tc>
          <w:tcPr>
            <w:tcW w:w="50" w:type="pct"/>
            <w:shd w:val="clear" w:color="auto" w:fill="auto"/>
            <w:vAlign w:val="bottom"/>
          </w:tcPr>
          <w:p w14:paraId="518B76BE" w14:textId="77777777" w:rsidR="005C332D" w:rsidRDefault="005C332D">
            <w:pPr>
              <w:rPr>
                <w:rFonts w:ascii="宋体"/>
              </w:rPr>
            </w:pPr>
          </w:p>
        </w:tc>
        <w:tc>
          <w:tcPr>
            <w:tcW w:w="920" w:type="pct"/>
            <w:shd w:val="clear" w:color="auto" w:fill="auto"/>
            <w:vAlign w:val="bottom"/>
          </w:tcPr>
          <w:p w14:paraId="518B76BF" w14:textId="77777777" w:rsidR="005C332D" w:rsidRDefault="005C332D">
            <w:pPr>
              <w:rPr>
                <w:rFonts w:ascii="宋体"/>
              </w:rPr>
            </w:pPr>
          </w:p>
        </w:tc>
        <w:tc>
          <w:tcPr>
            <w:tcW w:w="5" w:type="pct"/>
            <w:shd w:val="clear" w:color="auto" w:fill="auto"/>
            <w:vAlign w:val="bottom"/>
          </w:tcPr>
          <w:p w14:paraId="518B76C0" w14:textId="77777777" w:rsidR="005C332D" w:rsidRDefault="005C332D">
            <w:pPr>
              <w:rPr>
                <w:rFonts w:ascii="宋体"/>
              </w:rPr>
            </w:pPr>
          </w:p>
        </w:tc>
        <w:tc>
          <w:tcPr>
            <w:tcW w:w="5" w:type="pct"/>
            <w:shd w:val="clear" w:color="auto" w:fill="auto"/>
            <w:vAlign w:val="bottom"/>
          </w:tcPr>
          <w:p w14:paraId="518B76C1" w14:textId="77777777" w:rsidR="005C332D" w:rsidRDefault="005C332D">
            <w:pPr>
              <w:rPr>
                <w:rFonts w:ascii="宋体"/>
              </w:rPr>
            </w:pPr>
          </w:p>
        </w:tc>
        <w:tc>
          <w:tcPr>
            <w:tcW w:w="26" w:type="pct"/>
            <w:shd w:val="clear" w:color="auto" w:fill="auto"/>
            <w:vAlign w:val="bottom"/>
          </w:tcPr>
          <w:p w14:paraId="518B76C2" w14:textId="77777777" w:rsidR="005C332D" w:rsidRDefault="005C332D">
            <w:pPr>
              <w:rPr>
                <w:rFonts w:ascii="宋体"/>
              </w:rPr>
            </w:pPr>
          </w:p>
        </w:tc>
        <w:tc>
          <w:tcPr>
            <w:tcW w:w="5" w:type="pct"/>
            <w:shd w:val="clear" w:color="auto" w:fill="auto"/>
            <w:vAlign w:val="bottom"/>
          </w:tcPr>
          <w:p w14:paraId="518B76C3" w14:textId="77777777" w:rsidR="005C332D" w:rsidRDefault="005C332D">
            <w:pPr>
              <w:rPr>
                <w:rFonts w:ascii="宋体"/>
              </w:rPr>
            </w:pPr>
          </w:p>
        </w:tc>
        <w:tc>
          <w:tcPr>
            <w:tcW w:w="50" w:type="pct"/>
            <w:shd w:val="clear" w:color="auto" w:fill="auto"/>
            <w:vAlign w:val="bottom"/>
          </w:tcPr>
          <w:p w14:paraId="518B76C4" w14:textId="77777777" w:rsidR="005C332D" w:rsidRDefault="005C332D">
            <w:pPr>
              <w:rPr>
                <w:rFonts w:ascii="宋体"/>
              </w:rPr>
            </w:pPr>
          </w:p>
        </w:tc>
        <w:tc>
          <w:tcPr>
            <w:tcW w:w="318" w:type="pct"/>
            <w:shd w:val="clear" w:color="auto" w:fill="auto"/>
            <w:vAlign w:val="bottom"/>
          </w:tcPr>
          <w:p w14:paraId="518B76C5" w14:textId="77777777" w:rsidR="005C332D" w:rsidRDefault="005C332D">
            <w:pPr>
              <w:rPr>
                <w:rFonts w:ascii="宋体"/>
              </w:rPr>
            </w:pPr>
          </w:p>
        </w:tc>
        <w:tc>
          <w:tcPr>
            <w:tcW w:w="5" w:type="pct"/>
            <w:shd w:val="clear" w:color="auto" w:fill="auto"/>
            <w:vAlign w:val="bottom"/>
          </w:tcPr>
          <w:p w14:paraId="518B76C6" w14:textId="77777777" w:rsidR="005C332D" w:rsidRDefault="005C332D">
            <w:pPr>
              <w:rPr>
                <w:rFonts w:ascii="宋体"/>
              </w:rPr>
            </w:pPr>
          </w:p>
        </w:tc>
        <w:tc>
          <w:tcPr>
            <w:tcW w:w="5" w:type="pct"/>
            <w:shd w:val="clear" w:color="auto" w:fill="auto"/>
            <w:vAlign w:val="bottom"/>
          </w:tcPr>
          <w:p w14:paraId="518B76C7" w14:textId="77777777" w:rsidR="005C332D" w:rsidRDefault="005C332D">
            <w:pPr>
              <w:rPr>
                <w:rFonts w:ascii="宋体"/>
              </w:rPr>
            </w:pPr>
          </w:p>
        </w:tc>
        <w:tc>
          <w:tcPr>
            <w:tcW w:w="26" w:type="pct"/>
            <w:shd w:val="clear" w:color="auto" w:fill="auto"/>
            <w:vAlign w:val="bottom"/>
          </w:tcPr>
          <w:p w14:paraId="518B76C8" w14:textId="77777777" w:rsidR="005C332D" w:rsidRDefault="005C332D">
            <w:pPr>
              <w:rPr>
                <w:rFonts w:ascii="宋体"/>
              </w:rPr>
            </w:pPr>
          </w:p>
        </w:tc>
        <w:tc>
          <w:tcPr>
            <w:tcW w:w="5" w:type="pct"/>
            <w:shd w:val="clear" w:color="auto" w:fill="auto"/>
            <w:vAlign w:val="bottom"/>
          </w:tcPr>
          <w:p w14:paraId="518B76C9" w14:textId="77777777" w:rsidR="005C332D" w:rsidRDefault="005C332D">
            <w:pPr>
              <w:rPr>
                <w:rFonts w:ascii="宋体"/>
              </w:rPr>
            </w:pPr>
          </w:p>
        </w:tc>
        <w:tc>
          <w:tcPr>
            <w:tcW w:w="50" w:type="pct"/>
            <w:shd w:val="clear" w:color="auto" w:fill="auto"/>
            <w:vAlign w:val="bottom"/>
          </w:tcPr>
          <w:p w14:paraId="518B76CA" w14:textId="77777777" w:rsidR="005C332D" w:rsidRDefault="005C332D">
            <w:pPr>
              <w:rPr>
                <w:rFonts w:ascii="宋体"/>
              </w:rPr>
            </w:pPr>
          </w:p>
        </w:tc>
        <w:tc>
          <w:tcPr>
            <w:tcW w:w="289" w:type="pct"/>
            <w:shd w:val="clear" w:color="auto" w:fill="auto"/>
            <w:vAlign w:val="bottom"/>
          </w:tcPr>
          <w:p w14:paraId="518B76CB" w14:textId="77777777" w:rsidR="005C332D" w:rsidRDefault="005C332D">
            <w:pPr>
              <w:rPr>
                <w:rFonts w:ascii="宋体"/>
              </w:rPr>
            </w:pPr>
          </w:p>
        </w:tc>
        <w:tc>
          <w:tcPr>
            <w:tcW w:w="5" w:type="pct"/>
            <w:shd w:val="clear" w:color="auto" w:fill="auto"/>
            <w:vAlign w:val="bottom"/>
          </w:tcPr>
          <w:p w14:paraId="518B76CC" w14:textId="77777777" w:rsidR="005C332D" w:rsidRDefault="005C332D">
            <w:pPr>
              <w:rPr>
                <w:rFonts w:ascii="宋体"/>
              </w:rPr>
            </w:pPr>
          </w:p>
        </w:tc>
      </w:tr>
      <w:tr w:rsidR="005C332D" w14:paraId="518B76D2" w14:textId="77777777">
        <w:tc>
          <w:tcPr>
            <w:tcW w:w="0" w:type="auto"/>
            <w:gridSpan w:val="3"/>
            <w:shd w:val="clear" w:color="auto" w:fill="auto"/>
            <w:tcMar>
              <w:top w:w="40" w:type="dxa"/>
              <w:left w:w="20" w:type="dxa"/>
              <w:bottom w:w="40" w:type="dxa"/>
              <w:right w:w="20" w:type="dxa"/>
            </w:tcMar>
            <w:vAlign w:val="bottom"/>
          </w:tcPr>
          <w:p w14:paraId="518B76CE" w14:textId="77777777" w:rsidR="005C332D" w:rsidRDefault="00B93EAE">
            <w:pPr>
              <w:textAlignment w:val="bottom"/>
            </w:pPr>
            <w:r>
              <w:rPr>
                <w:rFonts w:ascii="Times New Roman" w:eastAsia="宋体" w:hAnsi="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14:paraId="518B76CF" w14:textId="77777777" w:rsidR="005C332D" w:rsidRDefault="00B93EAE">
            <w:pPr>
              <w:jc w:val="center"/>
              <w:textAlignment w:val="bottom"/>
            </w:pPr>
            <w:r>
              <w:rPr>
                <w:rFonts w:ascii="Times New Roman" w:eastAsia="宋体" w:hAnsi="Times New Roman"/>
                <w:color w:val="000000"/>
                <w:sz w:val="18"/>
                <w:szCs w:val="18"/>
              </w:rPr>
              <w:t>DERIVATIVE ASSETS</w:t>
            </w:r>
          </w:p>
        </w:tc>
        <w:tc>
          <w:tcPr>
            <w:tcW w:w="0" w:type="auto"/>
            <w:gridSpan w:val="3"/>
            <w:shd w:val="clear" w:color="auto" w:fill="auto"/>
            <w:tcMar>
              <w:top w:w="0" w:type="dxa"/>
              <w:left w:w="20" w:type="dxa"/>
              <w:bottom w:w="0" w:type="dxa"/>
              <w:right w:w="20" w:type="dxa"/>
            </w:tcMar>
            <w:vAlign w:val="bottom"/>
          </w:tcPr>
          <w:p w14:paraId="518B76D0"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76D1" w14:textId="77777777" w:rsidR="005C332D" w:rsidRDefault="00B93EAE">
            <w:pPr>
              <w:jc w:val="center"/>
              <w:textAlignment w:val="bottom"/>
            </w:pPr>
            <w:r>
              <w:rPr>
                <w:rFonts w:ascii="Times New Roman" w:eastAsia="宋体" w:hAnsi="Times New Roman"/>
                <w:color w:val="000000"/>
                <w:sz w:val="18"/>
                <w:szCs w:val="18"/>
              </w:rPr>
              <w:t>DERIVATIVE LIABILITIES</w:t>
            </w:r>
          </w:p>
        </w:tc>
      </w:tr>
      <w:tr w:rsidR="005C332D" w14:paraId="518B76DF" w14:textId="77777777">
        <w:tc>
          <w:tcPr>
            <w:tcW w:w="0" w:type="auto"/>
            <w:gridSpan w:val="3"/>
            <w:shd w:val="clear" w:color="auto" w:fill="auto"/>
            <w:tcMar>
              <w:top w:w="40" w:type="dxa"/>
              <w:left w:w="20" w:type="dxa"/>
              <w:bottom w:w="40" w:type="dxa"/>
              <w:right w:w="20" w:type="dxa"/>
            </w:tcMar>
            <w:vAlign w:val="bottom"/>
          </w:tcPr>
          <w:p w14:paraId="518B76D3" w14:textId="77777777" w:rsidR="005C332D" w:rsidRDefault="00B93EA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6D4" w14:textId="77777777" w:rsidR="005C332D" w:rsidRDefault="00B93EAE">
            <w:pPr>
              <w:textAlignment w:val="bottom"/>
            </w:pPr>
            <w:r>
              <w:rPr>
                <w:rFonts w:ascii="Times New Roman" w:eastAsia="宋体" w:hAnsi="Times New Roman"/>
                <w:color w:val="000000"/>
                <w:sz w:val="16"/>
                <w:szCs w:val="16"/>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6D5"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6D6"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6D7"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6D8"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76D9"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6DA" w14:textId="77777777" w:rsidR="005C332D" w:rsidRDefault="00B93EAE">
            <w:pPr>
              <w:textAlignment w:val="bottom"/>
            </w:pPr>
            <w:r>
              <w:rPr>
                <w:rFonts w:ascii="Times New Roman" w:eastAsia="宋体" w:hAnsi="Times New Roman"/>
                <w:color w:val="000000"/>
                <w:sz w:val="16"/>
                <w:szCs w:val="16"/>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6DB"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6DC"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6DD"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6DE"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76EC" w14:textId="77777777">
        <w:tc>
          <w:tcPr>
            <w:tcW w:w="0" w:type="auto"/>
            <w:gridSpan w:val="3"/>
            <w:shd w:val="clear" w:color="auto" w:fill="CCEEFF"/>
            <w:tcMar>
              <w:top w:w="40" w:type="dxa"/>
              <w:left w:w="20" w:type="dxa"/>
              <w:bottom w:w="40" w:type="dxa"/>
              <w:right w:w="20" w:type="dxa"/>
            </w:tcMar>
          </w:tcPr>
          <w:p w14:paraId="518B76E0" w14:textId="77777777" w:rsidR="005C332D" w:rsidRDefault="00B93EAE">
            <w:pPr>
              <w:textAlignment w:val="top"/>
            </w:pPr>
            <w:r>
              <w:rPr>
                <w:rFonts w:ascii="Times New Roman" w:eastAsia="宋体" w:hAnsi="Times New Roman"/>
                <w:color w:val="000000"/>
                <w:sz w:val="18"/>
                <w:szCs w:val="18"/>
              </w:rPr>
              <w:t>Derivatives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6E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E2"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6E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E4"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6E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E6"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6E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E8"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6E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6EA"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6EB" w14:textId="77777777" w:rsidR="005C332D" w:rsidRDefault="005C332D">
            <w:pPr>
              <w:rPr>
                <w:rFonts w:ascii="宋体"/>
              </w:rPr>
            </w:pPr>
          </w:p>
        </w:tc>
      </w:tr>
      <w:tr w:rsidR="005C332D" w14:paraId="518B7701" w14:textId="77777777">
        <w:tc>
          <w:tcPr>
            <w:tcW w:w="0" w:type="auto"/>
            <w:gridSpan w:val="3"/>
            <w:shd w:val="clear" w:color="auto" w:fill="FFFFFF"/>
            <w:tcMar>
              <w:top w:w="40" w:type="dxa"/>
              <w:left w:w="380" w:type="dxa"/>
              <w:bottom w:w="40" w:type="dxa"/>
              <w:right w:w="20" w:type="dxa"/>
            </w:tcMar>
          </w:tcPr>
          <w:p w14:paraId="518B76ED" w14:textId="77777777" w:rsidR="005C332D" w:rsidRDefault="00B93EAE">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518B76EE" w14:textId="77777777" w:rsidR="005C332D" w:rsidRDefault="00B93EAE">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518B76EF"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6F0"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76F1" w14:textId="77777777" w:rsidR="005C332D" w:rsidRDefault="00B93EAE">
            <w:pPr>
              <w:jc w:val="right"/>
              <w:textAlignment w:val="bottom"/>
            </w:pPr>
            <w:r>
              <w:rPr>
                <w:rFonts w:ascii="Times New Roman" w:eastAsia="宋体" w:hAnsi="Times New Roman"/>
                <w:b/>
                <w:bCs/>
                <w:color w:val="000000"/>
                <w:sz w:val="20"/>
                <w:szCs w:val="20"/>
              </w:rPr>
              <w:t>55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6F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6F3"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6F4"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76F5" w14:textId="77777777" w:rsidR="005C332D" w:rsidRDefault="00B93EAE">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518B76F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6F7"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6F8" w14:textId="77777777" w:rsidR="005C332D" w:rsidRDefault="00B93EAE">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518B76F9"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6FA"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76FB"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6F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6FD"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6F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76FF"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518B7700" w14:textId="77777777" w:rsidR="005C332D" w:rsidRDefault="005C332D">
            <w:pPr>
              <w:jc w:val="right"/>
              <w:rPr>
                <w:rFonts w:ascii="宋体"/>
              </w:rPr>
            </w:pPr>
          </w:p>
        </w:tc>
      </w:tr>
      <w:tr w:rsidR="005C332D" w14:paraId="518B7712" w14:textId="77777777">
        <w:tc>
          <w:tcPr>
            <w:tcW w:w="0" w:type="auto"/>
            <w:gridSpan w:val="3"/>
            <w:shd w:val="clear" w:color="auto" w:fill="CCEEFF"/>
            <w:tcMar>
              <w:top w:w="40" w:type="dxa"/>
              <w:left w:w="380" w:type="dxa"/>
              <w:bottom w:w="40" w:type="dxa"/>
              <w:right w:w="20" w:type="dxa"/>
            </w:tcMar>
          </w:tcPr>
          <w:p w14:paraId="518B7702" w14:textId="77777777" w:rsidR="005C332D" w:rsidRDefault="00B93EAE">
            <w:pPr>
              <w:textAlignment w:val="top"/>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518B7703" w14:textId="77777777" w:rsidR="005C332D" w:rsidRDefault="00B93EAE">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518B770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705" w14:textId="77777777" w:rsidR="005C332D" w:rsidRDefault="00B93EAE">
            <w:pPr>
              <w:jc w:val="right"/>
              <w:textAlignment w:val="bottom"/>
            </w:pPr>
            <w:r>
              <w:rPr>
                <w:rFonts w:ascii="Times New Roman" w:eastAsia="宋体" w:hAnsi="Times New Roman"/>
                <w:b/>
                <w:bCs/>
                <w:color w:val="000000"/>
                <w:sz w:val="20"/>
                <w:szCs w:val="20"/>
              </w:rPr>
              <w:t>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70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0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708"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518B770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0A"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70B" w14:textId="77777777" w:rsidR="005C332D" w:rsidRDefault="00B93EAE">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518B770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70D"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70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0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710"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711" w14:textId="77777777" w:rsidR="005C332D" w:rsidRDefault="005C332D">
            <w:pPr>
              <w:jc w:val="right"/>
              <w:rPr>
                <w:rFonts w:ascii="宋体"/>
              </w:rPr>
            </w:pPr>
          </w:p>
        </w:tc>
      </w:tr>
      <w:tr w:rsidR="005C332D" w14:paraId="518B7723" w14:textId="77777777">
        <w:tc>
          <w:tcPr>
            <w:tcW w:w="0" w:type="auto"/>
            <w:gridSpan w:val="3"/>
            <w:shd w:val="clear" w:color="auto" w:fill="FFFFFF"/>
            <w:tcMar>
              <w:top w:w="40" w:type="dxa"/>
              <w:left w:w="380" w:type="dxa"/>
              <w:bottom w:w="40" w:type="dxa"/>
              <w:right w:w="20" w:type="dxa"/>
            </w:tcMar>
          </w:tcPr>
          <w:p w14:paraId="518B7713" w14:textId="77777777" w:rsidR="005C332D" w:rsidRDefault="00B93EAE">
            <w:pPr>
              <w:textAlignment w:val="top"/>
            </w:pPr>
            <w:r>
              <w:rPr>
                <w:rFonts w:ascii="Times New Roman" w:eastAsia="宋体" w:hAnsi="Times New Roman"/>
                <w:color w:val="000000"/>
                <w:sz w:val="18"/>
                <w:szCs w:val="18"/>
              </w:rPr>
              <w:t>Interest rate derivatives</w:t>
            </w:r>
          </w:p>
        </w:tc>
        <w:tc>
          <w:tcPr>
            <w:tcW w:w="0" w:type="auto"/>
            <w:gridSpan w:val="3"/>
            <w:shd w:val="clear" w:color="auto" w:fill="FFFFFF"/>
            <w:tcMar>
              <w:top w:w="40" w:type="dxa"/>
              <w:left w:w="20" w:type="dxa"/>
              <w:bottom w:w="40" w:type="dxa"/>
              <w:right w:w="20" w:type="dxa"/>
            </w:tcMar>
            <w:vAlign w:val="bottom"/>
          </w:tcPr>
          <w:p w14:paraId="518B7714" w14:textId="77777777" w:rsidR="005C332D" w:rsidRDefault="00B93EAE">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518B771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16"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71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1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19" w14:textId="77777777" w:rsidR="005C332D" w:rsidRDefault="00B93EAE">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518B771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1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71C" w14:textId="77777777" w:rsidR="005C332D" w:rsidRDefault="00B93EAE">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518B771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1E"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71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2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21"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722" w14:textId="77777777" w:rsidR="005C332D" w:rsidRDefault="005C332D">
            <w:pPr>
              <w:jc w:val="right"/>
              <w:rPr>
                <w:rFonts w:ascii="宋体"/>
              </w:rPr>
            </w:pPr>
          </w:p>
        </w:tc>
      </w:tr>
      <w:tr w:rsidR="005C332D" w14:paraId="518B7734" w14:textId="77777777">
        <w:tc>
          <w:tcPr>
            <w:tcW w:w="0" w:type="auto"/>
            <w:gridSpan w:val="3"/>
            <w:shd w:val="clear" w:color="auto" w:fill="CCEEFF"/>
            <w:tcMar>
              <w:top w:w="40" w:type="dxa"/>
              <w:left w:w="380" w:type="dxa"/>
              <w:bottom w:w="40" w:type="dxa"/>
              <w:right w:w="20" w:type="dxa"/>
            </w:tcMar>
          </w:tcPr>
          <w:p w14:paraId="518B7724" w14:textId="77777777" w:rsidR="005C332D" w:rsidRDefault="00B93EAE">
            <w:pPr>
              <w:textAlignment w:val="top"/>
            </w:pPr>
            <w:r>
              <w:rPr>
                <w:rFonts w:ascii="Times New Roman" w:eastAsia="宋体" w:hAnsi="Times New Roman"/>
                <w:color w:val="000000"/>
                <w:sz w:val="18"/>
                <w:szCs w:val="18"/>
              </w:rPr>
              <w:t>Interest rate derivatives</w:t>
            </w:r>
          </w:p>
        </w:tc>
        <w:tc>
          <w:tcPr>
            <w:tcW w:w="0" w:type="auto"/>
            <w:gridSpan w:val="3"/>
            <w:shd w:val="clear" w:color="auto" w:fill="CCEEFF"/>
            <w:tcMar>
              <w:top w:w="40" w:type="dxa"/>
              <w:left w:w="20" w:type="dxa"/>
              <w:bottom w:w="40" w:type="dxa"/>
              <w:right w:w="20" w:type="dxa"/>
            </w:tcMar>
            <w:vAlign w:val="bottom"/>
          </w:tcPr>
          <w:p w14:paraId="518B7725" w14:textId="77777777" w:rsidR="005C332D" w:rsidRDefault="00B93EAE">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518B772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tcPr>
          <w:p w14:paraId="518B7727" w14:textId="77777777" w:rsidR="005C332D" w:rsidRDefault="00B93EAE">
            <w:pPr>
              <w:jc w:val="right"/>
              <w:textAlignment w:val="top"/>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tcPr>
          <w:p w14:paraId="518B772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2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tcPr>
          <w:p w14:paraId="518B772A" w14:textId="77777777" w:rsidR="005C332D" w:rsidRDefault="00B93EAE">
            <w:pPr>
              <w:jc w:val="right"/>
              <w:textAlignment w:val="top"/>
            </w:pPr>
            <w:r>
              <w:rPr>
                <w:rFonts w:ascii="Times New Roman" w:eastAsia="宋体" w:hAnsi="Times New Roman"/>
                <w:color w:val="000000"/>
                <w:sz w:val="20"/>
                <w:szCs w:val="20"/>
              </w:rPr>
              <w:t>99 </w:t>
            </w:r>
          </w:p>
        </w:tc>
        <w:tc>
          <w:tcPr>
            <w:tcW w:w="0" w:type="auto"/>
            <w:shd w:val="clear" w:color="auto" w:fill="CCEEFF"/>
            <w:tcMar>
              <w:top w:w="40" w:type="dxa"/>
              <w:left w:w="0" w:type="dxa"/>
              <w:bottom w:w="40" w:type="dxa"/>
              <w:right w:w="20" w:type="dxa"/>
            </w:tcMar>
          </w:tcPr>
          <w:p w14:paraId="518B772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2C"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72D" w14:textId="77777777" w:rsidR="005C332D" w:rsidRDefault="00B93EAE">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518B772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72F"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73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3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732"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733" w14:textId="77777777" w:rsidR="005C332D" w:rsidRDefault="005C332D">
            <w:pPr>
              <w:jc w:val="right"/>
              <w:rPr>
                <w:rFonts w:ascii="宋体"/>
              </w:rPr>
            </w:pPr>
          </w:p>
        </w:tc>
      </w:tr>
      <w:tr w:rsidR="005C332D" w14:paraId="518B7745" w14:textId="77777777">
        <w:tc>
          <w:tcPr>
            <w:tcW w:w="0" w:type="auto"/>
            <w:gridSpan w:val="3"/>
            <w:shd w:val="clear" w:color="auto" w:fill="FFFFFF"/>
            <w:tcMar>
              <w:top w:w="40" w:type="dxa"/>
              <w:left w:w="380" w:type="dxa"/>
              <w:bottom w:w="40" w:type="dxa"/>
              <w:right w:w="20" w:type="dxa"/>
            </w:tcMar>
          </w:tcPr>
          <w:p w14:paraId="518B7735" w14:textId="77777777" w:rsidR="005C332D" w:rsidRDefault="00B93EAE">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518B773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737"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738" w14:textId="77777777" w:rsidR="005C332D" w:rsidRDefault="00B93EAE">
            <w:pPr>
              <w:jc w:val="right"/>
              <w:textAlignment w:val="bottom"/>
            </w:pPr>
            <w:r>
              <w:rPr>
                <w:rFonts w:ascii="Times New Roman" w:eastAsia="宋体" w:hAnsi="Times New Roman"/>
                <w:b/>
                <w:bCs/>
                <w:color w:val="000000"/>
                <w:sz w:val="20"/>
                <w:szCs w:val="20"/>
              </w:rPr>
              <w:t>64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73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3A"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73B" w14:textId="77777777" w:rsidR="005C332D" w:rsidRDefault="00B93EAE">
            <w:pPr>
              <w:jc w:val="right"/>
              <w:textAlignment w:val="bottom"/>
            </w:pPr>
            <w:r>
              <w:rPr>
                <w:rFonts w:ascii="Times New Roman" w:eastAsia="宋体" w:hAnsi="Times New Roman"/>
                <w:color w:val="000000"/>
                <w:sz w:val="20"/>
                <w:szCs w:val="20"/>
              </w:rPr>
              <w:t>123 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73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3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73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73F"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740"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74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42"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743" w14:textId="77777777" w:rsidR="005C332D" w:rsidRDefault="00B93EAE">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744" w14:textId="77777777" w:rsidR="005C332D" w:rsidRDefault="005C332D">
            <w:pPr>
              <w:jc w:val="right"/>
              <w:rPr>
                <w:rFonts w:ascii="宋体"/>
              </w:rPr>
            </w:pPr>
          </w:p>
        </w:tc>
      </w:tr>
      <w:tr w:rsidR="005C332D" w14:paraId="518B7752" w14:textId="77777777">
        <w:tc>
          <w:tcPr>
            <w:tcW w:w="0" w:type="auto"/>
            <w:gridSpan w:val="3"/>
            <w:shd w:val="clear" w:color="auto" w:fill="CCEEFF"/>
            <w:tcMar>
              <w:top w:w="40" w:type="dxa"/>
              <w:left w:w="20" w:type="dxa"/>
              <w:bottom w:w="40" w:type="dxa"/>
              <w:right w:w="20" w:type="dxa"/>
            </w:tcMar>
          </w:tcPr>
          <w:p w14:paraId="518B7746" w14:textId="77777777" w:rsidR="005C332D" w:rsidRDefault="00B93EAE">
            <w:pPr>
              <w:textAlignment w:val="top"/>
            </w:pPr>
            <w:r>
              <w:rPr>
                <w:rFonts w:ascii="Times New Roman" w:eastAsia="宋体" w:hAnsi="Times New Roman"/>
                <w:color w:val="000000"/>
                <w:sz w:val="18"/>
                <w:szCs w:val="18"/>
              </w:rPr>
              <w:t>Derivatives not designated as hedging instruments:</w:t>
            </w:r>
          </w:p>
        </w:tc>
        <w:tc>
          <w:tcPr>
            <w:tcW w:w="0" w:type="auto"/>
            <w:gridSpan w:val="3"/>
            <w:shd w:val="clear" w:color="auto" w:fill="CCEEFF"/>
            <w:tcMar>
              <w:top w:w="0" w:type="dxa"/>
              <w:left w:w="20" w:type="dxa"/>
              <w:bottom w:w="0" w:type="dxa"/>
              <w:right w:w="20" w:type="dxa"/>
            </w:tcMar>
            <w:vAlign w:val="bottom"/>
          </w:tcPr>
          <w:p w14:paraId="518B774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748"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74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74A"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74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74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74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74E"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74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750"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751" w14:textId="77777777" w:rsidR="005C332D" w:rsidRDefault="005C332D">
            <w:pPr>
              <w:rPr>
                <w:rFonts w:ascii="宋体"/>
              </w:rPr>
            </w:pPr>
          </w:p>
        </w:tc>
      </w:tr>
      <w:tr w:rsidR="005C332D" w14:paraId="518B7763" w14:textId="77777777">
        <w:tc>
          <w:tcPr>
            <w:tcW w:w="0" w:type="auto"/>
            <w:gridSpan w:val="3"/>
            <w:shd w:val="clear" w:color="auto" w:fill="FFFFFF"/>
            <w:tcMar>
              <w:top w:w="40" w:type="dxa"/>
              <w:left w:w="380" w:type="dxa"/>
              <w:bottom w:w="40" w:type="dxa"/>
              <w:right w:w="20" w:type="dxa"/>
            </w:tcMar>
          </w:tcPr>
          <w:p w14:paraId="518B7753" w14:textId="77777777" w:rsidR="005C332D" w:rsidRDefault="00B93EAE">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518B7754" w14:textId="77777777" w:rsidR="005C332D" w:rsidRDefault="00B93EAE">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518B775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56" w14:textId="77777777" w:rsidR="005C332D" w:rsidRDefault="00B93EAE">
            <w:pPr>
              <w:jc w:val="right"/>
              <w:textAlignment w:val="bottom"/>
            </w:pPr>
            <w:r>
              <w:rPr>
                <w:rFonts w:ascii="Times New Roman" w:eastAsia="宋体" w:hAnsi="Times New Roman"/>
                <w:b/>
                <w:bCs/>
                <w:color w:val="000000"/>
                <w:sz w:val="20"/>
                <w:szCs w:val="20"/>
              </w:rPr>
              <w:t>14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75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5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59"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518B775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5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75C" w14:textId="77777777" w:rsidR="005C332D" w:rsidRDefault="00B93EAE">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518B775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5E" w14:textId="77777777" w:rsidR="005C332D" w:rsidRDefault="00B93EAE">
            <w:pPr>
              <w:jc w:val="right"/>
              <w:textAlignment w:val="bottom"/>
            </w:pPr>
            <w:r>
              <w:rPr>
                <w:rFonts w:ascii="Times New Roman" w:eastAsia="宋体" w:hAnsi="Times New Roman"/>
                <w:b/>
                <w:bCs/>
                <w:color w:val="000000"/>
                <w:sz w:val="20"/>
                <w:szCs w:val="20"/>
              </w:rPr>
              <w:t>69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75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6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61" w14:textId="77777777" w:rsidR="005C332D" w:rsidRDefault="00B93EAE">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518B7762" w14:textId="77777777" w:rsidR="005C332D" w:rsidRDefault="005C332D">
            <w:pPr>
              <w:jc w:val="right"/>
              <w:rPr>
                <w:rFonts w:ascii="宋体"/>
              </w:rPr>
            </w:pPr>
          </w:p>
        </w:tc>
      </w:tr>
      <w:tr w:rsidR="005C332D" w14:paraId="518B7774" w14:textId="77777777">
        <w:tc>
          <w:tcPr>
            <w:tcW w:w="0" w:type="auto"/>
            <w:gridSpan w:val="3"/>
            <w:shd w:val="clear" w:color="auto" w:fill="CCEEFF"/>
            <w:tcMar>
              <w:top w:w="40" w:type="dxa"/>
              <w:left w:w="380" w:type="dxa"/>
              <w:bottom w:w="40" w:type="dxa"/>
              <w:right w:w="20" w:type="dxa"/>
            </w:tcMar>
          </w:tcPr>
          <w:p w14:paraId="518B7764" w14:textId="77777777" w:rsidR="005C332D" w:rsidRDefault="00B93EAE">
            <w:pPr>
              <w:textAlignment w:val="top"/>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518B7765" w14:textId="77777777" w:rsidR="005C332D" w:rsidRDefault="00B93EAE">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518B776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767"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76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6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76A"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76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6C"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76D" w14:textId="77777777" w:rsidR="005C332D" w:rsidRDefault="00B93EAE">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518B776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76F" w14:textId="77777777" w:rsidR="005C332D" w:rsidRDefault="00B93EAE">
            <w:pPr>
              <w:jc w:val="right"/>
              <w:textAlignment w:val="bottom"/>
            </w:pPr>
            <w:r>
              <w:rPr>
                <w:rFonts w:ascii="Times New Roman" w:eastAsia="宋体" w:hAnsi="Times New Roman"/>
                <w:b/>
                <w:bCs/>
                <w:color w:val="000000"/>
                <w:sz w:val="20"/>
                <w:szCs w:val="20"/>
              </w:rPr>
              <w:t>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77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7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772"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518B7773" w14:textId="77777777" w:rsidR="005C332D" w:rsidRDefault="005C332D">
            <w:pPr>
              <w:jc w:val="right"/>
              <w:rPr>
                <w:rFonts w:ascii="宋体"/>
              </w:rPr>
            </w:pPr>
          </w:p>
        </w:tc>
      </w:tr>
      <w:tr w:rsidR="005C332D" w14:paraId="518B7785" w14:textId="77777777">
        <w:tc>
          <w:tcPr>
            <w:tcW w:w="0" w:type="auto"/>
            <w:gridSpan w:val="3"/>
            <w:shd w:val="clear" w:color="auto" w:fill="FFFFFF"/>
            <w:tcMar>
              <w:top w:w="40" w:type="dxa"/>
              <w:left w:w="380" w:type="dxa"/>
              <w:bottom w:w="40" w:type="dxa"/>
              <w:right w:w="20" w:type="dxa"/>
            </w:tcMar>
          </w:tcPr>
          <w:p w14:paraId="518B7775" w14:textId="77777777" w:rsidR="005C332D" w:rsidRDefault="00B93EAE">
            <w:pPr>
              <w:textAlignment w:val="top"/>
            </w:pPr>
            <w:r>
              <w:rPr>
                <w:rFonts w:ascii="Times New Roman" w:eastAsia="宋体" w:hAnsi="Times New Roman"/>
                <w:color w:val="000000"/>
                <w:sz w:val="18"/>
                <w:szCs w:val="18"/>
              </w:rPr>
              <w:t>Equity derivatives</w:t>
            </w:r>
          </w:p>
        </w:tc>
        <w:tc>
          <w:tcPr>
            <w:tcW w:w="0" w:type="auto"/>
            <w:gridSpan w:val="3"/>
            <w:shd w:val="clear" w:color="auto" w:fill="FFFFFF"/>
            <w:tcMar>
              <w:top w:w="40" w:type="dxa"/>
              <w:left w:w="20" w:type="dxa"/>
              <w:bottom w:w="40" w:type="dxa"/>
              <w:right w:w="20" w:type="dxa"/>
            </w:tcMar>
            <w:vAlign w:val="bottom"/>
          </w:tcPr>
          <w:p w14:paraId="518B7776" w14:textId="77777777" w:rsidR="005C332D" w:rsidRDefault="00B93EAE">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518B777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78"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77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7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7B"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77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7D"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77E" w14:textId="77777777" w:rsidR="005C332D" w:rsidRDefault="00B93EAE">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518B777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80"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78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8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783"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784" w14:textId="77777777" w:rsidR="005C332D" w:rsidRDefault="005C332D">
            <w:pPr>
              <w:jc w:val="right"/>
              <w:rPr>
                <w:rFonts w:ascii="宋体"/>
              </w:rPr>
            </w:pPr>
          </w:p>
        </w:tc>
      </w:tr>
      <w:tr w:rsidR="005C332D" w14:paraId="518B7796" w14:textId="77777777">
        <w:tc>
          <w:tcPr>
            <w:tcW w:w="0" w:type="auto"/>
            <w:gridSpan w:val="3"/>
            <w:shd w:val="clear" w:color="auto" w:fill="CCEEFF"/>
            <w:tcMar>
              <w:top w:w="40" w:type="dxa"/>
              <w:left w:w="380" w:type="dxa"/>
              <w:bottom w:w="40" w:type="dxa"/>
              <w:right w:w="20" w:type="dxa"/>
            </w:tcMar>
          </w:tcPr>
          <w:p w14:paraId="518B7786" w14:textId="77777777" w:rsidR="005C332D" w:rsidRDefault="00B93EAE">
            <w:pPr>
              <w:textAlignment w:val="top"/>
            </w:pPr>
            <w:r>
              <w:rPr>
                <w:rFonts w:ascii="Times New Roman" w:eastAsia="宋体" w:hAnsi="Times New Roman"/>
                <w:color w:val="000000"/>
                <w:sz w:val="18"/>
                <w:szCs w:val="18"/>
              </w:rPr>
              <w:t>Total</w:t>
            </w:r>
          </w:p>
        </w:tc>
        <w:tc>
          <w:tcPr>
            <w:tcW w:w="0" w:type="auto"/>
            <w:gridSpan w:val="3"/>
            <w:shd w:val="clear" w:color="auto" w:fill="CCEEFF"/>
            <w:tcMar>
              <w:top w:w="0" w:type="dxa"/>
              <w:left w:w="20" w:type="dxa"/>
              <w:bottom w:w="0" w:type="dxa"/>
              <w:right w:w="20" w:type="dxa"/>
            </w:tcMar>
            <w:vAlign w:val="bottom"/>
          </w:tcPr>
          <w:p w14:paraId="518B778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788"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789" w14:textId="77777777" w:rsidR="005C332D" w:rsidRDefault="00B93EAE">
            <w:pPr>
              <w:jc w:val="right"/>
              <w:textAlignment w:val="bottom"/>
            </w:pPr>
            <w:r>
              <w:rPr>
                <w:rFonts w:ascii="Times New Roman" w:eastAsia="宋体" w:hAnsi="Times New Roman"/>
                <w:b/>
                <w:bCs/>
                <w:color w:val="000000"/>
                <w:sz w:val="20"/>
                <w:szCs w:val="20"/>
              </w:rPr>
              <w:t>14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78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8B"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78C" w14:textId="77777777" w:rsidR="005C332D" w:rsidRDefault="00B93EAE">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78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8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78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790"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791" w14:textId="77777777" w:rsidR="005C332D" w:rsidRDefault="00B93EAE">
            <w:pPr>
              <w:jc w:val="right"/>
              <w:textAlignment w:val="bottom"/>
            </w:pPr>
            <w:r>
              <w:rPr>
                <w:rFonts w:ascii="Times New Roman" w:eastAsia="宋体" w:hAnsi="Times New Roman"/>
                <w:b/>
                <w:bCs/>
                <w:color w:val="000000"/>
                <w:sz w:val="20"/>
                <w:szCs w:val="20"/>
              </w:rPr>
              <w:t>79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79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93"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794" w14:textId="77777777" w:rsidR="005C332D" w:rsidRDefault="00B93EAE">
            <w:pPr>
              <w:jc w:val="right"/>
              <w:textAlignment w:val="bottom"/>
            </w:pPr>
            <w:r>
              <w:rPr>
                <w:rFonts w:ascii="Times New Roman" w:eastAsia="宋体" w:hAnsi="Times New Roman"/>
                <w:color w:val="000000"/>
                <w:sz w:val="20"/>
                <w:szCs w:val="20"/>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795" w14:textId="77777777" w:rsidR="005C332D" w:rsidRDefault="005C332D">
            <w:pPr>
              <w:jc w:val="right"/>
              <w:rPr>
                <w:rFonts w:ascii="宋体"/>
              </w:rPr>
            </w:pPr>
          </w:p>
        </w:tc>
      </w:tr>
      <w:tr w:rsidR="005C332D" w14:paraId="518B77AB" w14:textId="77777777">
        <w:tc>
          <w:tcPr>
            <w:tcW w:w="0" w:type="auto"/>
            <w:gridSpan w:val="3"/>
            <w:shd w:val="clear" w:color="auto" w:fill="FFFFFF"/>
            <w:tcMar>
              <w:top w:w="40" w:type="dxa"/>
              <w:left w:w="740" w:type="dxa"/>
              <w:bottom w:w="40" w:type="dxa"/>
              <w:right w:w="20" w:type="dxa"/>
            </w:tcMar>
          </w:tcPr>
          <w:p w14:paraId="518B7797" w14:textId="77777777" w:rsidR="005C332D" w:rsidRDefault="00B93EAE">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518B779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799"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79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79B" w14:textId="77777777" w:rsidR="005C332D" w:rsidRDefault="00B93EAE">
            <w:pPr>
              <w:jc w:val="right"/>
              <w:textAlignment w:val="bottom"/>
            </w:pPr>
            <w:r>
              <w:rPr>
                <w:rFonts w:ascii="Times New Roman" w:eastAsia="宋体" w:hAnsi="Times New Roman"/>
                <w:b/>
                <w:bCs/>
                <w:color w:val="000000"/>
                <w:sz w:val="20"/>
                <w:szCs w:val="20"/>
              </w:rPr>
              <w:t>78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79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9D"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79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79F" w14:textId="77777777" w:rsidR="005C332D" w:rsidRDefault="00B93EAE">
            <w:pPr>
              <w:jc w:val="right"/>
              <w:textAlignment w:val="bottom"/>
            </w:pPr>
            <w:r>
              <w:rPr>
                <w:rFonts w:ascii="Times New Roman" w:eastAsia="宋体" w:hAnsi="Times New Roman"/>
                <w:color w:val="000000"/>
                <w:sz w:val="20"/>
                <w:szCs w:val="20"/>
              </w:rPr>
              <w:t>126 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7A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A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7A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7A3"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7A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7A5" w14:textId="77777777" w:rsidR="005C332D" w:rsidRDefault="00B93EAE">
            <w:pPr>
              <w:jc w:val="right"/>
              <w:textAlignment w:val="bottom"/>
            </w:pPr>
            <w:r>
              <w:rPr>
                <w:rFonts w:ascii="Times New Roman" w:eastAsia="宋体" w:hAnsi="Times New Roman"/>
                <w:b/>
                <w:bCs/>
                <w:color w:val="000000"/>
                <w:sz w:val="20"/>
                <w:szCs w:val="20"/>
              </w:rPr>
              <w:t>89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7A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A7"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7A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7A9" w14:textId="77777777" w:rsidR="005C332D" w:rsidRDefault="00B93EAE">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7AA" w14:textId="77777777" w:rsidR="005C332D" w:rsidRDefault="005C332D">
            <w:pPr>
              <w:jc w:val="right"/>
              <w:rPr>
                <w:rFonts w:ascii="宋体"/>
              </w:rPr>
            </w:pPr>
          </w:p>
        </w:tc>
      </w:tr>
    </w:tbl>
    <w:p w14:paraId="518B77AC" w14:textId="77777777" w:rsidR="005C332D" w:rsidRDefault="00B93EAE">
      <w:pPr>
        <w:spacing w:before="120"/>
      </w:pPr>
      <w:r>
        <w:rPr>
          <w:rFonts w:ascii="Times New Roman" w:eastAsia="宋体" w:hAnsi="Times New Roman"/>
          <w:color w:val="000000"/>
          <w:sz w:val="20"/>
          <w:szCs w:val="20"/>
        </w:rPr>
        <w:t xml:space="preserve">The following amounts were recorded on the </w:t>
      </w:r>
      <w:r>
        <w:rPr>
          <w:rFonts w:ascii="Times New Roman" w:eastAsia="宋体" w:hAnsi="Times New Roman"/>
          <w:color w:val="000000"/>
          <w:sz w:val="20"/>
          <w:szCs w:val="20"/>
        </w:rPr>
        <w:t>Consolidated Balance Sheets related to cumulative basis adjustments for our fair value hedges (in millions):</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88"/>
        <w:gridCol w:w="37"/>
        <w:gridCol w:w="36"/>
        <w:gridCol w:w="36"/>
        <w:gridCol w:w="36"/>
        <w:gridCol w:w="121"/>
        <w:gridCol w:w="842"/>
        <w:gridCol w:w="37"/>
        <w:gridCol w:w="37"/>
        <w:gridCol w:w="39"/>
        <w:gridCol w:w="36"/>
        <w:gridCol w:w="120"/>
        <w:gridCol w:w="830"/>
        <w:gridCol w:w="36"/>
        <w:gridCol w:w="36"/>
        <w:gridCol w:w="36"/>
        <w:gridCol w:w="36"/>
        <w:gridCol w:w="121"/>
        <w:gridCol w:w="822"/>
        <w:gridCol w:w="37"/>
        <w:gridCol w:w="37"/>
        <w:gridCol w:w="37"/>
        <w:gridCol w:w="37"/>
        <w:gridCol w:w="120"/>
        <w:gridCol w:w="850"/>
        <w:gridCol w:w="36"/>
      </w:tblGrid>
      <w:tr w:rsidR="005C332D" w14:paraId="518B77C8" w14:textId="77777777">
        <w:trPr>
          <w:jc w:val="center"/>
        </w:trPr>
        <w:tc>
          <w:tcPr>
            <w:tcW w:w="50" w:type="pct"/>
            <w:shd w:val="clear" w:color="auto" w:fill="auto"/>
            <w:vAlign w:val="bottom"/>
          </w:tcPr>
          <w:p w14:paraId="518B77AD" w14:textId="77777777" w:rsidR="005C332D" w:rsidRDefault="005C332D">
            <w:pPr>
              <w:rPr>
                <w:rFonts w:ascii="宋体"/>
              </w:rPr>
            </w:pPr>
          </w:p>
        </w:tc>
        <w:tc>
          <w:tcPr>
            <w:tcW w:w="2323" w:type="pct"/>
            <w:shd w:val="clear" w:color="auto" w:fill="auto"/>
            <w:vAlign w:val="bottom"/>
          </w:tcPr>
          <w:p w14:paraId="518B77AE" w14:textId="77777777" w:rsidR="005C332D" w:rsidRDefault="005C332D">
            <w:pPr>
              <w:rPr>
                <w:rFonts w:ascii="宋体"/>
              </w:rPr>
            </w:pPr>
          </w:p>
        </w:tc>
        <w:tc>
          <w:tcPr>
            <w:tcW w:w="5" w:type="pct"/>
            <w:shd w:val="clear" w:color="auto" w:fill="auto"/>
            <w:vAlign w:val="bottom"/>
          </w:tcPr>
          <w:p w14:paraId="518B77AF" w14:textId="77777777" w:rsidR="005C332D" w:rsidRDefault="005C332D">
            <w:pPr>
              <w:rPr>
                <w:rFonts w:ascii="宋体"/>
              </w:rPr>
            </w:pPr>
          </w:p>
        </w:tc>
        <w:tc>
          <w:tcPr>
            <w:tcW w:w="5" w:type="pct"/>
            <w:shd w:val="clear" w:color="auto" w:fill="auto"/>
            <w:vAlign w:val="bottom"/>
          </w:tcPr>
          <w:p w14:paraId="518B77B0" w14:textId="77777777" w:rsidR="005C332D" w:rsidRDefault="005C332D">
            <w:pPr>
              <w:rPr>
                <w:rFonts w:ascii="宋体"/>
              </w:rPr>
            </w:pPr>
          </w:p>
        </w:tc>
        <w:tc>
          <w:tcPr>
            <w:tcW w:w="26" w:type="pct"/>
            <w:shd w:val="clear" w:color="auto" w:fill="auto"/>
            <w:vAlign w:val="bottom"/>
          </w:tcPr>
          <w:p w14:paraId="518B77B1" w14:textId="77777777" w:rsidR="005C332D" w:rsidRDefault="005C332D">
            <w:pPr>
              <w:rPr>
                <w:rFonts w:ascii="宋体"/>
              </w:rPr>
            </w:pPr>
          </w:p>
        </w:tc>
        <w:tc>
          <w:tcPr>
            <w:tcW w:w="5" w:type="pct"/>
            <w:shd w:val="clear" w:color="auto" w:fill="auto"/>
            <w:vAlign w:val="bottom"/>
          </w:tcPr>
          <w:p w14:paraId="518B77B2" w14:textId="77777777" w:rsidR="005C332D" w:rsidRDefault="005C332D">
            <w:pPr>
              <w:rPr>
                <w:rFonts w:ascii="宋体"/>
              </w:rPr>
            </w:pPr>
          </w:p>
        </w:tc>
        <w:tc>
          <w:tcPr>
            <w:tcW w:w="50" w:type="pct"/>
            <w:shd w:val="clear" w:color="auto" w:fill="auto"/>
            <w:vAlign w:val="bottom"/>
          </w:tcPr>
          <w:p w14:paraId="518B77B3" w14:textId="77777777" w:rsidR="005C332D" w:rsidRDefault="005C332D">
            <w:pPr>
              <w:rPr>
                <w:rFonts w:ascii="宋体"/>
              </w:rPr>
            </w:pPr>
          </w:p>
        </w:tc>
        <w:tc>
          <w:tcPr>
            <w:tcW w:w="563" w:type="pct"/>
            <w:shd w:val="clear" w:color="auto" w:fill="auto"/>
            <w:vAlign w:val="bottom"/>
          </w:tcPr>
          <w:p w14:paraId="518B77B4" w14:textId="77777777" w:rsidR="005C332D" w:rsidRDefault="005C332D">
            <w:pPr>
              <w:rPr>
                <w:rFonts w:ascii="宋体"/>
              </w:rPr>
            </w:pPr>
          </w:p>
        </w:tc>
        <w:tc>
          <w:tcPr>
            <w:tcW w:w="5" w:type="pct"/>
            <w:shd w:val="clear" w:color="auto" w:fill="auto"/>
            <w:vAlign w:val="bottom"/>
          </w:tcPr>
          <w:p w14:paraId="518B77B5" w14:textId="77777777" w:rsidR="005C332D" w:rsidRDefault="005C332D">
            <w:pPr>
              <w:rPr>
                <w:rFonts w:ascii="宋体"/>
              </w:rPr>
            </w:pPr>
          </w:p>
        </w:tc>
        <w:tc>
          <w:tcPr>
            <w:tcW w:w="5" w:type="pct"/>
            <w:shd w:val="clear" w:color="auto" w:fill="auto"/>
            <w:vAlign w:val="bottom"/>
          </w:tcPr>
          <w:p w14:paraId="518B77B6" w14:textId="77777777" w:rsidR="005C332D" w:rsidRDefault="005C332D">
            <w:pPr>
              <w:rPr>
                <w:rFonts w:ascii="宋体"/>
              </w:rPr>
            </w:pPr>
          </w:p>
        </w:tc>
        <w:tc>
          <w:tcPr>
            <w:tcW w:w="26" w:type="pct"/>
            <w:shd w:val="clear" w:color="auto" w:fill="auto"/>
            <w:vAlign w:val="bottom"/>
          </w:tcPr>
          <w:p w14:paraId="518B77B7" w14:textId="77777777" w:rsidR="005C332D" w:rsidRDefault="005C332D">
            <w:pPr>
              <w:rPr>
                <w:rFonts w:ascii="宋体"/>
              </w:rPr>
            </w:pPr>
          </w:p>
        </w:tc>
        <w:tc>
          <w:tcPr>
            <w:tcW w:w="5" w:type="pct"/>
            <w:shd w:val="clear" w:color="auto" w:fill="auto"/>
            <w:vAlign w:val="bottom"/>
          </w:tcPr>
          <w:p w14:paraId="518B77B8" w14:textId="77777777" w:rsidR="005C332D" w:rsidRDefault="005C332D">
            <w:pPr>
              <w:rPr>
                <w:rFonts w:ascii="宋体"/>
              </w:rPr>
            </w:pPr>
          </w:p>
        </w:tc>
        <w:tc>
          <w:tcPr>
            <w:tcW w:w="50" w:type="pct"/>
            <w:shd w:val="clear" w:color="auto" w:fill="auto"/>
            <w:vAlign w:val="bottom"/>
          </w:tcPr>
          <w:p w14:paraId="518B77B9" w14:textId="77777777" w:rsidR="005C332D" w:rsidRDefault="005C332D">
            <w:pPr>
              <w:rPr>
                <w:rFonts w:ascii="宋体"/>
              </w:rPr>
            </w:pPr>
          </w:p>
        </w:tc>
        <w:tc>
          <w:tcPr>
            <w:tcW w:w="556" w:type="pct"/>
            <w:shd w:val="clear" w:color="auto" w:fill="auto"/>
            <w:vAlign w:val="bottom"/>
          </w:tcPr>
          <w:p w14:paraId="518B77BA" w14:textId="77777777" w:rsidR="005C332D" w:rsidRDefault="005C332D">
            <w:pPr>
              <w:rPr>
                <w:rFonts w:ascii="宋体"/>
              </w:rPr>
            </w:pPr>
          </w:p>
        </w:tc>
        <w:tc>
          <w:tcPr>
            <w:tcW w:w="5" w:type="pct"/>
            <w:shd w:val="clear" w:color="auto" w:fill="auto"/>
            <w:vAlign w:val="bottom"/>
          </w:tcPr>
          <w:p w14:paraId="518B77BB" w14:textId="77777777" w:rsidR="005C332D" w:rsidRDefault="005C332D">
            <w:pPr>
              <w:rPr>
                <w:rFonts w:ascii="宋体"/>
              </w:rPr>
            </w:pPr>
          </w:p>
        </w:tc>
        <w:tc>
          <w:tcPr>
            <w:tcW w:w="5" w:type="pct"/>
            <w:shd w:val="clear" w:color="auto" w:fill="auto"/>
            <w:vAlign w:val="bottom"/>
          </w:tcPr>
          <w:p w14:paraId="518B77BC" w14:textId="77777777" w:rsidR="005C332D" w:rsidRDefault="005C332D">
            <w:pPr>
              <w:rPr>
                <w:rFonts w:ascii="宋体"/>
              </w:rPr>
            </w:pPr>
          </w:p>
        </w:tc>
        <w:tc>
          <w:tcPr>
            <w:tcW w:w="26" w:type="pct"/>
            <w:shd w:val="clear" w:color="auto" w:fill="auto"/>
            <w:vAlign w:val="bottom"/>
          </w:tcPr>
          <w:p w14:paraId="518B77BD" w14:textId="77777777" w:rsidR="005C332D" w:rsidRDefault="005C332D">
            <w:pPr>
              <w:rPr>
                <w:rFonts w:ascii="宋体"/>
              </w:rPr>
            </w:pPr>
          </w:p>
        </w:tc>
        <w:tc>
          <w:tcPr>
            <w:tcW w:w="5" w:type="pct"/>
            <w:shd w:val="clear" w:color="auto" w:fill="auto"/>
            <w:vAlign w:val="bottom"/>
          </w:tcPr>
          <w:p w14:paraId="518B77BE" w14:textId="77777777" w:rsidR="005C332D" w:rsidRDefault="005C332D">
            <w:pPr>
              <w:rPr>
                <w:rFonts w:ascii="宋体"/>
              </w:rPr>
            </w:pPr>
          </w:p>
        </w:tc>
        <w:tc>
          <w:tcPr>
            <w:tcW w:w="50" w:type="pct"/>
            <w:shd w:val="clear" w:color="auto" w:fill="auto"/>
            <w:vAlign w:val="bottom"/>
          </w:tcPr>
          <w:p w14:paraId="518B77BF" w14:textId="77777777" w:rsidR="005C332D" w:rsidRDefault="005C332D">
            <w:pPr>
              <w:rPr>
                <w:rFonts w:ascii="宋体"/>
              </w:rPr>
            </w:pPr>
          </w:p>
        </w:tc>
        <w:tc>
          <w:tcPr>
            <w:tcW w:w="563" w:type="pct"/>
            <w:shd w:val="clear" w:color="auto" w:fill="auto"/>
            <w:vAlign w:val="bottom"/>
          </w:tcPr>
          <w:p w14:paraId="518B77C0" w14:textId="77777777" w:rsidR="005C332D" w:rsidRDefault="005C332D">
            <w:pPr>
              <w:rPr>
                <w:rFonts w:ascii="宋体"/>
              </w:rPr>
            </w:pPr>
          </w:p>
        </w:tc>
        <w:tc>
          <w:tcPr>
            <w:tcW w:w="5" w:type="pct"/>
            <w:shd w:val="clear" w:color="auto" w:fill="auto"/>
            <w:vAlign w:val="bottom"/>
          </w:tcPr>
          <w:p w14:paraId="518B77C1" w14:textId="77777777" w:rsidR="005C332D" w:rsidRDefault="005C332D">
            <w:pPr>
              <w:rPr>
                <w:rFonts w:ascii="宋体"/>
              </w:rPr>
            </w:pPr>
          </w:p>
        </w:tc>
        <w:tc>
          <w:tcPr>
            <w:tcW w:w="5" w:type="pct"/>
            <w:shd w:val="clear" w:color="auto" w:fill="auto"/>
            <w:vAlign w:val="bottom"/>
          </w:tcPr>
          <w:p w14:paraId="518B77C2" w14:textId="77777777" w:rsidR="005C332D" w:rsidRDefault="005C332D">
            <w:pPr>
              <w:rPr>
                <w:rFonts w:ascii="宋体"/>
              </w:rPr>
            </w:pPr>
          </w:p>
        </w:tc>
        <w:tc>
          <w:tcPr>
            <w:tcW w:w="26" w:type="pct"/>
            <w:shd w:val="clear" w:color="auto" w:fill="auto"/>
            <w:vAlign w:val="bottom"/>
          </w:tcPr>
          <w:p w14:paraId="518B77C3" w14:textId="77777777" w:rsidR="005C332D" w:rsidRDefault="005C332D">
            <w:pPr>
              <w:rPr>
                <w:rFonts w:ascii="宋体"/>
              </w:rPr>
            </w:pPr>
          </w:p>
        </w:tc>
        <w:tc>
          <w:tcPr>
            <w:tcW w:w="5" w:type="pct"/>
            <w:shd w:val="clear" w:color="auto" w:fill="auto"/>
            <w:vAlign w:val="bottom"/>
          </w:tcPr>
          <w:p w14:paraId="518B77C4" w14:textId="77777777" w:rsidR="005C332D" w:rsidRDefault="005C332D">
            <w:pPr>
              <w:rPr>
                <w:rFonts w:ascii="宋体"/>
              </w:rPr>
            </w:pPr>
          </w:p>
        </w:tc>
        <w:tc>
          <w:tcPr>
            <w:tcW w:w="50" w:type="pct"/>
            <w:shd w:val="clear" w:color="auto" w:fill="auto"/>
            <w:vAlign w:val="bottom"/>
          </w:tcPr>
          <w:p w14:paraId="518B77C5" w14:textId="77777777" w:rsidR="005C332D" w:rsidRDefault="005C332D">
            <w:pPr>
              <w:rPr>
                <w:rFonts w:ascii="宋体"/>
              </w:rPr>
            </w:pPr>
          </w:p>
        </w:tc>
        <w:tc>
          <w:tcPr>
            <w:tcW w:w="571" w:type="pct"/>
            <w:shd w:val="clear" w:color="auto" w:fill="auto"/>
            <w:vAlign w:val="bottom"/>
          </w:tcPr>
          <w:p w14:paraId="518B77C6" w14:textId="77777777" w:rsidR="005C332D" w:rsidRDefault="005C332D">
            <w:pPr>
              <w:rPr>
                <w:rFonts w:ascii="宋体"/>
              </w:rPr>
            </w:pPr>
          </w:p>
        </w:tc>
        <w:tc>
          <w:tcPr>
            <w:tcW w:w="5" w:type="pct"/>
            <w:shd w:val="clear" w:color="auto" w:fill="auto"/>
            <w:vAlign w:val="bottom"/>
          </w:tcPr>
          <w:p w14:paraId="518B77C7" w14:textId="77777777" w:rsidR="005C332D" w:rsidRDefault="005C332D">
            <w:pPr>
              <w:rPr>
                <w:rFonts w:ascii="宋体"/>
              </w:rPr>
            </w:pPr>
          </w:p>
        </w:tc>
      </w:tr>
      <w:tr w:rsidR="005C332D" w14:paraId="518B77CE" w14:textId="77777777">
        <w:trPr>
          <w:jc w:val="center"/>
        </w:trPr>
        <w:tc>
          <w:tcPr>
            <w:tcW w:w="0" w:type="auto"/>
            <w:gridSpan w:val="3"/>
            <w:shd w:val="clear" w:color="auto" w:fill="auto"/>
            <w:tcMar>
              <w:top w:w="40" w:type="dxa"/>
              <w:left w:w="20" w:type="dxa"/>
              <w:bottom w:w="40" w:type="dxa"/>
              <w:right w:w="20" w:type="dxa"/>
            </w:tcMar>
            <w:vAlign w:val="bottom"/>
          </w:tcPr>
          <w:p w14:paraId="518B77C9"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18B77CA"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77CB" w14:textId="77777777" w:rsidR="005C332D" w:rsidRDefault="00B93EAE">
            <w:pPr>
              <w:jc w:val="center"/>
              <w:textAlignment w:val="bottom"/>
            </w:pPr>
            <w:r>
              <w:rPr>
                <w:rFonts w:ascii="Times New Roman" w:eastAsia="宋体" w:hAnsi="Times New Roman"/>
                <w:color w:val="000000"/>
                <w:sz w:val="18"/>
                <w:szCs w:val="18"/>
              </w:rPr>
              <w:t>CARRYING AMOUNT OF THE HEDGED ASSETS/(LIABILITIES)</w:t>
            </w:r>
          </w:p>
        </w:tc>
        <w:tc>
          <w:tcPr>
            <w:tcW w:w="0" w:type="auto"/>
            <w:gridSpan w:val="3"/>
            <w:shd w:val="clear" w:color="auto" w:fill="auto"/>
            <w:tcMar>
              <w:top w:w="0" w:type="dxa"/>
              <w:left w:w="20" w:type="dxa"/>
              <w:bottom w:w="0" w:type="dxa"/>
              <w:right w:w="20" w:type="dxa"/>
            </w:tcMar>
            <w:vAlign w:val="bottom"/>
          </w:tcPr>
          <w:p w14:paraId="518B77CC" w14:textId="77777777" w:rsidR="005C332D" w:rsidRDefault="005C332D">
            <w:pPr>
              <w:rPr>
                <w:rFonts w:ascii="宋体"/>
              </w:rPr>
            </w:pPr>
          </w:p>
        </w:tc>
        <w:tc>
          <w:tcPr>
            <w:tcW w:w="0" w:type="auto"/>
            <w:gridSpan w:val="9"/>
            <w:shd w:val="clear" w:color="auto" w:fill="auto"/>
            <w:tcMar>
              <w:top w:w="40" w:type="dxa"/>
              <w:left w:w="20" w:type="dxa"/>
              <w:bottom w:w="40" w:type="dxa"/>
              <w:right w:w="20" w:type="dxa"/>
            </w:tcMar>
            <w:vAlign w:val="bottom"/>
          </w:tcPr>
          <w:p w14:paraId="518B77CD" w14:textId="77777777" w:rsidR="005C332D" w:rsidRDefault="00B93EAE">
            <w:pPr>
              <w:jc w:val="center"/>
              <w:textAlignment w:val="bottom"/>
            </w:pPr>
            <w:r>
              <w:rPr>
                <w:rFonts w:ascii="Times New Roman" w:eastAsia="宋体" w:hAnsi="Times New Roman"/>
                <w:color w:val="000000"/>
                <w:sz w:val="18"/>
                <w:szCs w:val="18"/>
              </w:rPr>
              <w:t>CUMULATIVE AMOUNT OF FAIR VALUE HEDGING ADJUSTMENT INCLUDED IN THE CARRYING AMOUNT OF THE HEDGED ASSETS/LIABILITIES</w:t>
            </w:r>
          </w:p>
        </w:tc>
      </w:tr>
      <w:tr w:rsidR="005C332D" w14:paraId="518B77D8" w14:textId="77777777">
        <w:trPr>
          <w:jc w:val="center"/>
        </w:trPr>
        <w:tc>
          <w:tcPr>
            <w:tcW w:w="0" w:type="auto"/>
            <w:gridSpan w:val="3"/>
            <w:shd w:val="clear" w:color="auto" w:fill="auto"/>
            <w:tcMar>
              <w:top w:w="40" w:type="dxa"/>
              <w:left w:w="20" w:type="dxa"/>
              <w:bottom w:w="40" w:type="dxa"/>
              <w:right w:w="20" w:type="dxa"/>
            </w:tcMar>
            <w:vAlign w:val="bottom"/>
          </w:tcPr>
          <w:p w14:paraId="518B77CF" w14:textId="77777777" w:rsidR="005C332D" w:rsidRDefault="00B93EAE">
            <w:pPr>
              <w:textAlignment w:val="bottom"/>
            </w:pPr>
            <w:r>
              <w:rPr>
                <w:rFonts w:ascii="Times New Roman" w:eastAsia="宋体" w:hAnsi="Times New Roman"/>
                <w:color w:val="000000"/>
                <w:sz w:val="16"/>
                <w:szCs w:val="16"/>
              </w:rPr>
              <w:t xml:space="preserve">Balance Sheet Line </w:t>
            </w:r>
            <w:r>
              <w:rPr>
                <w:rFonts w:ascii="Times New Roman" w:eastAsia="宋体" w:hAnsi="Times New Roman"/>
                <w:color w:val="000000"/>
                <w:sz w:val="16"/>
                <w:szCs w:val="16"/>
              </w:rPr>
              <w:t>Item of Hedged Item</w:t>
            </w:r>
          </w:p>
        </w:tc>
        <w:tc>
          <w:tcPr>
            <w:tcW w:w="0" w:type="auto"/>
            <w:gridSpan w:val="3"/>
            <w:shd w:val="clear" w:color="auto" w:fill="auto"/>
            <w:tcMar>
              <w:top w:w="0" w:type="dxa"/>
              <w:left w:w="20" w:type="dxa"/>
              <w:bottom w:w="0" w:type="dxa"/>
              <w:right w:w="20" w:type="dxa"/>
            </w:tcMar>
            <w:vAlign w:val="bottom"/>
          </w:tcPr>
          <w:p w14:paraId="518B77D0"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7D1" w14:textId="77777777" w:rsidR="005C332D" w:rsidRDefault="00B93EAE">
            <w:pPr>
              <w:jc w:val="center"/>
              <w:textAlignment w:val="bottom"/>
            </w:pPr>
            <w:r>
              <w:rPr>
                <w:rFonts w:ascii="Times New Roman" w:eastAsia="宋体" w:hAnsi="Times New Roman"/>
                <w:b/>
                <w:bCs/>
                <w:color w:val="000000"/>
                <w:sz w:val="18"/>
                <w:szCs w:val="18"/>
              </w:rPr>
              <w:t>July 30,</w:t>
            </w:r>
            <w:r>
              <w:rPr>
                <w:rFonts w:ascii="Times New Roman" w:eastAsia="宋体" w:hAnsi="Times New Roman"/>
                <w:b/>
                <w:bCs/>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7D2"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7D3" w14:textId="77777777" w:rsidR="005C332D" w:rsidRDefault="00B93EAE">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518B77D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7D5" w14:textId="77777777" w:rsidR="005C332D" w:rsidRDefault="00B93EAE">
            <w:pPr>
              <w:jc w:val="center"/>
              <w:textAlignment w:val="bottom"/>
            </w:pPr>
            <w:r>
              <w:rPr>
                <w:rFonts w:ascii="Times New Roman" w:eastAsia="宋体" w:hAnsi="Times New Roman"/>
                <w:b/>
                <w:bCs/>
                <w:color w:val="000000"/>
                <w:sz w:val="18"/>
                <w:szCs w:val="18"/>
              </w:rPr>
              <w:t>July 30,</w:t>
            </w:r>
            <w:r>
              <w:rPr>
                <w:rFonts w:ascii="Times New Roman" w:eastAsia="宋体" w:hAnsi="Times New Roman"/>
                <w:b/>
                <w:bCs/>
                <w:color w:val="000000"/>
                <w:sz w:val="18"/>
                <w:szCs w:val="18"/>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7D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7D7" w14:textId="77777777" w:rsidR="005C332D" w:rsidRDefault="00B93EAE">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5C332D" w14:paraId="518B77EA"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518B77D9" w14:textId="77777777" w:rsidR="005C332D" w:rsidRDefault="00B93EAE">
            <w:pPr>
              <w:textAlignment w:val="top"/>
            </w:pPr>
            <w:r>
              <w:rPr>
                <w:rFonts w:ascii="Times New Roman" w:eastAsia="宋体" w:hAnsi="Times New Roman"/>
                <w:color w:val="000000"/>
                <w:sz w:val="20"/>
                <w:szCs w:val="20"/>
              </w:rPr>
              <w:t>Short-term debt</w:t>
            </w:r>
          </w:p>
        </w:tc>
        <w:tc>
          <w:tcPr>
            <w:tcW w:w="0" w:type="auto"/>
            <w:gridSpan w:val="3"/>
            <w:shd w:val="clear" w:color="auto" w:fill="CCEEFF"/>
            <w:tcMar>
              <w:top w:w="0" w:type="dxa"/>
              <w:left w:w="20" w:type="dxa"/>
              <w:bottom w:w="0" w:type="dxa"/>
              <w:right w:w="20" w:type="dxa"/>
            </w:tcMar>
            <w:vAlign w:val="bottom"/>
          </w:tcPr>
          <w:p w14:paraId="518B77D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7D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7DC"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7D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D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7D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7E0" w14:textId="77777777" w:rsidR="005C332D" w:rsidRDefault="00B93EAE">
            <w:pPr>
              <w:jc w:val="right"/>
              <w:textAlignment w:val="bottom"/>
            </w:pPr>
            <w:r>
              <w:rPr>
                <w:rFonts w:ascii="Times New Roman" w:eastAsia="宋体" w:hAnsi="Times New Roman"/>
                <w:color w:val="000000"/>
                <w:sz w:val="20"/>
                <w:szCs w:val="20"/>
              </w:rPr>
              <w:t>(508)</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7E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E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7E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7E4"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7E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7E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7E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7E8" w14:textId="77777777" w:rsidR="005C332D" w:rsidRDefault="00B93EAE">
            <w:pPr>
              <w:jc w:val="right"/>
              <w:textAlignment w:val="bottom"/>
            </w:pPr>
            <w:r>
              <w:rPr>
                <w:rFonts w:ascii="Times New Roman" w:eastAsia="宋体" w:hAnsi="Times New Roman"/>
                <w:color w:val="000000"/>
                <w:sz w:val="20"/>
                <w:szCs w:val="20"/>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7E9" w14:textId="77777777" w:rsidR="005C332D" w:rsidRDefault="005C332D">
            <w:pPr>
              <w:jc w:val="right"/>
              <w:rPr>
                <w:rFonts w:ascii="宋体"/>
              </w:rPr>
            </w:pPr>
          </w:p>
        </w:tc>
      </w:tr>
      <w:tr w:rsidR="005C332D" w14:paraId="518B77FC" w14:textId="77777777">
        <w:trPr>
          <w:jc w:val="center"/>
        </w:trPr>
        <w:tc>
          <w:tcPr>
            <w:tcW w:w="0" w:type="auto"/>
            <w:gridSpan w:val="3"/>
            <w:shd w:val="clear" w:color="auto" w:fill="FFFFFF"/>
            <w:tcMar>
              <w:top w:w="40" w:type="dxa"/>
              <w:left w:w="20" w:type="dxa"/>
              <w:bottom w:w="40" w:type="dxa"/>
              <w:right w:w="20" w:type="dxa"/>
            </w:tcMar>
          </w:tcPr>
          <w:p w14:paraId="518B77EB" w14:textId="77777777" w:rsidR="005C332D" w:rsidRDefault="00B93EAE">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bottom"/>
          </w:tcPr>
          <w:p w14:paraId="518B77EC"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7ED"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77EE" w14:textId="77777777" w:rsidR="005C332D" w:rsidRDefault="00B93EAE">
            <w:pPr>
              <w:jc w:val="right"/>
              <w:textAlignment w:val="bottom"/>
            </w:pPr>
            <w:r>
              <w:rPr>
                <w:rFonts w:ascii="Times New Roman" w:eastAsia="宋体" w:hAnsi="Times New Roman"/>
                <w:b/>
                <w:bCs/>
                <w:color w:val="000000"/>
                <w:sz w:val="20"/>
                <w:szCs w:val="20"/>
              </w:rPr>
              <w:t>(1,487)</w:t>
            </w:r>
          </w:p>
        </w:tc>
        <w:tc>
          <w:tcPr>
            <w:tcW w:w="0" w:type="auto"/>
            <w:shd w:val="clear" w:color="auto" w:fill="FFFFFF"/>
            <w:tcMar>
              <w:top w:w="40" w:type="dxa"/>
              <w:left w:w="0" w:type="dxa"/>
              <w:bottom w:w="40" w:type="dxa"/>
              <w:right w:w="20" w:type="dxa"/>
            </w:tcMar>
            <w:vAlign w:val="bottom"/>
          </w:tcPr>
          <w:p w14:paraId="518B77E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F0"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7F1"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77F2" w14:textId="77777777" w:rsidR="005C332D" w:rsidRDefault="00B93EAE">
            <w:pPr>
              <w:jc w:val="right"/>
              <w:textAlignment w:val="bottom"/>
            </w:pPr>
            <w:r>
              <w:rPr>
                <w:rFonts w:ascii="Times New Roman" w:eastAsia="宋体" w:hAnsi="Times New Roman"/>
                <w:color w:val="000000"/>
                <w:sz w:val="20"/>
                <w:szCs w:val="20"/>
              </w:rPr>
              <w:t>(1,594)</w:t>
            </w:r>
          </w:p>
        </w:tc>
        <w:tc>
          <w:tcPr>
            <w:tcW w:w="0" w:type="auto"/>
            <w:shd w:val="clear" w:color="auto" w:fill="FFFFFF"/>
            <w:tcMar>
              <w:top w:w="40" w:type="dxa"/>
              <w:left w:w="0" w:type="dxa"/>
              <w:bottom w:w="40" w:type="dxa"/>
              <w:right w:w="20" w:type="dxa"/>
            </w:tcMar>
            <w:vAlign w:val="bottom"/>
          </w:tcPr>
          <w:p w14:paraId="518B77F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F4"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7F5"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77F6"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7F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7F8"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7F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77FA" w14:textId="77777777" w:rsidR="005C332D" w:rsidRDefault="00B93EAE">
            <w:pPr>
              <w:jc w:val="right"/>
              <w:textAlignment w:val="bottom"/>
            </w:pPr>
            <w:r>
              <w:rPr>
                <w:rFonts w:ascii="Times New Roman" w:eastAsia="宋体" w:hAnsi="Times New Roman"/>
                <w:color w:val="000000"/>
                <w:sz w:val="20"/>
                <w:szCs w:val="20"/>
              </w:rPr>
              <w:t>(97)</w:t>
            </w:r>
          </w:p>
        </w:tc>
        <w:tc>
          <w:tcPr>
            <w:tcW w:w="0" w:type="auto"/>
            <w:shd w:val="clear" w:color="auto" w:fill="FFFFFF"/>
            <w:tcMar>
              <w:top w:w="40" w:type="dxa"/>
              <w:left w:w="0" w:type="dxa"/>
              <w:bottom w:w="40" w:type="dxa"/>
              <w:right w:w="20" w:type="dxa"/>
            </w:tcMar>
            <w:vAlign w:val="bottom"/>
          </w:tcPr>
          <w:p w14:paraId="518B77FB" w14:textId="77777777" w:rsidR="005C332D" w:rsidRDefault="005C332D">
            <w:pPr>
              <w:jc w:val="right"/>
              <w:rPr>
                <w:rFonts w:ascii="宋体"/>
              </w:rPr>
            </w:pPr>
          </w:p>
        </w:tc>
      </w:tr>
    </w:tbl>
    <w:p w14:paraId="518B77FD" w14:textId="77777777" w:rsidR="005C332D" w:rsidRDefault="00B93EAE">
      <w:pPr>
        <w:spacing w:before="120"/>
        <w:jc w:val="both"/>
      </w:pPr>
      <w:r>
        <w:rPr>
          <w:rFonts w:ascii="Times New Roman" w:eastAsia="宋体" w:hAnsi="Times New Roman"/>
          <w:color w:val="000000"/>
          <w:sz w:val="20"/>
          <w:szCs w:val="20"/>
        </w:rPr>
        <w:t>The effect of derivative instruments designated as fair value hedges, recognized in interest and other income (loss), net is summarized as follows (</w:t>
      </w:r>
      <w:r>
        <w:rPr>
          <w:rFonts w:ascii="Times New Roman" w:eastAsia="宋体" w:hAnsi="Times New Roman"/>
          <w:color w:val="000000"/>
          <w:sz w:val="20"/>
          <w:szCs w:val="20"/>
        </w:rPr>
        <w:t>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121"/>
        <w:gridCol w:w="37"/>
        <w:gridCol w:w="36"/>
        <w:gridCol w:w="36"/>
        <w:gridCol w:w="36"/>
        <w:gridCol w:w="121"/>
        <w:gridCol w:w="777"/>
        <w:gridCol w:w="37"/>
        <w:gridCol w:w="37"/>
        <w:gridCol w:w="37"/>
        <w:gridCol w:w="36"/>
        <w:gridCol w:w="120"/>
        <w:gridCol w:w="776"/>
        <w:gridCol w:w="36"/>
        <w:gridCol w:w="36"/>
        <w:gridCol w:w="36"/>
        <w:gridCol w:w="36"/>
        <w:gridCol w:w="120"/>
        <w:gridCol w:w="791"/>
        <w:gridCol w:w="36"/>
      </w:tblGrid>
      <w:tr w:rsidR="005C332D" w14:paraId="518B7813" w14:textId="77777777">
        <w:trPr>
          <w:jc w:val="center"/>
        </w:trPr>
        <w:tc>
          <w:tcPr>
            <w:tcW w:w="50" w:type="pct"/>
            <w:shd w:val="clear" w:color="auto" w:fill="auto"/>
            <w:vAlign w:val="bottom"/>
          </w:tcPr>
          <w:p w14:paraId="518B77FE" w14:textId="77777777" w:rsidR="005C332D" w:rsidRDefault="005C332D">
            <w:pPr>
              <w:rPr>
                <w:rFonts w:ascii="宋体"/>
              </w:rPr>
            </w:pPr>
          </w:p>
        </w:tc>
        <w:tc>
          <w:tcPr>
            <w:tcW w:w="3110" w:type="pct"/>
            <w:shd w:val="clear" w:color="auto" w:fill="auto"/>
            <w:vAlign w:val="bottom"/>
          </w:tcPr>
          <w:p w14:paraId="518B77FF" w14:textId="77777777" w:rsidR="005C332D" w:rsidRDefault="005C332D">
            <w:pPr>
              <w:rPr>
                <w:rFonts w:ascii="宋体"/>
              </w:rPr>
            </w:pPr>
          </w:p>
        </w:tc>
        <w:tc>
          <w:tcPr>
            <w:tcW w:w="5" w:type="pct"/>
            <w:shd w:val="clear" w:color="auto" w:fill="auto"/>
            <w:vAlign w:val="bottom"/>
          </w:tcPr>
          <w:p w14:paraId="518B7800" w14:textId="77777777" w:rsidR="005C332D" w:rsidRDefault="005C332D">
            <w:pPr>
              <w:rPr>
                <w:rFonts w:ascii="宋体"/>
              </w:rPr>
            </w:pPr>
          </w:p>
        </w:tc>
        <w:tc>
          <w:tcPr>
            <w:tcW w:w="5" w:type="pct"/>
            <w:shd w:val="clear" w:color="auto" w:fill="auto"/>
            <w:vAlign w:val="bottom"/>
          </w:tcPr>
          <w:p w14:paraId="518B7801" w14:textId="77777777" w:rsidR="005C332D" w:rsidRDefault="005C332D">
            <w:pPr>
              <w:rPr>
                <w:rFonts w:ascii="宋体"/>
              </w:rPr>
            </w:pPr>
          </w:p>
        </w:tc>
        <w:tc>
          <w:tcPr>
            <w:tcW w:w="26" w:type="pct"/>
            <w:shd w:val="clear" w:color="auto" w:fill="auto"/>
            <w:vAlign w:val="bottom"/>
          </w:tcPr>
          <w:p w14:paraId="518B7802" w14:textId="77777777" w:rsidR="005C332D" w:rsidRDefault="005C332D">
            <w:pPr>
              <w:rPr>
                <w:rFonts w:ascii="宋体"/>
              </w:rPr>
            </w:pPr>
          </w:p>
        </w:tc>
        <w:tc>
          <w:tcPr>
            <w:tcW w:w="5" w:type="pct"/>
            <w:shd w:val="clear" w:color="auto" w:fill="auto"/>
            <w:vAlign w:val="bottom"/>
          </w:tcPr>
          <w:p w14:paraId="518B7803" w14:textId="77777777" w:rsidR="005C332D" w:rsidRDefault="005C332D">
            <w:pPr>
              <w:rPr>
                <w:rFonts w:ascii="宋体"/>
              </w:rPr>
            </w:pPr>
          </w:p>
        </w:tc>
        <w:tc>
          <w:tcPr>
            <w:tcW w:w="50" w:type="pct"/>
            <w:shd w:val="clear" w:color="auto" w:fill="auto"/>
            <w:vAlign w:val="bottom"/>
          </w:tcPr>
          <w:p w14:paraId="518B7804" w14:textId="77777777" w:rsidR="005C332D" w:rsidRDefault="005C332D">
            <w:pPr>
              <w:rPr>
                <w:rFonts w:ascii="宋体"/>
              </w:rPr>
            </w:pPr>
          </w:p>
        </w:tc>
        <w:tc>
          <w:tcPr>
            <w:tcW w:w="529" w:type="pct"/>
            <w:shd w:val="clear" w:color="auto" w:fill="auto"/>
            <w:vAlign w:val="bottom"/>
          </w:tcPr>
          <w:p w14:paraId="518B7805" w14:textId="77777777" w:rsidR="005C332D" w:rsidRDefault="005C332D">
            <w:pPr>
              <w:rPr>
                <w:rFonts w:ascii="宋体"/>
              </w:rPr>
            </w:pPr>
          </w:p>
        </w:tc>
        <w:tc>
          <w:tcPr>
            <w:tcW w:w="5" w:type="pct"/>
            <w:shd w:val="clear" w:color="auto" w:fill="auto"/>
            <w:vAlign w:val="bottom"/>
          </w:tcPr>
          <w:p w14:paraId="518B7806" w14:textId="77777777" w:rsidR="005C332D" w:rsidRDefault="005C332D">
            <w:pPr>
              <w:rPr>
                <w:rFonts w:ascii="宋体"/>
              </w:rPr>
            </w:pPr>
          </w:p>
        </w:tc>
        <w:tc>
          <w:tcPr>
            <w:tcW w:w="5" w:type="pct"/>
            <w:shd w:val="clear" w:color="auto" w:fill="auto"/>
            <w:vAlign w:val="bottom"/>
          </w:tcPr>
          <w:p w14:paraId="518B7807" w14:textId="77777777" w:rsidR="005C332D" w:rsidRDefault="005C332D">
            <w:pPr>
              <w:rPr>
                <w:rFonts w:ascii="宋体"/>
              </w:rPr>
            </w:pPr>
          </w:p>
        </w:tc>
        <w:tc>
          <w:tcPr>
            <w:tcW w:w="26" w:type="pct"/>
            <w:shd w:val="clear" w:color="auto" w:fill="auto"/>
            <w:vAlign w:val="bottom"/>
          </w:tcPr>
          <w:p w14:paraId="518B7808" w14:textId="77777777" w:rsidR="005C332D" w:rsidRDefault="005C332D">
            <w:pPr>
              <w:rPr>
                <w:rFonts w:ascii="宋体"/>
              </w:rPr>
            </w:pPr>
          </w:p>
        </w:tc>
        <w:tc>
          <w:tcPr>
            <w:tcW w:w="5" w:type="pct"/>
            <w:shd w:val="clear" w:color="auto" w:fill="auto"/>
            <w:vAlign w:val="bottom"/>
          </w:tcPr>
          <w:p w14:paraId="518B7809" w14:textId="77777777" w:rsidR="005C332D" w:rsidRDefault="005C332D">
            <w:pPr>
              <w:rPr>
                <w:rFonts w:ascii="宋体"/>
              </w:rPr>
            </w:pPr>
          </w:p>
        </w:tc>
        <w:tc>
          <w:tcPr>
            <w:tcW w:w="50" w:type="pct"/>
            <w:shd w:val="clear" w:color="auto" w:fill="auto"/>
            <w:vAlign w:val="bottom"/>
          </w:tcPr>
          <w:p w14:paraId="518B780A" w14:textId="77777777" w:rsidR="005C332D" w:rsidRDefault="005C332D">
            <w:pPr>
              <w:rPr>
                <w:rFonts w:ascii="宋体"/>
              </w:rPr>
            </w:pPr>
          </w:p>
        </w:tc>
        <w:tc>
          <w:tcPr>
            <w:tcW w:w="529" w:type="pct"/>
            <w:shd w:val="clear" w:color="auto" w:fill="auto"/>
            <w:vAlign w:val="bottom"/>
          </w:tcPr>
          <w:p w14:paraId="518B780B" w14:textId="77777777" w:rsidR="005C332D" w:rsidRDefault="005C332D">
            <w:pPr>
              <w:rPr>
                <w:rFonts w:ascii="宋体"/>
              </w:rPr>
            </w:pPr>
          </w:p>
        </w:tc>
        <w:tc>
          <w:tcPr>
            <w:tcW w:w="5" w:type="pct"/>
            <w:shd w:val="clear" w:color="auto" w:fill="auto"/>
            <w:vAlign w:val="bottom"/>
          </w:tcPr>
          <w:p w14:paraId="518B780C" w14:textId="77777777" w:rsidR="005C332D" w:rsidRDefault="005C332D">
            <w:pPr>
              <w:rPr>
                <w:rFonts w:ascii="宋体"/>
              </w:rPr>
            </w:pPr>
          </w:p>
        </w:tc>
        <w:tc>
          <w:tcPr>
            <w:tcW w:w="5" w:type="pct"/>
            <w:shd w:val="clear" w:color="auto" w:fill="auto"/>
            <w:vAlign w:val="bottom"/>
          </w:tcPr>
          <w:p w14:paraId="518B780D" w14:textId="77777777" w:rsidR="005C332D" w:rsidRDefault="005C332D">
            <w:pPr>
              <w:rPr>
                <w:rFonts w:ascii="宋体"/>
              </w:rPr>
            </w:pPr>
          </w:p>
        </w:tc>
        <w:tc>
          <w:tcPr>
            <w:tcW w:w="19" w:type="pct"/>
            <w:shd w:val="clear" w:color="auto" w:fill="auto"/>
            <w:vAlign w:val="bottom"/>
          </w:tcPr>
          <w:p w14:paraId="518B780E" w14:textId="77777777" w:rsidR="005C332D" w:rsidRDefault="005C332D">
            <w:pPr>
              <w:rPr>
                <w:rFonts w:ascii="宋体"/>
              </w:rPr>
            </w:pPr>
          </w:p>
        </w:tc>
        <w:tc>
          <w:tcPr>
            <w:tcW w:w="5" w:type="pct"/>
            <w:shd w:val="clear" w:color="auto" w:fill="auto"/>
            <w:vAlign w:val="bottom"/>
          </w:tcPr>
          <w:p w14:paraId="518B780F" w14:textId="77777777" w:rsidR="005C332D" w:rsidRDefault="005C332D">
            <w:pPr>
              <w:rPr>
                <w:rFonts w:ascii="宋体"/>
              </w:rPr>
            </w:pPr>
          </w:p>
        </w:tc>
        <w:tc>
          <w:tcPr>
            <w:tcW w:w="50" w:type="pct"/>
            <w:shd w:val="clear" w:color="auto" w:fill="auto"/>
            <w:vAlign w:val="bottom"/>
          </w:tcPr>
          <w:p w14:paraId="518B7810" w14:textId="77777777" w:rsidR="005C332D" w:rsidRDefault="005C332D">
            <w:pPr>
              <w:rPr>
                <w:rFonts w:ascii="宋体"/>
              </w:rPr>
            </w:pPr>
          </w:p>
        </w:tc>
        <w:tc>
          <w:tcPr>
            <w:tcW w:w="508" w:type="pct"/>
            <w:shd w:val="clear" w:color="auto" w:fill="auto"/>
            <w:vAlign w:val="bottom"/>
          </w:tcPr>
          <w:p w14:paraId="518B7811" w14:textId="77777777" w:rsidR="005C332D" w:rsidRDefault="005C332D">
            <w:pPr>
              <w:rPr>
                <w:rFonts w:ascii="宋体"/>
              </w:rPr>
            </w:pPr>
          </w:p>
        </w:tc>
        <w:tc>
          <w:tcPr>
            <w:tcW w:w="5" w:type="pct"/>
            <w:shd w:val="clear" w:color="auto" w:fill="auto"/>
            <w:vAlign w:val="bottom"/>
          </w:tcPr>
          <w:p w14:paraId="518B7812" w14:textId="77777777" w:rsidR="005C332D" w:rsidRDefault="005C332D">
            <w:pPr>
              <w:rPr>
                <w:rFonts w:ascii="宋体"/>
              </w:rPr>
            </w:pPr>
          </w:p>
        </w:tc>
      </w:tr>
      <w:tr w:rsidR="005C332D" w14:paraId="518B7817" w14:textId="77777777">
        <w:trPr>
          <w:jc w:val="center"/>
        </w:trPr>
        <w:tc>
          <w:tcPr>
            <w:tcW w:w="0" w:type="auto"/>
            <w:gridSpan w:val="3"/>
            <w:shd w:val="clear" w:color="auto" w:fill="auto"/>
            <w:tcMar>
              <w:top w:w="0" w:type="dxa"/>
              <w:left w:w="20" w:type="dxa"/>
              <w:bottom w:w="0" w:type="dxa"/>
              <w:right w:w="20" w:type="dxa"/>
            </w:tcMar>
            <w:vAlign w:val="bottom"/>
          </w:tcPr>
          <w:p w14:paraId="518B781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7815"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7816" w14:textId="77777777" w:rsidR="005C332D" w:rsidRDefault="00B93EAE">
            <w:pPr>
              <w:jc w:val="center"/>
              <w:textAlignment w:val="bottom"/>
            </w:pPr>
            <w:r>
              <w:rPr>
                <w:rFonts w:ascii="Times New Roman" w:eastAsia="宋体" w:hAnsi="Times New Roman"/>
                <w:color w:val="000000"/>
                <w:sz w:val="18"/>
                <w:szCs w:val="18"/>
              </w:rPr>
              <w:t>GAI</w:t>
            </w:r>
            <w:r>
              <w:rPr>
                <w:rFonts w:ascii="Times New Roman" w:eastAsia="宋体" w:hAnsi="Times New Roman"/>
                <w:color w:val="000000"/>
                <w:sz w:val="18"/>
                <w:szCs w:val="18"/>
              </w:rPr>
              <w:t>NS (LOSSES) FOR </w:t>
            </w:r>
            <w:r>
              <w:rPr>
                <w:rFonts w:ascii="Times New Roman" w:eastAsia="宋体" w:hAnsi="Times New Roman"/>
                <w:color w:val="000000"/>
                <w:sz w:val="18"/>
                <w:szCs w:val="18"/>
              </w:rPr>
              <w:br/>
              <w:t>THE YEARS ENDED</w:t>
            </w:r>
          </w:p>
        </w:tc>
      </w:tr>
      <w:tr w:rsidR="005C332D" w14:paraId="518B781F" w14:textId="77777777">
        <w:trPr>
          <w:jc w:val="center"/>
        </w:trPr>
        <w:tc>
          <w:tcPr>
            <w:tcW w:w="0" w:type="auto"/>
            <w:gridSpan w:val="3"/>
            <w:shd w:val="clear" w:color="auto" w:fill="auto"/>
            <w:tcMar>
              <w:top w:w="0" w:type="dxa"/>
              <w:left w:w="20" w:type="dxa"/>
              <w:bottom w:w="0" w:type="dxa"/>
              <w:right w:w="20" w:type="dxa"/>
            </w:tcMar>
            <w:vAlign w:val="bottom"/>
          </w:tcPr>
          <w:p w14:paraId="518B7818"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7819"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81A"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81B"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81C"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81D"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81E"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827" w14:textId="77777777">
        <w:trPr>
          <w:jc w:val="center"/>
        </w:trPr>
        <w:tc>
          <w:tcPr>
            <w:tcW w:w="0" w:type="auto"/>
            <w:gridSpan w:val="3"/>
            <w:shd w:val="clear" w:color="auto" w:fill="CCEEFF"/>
            <w:tcMar>
              <w:top w:w="40" w:type="dxa"/>
              <w:left w:w="20" w:type="dxa"/>
              <w:bottom w:w="40" w:type="dxa"/>
              <w:right w:w="20" w:type="dxa"/>
            </w:tcMar>
            <w:vAlign w:val="bottom"/>
          </w:tcPr>
          <w:p w14:paraId="518B7820" w14:textId="77777777" w:rsidR="005C332D" w:rsidRDefault="00B93EAE">
            <w:pPr>
              <w:textAlignment w:val="bottom"/>
            </w:pPr>
            <w:r>
              <w:rPr>
                <w:rFonts w:ascii="Times New Roman" w:eastAsia="宋体" w:hAnsi="Times New Roman"/>
                <w:color w:val="000000"/>
                <w:sz w:val="20"/>
                <w:szCs w:val="20"/>
              </w:rPr>
              <w:t>Interest rate derivatives:</w:t>
            </w:r>
          </w:p>
        </w:tc>
        <w:tc>
          <w:tcPr>
            <w:tcW w:w="0" w:type="auto"/>
            <w:gridSpan w:val="3"/>
            <w:shd w:val="clear" w:color="auto" w:fill="CCEEFF"/>
            <w:tcMar>
              <w:top w:w="0" w:type="dxa"/>
              <w:left w:w="20" w:type="dxa"/>
              <w:bottom w:w="0" w:type="dxa"/>
              <w:right w:w="20" w:type="dxa"/>
            </w:tcMar>
            <w:vAlign w:val="bottom"/>
          </w:tcPr>
          <w:p w14:paraId="518B7821"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82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823"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82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825"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826" w14:textId="77777777" w:rsidR="005C332D" w:rsidRDefault="005C332D">
            <w:pPr>
              <w:rPr>
                <w:rFonts w:ascii="宋体"/>
              </w:rPr>
            </w:pPr>
          </w:p>
        </w:tc>
      </w:tr>
      <w:tr w:rsidR="005C332D" w14:paraId="518B7835" w14:textId="77777777">
        <w:trPr>
          <w:jc w:val="center"/>
        </w:trPr>
        <w:tc>
          <w:tcPr>
            <w:tcW w:w="0" w:type="auto"/>
            <w:gridSpan w:val="3"/>
            <w:shd w:val="clear" w:color="auto" w:fill="FFFFFF"/>
            <w:tcMar>
              <w:top w:w="40" w:type="dxa"/>
              <w:left w:w="260" w:type="dxa"/>
              <w:bottom w:w="40" w:type="dxa"/>
              <w:right w:w="20" w:type="dxa"/>
            </w:tcMar>
            <w:vAlign w:val="bottom"/>
          </w:tcPr>
          <w:p w14:paraId="518B7828" w14:textId="77777777" w:rsidR="005C332D" w:rsidRDefault="00B93EAE">
            <w:pPr>
              <w:textAlignment w:val="bottom"/>
            </w:pPr>
            <w:r>
              <w:rPr>
                <w:rFonts w:ascii="Times New Roman" w:eastAsia="宋体" w:hAnsi="Times New Roman"/>
                <w:color w:val="000000"/>
                <w:sz w:val="20"/>
                <w:szCs w:val="20"/>
              </w:rPr>
              <w:t>Hedged items</w:t>
            </w:r>
          </w:p>
        </w:tc>
        <w:tc>
          <w:tcPr>
            <w:tcW w:w="0" w:type="auto"/>
            <w:gridSpan w:val="3"/>
            <w:shd w:val="clear" w:color="auto" w:fill="FFFFFF"/>
            <w:tcMar>
              <w:top w:w="0" w:type="dxa"/>
              <w:left w:w="20" w:type="dxa"/>
              <w:bottom w:w="0" w:type="dxa"/>
              <w:right w:w="20" w:type="dxa"/>
            </w:tcMar>
            <w:vAlign w:val="bottom"/>
          </w:tcPr>
          <w:p w14:paraId="518B7829"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82A"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782B" w14:textId="77777777" w:rsidR="005C332D" w:rsidRDefault="00B93EAE">
            <w:pPr>
              <w:jc w:val="right"/>
              <w:textAlignment w:val="bottom"/>
            </w:pPr>
            <w:r>
              <w:rPr>
                <w:rFonts w:ascii="Times New Roman" w:eastAsia="宋体" w:hAnsi="Times New Roman"/>
                <w:b/>
                <w:bCs/>
                <w:color w:val="000000"/>
                <w:sz w:val="20"/>
                <w:szCs w:val="20"/>
              </w:rPr>
              <w:t>116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82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82D"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82E"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782F" w14:textId="77777777" w:rsidR="005C332D" w:rsidRDefault="00B93EAE">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518B783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831"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83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7833" w14:textId="77777777" w:rsidR="005C332D" w:rsidRDefault="00B93EAE">
            <w:pPr>
              <w:jc w:val="right"/>
              <w:textAlignment w:val="bottom"/>
            </w:pPr>
            <w:r>
              <w:rPr>
                <w:rFonts w:ascii="Times New Roman" w:eastAsia="宋体" w:hAnsi="Times New Roman"/>
                <w:color w:val="000000"/>
                <w:sz w:val="20"/>
                <w:szCs w:val="20"/>
              </w:rPr>
              <w:t>(98)</w:t>
            </w:r>
          </w:p>
        </w:tc>
        <w:tc>
          <w:tcPr>
            <w:tcW w:w="0" w:type="auto"/>
            <w:shd w:val="clear" w:color="auto" w:fill="FFFFFF"/>
            <w:tcMar>
              <w:top w:w="40" w:type="dxa"/>
              <w:left w:w="0" w:type="dxa"/>
              <w:bottom w:w="40" w:type="dxa"/>
              <w:right w:w="20" w:type="dxa"/>
            </w:tcMar>
            <w:vAlign w:val="bottom"/>
          </w:tcPr>
          <w:p w14:paraId="518B7834" w14:textId="77777777" w:rsidR="005C332D" w:rsidRDefault="005C332D">
            <w:pPr>
              <w:jc w:val="right"/>
              <w:rPr>
                <w:rFonts w:ascii="宋体"/>
              </w:rPr>
            </w:pPr>
          </w:p>
        </w:tc>
      </w:tr>
      <w:tr w:rsidR="005C332D" w14:paraId="518B7840" w14:textId="77777777">
        <w:trPr>
          <w:jc w:val="center"/>
        </w:trPr>
        <w:tc>
          <w:tcPr>
            <w:tcW w:w="0" w:type="auto"/>
            <w:gridSpan w:val="3"/>
            <w:shd w:val="clear" w:color="auto" w:fill="CCEEFF"/>
            <w:tcMar>
              <w:top w:w="40" w:type="dxa"/>
              <w:left w:w="260" w:type="dxa"/>
              <w:bottom w:w="40" w:type="dxa"/>
              <w:right w:w="20" w:type="dxa"/>
            </w:tcMar>
            <w:vAlign w:val="bottom"/>
          </w:tcPr>
          <w:p w14:paraId="518B7836" w14:textId="77777777" w:rsidR="005C332D" w:rsidRDefault="00B93EAE">
            <w:pPr>
              <w:textAlignment w:val="bottom"/>
            </w:pPr>
            <w:r>
              <w:rPr>
                <w:rFonts w:ascii="Times New Roman" w:eastAsia="宋体" w:hAnsi="Times New Roman"/>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bottom"/>
          </w:tcPr>
          <w:p w14:paraId="518B783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838" w14:textId="77777777" w:rsidR="005C332D" w:rsidRDefault="00B93EAE">
            <w:pPr>
              <w:jc w:val="right"/>
              <w:textAlignment w:val="bottom"/>
            </w:pPr>
            <w:r>
              <w:rPr>
                <w:rFonts w:ascii="Times New Roman" w:eastAsia="宋体" w:hAnsi="Times New Roman"/>
                <w:b/>
                <w:bCs/>
                <w:color w:val="000000"/>
                <w:sz w:val="20"/>
                <w:szCs w:val="20"/>
              </w:rPr>
              <w:t>(118)</w:t>
            </w:r>
          </w:p>
        </w:tc>
        <w:tc>
          <w:tcPr>
            <w:tcW w:w="0" w:type="auto"/>
            <w:shd w:val="clear" w:color="auto" w:fill="CCEEFF"/>
            <w:tcMar>
              <w:top w:w="40" w:type="dxa"/>
              <w:left w:w="0" w:type="dxa"/>
              <w:bottom w:w="40" w:type="dxa"/>
              <w:right w:w="20" w:type="dxa"/>
            </w:tcMar>
            <w:vAlign w:val="bottom"/>
          </w:tcPr>
          <w:p w14:paraId="518B783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83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83B" w14:textId="77777777" w:rsidR="005C332D" w:rsidRDefault="00B93EAE">
            <w:pPr>
              <w:jc w:val="right"/>
              <w:textAlignment w:val="bottom"/>
            </w:pPr>
            <w:r>
              <w:rPr>
                <w:rFonts w:ascii="Times New Roman" w:eastAsia="宋体" w:hAnsi="Times New Roman"/>
                <w:color w:val="000000"/>
                <w:sz w:val="20"/>
                <w:szCs w:val="20"/>
              </w:rPr>
              <w:t>(67)</w:t>
            </w:r>
          </w:p>
        </w:tc>
        <w:tc>
          <w:tcPr>
            <w:tcW w:w="0" w:type="auto"/>
            <w:shd w:val="clear" w:color="auto" w:fill="CCEEFF"/>
            <w:tcMar>
              <w:top w:w="40" w:type="dxa"/>
              <w:left w:w="0" w:type="dxa"/>
              <w:bottom w:w="40" w:type="dxa"/>
              <w:right w:w="20" w:type="dxa"/>
            </w:tcMar>
            <w:vAlign w:val="bottom"/>
          </w:tcPr>
          <w:p w14:paraId="518B783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83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83E" w14:textId="77777777" w:rsidR="005C332D" w:rsidRDefault="00B93EAE">
            <w:pPr>
              <w:jc w:val="right"/>
              <w:textAlignment w:val="bottom"/>
            </w:pPr>
            <w:r>
              <w:rPr>
                <w:rFonts w:ascii="Times New Roman" w:eastAsia="宋体" w:hAnsi="Times New Roman"/>
                <w:color w:val="000000"/>
                <w:sz w:val="20"/>
                <w:szCs w:val="20"/>
              </w:rPr>
              <w:t>101 </w:t>
            </w:r>
          </w:p>
        </w:tc>
        <w:tc>
          <w:tcPr>
            <w:tcW w:w="0" w:type="auto"/>
            <w:shd w:val="clear" w:color="auto" w:fill="CCEEFF"/>
            <w:tcMar>
              <w:top w:w="40" w:type="dxa"/>
              <w:left w:w="0" w:type="dxa"/>
              <w:bottom w:w="40" w:type="dxa"/>
              <w:right w:w="20" w:type="dxa"/>
            </w:tcMar>
            <w:vAlign w:val="bottom"/>
          </w:tcPr>
          <w:p w14:paraId="518B783F" w14:textId="77777777" w:rsidR="005C332D" w:rsidRDefault="005C332D">
            <w:pPr>
              <w:jc w:val="right"/>
              <w:rPr>
                <w:rFonts w:ascii="宋体"/>
              </w:rPr>
            </w:pPr>
          </w:p>
        </w:tc>
      </w:tr>
      <w:tr w:rsidR="005C332D" w14:paraId="518B784E" w14:textId="77777777">
        <w:trPr>
          <w:jc w:val="center"/>
        </w:trPr>
        <w:tc>
          <w:tcPr>
            <w:tcW w:w="0" w:type="auto"/>
            <w:gridSpan w:val="3"/>
            <w:shd w:val="clear" w:color="auto" w:fill="FFFFFF"/>
            <w:tcMar>
              <w:top w:w="40" w:type="dxa"/>
              <w:left w:w="500" w:type="dxa"/>
              <w:bottom w:w="40" w:type="dxa"/>
              <w:right w:w="20" w:type="dxa"/>
            </w:tcMar>
            <w:vAlign w:val="bottom"/>
          </w:tcPr>
          <w:p w14:paraId="518B7841" w14:textId="77777777" w:rsidR="005C332D" w:rsidRDefault="00B93EAE">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518B7842"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84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844" w14:textId="77777777" w:rsidR="005C332D" w:rsidRDefault="00B93EAE">
            <w:pPr>
              <w:jc w:val="right"/>
              <w:textAlignment w:val="bottom"/>
            </w:pPr>
            <w:r>
              <w:rPr>
                <w:rFonts w:ascii="Times New Roman" w:eastAsia="宋体" w:hAnsi="Times New Roman"/>
                <w:b/>
                <w:bCs/>
                <w:color w:val="000000"/>
                <w:sz w:val="20"/>
                <w:szCs w:val="20"/>
              </w:rPr>
              <w:t>(2)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84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846"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84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848" w14:textId="77777777" w:rsidR="005C332D" w:rsidRDefault="00B93EAE">
            <w:pPr>
              <w:jc w:val="right"/>
              <w:textAlignment w:val="bottom"/>
            </w:pPr>
            <w:r>
              <w:rPr>
                <w:rFonts w:ascii="Times New Roman" w:eastAsia="宋体" w:hAnsi="Times New Roman"/>
                <w:color w:val="000000"/>
                <w:sz w:val="20"/>
                <w:szCs w:val="20"/>
              </w:rPr>
              <w:t>(2)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84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84A"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84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84C" w14:textId="77777777" w:rsidR="005C332D" w:rsidRDefault="00B93EAE">
            <w:pPr>
              <w:jc w:val="right"/>
              <w:textAlignment w:val="bottom"/>
            </w:pPr>
            <w:r>
              <w:rPr>
                <w:rFonts w:ascii="Times New Roman" w:eastAsia="宋体" w:hAnsi="Times New Roman"/>
                <w:color w:val="000000"/>
                <w:sz w:val="20"/>
                <w:szCs w:val="20"/>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84D" w14:textId="77777777" w:rsidR="005C332D" w:rsidRDefault="005C332D">
            <w:pPr>
              <w:jc w:val="right"/>
              <w:rPr>
                <w:rFonts w:ascii="宋体"/>
              </w:rPr>
            </w:pPr>
          </w:p>
        </w:tc>
      </w:tr>
    </w:tbl>
    <w:p w14:paraId="518B784F" w14:textId="77777777" w:rsidR="005C332D" w:rsidRDefault="00B93EAE">
      <w:pPr>
        <w:jc w:val="center"/>
      </w:pPr>
      <w:r>
        <w:rPr>
          <w:rFonts w:ascii="Times New Roman" w:eastAsia="宋体" w:hAnsi="Times New Roman"/>
          <w:color w:val="000000"/>
          <w:sz w:val="20"/>
          <w:szCs w:val="20"/>
        </w:rPr>
        <w:t>87</w:t>
      </w:r>
    </w:p>
    <w:p w14:paraId="518B7850" w14:textId="77777777" w:rsidR="005C332D" w:rsidRDefault="00B93EAE">
      <w:r>
        <w:pict w14:anchorId="518B876C">
          <v:rect id="_x0000_i1113" style="width:415.3pt;height:1.5pt" o:hralign="center" o:hrstd="t" o:hr="t" fillcolor="#a0a0a0" stroked="f"/>
        </w:pict>
      </w:r>
    </w:p>
    <w:p w14:paraId="518B7851" w14:textId="77777777" w:rsidR="005C332D" w:rsidRDefault="005C332D"/>
    <w:p w14:paraId="518B7852" w14:textId="77777777" w:rsidR="005C332D" w:rsidRDefault="00B93EAE">
      <w:pPr>
        <w:spacing w:before="120"/>
        <w:jc w:val="both"/>
      </w:pPr>
      <w:r>
        <w:rPr>
          <w:rFonts w:ascii="Times New Roman" w:eastAsia="宋体" w:hAnsi="Times New Roman"/>
          <w:color w:val="000000"/>
          <w:sz w:val="20"/>
          <w:szCs w:val="20"/>
        </w:rPr>
        <w:t>The effect on the Consolidated Statements of Operations of derivative instruments not designated as hedges is summarized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2950"/>
        <w:gridCol w:w="37"/>
        <w:gridCol w:w="36"/>
        <w:gridCol w:w="36"/>
        <w:gridCol w:w="36"/>
        <w:gridCol w:w="37"/>
        <w:gridCol w:w="2366"/>
        <w:gridCol w:w="36"/>
        <w:gridCol w:w="36"/>
        <w:gridCol w:w="36"/>
        <w:gridCol w:w="36"/>
        <w:gridCol w:w="121"/>
        <w:gridCol w:w="646"/>
        <w:gridCol w:w="37"/>
        <w:gridCol w:w="37"/>
        <w:gridCol w:w="37"/>
        <w:gridCol w:w="37"/>
        <w:gridCol w:w="121"/>
        <w:gridCol w:w="645"/>
        <w:gridCol w:w="37"/>
        <w:gridCol w:w="37"/>
        <w:gridCol w:w="37"/>
        <w:gridCol w:w="37"/>
        <w:gridCol w:w="120"/>
        <w:gridCol w:w="645"/>
        <w:gridCol w:w="36"/>
      </w:tblGrid>
      <w:tr w:rsidR="005C332D" w14:paraId="518B786E" w14:textId="77777777">
        <w:tc>
          <w:tcPr>
            <w:tcW w:w="50" w:type="pct"/>
            <w:shd w:val="clear" w:color="auto" w:fill="auto"/>
            <w:vAlign w:val="bottom"/>
          </w:tcPr>
          <w:p w14:paraId="518B7853" w14:textId="77777777" w:rsidR="005C332D" w:rsidRDefault="005C332D">
            <w:pPr>
              <w:rPr>
                <w:rFonts w:ascii="宋体"/>
              </w:rPr>
            </w:pPr>
          </w:p>
        </w:tc>
        <w:tc>
          <w:tcPr>
            <w:tcW w:w="1799" w:type="pct"/>
            <w:shd w:val="clear" w:color="auto" w:fill="auto"/>
            <w:vAlign w:val="bottom"/>
          </w:tcPr>
          <w:p w14:paraId="518B7854" w14:textId="77777777" w:rsidR="005C332D" w:rsidRDefault="005C332D">
            <w:pPr>
              <w:rPr>
                <w:rFonts w:ascii="宋体"/>
              </w:rPr>
            </w:pPr>
          </w:p>
        </w:tc>
        <w:tc>
          <w:tcPr>
            <w:tcW w:w="5" w:type="pct"/>
            <w:shd w:val="clear" w:color="auto" w:fill="auto"/>
            <w:vAlign w:val="bottom"/>
          </w:tcPr>
          <w:p w14:paraId="518B7855" w14:textId="77777777" w:rsidR="005C332D" w:rsidRDefault="005C332D">
            <w:pPr>
              <w:rPr>
                <w:rFonts w:ascii="宋体"/>
              </w:rPr>
            </w:pPr>
          </w:p>
        </w:tc>
        <w:tc>
          <w:tcPr>
            <w:tcW w:w="5" w:type="pct"/>
            <w:shd w:val="clear" w:color="auto" w:fill="auto"/>
            <w:vAlign w:val="bottom"/>
          </w:tcPr>
          <w:p w14:paraId="518B7856" w14:textId="77777777" w:rsidR="005C332D" w:rsidRDefault="005C332D">
            <w:pPr>
              <w:rPr>
                <w:rFonts w:ascii="宋体"/>
              </w:rPr>
            </w:pPr>
          </w:p>
        </w:tc>
        <w:tc>
          <w:tcPr>
            <w:tcW w:w="26" w:type="pct"/>
            <w:shd w:val="clear" w:color="auto" w:fill="auto"/>
            <w:vAlign w:val="bottom"/>
          </w:tcPr>
          <w:p w14:paraId="518B7857" w14:textId="77777777" w:rsidR="005C332D" w:rsidRDefault="005C332D">
            <w:pPr>
              <w:rPr>
                <w:rFonts w:ascii="宋体"/>
              </w:rPr>
            </w:pPr>
          </w:p>
        </w:tc>
        <w:tc>
          <w:tcPr>
            <w:tcW w:w="5" w:type="pct"/>
            <w:shd w:val="clear" w:color="auto" w:fill="auto"/>
            <w:vAlign w:val="bottom"/>
          </w:tcPr>
          <w:p w14:paraId="518B7858" w14:textId="77777777" w:rsidR="005C332D" w:rsidRDefault="005C332D">
            <w:pPr>
              <w:rPr>
                <w:rFonts w:ascii="宋体"/>
              </w:rPr>
            </w:pPr>
          </w:p>
        </w:tc>
        <w:tc>
          <w:tcPr>
            <w:tcW w:w="50" w:type="pct"/>
            <w:shd w:val="clear" w:color="auto" w:fill="auto"/>
            <w:vAlign w:val="bottom"/>
          </w:tcPr>
          <w:p w14:paraId="518B7859" w14:textId="77777777" w:rsidR="005C332D" w:rsidRDefault="005C332D">
            <w:pPr>
              <w:rPr>
                <w:rFonts w:ascii="宋体"/>
              </w:rPr>
            </w:pPr>
          </w:p>
        </w:tc>
        <w:tc>
          <w:tcPr>
            <w:tcW w:w="1469" w:type="pct"/>
            <w:shd w:val="clear" w:color="auto" w:fill="auto"/>
            <w:vAlign w:val="bottom"/>
          </w:tcPr>
          <w:p w14:paraId="518B785A" w14:textId="77777777" w:rsidR="005C332D" w:rsidRDefault="005C332D">
            <w:pPr>
              <w:rPr>
                <w:rFonts w:ascii="宋体"/>
              </w:rPr>
            </w:pPr>
          </w:p>
        </w:tc>
        <w:tc>
          <w:tcPr>
            <w:tcW w:w="5" w:type="pct"/>
            <w:shd w:val="clear" w:color="auto" w:fill="auto"/>
            <w:vAlign w:val="bottom"/>
          </w:tcPr>
          <w:p w14:paraId="518B785B" w14:textId="77777777" w:rsidR="005C332D" w:rsidRDefault="005C332D">
            <w:pPr>
              <w:rPr>
                <w:rFonts w:ascii="宋体"/>
              </w:rPr>
            </w:pPr>
          </w:p>
        </w:tc>
        <w:tc>
          <w:tcPr>
            <w:tcW w:w="5" w:type="pct"/>
            <w:shd w:val="clear" w:color="auto" w:fill="auto"/>
            <w:vAlign w:val="bottom"/>
          </w:tcPr>
          <w:p w14:paraId="518B785C" w14:textId="77777777" w:rsidR="005C332D" w:rsidRDefault="005C332D">
            <w:pPr>
              <w:rPr>
                <w:rFonts w:ascii="宋体"/>
              </w:rPr>
            </w:pPr>
          </w:p>
        </w:tc>
        <w:tc>
          <w:tcPr>
            <w:tcW w:w="26" w:type="pct"/>
            <w:shd w:val="clear" w:color="auto" w:fill="auto"/>
            <w:vAlign w:val="bottom"/>
          </w:tcPr>
          <w:p w14:paraId="518B785D" w14:textId="77777777" w:rsidR="005C332D" w:rsidRDefault="005C332D">
            <w:pPr>
              <w:rPr>
                <w:rFonts w:ascii="宋体"/>
              </w:rPr>
            </w:pPr>
          </w:p>
        </w:tc>
        <w:tc>
          <w:tcPr>
            <w:tcW w:w="5" w:type="pct"/>
            <w:shd w:val="clear" w:color="auto" w:fill="auto"/>
            <w:vAlign w:val="bottom"/>
          </w:tcPr>
          <w:p w14:paraId="518B785E" w14:textId="77777777" w:rsidR="005C332D" w:rsidRDefault="005C332D">
            <w:pPr>
              <w:rPr>
                <w:rFonts w:ascii="宋体"/>
              </w:rPr>
            </w:pPr>
          </w:p>
        </w:tc>
        <w:tc>
          <w:tcPr>
            <w:tcW w:w="50" w:type="pct"/>
            <w:shd w:val="clear" w:color="auto" w:fill="auto"/>
            <w:vAlign w:val="bottom"/>
          </w:tcPr>
          <w:p w14:paraId="518B785F" w14:textId="77777777" w:rsidR="005C332D" w:rsidRDefault="005C332D">
            <w:pPr>
              <w:rPr>
                <w:rFonts w:ascii="宋体"/>
              </w:rPr>
            </w:pPr>
          </w:p>
        </w:tc>
        <w:tc>
          <w:tcPr>
            <w:tcW w:w="436" w:type="pct"/>
            <w:shd w:val="clear" w:color="auto" w:fill="auto"/>
            <w:vAlign w:val="bottom"/>
          </w:tcPr>
          <w:p w14:paraId="518B7860" w14:textId="77777777" w:rsidR="005C332D" w:rsidRDefault="005C332D">
            <w:pPr>
              <w:rPr>
                <w:rFonts w:ascii="宋体"/>
              </w:rPr>
            </w:pPr>
          </w:p>
        </w:tc>
        <w:tc>
          <w:tcPr>
            <w:tcW w:w="5" w:type="pct"/>
            <w:shd w:val="clear" w:color="auto" w:fill="auto"/>
            <w:vAlign w:val="bottom"/>
          </w:tcPr>
          <w:p w14:paraId="518B7861" w14:textId="77777777" w:rsidR="005C332D" w:rsidRDefault="005C332D">
            <w:pPr>
              <w:rPr>
                <w:rFonts w:ascii="宋体"/>
              </w:rPr>
            </w:pPr>
          </w:p>
        </w:tc>
        <w:tc>
          <w:tcPr>
            <w:tcW w:w="5" w:type="pct"/>
            <w:shd w:val="clear" w:color="auto" w:fill="auto"/>
            <w:vAlign w:val="bottom"/>
          </w:tcPr>
          <w:p w14:paraId="518B7862" w14:textId="77777777" w:rsidR="005C332D" w:rsidRDefault="005C332D">
            <w:pPr>
              <w:rPr>
                <w:rFonts w:ascii="宋体"/>
              </w:rPr>
            </w:pPr>
          </w:p>
        </w:tc>
        <w:tc>
          <w:tcPr>
            <w:tcW w:w="26" w:type="pct"/>
            <w:shd w:val="clear" w:color="auto" w:fill="auto"/>
            <w:vAlign w:val="bottom"/>
          </w:tcPr>
          <w:p w14:paraId="518B7863" w14:textId="77777777" w:rsidR="005C332D" w:rsidRDefault="005C332D">
            <w:pPr>
              <w:rPr>
                <w:rFonts w:ascii="宋体"/>
              </w:rPr>
            </w:pPr>
          </w:p>
        </w:tc>
        <w:tc>
          <w:tcPr>
            <w:tcW w:w="5" w:type="pct"/>
            <w:shd w:val="clear" w:color="auto" w:fill="auto"/>
            <w:vAlign w:val="bottom"/>
          </w:tcPr>
          <w:p w14:paraId="518B7864" w14:textId="77777777" w:rsidR="005C332D" w:rsidRDefault="005C332D">
            <w:pPr>
              <w:rPr>
                <w:rFonts w:ascii="宋体"/>
              </w:rPr>
            </w:pPr>
          </w:p>
        </w:tc>
        <w:tc>
          <w:tcPr>
            <w:tcW w:w="50" w:type="pct"/>
            <w:shd w:val="clear" w:color="auto" w:fill="auto"/>
            <w:vAlign w:val="bottom"/>
          </w:tcPr>
          <w:p w14:paraId="518B7865" w14:textId="77777777" w:rsidR="005C332D" w:rsidRDefault="005C332D">
            <w:pPr>
              <w:rPr>
                <w:rFonts w:ascii="宋体"/>
              </w:rPr>
            </w:pPr>
          </w:p>
        </w:tc>
        <w:tc>
          <w:tcPr>
            <w:tcW w:w="436" w:type="pct"/>
            <w:shd w:val="clear" w:color="auto" w:fill="auto"/>
            <w:vAlign w:val="bottom"/>
          </w:tcPr>
          <w:p w14:paraId="518B7866" w14:textId="77777777" w:rsidR="005C332D" w:rsidRDefault="005C332D">
            <w:pPr>
              <w:rPr>
                <w:rFonts w:ascii="宋体"/>
              </w:rPr>
            </w:pPr>
          </w:p>
        </w:tc>
        <w:tc>
          <w:tcPr>
            <w:tcW w:w="5" w:type="pct"/>
            <w:shd w:val="clear" w:color="auto" w:fill="auto"/>
            <w:vAlign w:val="bottom"/>
          </w:tcPr>
          <w:p w14:paraId="518B7867" w14:textId="77777777" w:rsidR="005C332D" w:rsidRDefault="005C332D">
            <w:pPr>
              <w:rPr>
                <w:rFonts w:ascii="宋体"/>
              </w:rPr>
            </w:pPr>
          </w:p>
        </w:tc>
        <w:tc>
          <w:tcPr>
            <w:tcW w:w="5" w:type="pct"/>
            <w:shd w:val="clear" w:color="auto" w:fill="auto"/>
            <w:vAlign w:val="bottom"/>
          </w:tcPr>
          <w:p w14:paraId="518B7868" w14:textId="77777777" w:rsidR="005C332D" w:rsidRDefault="005C332D">
            <w:pPr>
              <w:rPr>
                <w:rFonts w:ascii="宋体"/>
              </w:rPr>
            </w:pPr>
          </w:p>
        </w:tc>
        <w:tc>
          <w:tcPr>
            <w:tcW w:w="26" w:type="pct"/>
            <w:shd w:val="clear" w:color="auto" w:fill="auto"/>
            <w:vAlign w:val="bottom"/>
          </w:tcPr>
          <w:p w14:paraId="518B7869" w14:textId="77777777" w:rsidR="005C332D" w:rsidRDefault="005C332D">
            <w:pPr>
              <w:rPr>
                <w:rFonts w:ascii="宋体"/>
              </w:rPr>
            </w:pPr>
          </w:p>
        </w:tc>
        <w:tc>
          <w:tcPr>
            <w:tcW w:w="5" w:type="pct"/>
            <w:shd w:val="clear" w:color="auto" w:fill="auto"/>
            <w:vAlign w:val="bottom"/>
          </w:tcPr>
          <w:p w14:paraId="518B786A" w14:textId="77777777" w:rsidR="005C332D" w:rsidRDefault="005C332D">
            <w:pPr>
              <w:rPr>
                <w:rFonts w:ascii="宋体"/>
              </w:rPr>
            </w:pPr>
          </w:p>
        </w:tc>
        <w:tc>
          <w:tcPr>
            <w:tcW w:w="50" w:type="pct"/>
            <w:shd w:val="clear" w:color="auto" w:fill="auto"/>
            <w:vAlign w:val="bottom"/>
          </w:tcPr>
          <w:p w14:paraId="518B786B" w14:textId="77777777" w:rsidR="005C332D" w:rsidRDefault="005C332D">
            <w:pPr>
              <w:rPr>
                <w:rFonts w:ascii="宋体"/>
              </w:rPr>
            </w:pPr>
          </w:p>
        </w:tc>
        <w:tc>
          <w:tcPr>
            <w:tcW w:w="436" w:type="pct"/>
            <w:shd w:val="clear" w:color="auto" w:fill="auto"/>
            <w:vAlign w:val="bottom"/>
          </w:tcPr>
          <w:p w14:paraId="518B786C" w14:textId="77777777" w:rsidR="005C332D" w:rsidRDefault="005C332D">
            <w:pPr>
              <w:rPr>
                <w:rFonts w:ascii="宋体"/>
              </w:rPr>
            </w:pPr>
          </w:p>
        </w:tc>
        <w:tc>
          <w:tcPr>
            <w:tcW w:w="5" w:type="pct"/>
            <w:shd w:val="clear" w:color="auto" w:fill="auto"/>
            <w:vAlign w:val="bottom"/>
          </w:tcPr>
          <w:p w14:paraId="518B786D" w14:textId="77777777" w:rsidR="005C332D" w:rsidRDefault="005C332D">
            <w:pPr>
              <w:rPr>
                <w:rFonts w:ascii="宋体"/>
              </w:rPr>
            </w:pPr>
          </w:p>
        </w:tc>
      </w:tr>
      <w:tr w:rsidR="005C332D" w14:paraId="518B7874" w14:textId="77777777">
        <w:tc>
          <w:tcPr>
            <w:tcW w:w="0" w:type="auto"/>
            <w:gridSpan w:val="3"/>
            <w:shd w:val="clear" w:color="auto" w:fill="auto"/>
            <w:tcMar>
              <w:top w:w="40" w:type="dxa"/>
              <w:left w:w="20" w:type="dxa"/>
              <w:bottom w:w="40" w:type="dxa"/>
              <w:right w:w="20" w:type="dxa"/>
            </w:tcMar>
            <w:vAlign w:val="bottom"/>
          </w:tcPr>
          <w:p w14:paraId="518B786F"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18B787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871"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18B7872"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7873" w14:textId="77777777" w:rsidR="005C332D" w:rsidRDefault="00B93EAE">
            <w:pPr>
              <w:jc w:val="center"/>
              <w:textAlignment w:val="bottom"/>
            </w:pPr>
            <w:r>
              <w:rPr>
                <w:rFonts w:ascii="Times New Roman" w:eastAsia="宋体" w:hAnsi="Times New Roman"/>
                <w:color w:val="000000"/>
                <w:sz w:val="18"/>
                <w:szCs w:val="18"/>
              </w:rPr>
              <w:t>GAINS (LOSSES) FOR </w:t>
            </w:r>
            <w:r>
              <w:rPr>
                <w:rFonts w:ascii="Times New Roman" w:eastAsia="宋体" w:hAnsi="Times New Roman"/>
                <w:color w:val="000000"/>
                <w:sz w:val="18"/>
                <w:szCs w:val="18"/>
              </w:rPr>
              <w:br/>
              <w:t>THE YEARS ENDED</w:t>
            </w:r>
          </w:p>
        </w:tc>
      </w:tr>
      <w:tr w:rsidR="005C332D" w14:paraId="518B787E" w14:textId="77777777">
        <w:tc>
          <w:tcPr>
            <w:tcW w:w="0" w:type="auto"/>
            <w:gridSpan w:val="3"/>
            <w:shd w:val="clear" w:color="auto" w:fill="auto"/>
            <w:tcMar>
              <w:top w:w="40" w:type="dxa"/>
              <w:left w:w="20" w:type="dxa"/>
              <w:bottom w:w="40" w:type="dxa"/>
              <w:right w:w="20" w:type="dxa"/>
            </w:tcMar>
            <w:vAlign w:val="bottom"/>
          </w:tcPr>
          <w:p w14:paraId="518B7875" w14:textId="77777777" w:rsidR="005C332D" w:rsidRDefault="00B93EAE">
            <w:pPr>
              <w:textAlignment w:val="bottom"/>
            </w:pPr>
            <w:r>
              <w:rPr>
                <w:rFonts w:ascii="Times New Roman" w:eastAsia="宋体" w:hAnsi="Times New Roman"/>
                <w:color w:val="000000"/>
                <w:sz w:val="16"/>
                <w:szCs w:val="16"/>
              </w:rPr>
              <w:t>Derivatives Not Designated as Hedging Instruments</w:t>
            </w:r>
          </w:p>
        </w:tc>
        <w:tc>
          <w:tcPr>
            <w:tcW w:w="0" w:type="auto"/>
            <w:gridSpan w:val="3"/>
            <w:shd w:val="clear" w:color="auto" w:fill="auto"/>
            <w:tcMar>
              <w:top w:w="0" w:type="dxa"/>
              <w:left w:w="20" w:type="dxa"/>
              <w:bottom w:w="0" w:type="dxa"/>
              <w:right w:w="20" w:type="dxa"/>
            </w:tcMar>
            <w:vAlign w:val="bottom"/>
          </w:tcPr>
          <w:p w14:paraId="518B787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877" w14:textId="77777777" w:rsidR="005C332D" w:rsidRDefault="00B93EAE">
            <w:pPr>
              <w:textAlignment w:val="bottom"/>
            </w:pPr>
            <w:r>
              <w:rPr>
                <w:rFonts w:ascii="Times New Roman" w:eastAsia="宋体" w:hAnsi="Times New Roman"/>
                <w:color w:val="000000"/>
                <w:sz w:val="16"/>
                <w:szCs w:val="16"/>
              </w:rPr>
              <w:t>Line Item in Statements of Operations</w:t>
            </w:r>
          </w:p>
        </w:tc>
        <w:tc>
          <w:tcPr>
            <w:tcW w:w="0" w:type="auto"/>
            <w:gridSpan w:val="3"/>
            <w:shd w:val="clear" w:color="auto" w:fill="auto"/>
            <w:tcMar>
              <w:top w:w="0" w:type="dxa"/>
              <w:left w:w="20" w:type="dxa"/>
              <w:bottom w:w="0" w:type="dxa"/>
              <w:right w:w="20" w:type="dxa"/>
            </w:tcMar>
            <w:vAlign w:val="bottom"/>
          </w:tcPr>
          <w:p w14:paraId="518B7878"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879"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87A"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87B"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87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87D"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88E"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518B787F" w14:textId="77777777" w:rsidR="005C332D" w:rsidRDefault="00B93EAE">
            <w:pPr>
              <w:textAlignment w:val="top"/>
            </w:pPr>
            <w:r>
              <w:rPr>
                <w:rFonts w:ascii="Times New Roman" w:eastAsia="宋体" w:hAnsi="Times New Roman"/>
                <w:color w:val="000000"/>
                <w:sz w:val="18"/>
                <w:szCs w:val="18"/>
              </w:rPr>
              <w:t xml:space="preserve">Foreign currency </w:t>
            </w:r>
            <w:r>
              <w:rPr>
                <w:rFonts w:ascii="Times New Roman" w:eastAsia="宋体" w:hAnsi="Times New Roman"/>
                <w:color w:val="000000"/>
                <w:sz w:val="18"/>
                <w:szCs w:val="18"/>
              </w:rPr>
              <w:t>derivatives</w:t>
            </w:r>
          </w:p>
        </w:tc>
        <w:tc>
          <w:tcPr>
            <w:tcW w:w="0" w:type="auto"/>
            <w:gridSpan w:val="3"/>
            <w:shd w:val="clear" w:color="auto" w:fill="CCEEFF"/>
            <w:tcMar>
              <w:top w:w="0" w:type="dxa"/>
              <w:left w:w="20" w:type="dxa"/>
              <w:bottom w:w="0" w:type="dxa"/>
              <w:right w:w="20" w:type="dxa"/>
            </w:tcMar>
            <w:vAlign w:val="bottom"/>
          </w:tcPr>
          <w:p w14:paraId="518B7880"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518B7881" w14:textId="77777777" w:rsidR="005C332D" w:rsidRDefault="00B93EAE">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vAlign w:val="bottom"/>
          </w:tcPr>
          <w:p w14:paraId="518B788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88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884" w14:textId="77777777" w:rsidR="005C332D" w:rsidRDefault="00B93EAE">
            <w:pPr>
              <w:jc w:val="right"/>
              <w:textAlignment w:val="bottom"/>
            </w:pPr>
            <w:r>
              <w:rPr>
                <w:rFonts w:ascii="Times New Roman" w:eastAsia="宋体" w:hAnsi="Times New Roman"/>
                <w:b/>
                <w:bCs/>
                <w:color w:val="000000"/>
                <w:sz w:val="20"/>
                <w:szCs w:val="20"/>
              </w:rPr>
              <w:t>(237)</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88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88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88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888" w14:textId="77777777" w:rsidR="005C332D" w:rsidRDefault="00B93EAE">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88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88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88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88C" w14:textId="77777777" w:rsidR="005C332D" w:rsidRDefault="00B93EAE">
            <w:pPr>
              <w:jc w:val="right"/>
              <w:textAlignment w:val="bottom"/>
            </w:pPr>
            <w:r>
              <w:rPr>
                <w:rFonts w:ascii="Times New Roman" w:eastAsia="宋体" w:hAnsi="Times New Roman"/>
                <w:color w:val="000000"/>
                <w:sz w:val="20"/>
                <w:szCs w:val="20"/>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88D" w14:textId="77777777" w:rsidR="005C332D" w:rsidRDefault="005C332D">
            <w:pPr>
              <w:jc w:val="right"/>
              <w:rPr>
                <w:rFonts w:ascii="宋体"/>
              </w:rPr>
            </w:pPr>
          </w:p>
        </w:tc>
      </w:tr>
      <w:tr w:rsidR="005C332D" w14:paraId="518B789B" w14:textId="77777777">
        <w:tc>
          <w:tcPr>
            <w:tcW w:w="0" w:type="auto"/>
            <w:gridSpan w:val="3"/>
            <w:shd w:val="clear" w:color="auto" w:fill="FFFFFF"/>
            <w:tcMar>
              <w:top w:w="40" w:type="dxa"/>
              <w:left w:w="20" w:type="dxa"/>
              <w:bottom w:w="40" w:type="dxa"/>
              <w:right w:w="20" w:type="dxa"/>
            </w:tcMar>
          </w:tcPr>
          <w:p w14:paraId="518B788F" w14:textId="77777777" w:rsidR="005C332D" w:rsidRDefault="00B93EAE">
            <w:pPr>
              <w:textAlignment w:val="top"/>
            </w:pPr>
            <w:r>
              <w:rPr>
                <w:rFonts w:ascii="Times New Roman" w:eastAsia="宋体" w:hAnsi="Times New Roman"/>
                <w:color w:val="000000"/>
                <w:sz w:val="18"/>
                <w:szCs w:val="18"/>
              </w:rPr>
              <w:t>Total return swaps—deferred compensation</w:t>
            </w:r>
          </w:p>
        </w:tc>
        <w:tc>
          <w:tcPr>
            <w:tcW w:w="0" w:type="auto"/>
            <w:gridSpan w:val="3"/>
            <w:shd w:val="clear" w:color="auto" w:fill="FFFFFF"/>
            <w:tcMar>
              <w:top w:w="0" w:type="dxa"/>
              <w:left w:w="20" w:type="dxa"/>
              <w:bottom w:w="0" w:type="dxa"/>
              <w:right w:w="20" w:type="dxa"/>
            </w:tcMar>
            <w:vAlign w:val="bottom"/>
          </w:tcPr>
          <w:p w14:paraId="518B7890"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vAlign w:val="bottom"/>
          </w:tcPr>
          <w:p w14:paraId="518B7891" w14:textId="77777777" w:rsidR="005C332D" w:rsidRDefault="00B93EAE">
            <w:pPr>
              <w:textAlignment w:val="bottom"/>
            </w:pPr>
            <w:r>
              <w:rPr>
                <w:rFonts w:ascii="Times New Roman" w:eastAsia="宋体" w:hAnsi="Times New Roman"/>
                <w:color w:val="000000"/>
                <w:sz w:val="18"/>
                <w:szCs w:val="18"/>
              </w:rPr>
              <w:t>Operating expenses and other</w:t>
            </w:r>
          </w:p>
        </w:tc>
        <w:tc>
          <w:tcPr>
            <w:tcW w:w="0" w:type="auto"/>
            <w:gridSpan w:val="3"/>
            <w:shd w:val="clear" w:color="auto" w:fill="FFFFFF"/>
            <w:tcMar>
              <w:top w:w="0" w:type="dxa"/>
              <w:left w:w="20" w:type="dxa"/>
              <w:bottom w:w="0" w:type="dxa"/>
              <w:right w:w="20" w:type="dxa"/>
            </w:tcMar>
            <w:vAlign w:val="bottom"/>
          </w:tcPr>
          <w:p w14:paraId="518B789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893" w14:textId="77777777" w:rsidR="005C332D" w:rsidRDefault="00B93EAE">
            <w:pPr>
              <w:jc w:val="right"/>
              <w:textAlignment w:val="bottom"/>
            </w:pPr>
            <w:r>
              <w:rPr>
                <w:rFonts w:ascii="Times New Roman" w:eastAsia="宋体" w:hAnsi="Times New Roman"/>
                <w:b/>
                <w:bCs/>
                <w:color w:val="000000"/>
                <w:sz w:val="20"/>
                <w:szCs w:val="20"/>
              </w:rPr>
              <w:t>(92)</w:t>
            </w:r>
          </w:p>
        </w:tc>
        <w:tc>
          <w:tcPr>
            <w:tcW w:w="0" w:type="auto"/>
            <w:shd w:val="clear" w:color="auto" w:fill="FFFFFF"/>
            <w:tcMar>
              <w:top w:w="40" w:type="dxa"/>
              <w:left w:w="0" w:type="dxa"/>
              <w:bottom w:w="40" w:type="dxa"/>
              <w:right w:w="20" w:type="dxa"/>
            </w:tcMar>
            <w:vAlign w:val="bottom"/>
          </w:tcPr>
          <w:p w14:paraId="518B789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89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896" w14:textId="77777777" w:rsidR="005C332D" w:rsidRDefault="00B93EAE">
            <w:pPr>
              <w:jc w:val="right"/>
              <w:textAlignment w:val="bottom"/>
            </w:pPr>
            <w:r>
              <w:rPr>
                <w:rFonts w:ascii="Times New Roman" w:eastAsia="宋体" w:hAnsi="Times New Roman"/>
                <w:color w:val="000000"/>
                <w:sz w:val="20"/>
                <w:szCs w:val="20"/>
              </w:rPr>
              <w:t>157 </w:t>
            </w:r>
          </w:p>
        </w:tc>
        <w:tc>
          <w:tcPr>
            <w:tcW w:w="0" w:type="auto"/>
            <w:shd w:val="clear" w:color="auto" w:fill="FFFFFF"/>
            <w:tcMar>
              <w:top w:w="40" w:type="dxa"/>
              <w:left w:w="0" w:type="dxa"/>
              <w:bottom w:w="40" w:type="dxa"/>
              <w:right w:w="20" w:type="dxa"/>
            </w:tcMar>
            <w:vAlign w:val="bottom"/>
          </w:tcPr>
          <w:p w14:paraId="518B789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89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899" w14:textId="77777777" w:rsidR="005C332D" w:rsidRDefault="00B93EAE">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518B789A" w14:textId="77777777" w:rsidR="005C332D" w:rsidRDefault="005C332D">
            <w:pPr>
              <w:jc w:val="right"/>
              <w:rPr>
                <w:rFonts w:ascii="宋体"/>
              </w:rPr>
            </w:pPr>
          </w:p>
        </w:tc>
      </w:tr>
      <w:tr w:rsidR="005C332D" w14:paraId="518B78A8" w14:textId="77777777">
        <w:tc>
          <w:tcPr>
            <w:tcW w:w="0" w:type="auto"/>
            <w:gridSpan w:val="3"/>
            <w:shd w:val="clear" w:color="auto" w:fill="CCEEFF"/>
            <w:tcMar>
              <w:top w:w="40" w:type="dxa"/>
              <w:left w:w="20" w:type="dxa"/>
              <w:bottom w:w="40" w:type="dxa"/>
              <w:right w:w="20" w:type="dxa"/>
            </w:tcMar>
          </w:tcPr>
          <w:p w14:paraId="518B789C" w14:textId="77777777" w:rsidR="005C332D" w:rsidRDefault="00B93EAE">
            <w:pPr>
              <w:textAlignment w:val="top"/>
            </w:pPr>
            <w:r>
              <w:rPr>
                <w:rFonts w:ascii="Times New Roman" w:eastAsia="宋体" w:hAnsi="Times New Roman"/>
                <w:color w:val="000000"/>
                <w:sz w:val="18"/>
                <w:szCs w:val="18"/>
              </w:rPr>
              <w:t>Equity derivatives</w:t>
            </w:r>
          </w:p>
        </w:tc>
        <w:tc>
          <w:tcPr>
            <w:tcW w:w="0" w:type="auto"/>
            <w:gridSpan w:val="3"/>
            <w:shd w:val="clear" w:color="auto" w:fill="CCEEFF"/>
            <w:tcMar>
              <w:top w:w="0" w:type="dxa"/>
              <w:left w:w="20" w:type="dxa"/>
              <w:bottom w:w="0" w:type="dxa"/>
              <w:right w:w="20" w:type="dxa"/>
            </w:tcMar>
            <w:vAlign w:val="bottom"/>
          </w:tcPr>
          <w:p w14:paraId="518B789D"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89E" w14:textId="77777777" w:rsidR="005C332D" w:rsidRDefault="00B93EAE">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vAlign w:val="bottom"/>
          </w:tcPr>
          <w:p w14:paraId="518B789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8A0" w14:textId="77777777" w:rsidR="005C332D" w:rsidRDefault="00B93EAE">
            <w:pPr>
              <w:jc w:val="right"/>
              <w:textAlignment w:val="bottom"/>
            </w:pPr>
            <w:r>
              <w:rPr>
                <w:rFonts w:ascii="Times New Roman" w:eastAsia="宋体" w:hAnsi="Times New Roman"/>
                <w:b/>
                <w:bCs/>
                <w:color w:val="000000"/>
                <w:sz w:val="20"/>
                <w:szCs w:val="20"/>
              </w:rPr>
              <w:t>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8A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8A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8A3" w14:textId="77777777" w:rsidR="005C332D" w:rsidRDefault="00B93EAE">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518B78A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8A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8A6" w14:textId="77777777" w:rsidR="005C332D" w:rsidRDefault="00B93EAE">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518B78A7" w14:textId="77777777" w:rsidR="005C332D" w:rsidRDefault="005C332D">
            <w:pPr>
              <w:jc w:val="right"/>
              <w:rPr>
                <w:rFonts w:ascii="宋体"/>
              </w:rPr>
            </w:pPr>
          </w:p>
        </w:tc>
      </w:tr>
      <w:tr w:rsidR="005C332D" w14:paraId="518B78B8" w14:textId="77777777">
        <w:tc>
          <w:tcPr>
            <w:tcW w:w="0" w:type="auto"/>
            <w:gridSpan w:val="3"/>
            <w:shd w:val="clear" w:color="auto" w:fill="FFFFFF"/>
            <w:tcMar>
              <w:top w:w="40" w:type="dxa"/>
              <w:left w:w="380" w:type="dxa"/>
              <w:bottom w:w="40" w:type="dxa"/>
              <w:right w:w="20" w:type="dxa"/>
            </w:tcMar>
          </w:tcPr>
          <w:p w14:paraId="518B78A9" w14:textId="77777777" w:rsidR="005C332D" w:rsidRDefault="00B93EAE">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518B78A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8A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8AC"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8A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8AE" w14:textId="77777777" w:rsidR="005C332D" w:rsidRDefault="00B93EAE">
            <w:pPr>
              <w:jc w:val="right"/>
              <w:textAlignment w:val="bottom"/>
            </w:pPr>
            <w:r>
              <w:rPr>
                <w:rFonts w:ascii="Times New Roman" w:eastAsia="宋体" w:hAnsi="Times New Roman"/>
                <w:b/>
                <w:bCs/>
                <w:color w:val="000000"/>
                <w:sz w:val="20"/>
                <w:szCs w:val="20"/>
              </w:rPr>
              <w:t>(320)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8A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8B0"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8B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8B2" w14:textId="77777777" w:rsidR="005C332D" w:rsidRDefault="00B93EAE">
            <w:pPr>
              <w:jc w:val="right"/>
              <w:textAlignment w:val="bottom"/>
            </w:pPr>
            <w:r>
              <w:rPr>
                <w:rFonts w:ascii="Times New Roman" w:eastAsia="宋体" w:hAnsi="Times New Roman"/>
                <w:color w:val="000000"/>
                <w:sz w:val="20"/>
                <w:szCs w:val="20"/>
              </w:rPr>
              <w:t>179 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8B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8B4"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8B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8B6" w14:textId="77777777" w:rsidR="005C332D" w:rsidRDefault="00B93EAE">
            <w:pPr>
              <w:jc w:val="right"/>
              <w:textAlignment w:val="bottom"/>
            </w:pPr>
            <w:r>
              <w:rPr>
                <w:rFonts w:ascii="Times New Roman" w:eastAsia="宋体" w:hAnsi="Times New Roman"/>
                <w:color w:val="000000"/>
                <w:sz w:val="20"/>
                <w:szCs w:val="20"/>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8B7" w14:textId="77777777" w:rsidR="005C332D" w:rsidRDefault="005C332D">
            <w:pPr>
              <w:jc w:val="right"/>
              <w:rPr>
                <w:rFonts w:ascii="宋体"/>
              </w:rPr>
            </w:pPr>
          </w:p>
        </w:tc>
      </w:tr>
    </w:tbl>
    <w:p w14:paraId="518B78B9" w14:textId="77777777" w:rsidR="005C332D" w:rsidRDefault="00B93EAE">
      <w:pPr>
        <w:spacing w:before="120"/>
      </w:pPr>
      <w:r>
        <w:rPr>
          <w:rFonts w:ascii="Times New Roman" w:eastAsia="宋体" w:hAnsi="Times New Roman"/>
          <w:color w:val="000000"/>
          <w:sz w:val="20"/>
          <w:szCs w:val="20"/>
        </w:rPr>
        <w:t>The notional amounts of our outstanding derivatives are summarized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5C332D" w14:paraId="518B78C6" w14:textId="77777777">
        <w:tc>
          <w:tcPr>
            <w:tcW w:w="50" w:type="pct"/>
            <w:shd w:val="clear" w:color="auto" w:fill="auto"/>
            <w:vAlign w:val="bottom"/>
          </w:tcPr>
          <w:p w14:paraId="518B78BA" w14:textId="77777777" w:rsidR="005C332D" w:rsidRDefault="005C332D">
            <w:pPr>
              <w:rPr>
                <w:rFonts w:ascii="宋体"/>
              </w:rPr>
            </w:pPr>
          </w:p>
        </w:tc>
        <w:tc>
          <w:tcPr>
            <w:tcW w:w="3442" w:type="pct"/>
            <w:shd w:val="clear" w:color="auto" w:fill="auto"/>
            <w:vAlign w:val="bottom"/>
          </w:tcPr>
          <w:p w14:paraId="518B78BB" w14:textId="77777777" w:rsidR="005C332D" w:rsidRDefault="005C332D">
            <w:pPr>
              <w:rPr>
                <w:rFonts w:ascii="宋体"/>
              </w:rPr>
            </w:pPr>
          </w:p>
        </w:tc>
        <w:tc>
          <w:tcPr>
            <w:tcW w:w="5" w:type="pct"/>
            <w:shd w:val="clear" w:color="auto" w:fill="auto"/>
            <w:vAlign w:val="bottom"/>
          </w:tcPr>
          <w:p w14:paraId="518B78BC" w14:textId="77777777" w:rsidR="005C332D" w:rsidRDefault="005C332D">
            <w:pPr>
              <w:rPr>
                <w:rFonts w:ascii="宋体"/>
              </w:rPr>
            </w:pPr>
          </w:p>
        </w:tc>
        <w:tc>
          <w:tcPr>
            <w:tcW w:w="50" w:type="pct"/>
            <w:shd w:val="clear" w:color="auto" w:fill="auto"/>
            <w:vAlign w:val="bottom"/>
          </w:tcPr>
          <w:p w14:paraId="518B78BD" w14:textId="77777777" w:rsidR="005C332D" w:rsidRDefault="005C332D">
            <w:pPr>
              <w:rPr>
                <w:rFonts w:ascii="宋体"/>
              </w:rPr>
            </w:pPr>
          </w:p>
        </w:tc>
        <w:tc>
          <w:tcPr>
            <w:tcW w:w="678" w:type="pct"/>
            <w:shd w:val="clear" w:color="auto" w:fill="auto"/>
            <w:vAlign w:val="bottom"/>
          </w:tcPr>
          <w:p w14:paraId="518B78BE" w14:textId="77777777" w:rsidR="005C332D" w:rsidRDefault="005C332D">
            <w:pPr>
              <w:rPr>
                <w:rFonts w:ascii="宋体"/>
              </w:rPr>
            </w:pPr>
          </w:p>
        </w:tc>
        <w:tc>
          <w:tcPr>
            <w:tcW w:w="5" w:type="pct"/>
            <w:shd w:val="clear" w:color="auto" w:fill="auto"/>
            <w:vAlign w:val="bottom"/>
          </w:tcPr>
          <w:p w14:paraId="518B78BF" w14:textId="77777777" w:rsidR="005C332D" w:rsidRDefault="005C332D">
            <w:pPr>
              <w:rPr>
                <w:rFonts w:ascii="宋体"/>
              </w:rPr>
            </w:pPr>
          </w:p>
        </w:tc>
        <w:tc>
          <w:tcPr>
            <w:tcW w:w="5" w:type="pct"/>
            <w:shd w:val="clear" w:color="auto" w:fill="auto"/>
            <w:vAlign w:val="bottom"/>
          </w:tcPr>
          <w:p w14:paraId="518B78C0" w14:textId="77777777" w:rsidR="005C332D" w:rsidRDefault="005C332D">
            <w:pPr>
              <w:rPr>
                <w:rFonts w:ascii="宋体"/>
              </w:rPr>
            </w:pPr>
          </w:p>
        </w:tc>
        <w:tc>
          <w:tcPr>
            <w:tcW w:w="26" w:type="pct"/>
            <w:shd w:val="clear" w:color="auto" w:fill="auto"/>
            <w:vAlign w:val="bottom"/>
          </w:tcPr>
          <w:p w14:paraId="518B78C1" w14:textId="77777777" w:rsidR="005C332D" w:rsidRDefault="005C332D">
            <w:pPr>
              <w:rPr>
                <w:rFonts w:ascii="宋体"/>
              </w:rPr>
            </w:pPr>
          </w:p>
        </w:tc>
        <w:tc>
          <w:tcPr>
            <w:tcW w:w="5" w:type="pct"/>
            <w:shd w:val="clear" w:color="auto" w:fill="auto"/>
            <w:vAlign w:val="bottom"/>
          </w:tcPr>
          <w:p w14:paraId="518B78C2" w14:textId="77777777" w:rsidR="005C332D" w:rsidRDefault="005C332D">
            <w:pPr>
              <w:rPr>
                <w:rFonts w:ascii="宋体"/>
              </w:rPr>
            </w:pPr>
          </w:p>
        </w:tc>
        <w:tc>
          <w:tcPr>
            <w:tcW w:w="50" w:type="pct"/>
            <w:shd w:val="clear" w:color="auto" w:fill="auto"/>
            <w:vAlign w:val="bottom"/>
          </w:tcPr>
          <w:p w14:paraId="518B78C3" w14:textId="77777777" w:rsidR="005C332D" w:rsidRDefault="005C332D">
            <w:pPr>
              <w:rPr>
                <w:rFonts w:ascii="宋体"/>
              </w:rPr>
            </w:pPr>
          </w:p>
        </w:tc>
        <w:tc>
          <w:tcPr>
            <w:tcW w:w="678" w:type="pct"/>
            <w:shd w:val="clear" w:color="auto" w:fill="auto"/>
            <w:vAlign w:val="bottom"/>
          </w:tcPr>
          <w:p w14:paraId="518B78C4" w14:textId="77777777" w:rsidR="005C332D" w:rsidRDefault="005C332D">
            <w:pPr>
              <w:rPr>
                <w:rFonts w:ascii="宋体"/>
              </w:rPr>
            </w:pPr>
          </w:p>
        </w:tc>
        <w:tc>
          <w:tcPr>
            <w:tcW w:w="5" w:type="pct"/>
            <w:shd w:val="clear" w:color="auto" w:fill="auto"/>
            <w:vAlign w:val="bottom"/>
          </w:tcPr>
          <w:p w14:paraId="518B78C5" w14:textId="77777777" w:rsidR="005C332D" w:rsidRDefault="005C332D">
            <w:pPr>
              <w:rPr>
                <w:rFonts w:ascii="宋体"/>
              </w:rPr>
            </w:pPr>
          </w:p>
        </w:tc>
      </w:tr>
      <w:tr w:rsidR="005C332D" w14:paraId="518B78CB" w14:textId="77777777">
        <w:tc>
          <w:tcPr>
            <w:tcW w:w="0" w:type="auto"/>
            <w:gridSpan w:val="3"/>
            <w:shd w:val="clear" w:color="auto" w:fill="auto"/>
            <w:tcMar>
              <w:top w:w="0" w:type="dxa"/>
              <w:left w:w="20" w:type="dxa"/>
              <w:bottom w:w="0" w:type="dxa"/>
              <w:right w:w="20" w:type="dxa"/>
            </w:tcMar>
            <w:vAlign w:val="bottom"/>
          </w:tcPr>
          <w:p w14:paraId="518B78C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8C8"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8C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8CA"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78D4" w14:textId="77777777">
        <w:tc>
          <w:tcPr>
            <w:tcW w:w="0" w:type="auto"/>
            <w:gridSpan w:val="3"/>
            <w:shd w:val="clear" w:color="auto" w:fill="CCEEFF"/>
            <w:tcMar>
              <w:top w:w="40" w:type="dxa"/>
              <w:left w:w="155" w:type="dxa"/>
              <w:bottom w:w="40" w:type="dxa"/>
              <w:right w:w="20" w:type="dxa"/>
            </w:tcMar>
          </w:tcPr>
          <w:p w14:paraId="518B78CC" w14:textId="77777777" w:rsidR="005C332D" w:rsidRDefault="00B93EAE">
            <w:pPr>
              <w:textAlignment w:val="top"/>
            </w:pPr>
            <w:r>
              <w:rPr>
                <w:rFonts w:ascii="Times New Roman" w:eastAsia="宋体" w:hAnsi="Times New Roman"/>
                <w:color w:val="000000"/>
                <w:sz w:val="20"/>
                <w:szCs w:val="20"/>
              </w:rPr>
              <w:t xml:space="preserve">Foreign currency </w:t>
            </w:r>
            <w:r>
              <w:rPr>
                <w:rFonts w:ascii="Times New Roman" w:eastAsia="宋体" w:hAnsi="Times New Roman"/>
                <w:color w:val="000000"/>
                <w:sz w:val="20"/>
                <w:szCs w:val="20"/>
              </w:rPr>
              <w:t>derivatives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8CD"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8CE" w14:textId="77777777" w:rsidR="005C332D" w:rsidRDefault="00B93EAE">
            <w:pPr>
              <w:jc w:val="right"/>
              <w:textAlignment w:val="bottom"/>
            </w:pPr>
            <w:r>
              <w:rPr>
                <w:rFonts w:ascii="Times New Roman" w:eastAsia="宋体" w:hAnsi="Times New Roman"/>
                <w:b/>
                <w:bCs/>
                <w:color w:val="000000"/>
                <w:sz w:val="20"/>
                <w:szCs w:val="20"/>
              </w:rPr>
              <w:t>4,521</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8C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8D0"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8D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8D2" w14:textId="77777777" w:rsidR="005C332D" w:rsidRDefault="00B93EAE">
            <w:pPr>
              <w:jc w:val="right"/>
              <w:textAlignment w:val="bottom"/>
            </w:pPr>
            <w:r>
              <w:rPr>
                <w:rFonts w:ascii="Times New Roman" w:eastAsia="宋体" w:hAnsi="Times New Roman"/>
                <w:color w:val="000000"/>
                <w:sz w:val="20"/>
                <w:szCs w:val="20"/>
              </w:rPr>
              <w:t>4,139 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8D3" w14:textId="77777777" w:rsidR="005C332D" w:rsidRDefault="005C332D">
            <w:pPr>
              <w:jc w:val="right"/>
              <w:rPr>
                <w:rFonts w:ascii="宋体"/>
              </w:rPr>
            </w:pPr>
          </w:p>
        </w:tc>
      </w:tr>
      <w:tr w:rsidR="005C332D" w14:paraId="518B78DB" w14:textId="77777777">
        <w:tc>
          <w:tcPr>
            <w:tcW w:w="0" w:type="auto"/>
            <w:gridSpan w:val="3"/>
            <w:shd w:val="clear" w:color="auto" w:fill="FFFFFF"/>
            <w:tcMar>
              <w:top w:w="40" w:type="dxa"/>
              <w:left w:w="155" w:type="dxa"/>
              <w:bottom w:w="40" w:type="dxa"/>
              <w:right w:w="20" w:type="dxa"/>
            </w:tcMar>
          </w:tcPr>
          <w:p w14:paraId="518B78D5" w14:textId="77777777" w:rsidR="005C332D" w:rsidRDefault="00B93EAE">
            <w:pPr>
              <w:textAlignment w:val="top"/>
            </w:pPr>
            <w:r>
              <w:rPr>
                <w:rFonts w:ascii="Times New Roman" w:eastAsia="宋体" w:hAnsi="Times New Roman"/>
                <w:color w:val="000000"/>
                <w:sz w:val="20"/>
                <w:szCs w:val="20"/>
              </w:rPr>
              <w:t>Interest rate derivatives</w:t>
            </w:r>
          </w:p>
        </w:tc>
        <w:tc>
          <w:tcPr>
            <w:tcW w:w="0" w:type="auto"/>
            <w:gridSpan w:val="2"/>
            <w:shd w:val="clear" w:color="auto" w:fill="FFFFFF"/>
            <w:tcMar>
              <w:top w:w="40" w:type="dxa"/>
              <w:left w:w="20" w:type="dxa"/>
              <w:bottom w:w="40" w:type="dxa"/>
              <w:right w:w="0" w:type="dxa"/>
            </w:tcMar>
            <w:vAlign w:val="bottom"/>
          </w:tcPr>
          <w:p w14:paraId="518B78D6" w14:textId="77777777" w:rsidR="005C332D" w:rsidRDefault="00B93EAE">
            <w:pPr>
              <w:jc w:val="right"/>
              <w:textAlignment w:val="bottom"/>
            </w:pPr>
            <w:r>
              <w:rPr>
                <w:rFonts w:ascii="Times New Roman" w:eastAsia="宋体" w:hAnsi="Times New Roman"/>
                <w:b/>
                <w:bCs/>
                <w:color w:val="000000"/>
                <w:sz w:val="20"/>
                <w:szCs w:val="20"/>
              </w:rPr>
              <w:t>1,500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8D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8D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8D9" w14:textId="77777777" w:rsidR="005C332D" w:rsidRDefault="00B93EAE">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518B78DA" w14:textId="77777777" w:rsidR="005C332D" w:rsidRDefault="005C332D">
            <w:pPr>
              <w:jc w:val="right"/>
              <w:rPr>
                <w:rFonts w:ascii="宋体"/>
              </w:rPr>
            </w:pPr>
          </w:p>
        </w:tc>
      </w:tr>
      <w:tr w:rsidR="005C332D" w14:paraId="518B78E2" w14:textId="77777777">
        <w:tc>
          <w:tcPr>
            <w:tcW w:w="0" w:type="auto"/>
            <w:gridSpan w:val="3"/>
            <w:shd w:val="clear" w:color="auto" w:fill="CCEEFF"/>
            <w:tcMar>
              <w:top w:w="40" w:type="dxa"/>
              <w:left w:w="155" w:type="dxa"/>
              <w:bottom w:w="40" w:type="dxa"/>
              <w:right w:w="20" w:type="dxa"/>
            </w:tcMar>
          </w:tcPr>
          <w:p w14:paraId="518B78DC" w14:textId="77777777" w:rsidR="005C332D" w:rsidRDefault="00B93EAE">
            <w:pPr>
              <w:textAlignment w:val="top"/>
            </w:pPr>
            <w:r>
              <w:rPr>
                <w:rFonts w:ascii="Times New Roman" w:eastAsia="宋体" w:hAnsi="Times New Roman"/>
                <w:color w:val="000000"/>
                <w:sz w:val="20"/>
                <w:szCs w:val="20"/>
              </w:rPr>
              <w:t>Total return swaps—deferred compensation</w:t>
            </w:r>
          </w:p>
        </w:tc>
        <w:tc>
          <w:tcPr>
            <w:tcW w:w="0" w:type="auto"/>
            <w:gridSpan w:val="2"/>
            <w:shd w:val="clear" w:color="auto" w:fill="CCEEFF"/>
            <w:tcMar>
              <w:top w:w="40" w:type="dxa"/>
              <w:left w:w="20" w:type="dxa"/>
              <w:bottom w:w="40" w:type="dxa"/>
              <w:right w:w="0" w:type="dxa"/>
            </w:tcMar>
            <w:vAlign w:val="bottom"/>
          </w:tcPr>
          <w:p w14:paraId="518B78DD" w14:textId="77777777" w:rsidR="005C332D" w:rsidRDefault="00B93EAE">
            <w:pPr>
              <w:jc w:val="right"/>
              <w:textAlignment w:val="bottom"/>
            </w:pPr>
            <w:r>
              <w:rPr>
                <w:rFonts w:ascii="Times New Roman" w:eastAsia="宋体" w:hAnsi="Times New Roman"/>
                <w:b/>
                <w:bCs/>
                <w:color w:val="000000"/>
                <w:sz w:val="20"/>
                <w:szCs w:val="20"/>
              </w:rPr>
              <w:t>651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8D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8D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8E0" w14:textId="77777777" w:rsidR="005C332D" w:rsidRDefault="00B93EAE">
            <w:pPr>
              <w:jc w:val="right"/>
              <w:textAlignment w:val="bottom"/>
            </w:pPr>
            <w:r>
              <w:rPr>
                <w:rFonts w:ascii="Times New Roman" w:eastAsia="宋体" w:hAnsi="Times New Roman"/>
                <w:color w:val="000000"/>
                <w:sz w:val="20"/>
                <w:szCs w:val="20"/>
              </w:rPr>
              <w:t>730 </w:t>
            </w:r>
          </w:p>
        </w:tc>
        <w:tc>
          <w:tcPr>
            <w:tcW w:w="0" w:type="auto"/>
            <w:shd w:val="clear" w:color="auto" w:fill="CCEEFF"/>
            <w:tcMar>
              <w:top w:w="40" w:type="dxa"/>
              <w:left w:w="0" w:type="dxa"/>
              <w:bottom w:w="40" w:type="dxa"/>
              <w:right w:w="20" w:type="dxa"/>
            </w:tcMar>
            <w:vAlign w:val="bottom"/>
          </w:tcPr>
          <w:p w14:paraId="518B78E1" w14:textId="77777777" w:rsidR="005C332D" w:rsidRDefault="005C332D">
            <w:pPr>
              <w:jc w:val="right"/>
              <w:rPr>
                <w:rFonts w:ascii="宋体"/>
              </w:rPr>
            </w:pPr>
          </w:p>
        </w:tc>
      </w:tr>
      <w:tr w:rsidR="005C332D" w14:paraId="518B78EB" w14:textId="77777777">
        <w:tc>
          <w:tcPr>
            <w:tcW w:w="0" w:type="auto"/>
            <w:gridSpan w:val="3"/>
            <w:shd w:val="clear" w:color="auto" w:fill="auto"/>
            <w:tcMar>
              <w:top w:w="40" w:type="dxa"/>
              <w:left w:w="380" w:type="dxa"/>
              <w:bottom w:w="40" w:type="dxa"/>
              <w:right w:w="20" w:type="dxa"/>
            </w:tcMar>
          </w:tcPr>
          <w:p w14:paraId="518B78E3"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78E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78E5" w14:textId="77777777" w:rsidR="005C332D" w:rsidRDefault="00B93EAE">
            <w:pPr>
              <w:jc w:val="right"/>
              <w:textAlignment w:val="bottom"/>
            </w:pPr>
            <w:r>
              <w:rPr>
                <w:rFonts w:ascii="Times New Roman" w:eastAsia="宋体" w:hAnsi="Times New Roman"/>
                <w:b/>
                <w:bCs/>
                <w:color w:val="000000"/>
                <w:sz w:val="20"/>
                <w:szCs w:val="20"/>
              </w:rPr>
              <w:t>6,672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78E6"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8E7"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78E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78E9" w14:textId="77777777" w:rsidR="005C332D" w:rsidRDefault="00B93EAE">
            <w:pPr>
              <w:jc w:val="right"/>
              <w:textAlignment w:val="bottom"/>
            </w:pPr>
            <w:r>
              <w:rPr>
                <w:rFonts w:ascii="Times New Roman" w:eastAsia="宋体" w:hAnsi="Times New Roman"/>
                <w:color w:val="000000"/>
                <w:sz w:val="20"/>
                <w:szCs w:val="20"/>
              </w:rPr>
              <w:t>6,869 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78EA" w14:textId="77777777" w:rsidR="005C332D" w:rsidRDefault="005C332D">
            <w:pPr>
              <w:jc w:val="right"/>
              <w:rPr>
                <w:rFonts w:ascii="宋体"/>
              </w:rPr>
            </w:pPr>
          </w:p>
        </w:tc>
      </w:tr>
    </w:tbl>
    <w:p w14:paraId="518B78EC" w14:textId="77777777" w:rsidR="005C332D" w:rsidRDefault="00B93EAE">
      <w:pPr>
        <w:spacing w:before="120"/>
        <w:ind w:hanging="360"/>
        <w:jc w:val="both"/>
      </w:pPr>
      <w:r>
        <w:rPr>
          <w:rFonts w:ascii="Times New Roman" w:eastAsia="宋体" w:hAnsi="Times New Roman"/>
          <w:b/>
          <w:bCs/>
          <w:color w:val="000000"/>
          <w:sz w:val="20"/>
          <w:szCs w:val="20"/>
        </w:rPr>
        <w:t>(b)Offsetting of Derivative Instruments</w:t>
      </w:r>
    </w:p>
    <w:p w14:paraId="518B78ED" w14:textId="77777777" w:rsidR="005C332D" w:rsidRDefault="00B93EAE">
      <w:pPr>
        <w:spacing w:before="120"/>
        <w:jc w:val="both"/>
      </w:pPr>
      <w:r>
        <w:rPr>
          <w:rFonts w:ascii="Times New Roman" w:eastAsia="宋体" w:hAnsi="Times New Roman"/>
          <w:color w:val="000000"/>
          <w:sz w:val="20"/>
          <w:szCs w:val="20"/>
        </w:rPr>
        <w:t xml:space="preserve">We present our derivative instruments at gross fair </w:t>
      </w:r>
      <w:r>
        <w:rPr>
          <w:rFonts w:ascii="Times New Roman" w:eastAsia="宋体" w:hAnsi="Times New Roman"/>
          <w:color w:val="000000"/>
          <w:sz w:val="20"/>
          <w:szCs w:val="20"/>
        </w:rPr>
        <w:t>values in the Consolidated Balance Sheets. However, our master netting and other similar arrangements with the respective counterparties allow for net settlement under certain conditions, which are designed to reduce credit risk by permitting net settlemen</w:t>
      </w:r>
      <w:r>
        <w:rPr>
          <w:rFonts w:ascii="Times New Roman" w:eastAsia="宋体" w:hAnsi="Times New Roman"/>
          <w:color w:val="000000"/>
          <w:sz w:val="20"/>
          <w:szCs w:val="20"/>
        </w:rPr>
        <w:t>t with the same counterparty.</w:t>
      </w:r>
    </w:p>
    <w:p w14:paraId="518B78EE" w14:textId="77777777" w:rsidR="005C332D" w:rsidRDefault="00B93EAE">
      <w:pPr>
        <w:spacing w:before="120"/>
        <w:jc w:val="both"/>
      </w:pPr>
      <w:r>
        <w:rPr>
          <w:rFonts w:ascii="Times New Roman" w:eastAsia="宋体" w:hAnsi="Times New Roman"/>
          <w:color w:val="000000"/>
          <w:sz w:val="20"/>
          <w:szCs w:val="20"/>
        </w:rPr>
        <w:t xml:space="preserve">To further limit credit risk, we also enter into collateral security arrangements related to certain derivative instruments whereby cash is posted as collateral between the counterparties based on the fair market value of the </w:t>
      </w:r>
      <w:r>
        <w:rPr>
          <w:rFonts w:ascii="Times New Roman" w:eastAsia="宋体" w:hAnsi="Times New Roman"/>
          <w:color w:val="000000"/>
          <w:sz w:val="20"/>
          <w:szCs w:val="20"/>
        </w:rPr>
        <w:t>derivative instrument. Under these collateral security arrangements, the net cash collateral provided for was $14 million as of July 30, 2022 and the net cash collateral received was $109 million as of July 31, 2021. Including the effects of collateral, th</w:t>
      </w:r>
      <w:r>
        <w:rPr>
          <w:rFonts w:ascii="Times New Roman" w:eastAsia="宋体" w:hAnsi="Times New Roman"/>
          <w:color w:val="000000"/>
          <w:sz w:val="20"/>
          <w:szCs w:val="20"/>
        </w:rPr>
        <w:t>is results in a net derivative asset of $3 million and a net derivative liability of $3 million as of July 30, 2022 and July 31, 2021, respectively.</w:t>
      </w:r>
    </w:p>
    <w:p w14:paraId="518B78EF" w14:textId="77777777" w:rsidR="005C332D" w:rsidRDefault="00B93EAE">
      <w:pPr>
        <w:spacing w:before="120"/>
        <w:ind w:hanging="360"/>
        <w:jc w:val="both"/>
      </w:pPr>
      <w:r>
        <w:rPr>
          <w:rFonts w:ascii="Times New Roman" w:eastAsia="宋体" w:hAnsi="Times New Roman"/>
          <w:b/>
          <w:bCs/>
          <w:color w:val="000000"/>
          <w:sz w:val="20"/>
          <w:szCs w:val="20"/>
        </w:rPr>
        <w:t>(c)Foreign Currency Exchange Risk</w:t>
      </w:r>
    </w:p>
    <w:p w14:paraId="518B78F0" w14:textId="77777777" w:rsidR="005C332D" w:rsidRDefault="00B93EAE">
      <w:pPr>
        <w:spacing w:before="120"/>
        <w:jc w:val="both"/>
      </w:pPr>
      <w:r>
        <w:rPr>
          <w:rFonts w:ascii="Times New Roman" w:eastAsia="宋体" w:hAnsi="Times New Roman"/>
          <w:color w:val="000000"/>
          <w:sz w:val="20"/>
          <w:szCs w:val="20"/>
        </w:rPr>
        <w:t>We conduct business globally in numerous currencies. Therefore, we are ex</w:t>
      </w:r>
      <w:r>
        <w:rPr>
          <w:rFonts w:ascii="Times New Roman" w:eastAsia="宋体" w:hAnsi="Times New Roman"/>
          <w:color w:val="000000"/>
          <w:sz w:val="20"/>
          <w:szCs w:val="20"/>
        </w:rPr>
        <w:t>posed to adverse movements in foreign currency exchange rates. To limit the exposure related to foreign currency changes, we enter into foreign currency contracts. We do not enter into such contracts for speculative purposes.</w:t>
      </w:r>
    </w:p>
    <w:p w14:paraId="518B78F1" w14:textId="77777777" w:rsidR="005C332D" w:rsidRDefault="00B93EAE">
      <w:pPr>
        <w:spacing w:before="120"/>
        <w:jc w:val="both"/>
      </w:pPr>
      <w:r>
        <w:rPr>
          <w:rFonts w:ascii="Times New Roman" w:eastAsia="宋体" w:hAnsi="Times New Roman"/>
          <w:color w:val="000000"/>
          <w:sz w:val="20"/>
          <w:szCs w:val="20"/>
        </w:rPr>
        <w:t>We hedge forecasted foreign cu</w:t>
      </w:r>
      <w:r>
        <w:rPr>
          <w:rFonts w:ascii="Times New Roman" w:eastAsia="宋体" w:hAnsi="Times New Roman"/>
          <w:color w:val="000000"/>
          <w:sz w:val="20"/>
          <w:szCs w:val="20"/>
        </w:rPr>
        <w:t xml:space="preserve">rrency transactions related to certain revenues, operating expenses and service cost of sales with currency options and forward contracts. These currency options and forward contracts, designated as cash flow hedges, generally have maturities of less than </w:t>
      </w:r>
      <w:r>
        <w:rPr>
          <w:rFonts w:ascii="Times New Roman" w:eastAsia="宋体" w:hAnsi="Times New Roman"/>
          <w:color w:val="000000"/>
          <w:sz w:val="20"/>
          <w:szCs w:val="20"/>
        </w:rPr>
        <w:t>24 months. The derivative instrument’s gain or loss is initially reported as a component of accumulated other comprehensive income (AOCI) and subsequently reclassified into earnings when the hedged exposure affects earnings.</w:t>
      </w:r>
    </w:p>
    <w:p w14:paraId="518B78F2" w14:textId="77777777" w:rsidR="005C332D" w:rsidRDefault="00B93EAE">
      <w:pPr>
        <w:spacing w:before="120"/>
        <w:jc w:val="both"/>
      </w:pPr>
      <w:r>
        <w:rPr>
          <w:rFonts w:ascii="Times New Roman" w:eastAsia="宋体" w:hAnsi="Times New Roman"/>
          <w:color w:val="000000"/>
          <w:sz w:val="20"/>
          <w:szCs w:val="20"/>
        </w:rPr>
        <w:t xml:space="preserve">We enter into foreign exchange </w:t>
      </w:r>
      <w:r>
        <w:rPr>
          <w:rFonts w:ascii="Times New Roman" w:eastAsia="宋体" w:hAnsi="Times New Roman"/>
          <w:color w:val="000000"/>
          <w:sz w:val="20"/>
          <w:szCs w:val="20"/>
        </w:rPr>
        <w:t>forward and option contracts to reduce the short-term effects of foreign currency fluctuations on assets and liabilities such as foreign currency receivables, long-term customer financings and payables. These derivatives are not designated as hedging instr</w:t>
      </w:r>
      <w:r>
        <w:rPr>
          <w:rFonts w:ascii="Times New Roman" w:eastAsia="宋体" w:hAnsi="Times New Roman"/>
          <w:color w:val="000000"/>
          <w:sz w:val="20"/>
          <w:szCs w:val="20"/>
        </w:rPr>
        <w:t>uments. Gains and losses on the contracts are included in other income (loss), net, and substantially offset foreign exchange gains and losses from the remeasurement of intercompany balances, other current assets, or liabilities denominated in currencies o</w:t>
      </w:r>
      <w:r>
        <w:rPr>
          <w:rFonts w:ascii="Times New Roman" w:eastAsia="宋体" w:hAnsi="Times New Roman"/>
          <w:color w:val="000000"/>
          <w:sz w:val="20"/>
          <w:szCs w:val="20"/>
        </w:rPr>
        <w:t>ther than the functional currency of the reporting entity.</w:t>
      </w:r>
    </w:p>
    <w:p w14:paraId="518B78F3" w14:textId="77777777" w:rsidR="005C332D" w:rsidRDefault="00B93EAE">
      <w:pPr>
        <w:spacing w:before="120"/>
        <w:jc w:val="both"/>
      </w:pPr>
      <w:r>
        <w:rPr>
          <w:rFonts w:ascii="Times New Roman" w:eastAsia="宋体" w:hAnsi="Times New Roman"/>
          <w:color w:val="000000"/>
          <w:sz w:val="20"/>
          <w:szCs w:val="20"/>
        </w:rPr>
        <w:t>We hedge certain net investments in our foreign operations with forward contracts to reduce the effects of foreign currency fluctuations on our net investment in those foreign subsidiaries. These d</w:t>
      </w:r>
      <w:r>
        <w:rPr>
          <w:rFonts w:ascii="Times New Roman" w:eastAsia="宋体" w:hAnsi="Times New Roman"/>
          <w:color w:val="000000"/>
          <w:sz w:val="20"/>
          <w:szCs w:val="20"/>
        </w:rPr>
        <w:t>erivative instruments generally have maturities of up to six months.</w:t>
      </w:r>
    </w:p>
    <w:p w14:paraId="518B78F4" w14:textId="77777777" w:rsidR="005C332D" w:rsidRDefault="00B93EAE">
      <w:pPr>
        <w:jc w:val="center"/>
      </w:pPr>
      <w:r>
        <w:rPr>
          <w:rFonts w:ascii="Times New Roman" w:eastAsia="宋体" w:hAnsi="Times New Roman"/>
          <w:color w:val="000000"/>
          <w:sz w:val="20"/>
          <w:szCs w:val="20"/>
        </w:rPr>
        <w:t>88</w:t>
      </w:r>
    </w:p>
    <w:p w14:paraId="518B78F5" w14:textId="77777777" w:rsidR="005C332D" w:rsidRDefault="00B93EAE">
      <w:r>
        <w:pict w14:anchorId="518B876D">
          <v:rect id="_x0000_i1114" style="width:415.3pt;height:1.5pt" o:hralign="center" o:hrstd="t" o:hr="t" fillcolor="#a0a0a0" stroked="f"/>
        </w:pict>
      </w:r>
    </w:p>
    <w:p w14:paraId="518B78F6" w14:textId="77777777" w:rsidR="005C332D" w:rsidRDefault="005C332D"/>
    <w:p w14:paraId="518B78F7" w14:textId="77777777" w:rsidR="005C332D" w:rsidRDefault="00B93EAE">
      <w:pPr>
        <w:spacing w:before="120"/>
        <w:ind w:hanging="360"/>
        <w:jc w:val="both"/>
      </w:pPr>
      <w:r>
        <w:rPr>
          <w:rFonts w:ascii="Times New Roman" w:eastAsia="宋体" w:hAnsi="Times New Roman"/>
          <w:b/>
          <w:bCs/>
          <w:color w:val="000000"/>
          <w:sz w:val="20"/>
          <w:szCs w:val="20"/>
        </w:rPr>
        <w:t>(d)Interest Rate Risk</w:t>
      </w:r>
    </w:p>
    <w:p w14:paraId="518B78F8" w14:textId="77777777" w:rsidR="005C332D" w:rsidRDefault="00B93EAE">
      <w:pPr>
        <w:spacing w:before="120"/>
        <w:jc w:val="both"/>
      </w:pPr>
      <w:r>
        <w:rPr>
          <w:rFonts w:ascii="Times New Roman" w:eastAsia="宋体" w:hAnsi="Times New Roman"/>
          <w:color w:val="000000"/>
          <w:sz w:val="20"/>
          <w:szCs w:val="20"/>
        </w:rPr>
        <w:t>We hold interest rate swaps designated as fair value hedges related to fixed-rate senior notes that are due in fiscal 2024</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through 2025. Under these interest r</w:t>
      </w:r>
      <w:r>
        <w:rPr>
          <w:rFonts w:ascii="Times New Roman" w:eastAsia="宋体" w:hAnsi="Times New Roman"/>
          <w:color w:val="000000"/>
          <w:sz w:val="20"/>
          <w:szCs w:val="20"/>
        </w:rPr>
        <w:t>ate swaps, we receive fixed-rate interest payments and make interest payments based on LIBOR plus a fixed number of basis points. The effect of such swaps is to convert the fixed interest rates of the senior fixed-rate notes to floating interest rates base</w:t>
      </w:r>
      <w:r>
        <w:rPr>
          <w:rFonts w:ascii="Times New Roman" w:eastAsia="宋体" w:hAnsi="Times New Roman"/>
          <w:color w:val="000000"/>
          <w:sz w:val="20"/>
          <w:szCs w:val="20"/>
        </w:rPr>
        <w:t>d on LIBOR. The gains and losses related to changes in the fair value of the interest rate swaps are included in interest expense and substantially offset changes in the fair value of the hedged portion of the underlying debt that are attributable to the c</w:t>
      </w:r>
      <w:r>
        <w:rPr>
          <w:rFonts w:ascii="Times New Roman" w:eastAsia="宋体" w:hAnsi="Times New Roman"/>
          <w:color w:val="000000"/>
          <w:sz w:val="20"/>
          <w:szCs w:val="20"/>
        </w:rPr>
        <w:t xml:space="preserve">hanges in market interest rates. </w:t>
      </w:r>
    </w:p>
    <w:p w14:paraId="518B78F9" w14:textId="77777777" w:rsidR="005C332D" w:rsidRDefault="00B93EAE">
      <w:pPr>
        <w:spacing w:before="120"/>
        <w:ind w:hanging="360"/>
      </w:pPr>
      <w:r>
        <w:rPr>
          <w:rFonts w:ascii="Times New Roman" w:eastAsia="宋体" w:hAnsi="Times New Roman"/>
          <w:b/>
          <w:bCs/>
          <w:color w:val="000000"/>
          <w:sz w:val="20"/>
          <w:szCs w:val="20"/>
        </w:rPr>
        <w:t xml:space="preserve">(e)Equity Price Risk </w:t>
      </w:r>
    </w:p>
    <w:p w14:paraId="518B78FA" w14:textId="77777777" w:rsidR="005C332D" w:rsidRDefault="00B93EAE">
      <w:pPr>
        <w:spacing w:before="120"/>
        <w:jc w:val="both"/>
      </w:pPr>
      <w:r>
        <w:rPr>
          <w:rFonts w:ascii="Times New Roman" w:eastAsia="宋体" w:hAnsi="Times New Roman"/>
          <w:color w:val="000000"/>
          <w:sz w:val="20"/>
          <w:szCs w:val="20"/>
        </w:rPr>
        <w:t xml:space="preserve">We hold marketable equity securities in our portfolio that are subject to price risk. To diversify our overall portfolio, we also hold equity derivatives that are not designated as accounting hedges. </w:t>
      </w:r>
      <w:r>
        <w:rPr>
          <w:rFonts w:ascii="Times New Roman" w:eastAsia="宋体" w:hAnsi="Times New Roman"/>
          <w:color w:val="000000"/>
          <w:sz w:val="20"/>
          <w:szCs w:val="20"/>
        </w:rPr>
        <w:t xml:space="preserve">The change in the fair value of each of these investment types are included in other income (loss), net. </w:t>
      </w:r>
    </w:p>
    <w:p w14:paraId="518B78FB" w14:textId="77777777" w:rsidR="005C332D" w:rsidRDefault="00B93EAE">
      <w:pPr>
        <w:spacing w:before="120"/>
        <w:jc w:val="both"/>
      </w:pPr>
      <w:r>
        <w:rPr>
          <w:rFonts w:ascii="Times New Roman" w:eastAsia="宋体" w:hAnsi="Times New Roman"/>
          <w:color w:val="000000"/>
          <w:sz w:val="20"/>
          <w:szCs w:val="20"/>
        </w:rPr>
        <w:t xml:space="preserve">We are also exposed to variability in compensation charges related to certain deferred compensation obligations to employees. Although not designated </w:t>
      </w:r>
      <w:r>
        <w:rPr>
          <w:rFonts w:ascii="Times New Roman" w:eastAsia="宋体" w:hAnsi="Times New Roman"/>
          <w:color w:val="000000"/>
          <w:sz w:val="20"/>
          <w:szCs w:val="20"/>
        </w:rPr>
        <w:t xml:space="preserve">as accounting hedges, we utilize derivatives such as total return swaps to economically hedge this exposure and offset the related compensation expense. </w:t>
      </w:r>
    </w:p>
    <w:p w14:paraId="518B78FC" w14:textId="77777777" w:rsidR="005C332D" w:rsidRDefault="005C332D">
      <w:pPr>
        <w:jc w:val="both"/>
      </w:pPr>
    </w:p>
    <w:p w14:paraId="518B78FD" w14:textId="77777777" w:rsidR="005C332D" w:rsidRDefault="00B93EAE">
      <w:pPr>
        <w:ind w:hanging="360"/>
      </w:pPr>
      <w:r>
        <w:rPr>
          <w:rFonts w:ascii="Times New Roman" w:eastAsia="宋体" w:hAnsi="Times New Roman"/>
          <w:b/>
          <w:bCs/>
          <w:color w:val="000000"/>
          <w:sz w:val="20"/>
          <w:szCs w:val="20"/>
        </w:rPr>
        <w:t xml:space="preserve">14.Commitments and Contingencies </w:t>
      </w:r>
    </w:p>
    <w:p w14:paraId="518B78FE" w14:textId="77777777" w:rsidR="005C332D" w:rsidRDefault="00B93EAE">
      <w:pPr>
        <w:spacing w:before="120"/>
        <w:ind w:hanging="360"/>
      </w:pPr>
      <w:r>
        <w:rPr>
          <w:rFonts w:ascii="Times New Roman" w:eastAsia="宋体" w:hAnsi="Times New Roman"/>
          <w:b/>
          <w:bCs/>
          <w:color w:val="000000"/>
          <w:sz w:val="20"/>
          <w:szCs w:val="20"/>
        </w:rPr>
        <w:t xml:space="preserve">(a)Purchase Commitments with Contract Manufacturers and Suppliers </w:t>
      </w:r>
    </w:p>
    <w:p w14:paraId="518B78FF" w14:textId="77777777" w:rsidR="005C332D" w:rsidRDefault="00B93EAE">
      <w:pPr>
        <w:spacing w:before="120"/>
        <w:jc w:val="both"/>
      </w:pPr>
      <w:r>
        <w:rPr>
          <w:rFonts w:ascii="Times New Roman" w:eastAsia="宋体" w:hAnsi="Times New Roman"/>
          <w:color w:val="000000"/>
          <w:sz w:val="20"/>
          <w:szCs w:val="20"/>
        </w:rPr>
        <w:t>We purchase components from a variety of suppliers and use several contract manufacturers to provide manufacturing services for our products. During the normal course of business, in order to manage manufacturing lead times and help ensure adequate compone</w:t>
      </w:r>
      <w:r>
        <w:rPr>
          <w:rFonts w:ascii="Times New Roman" w:eastAsia="宋体" w:hAnsi="Times New Roman"/>
          <w:color w:val="000000"/>
          <w:sz w:val="20"/>
          <w:szCs w:val="20"/>
        </w:rPr>
        <w:t>nt supply, we enter into agreements with contract manufacturers and suppliers that allow them to procure inventory based upon criteria as defined by us or establish the parameters defining our requirements. A significant portion of our reported purchase co</w:t>
      </w:r>
      <w:r>
        <w:rPr>
          <w:rFonts w:ascii="Times New Roman" w:eastAsia="宋体" w:hAnsi="Times New Roman"/>
          <w:color w:val="000000"/>
          <w:sz w:val="20"/>
          <w:szCs w:val="20"/>
        </w:rPr>
        <w:t>mmitments arising from these agreements consists of firm, noncancelable, and unconditional commitments. Certain of these inventory purchase commitments with contract manufacturers and suppliers relate to arrangements to secure supply and pricing for certai</w:t>
      </w:r>
      <w:r>
        <w:rPr>
          <w:rFonts w:ascii="Times New Roman" w:eastAsia="宋体" w:hAnsi="Times New Roman"/>
          <w:color w:val="000000"/>
          <w:sz w:val="20"/>
          <w:szCs w:val="20"/>
        </w:rPr>
        <w:t xml:space="preserve">n product components for multi-year periods. In certain instances, these agreements allow us the option to cancel, reschedule, and adjust our requirements based on our business needs prior to firm orders being placed. </w:t>
      </w:r>
    </w:p>
    <w:p w14:paraId="518B7900" w14:textId="77777777" w:rsidR="005C332D" w:rsidRDefault="00B93EAE">
      <w:pPr>
        <w:spacing w:before="120"/>
        <w:jc w:val="both"/>
      </w:pPr>
      <w:r>
        <w:rPr>
          <w:rFonts w:ascii="Times New Roman" w:eastAsia="宋体" w:hAnsi="Times New Roman"/>
          <w:color w:val="000000"/>
          <w:sz w:val="20"/>
          <w:szCs w:val="20"/>
        </w:rPr>
        <w:t>The following table summarizes our in</w:t>
      </w:r>
      <w:r>
        <w:rPr>
          <w:rFonts w:ascii="Times New Roman" w:eastAsia="宋体" w:hAnsi="Times New Roman"/>
          <w:color w:val="000000"/>
          <w:sz w:val="20"/>
          <w:szCs w:val="20"/>
        </w:rPr>
        <w:t>ventory purchase commitments with contract manufacturers and suppliers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6"/>
        <w:gridCol w:w="120"/>
        <w:gridCol w:w="1085"/>
        <w:gridCol w:w="36"/>
        <w:gridCol w:w="36"/>
        <w:gridCol w:w="36"/>
        <w:gridCol w:w="36"/>
        <w:gridCol w:w="120"/>
        <w:gridCol w:w="1050"/>
        <w:gridCol w:w="36"/>
      </w:tblGrid>
      <w:tr w:rsidR="005C332D" w14:paraId="518B790D" w14:textId="77777777">
        <w:tc>
          <w:tcPr>
            <w:tcW w:w="50" w:type="pct"/>
            <w:shd w:val="clear" w:color="auto" w:fill="auto"/>
            <w:vAlign w:val="bottom"/>
          </w:tcPr>
          <w:p w14:paraId="518B7901" w14:textId="77777777" w:rsidR="005C332D" w:rsidRDefault="005C332D">
            <w:pPr>
              <w:rPr>
                <w:rFonts w:ascii="宋体"/>
              </w:rPr>
            </w:pPr>
          </w:p>
        </w:tc>
        <w:tc>
          <w:tcPr>
            <w:tcW w:w="3442" w:type="pct"/>
            <w:shd w:val="clear" w:color="auto" w:fill="auto"/>
            <w:vAlign w:val="bottom"/>
          </w:tcPr>
          <w:p w14:paraId="518B7902" w14:textId="77777777" w:rsidR="005C332D" w:rsidRDefault="005C332D">
            <w:pPr>
              <w:rPr>
                <w:rFonts w:ascii="宋体"/>
              </w:rPr>
            </w:pPr>
          </w:p>
        </w:tc>
        <w:tc>
          <w:tcPr>
            <w:tcW w:w="5" w:type="pct"/>
            <w:shd w:val="clear" w:color="auto" w:fill="auto"/>
            <w:vAlign w:val="bottom"/>
          </w:tcPr>
          <w:p w14:paraId="518B7903" w14:textId="77777777" w:rsidR="005C332D" w:rsidRDefault="005C332D">
            <w:pPr>
              <w:rPr>
                <w:rFonts w:ascii="宋体"/>
              </w:rPr>
            </w:pPr>
          </w:p>
        </w:tc>
        <w:tc>
          <w:tcPr>
            <w:tcW w:w="50" w:type="pct"/>
            <w:shd w:val="clear" w:color="auto" w:fill="auto"/>
            <w:vAlign w:val="bottom"/>
          </w:tcPr>
          <w:p w14:paraId="518B7904" w14:textId="77777777" w:rsidR="005C332D" w:rsidRDefault="005C332D">
            <w:pPr>
              <w:rPr>
                <w:rFonts w:ascii="宋体"/>
              </w:rPr>
            </w:pPr>
          </w:p>
        </w:tc>
        <w:tc>
          <w:tcPr>
            <w:tcW w:w="678" w:type="pct"/>
            <w:shd w:val="clear" w:color="auto" w:fill="auto"/>
            <w:vAlign w:val="bottom"/>
          </w:tcPr>
          <w:p w14:paraId="518B7905" w14:textId="77777777" w:rsidR="005C332D" w:rsidRDefault="005C332D">
            <w:pPr>
              <w:rPr>
                <w:rFonts w:ascii="宋体"/>
              </w:rPr>
            </w:pPr>
          </w:p>
        </w:tc>
        <w:tc>
          <w:tcPr>
            <w:tcW w:w="5" w:type="pct"/>
            <w:shd w:val="clear" w:color="auto" w:fill="auto"/>
            <w:vAlign w:val="bottom"/>
          </w:tcPr>
          <w:p w14:paraId="518B7906" w14:textId="77777777" w:rsidR="005C332D" w:rsidRDefault="005C332D">
            <w:pPr>
              <w:rPr>
                <w:rFonts w:ascii="宋体"/>
              </w:rPr>
            </w:pPr>
          </w:p>
        </w:tc>
        <w:tc>
          <w:tcPr>
            <w:tcW w:w="5" w:type="pct"/>
            <w:shd w:val="clear" w:color="auto" w:fill="auto"/>
            <w:vAlign w:val="bottom"/>
          </w:tcPr>
          <w:p w14:paraId="518B7907" w14:textId="77777777" w:rsidR="005C332D" w:rsidRDefault="005C332D">
            <w:pPr>
              <w:rPr>
                <w:rFonts w:ascii="宋体"/>
              </w:rPr>
            </w:pPr>
          </w:p>
        </w:tc>
        <w:tc>
          <w:tcPr>
            <w:tcW w:w="26" w:type="pct"/>
            <w:shd w:val="clear" w:color="auto" w:fill="auto"/>
            <w:vAlign w:val="bottom"/>
          </w:tcPr>
          <w:p w14:paraId="518B7908" w14:textId="77777777" w:rsidR="005C332D" w:rsidRDefault="005C332D">
            <w:pPr>
              <w:rPr>
                <w:rFonts w:ascii="宋体"/>
              </w:rPr>
            </w:pPr>
          </w:p>
        </w:tc>
        <w:tc>
          <w:tcPr>
            <w:tcW w:w="5" w:type="pct"/>
            <w:shd w:val="clear" w:color="auto" w:fill="auto"/>
            <w:vAlign w:val="bottom"/>
          </w:tcPr>
          <w:p w14:paraId="518B7909" w14:textId="77777777" w:rsidR="005C332D" w:rsidRDefault="005C332D">
            <w:pPr>
              <w:rPr>
                <w:rFonts w:ascii="宋体"/>
              </w:rPr>
            </w:pPr>
          </w:p>
        </w:tc>
        <w:tc>
          <w:tcPr>
            <w:tcW w:w="50" w:type="pct"/>
            <w:shd w:val="clear" w:color="auto" w:fill="auto"/>
            <w:vAlign w:val="bottom"/>
          </w:tcPr>
          <w:p w14:paraId="518B790A" w14:textId="77777777" w:rsidR="005C332D" w:rsidRDefault="005C332D">
            <w:pPr>
              <w:rPr>
                <w:rFonts w:ascii="宋体"/>
              </w:rPr>
            </w:pPr>
          </w:p>
        </w:tc>
        <w:tc>
          <w:tcPr>
            <w:tcW w:w="678" w:type="pct"/>
            <w:shd w:val="clear" w:color="auto" w:fill="auto"/>
            <w:vAlign w:val="bottom"/>
          </w:tcPr>
          <w:p w14:paraId="518B790B" w14:textId="77777777" w:rsidR="005C332D" w:rsidRDefault="005C332D">
            <w:pPr>
              <w:rPr>
                <w:rFonts w:ascii="宋体"/>
              </w:rPr>
            </w:pPr>
          </w:p>
        </w:tc>
        <w:tc>
          <w:tcPr>
            <w:tcW w:w="5" w:type="pct"/>
            <w:shd w:val="clear" w:color="auto" w:fill="auto"/>
            <w:vAlign w:val="bottom"/>
          </w:tcPr>
          <w:p w14:paraId="518B790C" w14:textId="77777777" w:rsidR="005C332D" w:rsidRDefault="005C332D">
            <w:pPr>
              <w:rPr>
                <w:rFonts w:ascii="宋体"/>
              </w:rPr>
            </w:pPr>
          </w:p>
        </w:tc>
      </w:tr>
      <w:tr w:rsidR="005C332D" w14:paraId="518B7912" w14:textId="77777777">
        <w:tc>
          <w:tcPr>
            <w:tcW w:w="0" w:type="auto"/>
            <w:gridSpan w:val="3"/>
            <w:shd w:val="clear" w:color="auto" w:fill="auto"/>
            <w:tcMar>
              <w:top w:w="40" w:type="dxa"/>
              <w:left w:w="20" w:type="dxa"/>
              <w:bottom w:w="40" w:type="dxa"/>
              <w:right w:w="20" w:type="dxa"/>
            </w:tcMar>
            <w:vAlign w:val="bottom"/>
          </w:tcPr>
          <w:p w14:paraId="518B790E" w14:textId="77777777" w:rsidR="005C332D" w:rsidRDefault="00B93EAE">
            <w:pPr>
              <w:textAlignment w:val="bottom"/>
            </w:pPr>
            <w:r>
              <w:rPr>
                <w:rFonts w:ascii="Times New Roman" w:eastAsia="宋体" w:hAnsi="Times New Roman"/>
                <w:color w:val="000000"/>
                <w:sz w:val="16"/>
                <w:szCs w:val="16"/>
                <w:u w:val="single"/>
              </w:rPr>
              <w:t>Commitments by Period</w:t>
            </w:r>
          </w:p>
        </w:tc>
        <w:tc>
          <w:tcPr>
            <w:tcW w:w="0" w:type="auto"/>
            <w:gridSpan w:val="3"/>
            <w:shd w:val="clear" w:color="auto" w:fill="auto"/>
            <w:tcMar>
              <w:top w:w="40" w:type="dxa"/>
              <w:left w:w="20" w:type="dxa"/>
              <w:bottom w:w="40" w:type="dxa"/>
              <w:right w:w="20" w:type="dxa"/>
            </w:tcMar>
            <w:vAlign w:val="bottom"/>
          </w:tcPr>
          <w:p w14:paraId="518B790F" w14:textId="77777777" w:rsidR="005C332D" w:rsidRDefault="00B93EAE">
            <w:pPr>
              <w:jc w:val="center"/>
              <w:textAlignment w:val="bottom"/>
            </w:pPr>
            <w:r>
              <w:rPr>
                <w:rFonts w:ascii="Times New Roman" w:eastAsia="宋体" w:hAnsi="Times New Roman"/>
                <w:b/>
                <w:bCs/>
                <w:color w:val="000000"/>
                <w:sz w:val="18"/>
                <w:szCs w:val="18"/>
              </w:rPr>
              <w:t>July 30,</w:t>
            </w:r>
            <w:r>
              <w:rPr>
                <w:rFonts w:ascii="Times New Roman" w:eastAsia="宋体" w:hAnsi="Times New Roman"/>
                <w:b/>
                <w:bCs/>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518B791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911" w14:textId="77777777" w:rsidR="005C332D" w:rsidRDefault="00B93EAE">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5C332D" w14:paraId="518B791B" w14:textId="77777777">
        <w:tc>
          <w:tcPr>
            <w:tcW w:w="0" w:type="auto"/>
            <w:gridSpan w:val="3"/>
            <w:shd w:val="clear" w:color="auto" w:fill="CCEEFF"/>
            <w:tcMar>
              <w:top w:w="40" w:type="dxa"/>
              <w:left w:w="35" w:type="dxa"/>
              <w:bottom w:w="40" w:type="dxa"/>
              <w:right w:w="20" w:type="dxa"/>
            </w:tcMar>
          </w:tcPr>
          <w:p w14:paraId="518B7913" w14:textId="77777777" w:rsidR="005C332D" w:rsidRDefault="00B93EAE">
            <w:pPr>
              <w:textAlignment w:val="top"/>
            </w:pPr>
            <w:r>
              <w:rPr>
                <w:rFonts w:ascii="Times New Roman" w:eastAsia="宋体" w:hAnsi="Times New Roman"/>
                <w:color w:val="000000"/>
                <w:sz w:val="20"/>
                <w:szCs w:val="20"/>
              </w:rPr>
              <w:t>Less than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91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915" w14:textId="77777777" w:rsidR="005C332D" w:rsidRDefault="00B93EAE">
            <w:pPr>
              <w:jc w:val="right"/>
              <w:textAlignment w:val="bottom"/>
            </w:pPr>
            <w:r>
              <w:rPr>
                <w:rFonts w:ascii="Times New Roman" w:eastAsia="宋体" w:hAnsi="Times New Roman"/>
                <w:b/>
                <w:bCs/>
                <w:color w:val="000000"/>
                <w:sz w:val="20"/>
                <w:szCs w:val="20"/>
              </w:rPr>
              <w:t>9,954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91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1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91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919" w14:textId="77777777" w:rsidR="005C332D" w:rsidRDefault="00B93EAE">
            <w:pPr>
              <w:jc w:val="right"/>
              <w:textAlignment w:val="bottom"/>
            </w:pPr>
            <w:r>
              <w:rPr>
                <w:rFonts w:ascii="Times New Roman" w:eastAsia="宋体" w:hAnsi="Times New Roman"/>
                <w:color w:val="000000"/>
                <w:sz w:val="20"/>
                <w:szCs w:val="20"/>
              </w:rPr>
              <w:t>6,903 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91A" w14:textId="77777777" w:rsidR="005C332D" w:rsidRDefault="005C332D">
            <w:pPr>
              <w:jc w:val="right"/>
              <w:rPr>
                <w:rFonts w:ascii="宋体"/>
              </w:rPr>
            </w:pPr>
          </w:p>
        </w:tc>
      </w:tr>
      <w:tr w:rsidR="005C332D" w14:paraId="518B7922" w14:textId="77777777">
        <w:tc>
          <w:tcPr>
            <w:tcW w:w="0" w:type="auto"/>
            <w:gridSpan w:val="3"/>
            <w:shd w:val="clear" w:color="auto" w:fill="FFFFFF"/>
            <w:tcMar>
              <w:top w:w="40" w:type="dxa"/>
              <w:left w:w="35" w:type="dxa"/>
              <w:bottom w:w="40" w:type="dxa"/>
              <w:right w:w="20" w:type="dxa"/>
            </w:tcMar>
            <w:vAlign w:val="bottom"/>
          </w:tcPr>
          <w:p w14:paraId="518B791C" w14:textId="77777777" w:rsidR="005C332D" w:rsidRDefault="00B93EAE">
            <w:pPr>
              <w:textAlignment w:val="bottom"/>
            </w:pPr>
            <w:r>
              <w:rPr>
                <w:rFonts w:ascii="Times New Roman" w:eastAsia="宋体" w:hAnsi="Times New Roman"/>
                <w:color w:val="000000"/>
                <w:sz w:val="20"/>
                <w:szCs w:val="20"/>
              </w:rPr>
              <w:t>1 to 3 years</w:t>
            </w:r>
          </w:p>
        </w:tc>
        <w:tc>
          <w:tcPr>
            <w:tcW w:w="0" w:type="auto"/>
            <w:gridSpan w:val="2"/>
            <w:shd w:val="clear" w:color="auto" w:fill="FFFFFF"/>
            <w:tcMar>
              <w:top w:w="40" w:type="dxa"/>
              <w:left w:w="20" w:type="dxa"/>
              <w:bottom w:w="40" w:type="dxa"/>
              <w:right w:w="0" w:type="dxa"/>
            </w:tcMar>
            <w:vAlign w:val="bottom"/>
          </w:tcPr>
          <w:p w14:paraId="518B791D" w14:textId="77777777" w:rsidR="005C332D" w:rsidRDefault="00B93EAE">
            <w:pPr>
              <w:jc w:val="right"/>
              <w:textAlignment w:val="bottom"/>
            </w:pPr>
            <w:r>
              <w:rPr>
                <w:rFonts w:ascii="Times New Roman" w:eastAsia="宋体" w:hAnsi="Times New Roman"/>
                <w:b/>
                <w:bCs/>
                <w:color w:val="000000"/>
                <w:sz w:val="20"/>
                <w:szCs w:val="20"/>
              </w:rPr>
              <w:t>2,240</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91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91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920" w14:textId="77777777" w:rsidR="005C332D" w:rsidRDefault="00B93EAE">
            <w:pPr>
              <w:jc w:val="right"/>
              <w:textAlignment w:val="bottom"/>
            </w:pPr>
            <w:r>
              <w:rPr>
                <w:rFonts w:ascii="Times New Roman" w:eastAsia="宋体" w:hAnsi="Times New Roman"/>
                <w:color w:val="000000"/>
                <w:sz w:val="20"/>
                <w:szCs w:val="20"/>
              </w:rPr>
              <w:t>1,806 </w:t>
            </w:r>
          </w:p>
        </w:tc>
        <w:tc>
          <w:tcPr>
            <w:tcW w:w="0" w:type="auto"/>
            <w:shd w:val="clear" w:color="auto" w:fill="FFFFFF"/>
            <w:tcMar>
              <w:top w:w="40" w:type="dxa"/>
              <w:left w:w="0" w:type="dxa"/>
              <w:bottom w:w="40" w:type="dxa"/>
              <w:right w:w="20" w:type="dxa"/>
            </w:tcMar>
            <w:vAlign w:val="bottom"/>
          </w:tcPr>
          <w:p w14:paraId="518B7921" w14:textId="77777777" w:rsidR="005C332D" w:rsidRDefault="005C332D">
            <w:pPr>
              <w:jc w:val="right"/>
              <w:rPr>
                <w:rFonts w:ascii="宋体"/>
              </w:rPr>
            </w:pPr>
          </w:p>
        </w:tc>
      </w:tr>
      <w:tr w:rsidR="005C332D" w14:paraId="518B7929" w14:textId="77777777">
        <w:tc>
          <w:tcPr>
            <w:tcW w:w="0" w:type="auto"/>
            <w:gridSpan w:val="3"/>
            <w:shd w:val="clear" w:color="auto" w:fill="CCEEFF"/>
            <w:tcMar>
              <w:top w:w="40" w:type="dxa"/>
              <w:left w:w="35" w:type="dxa"/>
              <w:bottom w:w="40" w:type="dxa"/>
              <w:right w:w="20" w:type="dxa"/>
            </w:tcMar>
          </w:tcPr>
          <w:p w14:paraId="518B7923" w14:textId="77777777" w:rsidR="005C332D" w:rsidRDefault="00B93EAE">
            <w:pPr>
              <w:textAlignment w:val="top"/>
            </w:pPr>
            <w:r>
              <w:rPr>
                <w:rFonts w:ascii="Times New Roman" w:eastAsia="宋体" w:hAnsi="Times New Roman"/>
                <w:color w:val="000000"/>
                <w:sz w:val="20"/>
                <w:szCs w:val="20"/>
              </w:rPr>
              <w:t>3 to 5 years</w:t>
            </w:r>
          </w:p>
        </w:tc>
        <w:tc>
          <w:tcPr>
            <w:tcW w:w="0" w:type="auto"/>
            <w:gridSpan w:val="2"/>
            <w:shd w:val="clear" w:color="auto" w:fill="CCEEFF"/>
            <w:tcMar>
              <w:top w:w="40" w:type="dxa"/>
              <w:left w:w="20" w:type="dxa"/>
              <w:bottom w:w="40" w:type="dxa"/>
              <w:right w:w="0" w:type="dxa"/>
            </w:tcMar>
            <w:vAlign w:val="bottom"/>
          </w:tcPr>
          <w:p w14:paraId="518B7924" w14:textId="77777777" w:rsidR="005C332D" w:rsidRDefault="00B93EAE">
            <w:pPr>
              <w:jc w:val="right"/>
              <w:textAlignment w:val="bottom"/>
            </w:pPr>
            <w:r>
              <w:rPr>
                <w:rFonts w:ascii="Times New Roman" w:eastAsia="宋体" w:hAnsi="Times New Roman"/>
                <w:b/>
                <w:bCs/>
                <w:color w:val="000000"/>
                <w:sz w:val="20"/>
                <w:szCs w:val="20"/>
              </w:rPr>
              <w:t>770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92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2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927" w14:textId="77777777" w:rsidR="005C332D" w:rsidRDefault="00B93EAE">
            <w:pPr>
              <w:jc w:val="right"/>
              <w:textAlignment w:val="bottom"/>
            </w:pPr>
            <w:r>
              <w:rPr>
                <w:rFonts w:ascii="Times New Roman" w:eastAsia="宋体" w:hAnsi="Times New Roman"/>
                <w:color w:val="000000"/>
                <w:sz w:val="20"/>
                <w:szCs w:val="20"/>
              </w:rPr>
              <w:t>1,545 </w:t>
            </w:r>
          </w:p>
        </w:tc>
        <w:tc>
          <w:tcPr>
            <w:tcW w:w="0" w:type="auto"/>
            <w:shd w:val="clear" w:color="auto" w:fill="CCEEFF"/>
            <w:tcMar>
              <w:top w:w="40" w:type="dxa"/>
              <w:left w:w="0" w:type="dxa"/>
              <w:bottom w:w="40" w:type="dxa"/>
              <w:right w:w="20" w:type="dxa"/>
            </w:tcMar>
            <w:vAlign w:val="bottom"/>
          </w:tcPr>
          <w:p w14:paraId="518B7928" w14:textId="77777777" w:rsidR="005C332D" w:rsidRDefault="005C332D">
            <w:pPr>
              <w:jc w:val="right"/>
              <w:rPr>
                <w:rFonts w:ascii="宋体"/>
              </w:rPr>
            </w:pPr>
          </w:p>
        </w:tc>
      </w:tr>
      <w:tr w:rsidR="005C332D" w14:paraId="518B7932" w14:textId="77777777">
        <w:tc>
          <w:tcPr>
            <w:tcW w:w="0" w:type="auto"/>
            <w:gridSpan w:val="3"/>
            <w:shd w:val="clear" w:color="auto" w:fill="FFFFFF"/>
            <w:tcMar>
              <w:top w:w="40" w:type="dxa"/>
              <w:left w:w="380" w:type="dxa"/>
              <w:bottom w:w="40" w:type="dxa"/>
              <w:right w:w="20" w:type="dxa"/>
            </w:tcMar>
          </w:tcPr>
          <w:p w14:paraId="518B792A"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92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92C" w14:textId="77777777" w:rsidR="005C332D" w:rsidRDefault="00B93EAE">
            <w:pPr>
              <w:jc w:val="right"/>
              <w:textAlignment w:val="bottom"/>
            </w:pPr>
            <w:r>
              <w:rPr>
                <w:rFonts w:ascii="Times New Roman" w:eastAsia="宋体" w:hAnsi="Times New Roman"/>
                <w:b/>
                <w:bCs/>
                <w:color w:val="000000"/>
                <w:sz w:val="20"/>
                <w:szCs w:val="20"/>
              </w:rPr>
              <w:t>12,964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92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92E"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792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7930" w14:textId="77777777" w:rsidR="005C332D" w:rsidRDefault="00B93EAE">
            <w:pPr>
              <w:jc w:val="right"/>
              <w:textAlignment w:val="bottom"/>
            </w:pPr>
            <w:r>
              <w:rPr>
                <w:rFonts w:ascii="Times New Roman" w:eastAsia="宋体" w:hAnsi="Times New Roman"/>
                <w:color w:val="000000"/>
                <w:sz w:val="20"/>
                <w:szCs w:val="20"/>
              </w:rPr>
              <w:t>10,254 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7931" w14:textId="77777777" w:rsidR="005C332D" w:rsidRDefault="005C332D">
            <w:pPr>
              <w:jc w:val="right"/>
              <w:rPr>
                <w:rFonts w:ascii="宋体"/>
              </w:rPr>
            </w:pPr>
          </w:p>
        </w:tc>
      </w:tr>
    </w:tbl>
    <w:p w14:paraId="518B7933" w14:textId="77777777" w:rsidR="005C332D" w:rsidRDefault="00B93EAE">
      <w:pPr>
        <w:spacing w:before="120"/>
        <w:jc w:val="both"/>
      </w:pPr>
      <w:r>
        <w:rPr>
          <w:rFonts w:ascii="Times New Roman" w:eastAsia="宋体" w:hAnsi="Times New Roman"/>
          <w:color w:val="000000"/>
          <w:sz w:val="20"/>
          <w:szCs w:val="20"/>
        </w:rPr>
        <w:t xml:space="preserve">We record a liability for firm, noncancelable, and unconditional purchase commitments for quantities in excess of our future demand forecasts consistent with the valuation of our excess and obsolete inventory. As of </w:t>
      </w:r>
      <w:r>
        <w:rPr>
          <w:rFonts w:ascii="Times New Roman" w:eastAsia="宋体" w:hAnsi="Times New Roman"/>
          <w:color w:val="000000"/>
          <w:sz w:val="20"/>
          <w:szCs w:val="20"/>
        </w:rPr>
        <w:t>July 30, 2022 and July 31, 2021, the liability for these purchase commitments was $313 million and $151 million, respectively, and was included in other current liabilities.</w:t>
      </w:r>
    </w:p>
    <w:p w14:paraId="518B7934" w14:textId="77777777" w:rsidR="005C332D" w:rsidRDefault="00B93EAE">
      <w:pPr>
        <w:spacing w:before="120"/>
        <w:ind w:hanging="360"/>
        <w:jc w:val="both"/>
      </w:pPr>
      <w:r>
        <w:rPr>
          <w:rFonts w:ascii="Times New Roman" w:eastAsia="宋体" w:hAnsi="Times New Roman"/>
          <w:b/>
          <w:bCs/>
          <w:color w:val="000000"/>
          <w:sz w:val="20"/>
          <w:szCs w:val="20"/>
        </w:rPr>
        <w:t>(b)Other Commitments</w:t>
      </w:r>
    </w:p>
    <w:p w14:paraId="518B7935" w14:textId="77777777" w:rsidR="005C332D" w:rsidRDefault="00B93EAE">
      <w:pPr>
        <w:spacing w:before="120"/>
        <w:jc w:val="both"/>
      </w:pPr>
      <w:r>
        <w:rPr>
          <w:rFonts w:ascii="Times New Roman" w:eastAsia="宋体" w:hAnsi="Times New Roman"/>
          <w:color w:val="000000"/>
          <w:sz w:val="20"/>
          <w:szCs w:val="20"/>
        </w:rPr>
        <w:t>In connection with our acquisitions, we have agreed to pay certain additional amounts contingent upon the achievement of certain agreed-upon technology, development, product, or other milestones or upon the continued employment with Cisco of certain employ</w:t>
      </w:r>
      <w:r>
        <w:rPr>
          <w:rFonts w:ascii="Times New Roman" w:eastAsia="宋体" w:hAnsi="Times New Roman"/>
          <w:color w:val="000000"/>
          <w:sz w:val="20"/>
          <w:szCs w:val="20"/>
        </w:rPr>
        <w:t xml:space="preserve">ees of the acquired entities. </w:t>
      </w:r>
    </w:p>
    <w:p w14:paraId="518B7936" w14:textId="77777777" w:rsidR="005C332D" w:rsidRDefault="00B93EAE">
      <w:pPr>
        <w:spacing w:before="120"/>
      </w:pPr>
      <w:r>
        <w:rPr>
          <w:rFonts w:ascii="Times New Roman" w:eastAsia="宋体" w:hAnsi="Times New Roman"/>
          <w:color w:val="000000"/>
          <w:sz w:val="20"/>
          <w:szCs w:val="20"/>
        </w:rPr>
        <w:t>The following table summarizes the compensation expense related to acquisitions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4394"/>
        <w:gridCol w:w="36"/>
        <w:gridCol w:w="120"/>
        <w:gridCol w:w="1080"/>
        <w:gridCol w:w="36"/>
        <w:gridCol w:w="36"/>
        <w:gridCol w:w="36"/>
        <w:gridCol w:w="36"/>
        <w:gridCol w:w="120"/>
        <w:gridCol w:w="1040"/>
        <w:gridCol w:w="36"/>
        <w:gridCol w:w="36"/>
        <w:gridCol w:w="36"/>
        <w:gridCol w:w="36"/>
        <w:gridCol w:w="120"/>
        <w:gridCol w:w="1040"/>
        <w:gridCol w:w="36"/>
      </w:tblGrid>
      <w:tr w:rsidR="005C332D" w14:paraId="518B7949" w14:textId="77777777">
        <w:trPr>
          <w:jc w:val="center"/>
        </w:trPr>
        <w:tc>
          <w:tcPr>
            <w:tcW w:w="50" w:type="pct"/>
            <w:shd w:val="clear" w:color="auto" w:fill="auto"/>
            <w:vAlign w:val="bottom"/>
          </w:tcPr>
          <w:p w14:paraId="518B7937" w14:textId="77777777" w:rsidR="005C332D" w:rsidRDefault="005C332D">
            <w:pPr>
              <w:rPr>
                <w:rFonts w:ascii="宋体"/>
              </w:rPr>
            </w:pPr>
          </w:p>
        </w:tc>
        <w:tc>
          <w:tcPr>
            <w:tcW w:w="2672" w:type="pct"/>
            <w:shd w:val="clear" w:color="auto" w:fill="auto"/>
            <w:vAlign w:val="bottom"/>
          </w:tcPr>
          <w:p w14:paraId="518B7938" w14:textId="77777777" w:rsidR="005C332D" w:rsidRDefault="005C332D">
            <w:pPr>
              <w:rPr>
                <w:rFonts w:ascii="宋体"/>
              </w:rPr>
            </w:pPr>
          </w:p>
        </w:tc>
        <w:tc>
          <w:tcPr>
            <w:tcW w:w="5" w:type="pct"/>
            <w:shd w:val="clear" w:color="auto" w:fill="auto"/>
            <w:vAlign w:val="bottom"/>
          </w:tcPr>
          <w:p w14:paraId="518B7939" w14:textId="77777777" w:rsidR="005C332D" w:rsidRDefault="005C332D">
            <w:pPr>
              <w:rPr>
                <w:rFonts w:ascii="宋体"/>
              </w:rPr>
            </w:pPr>
          </w:p>
        </w:tc>
        <w:tc>
          <w:tcPr>
            <w:tcW w:w="50" w:type="pct"/>
            <w:shd w:val="clear" w:color="auto" w:fill="auto"/>
            <w:vAlign w:val="bottom"/>
          </w:tcPr>
          <w:p w14:paraId="518B793A" w14:textId="77777777" w:rsidR="005C332D" w:rsidRDefault="005C332D">
            <w:pPr>
              <w:rPr>
                <w:rFonts w:ascii="宋体"/>
              </w:rPr>
            </w:pPr>
          </w:p>
        </w:tc>
        <w:tc>
          <w:tcPr>
            <w:tcW w:w="678" w:type="pct"/>
            <w:shd w:val="clear" w:color="auto" w:fill="auto"/>
            <w:vAlign w:val="bottom"/>
          </w:tcPr>
          <w:p w14:paraId="518B793B" w14:textId="77777777" w:rsidR="005C332D" w:rsidRDefault="005C332D">
            <w:pPr>
              <w:rPr>
                <w:rFonts w:ascii="宋体"/>
              </w:rPr>
            </w:pPr>
          </w:p>
        </w:tc>
        <w:tc>
          <w:tcPr>
            <w:tcW w:w="5" w:type="pct"/>
            <w:shd w:val="clear" w:color="auto" w:fill="auto"/>
            <w:vAlign w:val="bottom"/>
          </w:tcPr>
          <w:p w14:paraId="518B793C" w14:textId="77777777" w:rsidR="005C332D" w:rsidRDefault="005C332D">
            <w:pPr>
              <w:rPr>
                <w:rFonts w:ascii="宋体"/>
              </w:rPr>
            </w:pPr>
          </w:p>
        </w:tc>
        <w:tc>
          <w:tcPr>
            <w:tcW w:w="5" w:type="pct"/>
            <w:shd w:val="clear" w:color="auto" w:fill="auto"/>
            <w:vAlign w:val="bottom"/>
          </w:tcPr>
          <w:p w14:paraId="518B793D" w14:textId="77777777" w:rsidR="005C332D" w:rsidRDefault="005C332D">
            <w:pPr>
              <w:rPr>
                <w:rFonts w:ascii="宋体"/>
              </w:rPr>
            </w:pPr>
          </w:p>
        </w:tc>
        <w:tc>
          <w:tcPr>
            <w:tcW w:w="26" w:type="pct"/>
            <w:shd w:val="clear" w:color="auto" w:fill="auto"/>
            <w:vAlign w:val="bottom"/>
          </w:tcPr>
          <w:p w14:paraId="518B793E" w14:textId="77777777" w:rsidR="005C332D" w:rsidRDefault="005C332D">
            <w:pPr>
              <w:rPr>
                <w:rFonts w:ascii="宋体"/>
              </w:rPr>
            </w:pPr>
          </w:p>
        </w:tc>
        <w:tc>
          <w:tcPr>
            <w:tcW w:w="5" w:type="pct"/>
            <w:shd w:val="clear" w:color="auto" w:fill="auto"/>
            <w:vAlign w:val="bottom"/>
          </w:tcPr>
          <w:p w14:paraId="518B793F" w14:textId="77777777" w:rsidR="005C332D" w:rsidRDefault="005C332D">
            <w:pPr>
              <w:rPr>
                <w:rFonts w:ascii="宋体"/>
              </w:rPr>
            </w:pPr>
          </w:p>
        </w:tc>
        <w:tc>
          <w:tcPr>
            <w:tcW w:w="50" w:type="pct"/>
            <w:shd w:val="clear" w:color="auto" w:fill="auto"/>
            <w:vAlign w:val="bottom"/>
          </w:tcPr>
          <w:p w14:paraId="518B7940" w14:textId="77777777" w:rsidR="005C332D" w:rsidRDefault="005C332D">
            <w:pPr>
              <w:rPr>
                <w:rFonts w:ascii="宋体"/>
              </w:rPr>
            </w:pPr>
          </w:p>
        </w:tc>
        <w:tc>
          <w:tcPr>
            <w:tcW w:w="678" w:type="pct"/>
            <w:shd w:val="clear" w:color="auto" w:fill="auto"/>
            <w:vAlign w:val="bottom"/>
          </w:tcPr>
          <w:p w14:paraId="518B7941" w14:textId="77777777" w:rsidR="005C332D" w:rsidRDefault="005C332D">
            <w:pPr>
              <w:rPr>
                <w:rFonts w:ascii="宋体"/>
              </w:rPr>
            </w:pPr>
          </w:p>
        </w:tc>
        <w:tc>
          <w:tcPr>
            <w:tcW w:w="5" w:type="pct"/>
            <w:shd w:val="clear" w:color="auto" w:fill="auto"/>
            <w:vAlign w:val="bottom"/>
          </w:tcPr>
          <w:p w14:paraId="518B7942" w14:textId="77777777" w:rsidR="005C332D" w:rsidRDefault="005C332D">
            <w:pPr>
              <w:rPr>
                <w:rFonts w:ascii="宋体"/>
              </w:rPr>
            </w:pPr>
          </w:p>
        </w:tc>
        <w:tc>
          <w:tcPr>
            <w:tcW w:w="5" w:type="pct"/>
            <w:shd w:val="clear" w:color="auto" w:fill="auto"/>
            <w:vAlign w:val="bottom"/>
          </w:tcPr>
          <w:p w14:paraId="518B7943" w14:textId="77777777" w:rsidR="005C332D" w:rsidRDefault="005C332D">
            <w:pPr>
              <w:rPr>
                <w:rFonts w:ascii="宋体"/>
              </w:rPr>
            </w:pPr>
          </w:p>
        </w:tc>
        <w:tc>
          <w:tcPr>
            <w:tcW w:w="26" w:type="pct"/>
            <w:shd w:val="clear" w:color="auto" w:fill="auto"/>
            <w:vAlign w:val="bottom"/>
          </w:tcPr>
          <w:p w14:paraId="518B7944" w14:textId="77777777" w:rsidR="005C332D" w:rsidRDefault="005C332D">
            <w:pPr>
              <w:rPr>
                <w:rFonts w:ascii="宋体"/>
              </w:rPr>
            </w:pPr>
          </w:p>
        </w:tc>
        <w:tc>
          <w:tcPr>
            <w:tcW w:w="5" w:type="pct"/>
            <w:shd w:val="clear" w:color="auto" w:fill="auto"/>
            <w:vAlign w:val="bottom"/>
          </w:tcPr>
          <w:p w14:paraId="518B7945" w14:textId="77777777" w:rsidR="005C332D" w:rsidRDefault="005C332D">
            <w:pPr>
              <w:rPr>
                <w:rFonts w:ascii="宋体"/>
              </w:rPr>
            </w:pPr>
          </w:p>
        </w:tc>
        <w:tc>
          <w:tcPr>
            <w:tcW w:w="50" w:type="pct"/>
            <w:shd w:val="clear" w:color="auto" w:fill="auto"/>
            <w:vAlign w:val="bottom"/>
          </w:tcPr>
          <w:p w14:paraId="518B7946" w14:textId="77777777" w:rsidR="005C332D" w:rsidRDefault="005C332D">
            <w:pPr>
              <w:rPr>
                <w:rFonts w:ascii="宋体"/>
              </w:rPr>
            </w:pPr>
          </w:p>
        </w:tc>
        <w:tc>
          <w:tcPr>
            <w:tcW w:w="678" w:type="pct"/>
            <w:shd w:val="clear" w:color="auto" w:fill="auto"/>
            <w:vAlign w:val="bottom"/>
          </w:tcPr>
          <w:p w14:paraId="518B7947" w14:textId="77777777" w:rsidR="005C332D" w:rsidRDefault="005C332D">
            <w:pPr>
              <w:rPr>
                <w:rFonts w:ascii="宋体"/>
              </w:rPr>
            </w:pPr>
          </w:p>
        </w:tc>
        <w:tc>
          <w:tcPr>
            <w:tcW w:w="5" w:type="pct"/>
            <w:shd w:val="clear" w:color="auto" w:fill="auto"/>
            <w:vAlign w:val="bottom"/>
          </w:tcPr>
          <w:p w14:paraId="518B7948" w14:textId="77777777" w:rsidR="005C332D" w:rsidRDefault="005C332D">
            <w:pPr>
              <w:rPr>
                <w:rFonts w:ascii="宋体"/>
              </w:rPr>
            </w:pPr>
          </w:p>
        </w:tc>
      </w:tr>
      <w:tr w:rsidR="005C332D" w14:paraId="518B7950" w14:textId="77777777">
        <w:trPr>
          <w:jc w:val="center"/>
        </w:trPr>
        <w:tc>
          <w:tcPr>
            <w:tcW w:w="0" w:type="auto"/>
            <w:gridSpan w:val="3"/>
            <w:shd w:val="clear" w:color="auto" w:fill="auto"/>
            <w:tcMar>
              <w:top w:w="0" w:type="dxa"/>
              <w:left w:w="20" w:type="dxa"/>
              <w:bottom w:w="0" w:type="dxa"/>
              <w:right w:w="20" w:type="dxa"/>
            </w:tcMar>
            <w:vAlign w:val="bottom"/>
          </w:tcPr>
          <w:p w14:paraId="518B794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94B"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94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94D"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794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94F"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95D" w14:textId="77777777">
        <w:trPr>
          <w:jc w:val="center"/>
        </w:trPr>
        <w:tc>
          <w:tcPr>
            <w:tcW w:w="0" w:type="auto"/>
            <w:gridSpan w:val="3"/>
            <w:shd w:val="clear" w:color="auto" w:fill="CCEEFF"/>
            <w:tcMar>
              <w:top w:w="40" w:type="dxa"/>
              <w:left w:w="20" w:type="dxa"/>
              <w:bottom w:w="40" w:type="dxa"/>
              <w:right w:w="20" w:type="dxa"/>
            </w:tcMar>
          </w:tcPr>
          <w:p w14:paraId="518B7951" w14:textId="77777777" w:rsidR="005C332D" w:rsidRDefault="00B93EAE">
            <w:pPr>
              <w:textAlignment w:val="top"/>
            </w:pPr>
            <w:r>
              <w:rPr>
                <w:rFonts w:ascii="Times New Roman" w:eastAsia="宋体" w:hAnsi="Times New Roman"/>
                <w:color w:val="000000"/>
                <w:sz w:val="20"/>
                <w:szCs w:val="20"/>
              </w:rPr>
              <w:t>Compensation expense related to acquisitions</w:t>
            </w:r>
          </w:p>
        </w:tc>
        <w:tc>
          <w:tcPr>
            <w:tcW w:w="0" w:type="auto"/>
            <w:tcBorders>
              <w:top w:val="single" w:sz="8" w:space="0" w:color="000000"/>
            </w:tcBorders>
            <w:shd w:val="clear" w:color="auto" w:fill="CCEEFF"/>
            <w:tcMar>
              <w:top w:w="40" w:type="dxa"/>
              <w:left w:w="20" w:type="dxa"/>
              <w:bottom w:w="40" w:type="dxa"/>
              <w:right w:w="0" w:type="dxa"/>
            </w:tcMar>
          </w:tcPr>
          <w:p w14:paraId="518B7952" w14:textId="77777777" w:rsidR="005C332D" w:rsidRDefault="00B93EAE">
            <w:pPr>
              <w:textAlignment w:val="top"/>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518B7953" w14:textId="77777777" w:rsidR="005C332D" w:rsidRDefault="00B93EAE">
            <w:pPr>
              <w:jc w:val="right"/>
              <w:textAlignment w:val="top"/>
            </w:pPr>
            <w:r>
              <w:rPr>
                <w:rFonts w:ascii="Times New Roman" w:eastAsia="宋体" w:hAnsi="Times New Roman"/>
                <w:b/>
                <w:bCs/>
                <w:color w:val="000000"/>
                <w:sz w:val="20"/>
                <w:szCs w:val="20"/>
              </w:rPr>
              <w:t>271</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tcPr>
          <w:p w14:paraId="518B795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55"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518B7956" w14:textId="77777777" w:rsidR="005C332D" w:rsidRDefault="00B93EAE">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518B7957" w14:textId="77777777" w:rsidR="005C332D" w:rsidRDefault="00B93EAE">
            <w:pPr>
              <w:jc w:val="right"/>
              <w:textAlignment w:val="top"/>
            </w:pPr>
            <w:r>
              <w:rPr>
                <w:rFonts w:ascii="Times New Roman" w:eastAsia="宋体" w:hAnsi="Times New Roman"/>
                <w:color w:val="000000"/>
                <w:sz w:val="20"/>
                <w:szCs w:val="20"/>
              </w:rPr>
              <w:t>262 </w:t>
            </w:r>
          </w:p>
        </w:tc>
        <w:tc>
          <w:tcPr>
            <w:tcW w:w="0" w:type="auto"/>
            <w:tcBorders>
              <w:top w:val="single" w:sz="8" w:space="0" w:color="000000"/>
            </w:tcBorders>
            <w:shd w:val="clear" w:color="auto" w:fill="CCEEFF"/>
            <w:tcMar>
              <w:top w:w="40" w:type="dxa"/>
              <w:left w:w="0" w:type="dxa"/>
              <w:bottom w:w="40" w:type="dxa"/>
              <w:right w:w="20" w:type="dxa"/>
            </w:tcMar>
          </w:tcPr>
          <w:p w14:paraId="518B795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59"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95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95B" w14:textId="77777777" w:rsidR="005C332D" w:rsidRDefault="00B93EAE">
            <w:pPr>
              <w:jc w:val="right"/>
              <w:textAlignment w:val="bottom"/>
            </w:pPr>
            <w:r>
              <w:rPr>
                <w:rFonts w:ascii="Times New Roman" w:eastAsia="宋体" w:hAnsi="Times New Roman"/>
                <w:color w:val="000000"/>
                <w:sz w:val="20"/>
                <w:szCs w:val="20"/>
              </w:rPr>
              <w:t>214 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95C" w14:textId="77777777" w:rsidR="005C332D" w:rsidRDefault="005C332D">
            <w:pPr>
              <w:jc w:val="right"/>
              <w:rPr>
                <w:rFonts w:ascii="宋体"/>
              </w:rPr>
            </w:pPr>
          </w:p>
        </w:tc>
      </w:tr>
    </w:tbl>
    <w:p w14:paraId="518B795E" w14:textId="77777777" w:rsidR="005C332D" w:rsidRDefault="00B93EAE">
      <w:pPr>
        <w:spacing w:before="120"/>
        <w:jc w:val="both"/>
      </w:pPr>
      <w:r>
        <w:rPr>
          <w:rFonts w:ascii="Times New Roman" w:eastAsia="宋体" w:hAnsi="Times New Roman"/>
          <w:color w:val="000000"/>
          <w:sz w:val="20"/>
          <w:szCs w:val="20"/>
        </w:rPr>
        <w:t xml:space="preserve">As of July 30, 2022, we estimated that future cash compensation expense of up to $468 million may be required to be recognized pursuant to the applicable business combination agreements. </w:t>
      </w:r>
    </w:p>
    <w:p w14:paraId="518B795F" w14:textId="77777777" w:rsidR="005C332D" w:rsidRDefault="00B93EAE">
      <w:pPr>
        <w:spacing w:before="120"/>
        <w:jc w:val="both"/>
      </w:pPr>
      <w:r>
        <w:rPr>
          <w:rFonts w:ascii="Times New Roman" w:eastAsia="宋体" w:hAnsi="Times New Roman"/>
          <w:color w:val="000000"/>
          <w:sz w:val="20"/>
          <w:szCs w:val="20"/>
        </w:rPr>
        <w:t>We also have certain fu</w:t>
      </w:r>
      <w:r>
        <w:rPr>
          <w:rFonts w:ascii="Times New Roman" w:eastAsia="宋体" w:hAnsi="Times New Roman"/>
          <w:color w:val="000000"/>
          <w:sz w:val="20"/>
          <w:szCs w:val="20"/>
        </w:rPr>
        <w:t>nding commitments, primarily related to our privately held investments, some of which are based on the achievement of certain agreed-upon milestones or are required to be funded on demand. The funding commitments were $0.4 billion and $0.2 billion as of Ju</w:t>
      </w:r>
      <w:r>
        <w:rPr>
          <w:rFonts w:ascii="Times New Roman" w:eastAsia="宋体" w:hAnsi="Times New Roman"/>
          <w:color w:val="000000"/>
          <w:sz w:val="20"/>
          <w:szCs w:val="20"/>
        </w:rPr>
        <w:t>ly 30, 2022 and July 31, 2021, respectively.</w:t>
      </w:r>
    </w:p>
    <w:p w14:paraId="518B7960" w14:textId="77777777" w:rsidR="005C332D" w:rsidRDefault="00B93EAE">
      <w:pPr>
        <w:jc w:val="center"/>
      </w:pPr>
      <w:r>
        <w:rPr>
          <w:rFonts w:ascii="Times New Roman" w:eastAsia="宋体" w:hAnsi="Times New Roman"/>
          <w:color w:val="000000"/>
          <w:sz w:val="20"/>
          <w:szCs w:val="20"/>
        </w:rPr>
        <w:t>89</w:t>
      </w:r>
    </w:p>
    <w:p w14:paraId="518B7961" w14:textId="77777777" w:rsidR="005C332D" w:rsidRDefault="00B93EAE">
      <w:r>
        <w:pict w14:anchorId="518B876E">
          <v:rect id="_x0000_i1115" style="width:415.3pt;height:1.5pt" o:hralign="center" o:hrstd="t" o:hr="t" fillcolor="#a0a0a0" stroked="f"/>
        </w:pict>
      </w:r>
    </w:p>
    <w:p w14:paraId="518B7962" w14:textId="77777777" w:rsidR="005C332D" w:rsidRDefault="005C332D"/>
    <w:p w14:paraId="518B7963" w14:textId="77777777" w:rsidR="005C332D" w:rsidRDefault="00B93EAE">
      <w:pPr>
        <w:spacing w:before="120"/>
        <w:ind w:hanging="360"/>
        <w:jc w:val="both"/>
      </w:pPr>
      <w:r>
        <w:rPr>
          <w:rFonts w:ascii="Times New Roman" w:eastAsia="宋体" w:hAnsi="Times New Roman"/>
          <w:b/>
          <w:bCs/>
          <w:color w:val="000000"/>
          <w:sz w:val="20"/>
          <w:szCs w:val="20"/>
        </w:rPr>
        <w:t>(c)Product Warranties</w:t>
      </w:r>
    </w:p>
    <w:p w14:paraId="518B7964" w14:textId="77777777" w:rsidR="005C332D" w:rsidRDefault="00B93EAE">
      <w:pPr>
        <w:spacing w:before="120"/>
      </w:pPr>
      <w:r>
        <w:rPr>
          <w:rFonts w:ascii="Times New Roman" w:eastAsia="宋体" w:hAnsi="Times New Roman"/>
          <w:color w:val="000000"/>
          <w:sz w:val="20"/>
          <w:szCs w:val="20"/>
        </w:rPr>
        <w:t>The following table summarizes the activity related to the product warranty liability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4294"/>
        <w:gridCol w:w="37"/>
        <w:gridCol w:w="120"/>
        <w:gridCol w:w="1117"/>
        <w:gridCol w:w="36"/>
        <w:gridCol w:w="36"/>
        <w:gridCol w:w="36"/>
        <w:gridCol w:w="36"/>
        <w:gridCol w:w="120"/>
        <w:gridCol w:w="1077"/>
        <w:gridCol w:w="36"/>
        <w:gridCol w:w="36"/>
        <w:gridCol w:w="36"/>
        <w:gridCol w:w="36"/>
        <w:gridCol w:w="120"/>
        <w:gridCol w:w="1077"/>
        <w:gridCol w:w="36"/>
      </w:tblGrid>
      <w:tr w:rsidR="005C332D" w14:paraId="518B7977" w14:textId="77777777">
        <w:tc>
          <w:tcPr>
            <w:tcW w:w="50" w:type="pct"/>
            <w:shd w:val="clear" w:color="auto" w:fill="auto"/>
            <w:vAlign w:val="bottom"/>
          </w:tcPr>
          <w:p w14:paraId="518B7965" w14:textId="77777777" w:rsidR="005C332D" w:rsidRDefault="005C332D">
            <w:pPr>
              <w:rPr>
                <w:rFonts w:ascii="宋体"/>
              </w:rPr>
            </w:pPr>
          </w:p>
        </w:tc>
        <w:tc>
          <w:tcPr>
            <w:tcW w:w="2609" w:type="pct"/>
            <w:shd w:val="clear" w:color="auto" w:fill="auto"/>
            <w:vAlign w:val="bottom"/>
          </w:tcPr>
          <w:p w14:paraId="518B7966" w14:textId="77777777" w:rsidR="005C332D" w:rsidRDefault="005C332D">
            <w:pPr>
              <w:rPr>
                <w:rFonts w:ascii="宋体"/>
              </w:rPr>
            </w:pPr>
          </w:p>
        </w:tc>
        <w:tc>
          <w:tcPr>
            <w:tcW w:w="5" w:type="pct"/>
            <w:shd w:val="clear" w:color="auto" w:fill="auto"/>
            <w:vAlign w:val="bottom"/>
          </w:tcPr>
          <w:p w14:paraId="518B7967" w14:textId="77777777" w:rsidR="005C332D" w:rsidRDefault="005C332D">
            <w:pPr>
              <w:rPr>
                <w:rFonts w:ascii="宋体"/>
              </w:rPr>
            </w:pPr>
          </w:p>
        </w:tc>
        <w:tc>
          <w:tcPr>
            <w:tcW w:w="50" w:type="pct"/>
            <w:shd w:val="clear" w:color="auto" w:fill="auto"/>
            <w:vAlign w:val="bottom"/>
          </w:tcPr>
          <w:p w14:paraId="518B7968" w14:textId="77777777" w:rsidR="005C332D" w:rsidRDefault="005C332D">
            <w:pPr>
              <w:rPr>
                <w:rFonts w:ascii="宋体"/>
              </w:rPr>
            </w:pPr>
          </w:p>
        </w:tc>
        <w:tc>
          <w:tcPr>
            <w:tcW w:w="699" w:type="pct"/>
            <w:shd w:val="clear" w:color="auto" w:fill="auto"/>
            <w:vAlign w:val="bottom"/>
          </w:tcPr>
          <w:p w14:paraId="518B7969" w14:textId="77777777" w:rsidR="005C332D" w:rsidRDefault="005C332D">
            <w:pPr>
              <w:rPr>
                <w:rFonts w:ascii="宋体"/>
              </w:rPr>
            </w:pPr>
          </w:p>
        </w:tc>
        <w:tc>
          <w:tcPr>
            <w:tcW w:w="5" w:type="pct"/>
            <w:shd w:val="clear" w:color="auto" w:fill="auto"/>
            <w:vAlign w:val="bottom"/>
          </w:tcPr>
          <w:p w14:paraId="518B796A" w14:textId="77777777" w:rsidR="005C332D" w:rsidRDefault="005C332D">
            <w:pPr>
              <w:rPr>
                <w:rFonts w:ascii="宋体"/>
              </w:rPr>
            </w:pPr>
          </w:p>
        </w:tc>
        <w:tc>
          <w:tcPr>
            <w:tcW w:w="5" w:type="pct"/>
            <w:shd w:val="clear" w:color="auto" w:fill="auto"/>
            <w:vAlign w:val="bottom"/>
          </w:tcPr>
          <w:p w14:paraId="518B796B" w14:textId="77777777" w:rsidR="005C332D" w:rsidRDefault="005C332D">
            <w:pPr>
              <w:rPr>
                <w:rFonts w:ascii="宋体"/>
              </w:rPr>
            </w:pPr>
          </w:p>
        </w:tc>
        <w:tc>
          <w:tcPr>
            <w:tcW w:w="26" w:type="pct"/>
            <w:shd w:val="clear" w:color="auto" w:fill="auto"/>
            <w:vAlign w:val="bottom"/>
          </w:tcPr>
          <w:p w14:paraId="518B796C" w14:textId="77777777" w:rsidR="005C332D" w:rsidRDefault="005C332D">
            <w:pPr>
              <w:rPr>
                <w:rFonts w:ascii="宋体"/>
              </w:rPr>
            </w:pPr>
          </w:p>
        </w:tc>
        <w:tc>
          <w:tcPr>
            <w:tcW w:w="5" w:type="pct"/>
            <w:shd w:val="clear" w:color="auto" w:fill="auto"/>
            <w:vAlign w:val="bottom"/>
          </w:tcPr>
          <w:p w14:paraId="518B796D" w14:textId="77777777" w:rsidR="005C332D" w:rsidRDefault="005C332D">
            <w:pPr>
              <w:rPr>
                <w:rFonts w:ascii="宋体"/>
              </w:rPr>
            </w:pPr>
          </w:p>
        </w:tc>
        <w:tc>
          <w:tcPr>
            <w:tcW w:w="50" w:type="pct"/>
            <w:shd w:val="clear" w:color="auto" w:fill="auto"/>
            <w:vAlign w:val="bottom"/>
          </w:tcPr>
          <w:p w14:paraId="518B796E" w14:textId="77777777" w:rsidR="005C332D" w:rsidRDefault="005C332D">
            <w:pPr>
              <w:rPr>
                <w:rFonts w:ascii="宋体"/>
              </w:rPr>
            </w:pPr>
          </w:p>
        </w:tc>
        <w:tc>
          <w:tcPr>
            <w:tcW w:w="699" w:type="pct"/>
            <w:shd w:val="clear" w:color="auto" w:fill="auto"/>
            <w:vAlign w:val="bottom"/>
          </w:tcPr>
          <w:p w14:paraId="518B796F" w14:textId="77777777" w:rsidR="005C332D" w:rsidRDefault="005C332D">
            <w:pPr>
              <w:rPr>
                <w:rFonts w:ascii="宋体"/>
              </w:rPr>
            </w:pPr>
          </w:p>
        </w:tc>
        <w:tc>
          <w:tcPr>
            <w:tcW w:w="5" w:type="pct"/>
            <w:shd w:val="clear" w:color="auto" w:fill="auto"/>
            <w:vAlign w:val="bottom"/>
          </w:tcPr>
          <w:p w14:paraId="518B7970" w14:textId="77777777" w:rsidR="005C332D" w:rsidRDefault="005C332D">
            <w:pPr>
              <w:rPr>
                <w:rFonts w:ascii="宋体"/>
              </w:rPr>
            </w:pPr>
          </w:p>
        </w:tc>
        <w:tc>
          <w:tcPr>
            <w:tcW w:w="5" w:type="pct"/>
            <w:shd w:val="clear" w:color="auto" w:fill="auto"/>
            <w:vAlign w:val="bottom"/>
          </w:tcPr>
          <w:p w14:paraId="518B7971" w14:textId="77777777" w:rsidR="005C332D" w:rsidRDefault="005C332D">
            <w:pPr>
              <w:rPr>
                <w:rFonts w:ascii="宋体"/>
              </w:rPr>
            </w:pPr>
          </w:p>
        </w:tc>
        <w:tc>
          <w:tcPr>
            <w:tcW w:w="26" w:type="pct"/>
            <w:shd w:val="clear" w:color="auto" w:fill="auto"/>
            <w:vAlign w:val="bottom"/>
          </w:tcPr>
          <w:p w14:paraId="518B7972" w14:textId="77777777" w:rsidR="005C332D" w:rsidRDefault="005C332D">
            <w:pPr>
              <w:rPr>
                <w:rFonts w:ascii="宋体"/>
              </w:rPr>
            </w:pPr>
          </w:p>
        </w:tc>
        <w:tc>
          <w:tcPr>
            <w:tcW w:w="5" w:type="pct"/>
            <w:shd w:val="clear" w:color="auto" w:fill="auto"/>
            <w:vAlign w:val="bottom"/>
          </w:tcPr>
          <w:p w14:paraId="518B7973" w14:textId="77777777" w:rsidR="005C332D" w:rsidRDefault="005C332D">
            <w:pPr>
              <w:rPr>
                <w:rFonts w:ascii="宋体"/>
              </w:rPr>
            </w:pPr>
          </w:p>
        </w:tc>
        <w:tc>
          <w:tcPr>
            <w:tcW w:w="50" w:type="pct"/>
            <w:shd w:val="clear" w:color="auto" w:fill="auto"/>
            <w:vAlign w:val="bottom"/>
          </w:tcPr>
          <w:p w14:paraId="518B7974" w14:textId="77777777" w:rsidR="005C332D" w:rsidRDefault="005C332D">
            <w:pPr>
              <w:rPr>
                <w:rFonts w:ascii="宋体"/>
              </w:rPr>
            </w:pPr>
          </w:p>
        </w:tc>
        <w:tc>
          <w:tcPr>
            <w:tcW w:w="699" w:type="pct"/>
            <w:shd w:val="clear" w:color="auto" w:fill="auto"/>
            <w:vAlign w:val="bottom"/>
          </w:tcPr>
          <w:p w14:paraId="518B7975" w14:textId="77777777" w:rsidR="005C332D" w:rsidRDefault="005C332D">
            <w:pPr>
              <w:rPr>
                <w:rFonts w:ascii="宋体"/>
              </w:rPr>
            </w:pPr>
          </w:p>
        </w:tc>
        <w:tc>
          <w:tcPr>
            <w:tcW w:w="5" w:type="pct"/>
            <w:shd w:val="clear" w:color="auto" w:fill="auto"/>
            <w:vAlign w:val="bottom"/>
          </w:tcPr>
          <w:p w14:paraId="518B7976" w14:textId="77777777" w:rsidR="005C332D" w:rsidRDefault="005C332D">
            <w:pPr>
              <w:rPr>
                <w:rFonts w:ascii="宋体"/>
              </w:rPr>
            </w:pPr>
          </w:p>
        </w:tc>
      </w:tr>
      <w:tr w:rsidR="005C332D" w14:paraId="518B797E" w14:textId="77777777">
        <w:tc>
          <w:tcPr>
            <w:tcW w:w="0" w:type="auto"/>
            <w:gridSpan w:val="3"/>
            <w:shd w:val="clear" w:color="auto" w:fill="auto"/>
            <w:tcMar>
              <w:top w:w="0" w:type="dxa"/>
              <w:left w:w="20" w:type="dxa"/>
              <w:bottom w:w="0" w:type="dxa"/>
              <w:right w:w="20" w:type="dxa"/>
            </w:tcMar>
            <w:vAlign w:val="bottom"/>
          </w:tcPr>
          <w:p w14:paraId="518B797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979"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97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97B"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797C"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97D"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98B" w14:textId="77777777">
        <w:tc>
          <w:tcPr>
            <w:tcW w:w="0" w:type="auto"/>
            <w:gridSpan w:val="3"/>
            <w:shd w:val="clear" w:color="auto" w:fill="CCEEFF"/>
            <w:tcMar>
              <w:top w:w="40" w:type="dxa"/>
              <w:left w:w="20" w:type="dxa"/>
              <w:bottom w:w="40" w:type="dxa"/>
              <w:right w:w="20" w:type="dxa"/>
            </w:tcMar>
          </w:tcPr>
          <w:p w14:paraId="518B797F" w14:textId="77777777" w:rsidR="005C332D" w:rsidRDefault="00B93EAE">
            <w:pPr>
              <w:textAlignment w:val="top"/>
            </w:pPr>
            <w:r>
              <w:rPr>
                <w:rFonts w:ascii="Times New Roman" w:eastAsia="宋体" w:hAnsi="Times New Roman"/>
                <w:color w:val="000000"/>
                <w:sz w:val="20"/>
                <w:szCs w:val="20"/>
              </w:rPr>
              <w:t xml:space="preserve">Balance at </w:t>
            </w:r>
            <w:r>
              <w:rPr>
                <w:rFonts w:ascii="Times New Roman" w:eastAsia="宋体" w:hAnsi="Times New Roman"/>
                <w:color w:val="000000"/>
                <w:sz w:val="20"/>
                <w:szCs w:val="20"/>
              </w:rPr>
              <w:t>beginning of fiscal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98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981" w14:textId="77777777" w:rsidR="005C332D" w:rsidRDefault="00B93EAE">
            <w:pPr>
              <w:jc w:val="right"/>
              <w:textAlignment w:val="bottom"/>
            </w:pPr>
            <w:r>
              <w:rPr>
                <w:rFonts w:ascii="Times New Roman" w:eastAsia="宋体" w:hAnsi="Times New Roman"/>
                <w:b/>
                <w:bCs/>
                <w:color w:val="000000"/>
                <w:sz w:val="20"/>
                <w:szCs w:val="20"/>
              </w:rPr>
              <w:t>336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98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8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98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985" w14:textId="77777777" w:rsidR="005C332D" w:rsidRDefault="00B93EAE">
            <w:pPr>
              <w:jc w:val="right"/>
              <w:textAlignment w:val="bottom"/>
            </w:pPr>
            <w:r>
              <w:rPr>
                <w:rFonts w:ascii="Times New Roman" w:eastAsia="宋体" w:hAnsi="Times New Roman"/>
                <w:color w:val="000000"/>
                <w:sz w:val="20"/>
                <w:szCs w:val="20"/>
              </w:rPr>
              <w:t>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98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8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98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989" w14:textId="77777777" w:rsidR="005C332D" w:rsidRDefault="00B93EAE">
            <w:pPr>
              <w:jc w:val="right"/>
              <w:textAlignment w:val="bottom"/>
            </w:pPr>
            <w:r>
              <w:rPr>
                <w:rFonts w:ascii="Times New Roman" w:eastAsia="宋体" w:hAnsi="Times New Roman"/>
                <w:color w:val="000000"/>
                <w:sz w:val="20"/>
                <w:szCs w:val="20"/>
              </w:rPr>
              <w:t>342 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98A" w14:textId="77777777" w:rsidR="005C332D" w:rsidRDefault="005C332D">
            <w:pPr>
              <w:jc w:val="right"/>
              <w:rPr>
                <w:rFonts w:ascii="宋体"/>
              </w:rPr>
            </w:pPr>
          </w:p>
        </w:tc>
      </w:tr>
      <w:tr w:rsidR="005C332D" w14:paraId="518B7995" w14:textId="77777777">
        <w:tc>
          <w:tcPr>
            <w:tcW w:w="0" w:type="auto"/>
            <w:gridSpan w:val="3"/>
            <w:shd w:val="clear" w:color="auto" w:fill="FFFFFF"/>
            <w:tcMar>
              <w:top w:w="40" w:type="dxa"/>
              <w:left w:w="20" w:type="dxa"/>
              <w:bottom w:w="40" w:type="dxa"/>
              <w:right w:w="20" w:type="dxa"/>
            </w:tcMar>
          </w:tcPr>
          <w:p w14:paraId="518B798C" w14:textId="77777777" w:rsidR="005C332D" w:rsidRDefault="00B93EAE">
            <w:pPr>
              <w:textAlignment w:val="top"/>
            </w:pPr>
            <w:r>
              <w:rPr>
                <w:rFonts w:ascii="Times New Roman" w:eastAsia="宋体" w:hAnsi="Times New Roman"/>
                <w:color w:val="000000"/>
                <w:sz w:val="20"/>
                <w:szCs w:val="20"/>
              </w:rPr>
              <w:t>Provisions for warranties issued</w:t>
            </w:r>
          </w:p>
        </w:tc>
        <w:tc>
          <w:tcPr>
            <w:tcW w:w="0" w:type="auto"/>
            <w:gridSpan w:val="2"/>
            <w:shd w:val="clear" w:color="auto" w:fill="FFFFFF"/>
            <w:tcMar>
              <w:top w:w="40" w:type="dxa"/>
              <w:left w:w="20" w:type="dxa"/>
              <w:bottom w:w="40" w:type="dxa"/>
              <w:right w:w="0" w:type="dxa"/>
            </w:tcMar>
            <w:vAlign w:val="bottom"/>
          </w:tcPr>
          <w:p w14:paraId="518B798D" w14:textId="77777777" w:rsidR="005C332D" w:rsidRDefault="00B93EAE">
            <w:pPr>
              <w:jc w:val="right"/>
              <w:textAlignment w:val="bottom"/>
            </w:pPr>
            <w:r>
              <w:rPr>
                <w:rFonts w:ascii="Times New Roman" w:eastAsia="宋体" w:hAnsi="Times New Roman"/>
                <w:b/>
                <w:bCs/>
                <w:color w:val="000000"/>
                <w:sz w:val="20"/>
                <w:szCs w:val="20"/>
              </w:rPr>
              <w:t>415</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98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98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990" w14:textId="77777777" w:rsidR="005C332D" w:rsidRDefault="00B93EAE">
            <w:pPr>
              <w:jc w:val="right"/>
              <w:textAlignment w:val="bottom"/>
            </w:pPr>
            <w:r>
              <w:rPr>
                <w:rFonts w:ascii="Times New Roman" w:eastAsia="宋体" w:hAnsi="Times New Roman"/>
                <w:color w:val="000000"/>
                <w:sz w:val="20"/>
                <w:szCs w:val="20"/>
              </w:rPr>
              <w:t>496 </w:t>
            </w:r>
          </w:p>
        </w:tc>
        <w:tc>
          <w:tcPr>
            <w:tcW w:w="0" w:type="auto"/>
            <w:shd w:val="clear" w:color="auto" w:fill="FFFFFF"/>
            <w:tcMar>
              <w:top w:w="40" w:type="dxa"/>
              <w:left w:w="0" w:type="dxa"/>
              <w:bottom w:w="40" w:type="dxa"/>
              <w:right w:w="20" w:type="dxa"/>
            </w:tcMar>
            <w:vAlign w:val="bottom"/>
          </w:tcPr>
          <w:p w14:paraId="518B799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99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993" w14:textId="77777777" w:rsidR="005C332D" w:rsidRDefault="00B93EAE">
            <w:pPr>
              <w:jc w:val="right"/>
              <w:textAlignment w:val="bottom"/>
            </w:pPr>
            <w:r>
              <w:rPr>
                <w:rFonts w:ascii="Times New Roman" w:eastAsia="宋体" w:hAnsi="Times New Roman"/>
                <w:color w:val="000000"/>
                <w:sz w:val="20"/>
                <w:szCs w:val="20"/>
              </w:rPr>
              <w:t>561 </w:t>
            </w:r>
          </w:p>
        </w:tc>
        <w:tc>
          <w:tcPr>
            <w:tcW w:w="0" w:type="auto"/>
            <w:shd w:val="clear" w:color="auto" w:fill="FFFFFF"/>
            <w:tcMar>
              <w:top w:w="40" w:type="dxa"/>
              <w:left w:w="0" w:type="dxa"/>
              <w:bottom w:w="40" w:type="dxa"/>
              <w:right w:w="20" w:type="dxa"/>
            </w:tcMar>
            <w:vAlign w:val="bottom"/>
          </w:tcPr>
          <w:p w14:paraId="518B7994" w14:textId="77777777" w:rsidR="005C332D" w:rsidRDefault="005C332D">
            <w:pPr>
              <w:jc w:val="right"/>
              <w:rPr>
                <w:rFonts w:ascii="宋体"/>
              </w:rPr>
            </w:pPr>
          </w:p>
        </w:tc>
      </w:tr>
      <w:tr w:rsidR="005C332D" w14:paraId="518B799F" w14:textId="77777777">
        <w:tc>
          <w:tcPr>
            <w:tcW w:w="0" w:type="auto"/>
            <w:gridSpan w:val="3"/>
            <w:shd w:val="clear" w:color="auto" w:fill="CCEEFF"/>
            <w:tcMar>
              <w:top w:w="40" w:type="dxa"/>
              <w:left w:w="20" w:type="dxa"/>
              <w:bottom w:w="40" w:type="dxa"/>
              <w:right w:w="20" w:type="dxa"/>
            </w:tcMar>
          </w:tcPr>
          <w:p w14:paraId="518B7996" w14:textId="77777777" w:rsidR="005C332D" w:rsidRDefault="00B93EAE">
            <w:pPr>
              <w:textAlignment w:val="top"/>
            </w:pPr>
            <w:r>
              <w:rPr>
                <w:rFonts w:ascii="Times New Roman" w:eastAsia="宋体" w:hAnsi="Times New Roman"/>
                <w:color w:val="000000"/>
                <w:sz w:val="20"/>
                <w:szCs w:val="20"/>
              </w:rPr>
              <w:t>Adjustments for pre-existing warranties</w:t>
            </w:r>
          </w:p>
        </w:tc>
        <w:tc>
          <w:tcPr>
            <w:tcW w:w="0" w:type="auto"/>
            <w:gridSpan w:val="2"/>
            <w:shd w:val="clear" w:color="auto" w:fill="CCEEFF"/>
            <w:tcMar>
              <w:top w:w="40" w:type="dxa"/>
              <w:left w:w="20" w:type="dxa"/>
              <w:bottom w:w="40" w:type="dxa"/>
              <w:right w:w="0" w:type="dxa"/>
            </w:tcMar>
            <w:vAlign w:val="bottom"/>
          </w:tcPr>
          <w:p w14:paraId="518B7997" w14:textId="77777777" w:rsidR="005C332D" w:rsidRDefault="00B93EAE">
            <w:pPr>
              <w:jc w:val="right"/>
              <w:textAlignment w:val="bottom"/>
            </w:pPr>
            <w:r>
              <w:rPr>
                <w:rFonts w:ascii="Times New Roman" w:eastAsia="宋体" w:hAnsi="Times New Roman"/>
                <w:b/>
                <w:bCs/>
                <w:color w:val="000000"/>
                <w:sz w:val="20"/>
                <w:szCs w:val="20"/>
              </w:rPr>
              <w:t>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99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9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99A"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99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9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99D" w14:textId="77777777" w:rsidR="005C332D" w:rsidRDefault="00B93EAE">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518B799E" w14:textId="77777777" w:rsidR="005C332D" w:rsidRDefault="005C332D">
            <w:pPr>
              <w:jc w:val="right"/>
              <w:rPr>
                <w:rFonts w:ascii="宋体"/>
              </w:rPr>
            </w:pPr>
          </w:p>
        </w:tc>
      </w:tr>
      <w:tr w:rsidR="005C332D" w14:paraId="518B79A9" w14:textId="77777777">
        <w:tc>
          <w:tcPr>
            <w:tcW w:w="0" w:type="auto"/>
            <w:gridSpan w:val="3"/>
            <w:shd w:val="clear" w:color="auto" w:fill="FFFFFF"/>
            <w:tcMar>
              <w:top w:w="40" w:type="dxa"/>
              <w:left w:w="20" w:type="dxa"/>
              <w:bottom w:w="40" w:type="dxa"/>
              <w:right w:w="20" w:type="dxa"/>
            </w:tcMar>
          </w:tcPr>
          <w:p w14:paraId="518B79A0" w14:textId="77777777" w:rsidR="005C332D" w:rsidRDefault="00B93EAE">
            <w:pPr>
              <w:textAlignment w:val="top"/>
            </w:pPr>
            <w:r>
              <w:rPr>
                <w:rFonts w:ascii="Times New Roman" w:eastAsia="宋体" w:hAnsi="Times New Roman"/>
                <w:color w:val="000000"/>
                <w:sz w:val="20"/>
                <w:szCs w:val="20"/>
              </w:rPr>
              <w:t xml:space="preserve">Settlements </w:t>
            </w:r>
          </w:p>
        </w:tc>
        <w:tc>
          <w:tcPr>
            <w:tcW w:w="0" w:type="auto"/>
            <w:gridSpan w:val="2"/>
            <w:shd w:val="clear" w:color="auto" w:fill="FFFFFF"/>
            <w:tcMar>
              <w:top w:w="40" w:type="dxa"/>
              <w:left w:w="20" w:type="dxa"/>
              <w:bottom w:w="40" w:type="dxa"/>
              <w:right w:w="0" w:type="dxa"/>
            </w:tcMar>
            <w:vAlign w:val="bottom"/>
          </w:tcPr>
          <w:p w14:paraId="518B79A1" w14:textId="77777777" w:rsidR="005C332D" w:rsidRDefault="00B93EAE">
            <w:pPr>
              <w:jc w:val="right"/>
              <w:textAlignment w:val="bottom"/>
            </w:pPr>
            <w:r>
              <w:rPr>
                <w:rFonts w:ascii="Times New Roman" w:eastAsia="宋体" w:hAnsi="Times New Roman"/>
                <w:b/>
                <w:bCs/>
                <w:color w:val="000000"/>
                <w:sz w:val="20"/>
                <w:szCs w:val="20"/>
              </w:rPr>
              <w:t>(421)</w:t>
            </w:r>
          </w:p>
        </w:tc>
        <w:tc>
          <w:tcPr>
            <w:tcW w:w="0" w:type="auto"/>
            <w:shd w:val="clear" w:color="auto" w:fill="FFFFFF"/>
            <w:tcMar>
              <w:top w:w="40" w:type="dxa"/>
              <w:left w:w="0" w:type="dxa"/>
              <w:bottom w:w="40" w:type="dxa"/>
              <w:right w:w="20" w:type="dxa"/>
            </w:tcMar>
            <w:vAlign w:val="bottom"/>
          </w:tcPr>
          <w:p w14:paraId="518B79A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9A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9A4" w14:textId="77777777" w:rsidR="005C332D" w:rsidRDefault="00B93EAE">
            <w:pPr>
              <w:jc w:val="right"/>
              <w:textAlignment w:val="bottom"/>
            </w:pPr>
            <w:r>
              <w:rPr>
                <w:rFonts w:ascii="Times New Roman" w:eastAsia="宋体" w:hAnsi="Times New Roman"/>
                <w:color w:val="000000"/>
                <w:sz w:val="20"/>
                <w:szCs w:val="20"/>
              </w:rPr>
              <w:t>(491)</w:t>
            </w:r>
          </w:p>
        </w:tc>
        <w:tc>
          <w:tcPr>
            <w:tcW w:w="0" w:type="auto"/>
            <w:shd w:val="clear" w:color="auto" w:fill="FFFFFF"/>
            <w:tcMar>
              <w:top w:w="40" w:type="dxa"/>
              <w:left w:w="0" w:type="dxa"/>
              <w:bottom w:w="40" w:type="dxa"/>
              <w:right w:w="20" w:type="dxa"/>
            </w:tcMar>
            <w:vAlign w:val="bottom"/>
          </w:tcPr>
          <w:p w14:paraId="518B79A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9A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9A7" w14:textId="77777777" w:rsidR="005C332D" w:rsidRDefault="00B93EAE">
            <w:pPr>
              <w:jc w:val="right"/>
              <w:textAlignment w:val="bottom"/>
            </w:pPr>
            <w:r>
              <w:rPr>
                <w:rFonts w:ascii="Times New Roman" w:eastAsia="宋体" w:hAnsi="Times New Roman"/>
                <w:color w:val="000000"/>
                <w:sz w:val="20"/>
                <w:szCs w:val="20"/>
              </w:rPr>
              <w:t>(564)</w:t>
            </w:r>
          </w:p>
        </w:tc>
        <w:tc>
          <w:tcPr>
            <w:tcW w:w="0" w:type="auto"/>
            <w:shd w:val="clear" w:color="auto" w:fill="FFFFFF"/>
            <w:tcMar>
              <w:top w:w="40" w:type="dxa"/>
              <w:left w:w="0" w:type="dxa"/>
              <w:bottom w:w="40" w:type="dxa"/>
              <w:right w:w="20" w:type="dxa"/>
            </w:tcMar>
            <w:vAlign w:val="bottom"/>
          </w:tcPr>
          <w:p w14:paraId="518B79A8" w14:textId="77777777" w:rsidR="005C332D" w:rsidRDefault="005C332D">
            <w:pPr>
              <w:jc w:val="right"/>
              <w:rPr>
                <w:rFonts w:ascii="宋体"/>
              </w:rPr>
            </w:pPr>
          </w:p>
        </w:tc>
      </w:tr>
      <w:tr w:rsidR="005C332D" w14:paraId="518B79B6" w14:textId="77777777">
        <w:tc>
          <w:tcPr>
            <w:tcW w:w="0" w:type="auto"/>
            <w:gridSpan w:val="3"/>
            <w:shd w:val="clear" w:color="auto" w:fill="CCEEFF"/>
            <w:tcMar>
              <w:top w:w="40" w:type="dxa"/>
              <w:left w:w="20" w:type="dxa"/>
              <w:bottom w:w="40" w:type="dxa"/>
              <w:right w:w="20" w:type="dxa"/>
            </w:tcMar>
          </w:tcPr>
          <w:p w14:paraId="518B79AA" w14:textId="77777777" w:rsidR="005C332D" w:rsidRDefault="00B93EAE">
            <w:pPr>
              <w:textAlignment w:val="top"/>
            </w:pPr>
            <w:r>
              <w:rPr>
                <w:rFonts w:ascii="Times New Roman" w:eastAsia="宋体" w:hAnsi="Times New Roman"/>
                <w:color w:val="000000"/>
                <w:sz w:val="20"/>
                <w:szCs w:val="20"/>
              </w:rPr>
              <w:t>Balance at end of fiscal year</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9A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9AC" w14:textId="77777777" w:rsidR="005C332D" w:rsidRDefault="00B93EAE">
            <w:pPr>
              <w:jc w:val="right"/>
              <w:textAlignment w:val="bottom"/>
            </w:pPr>
            <w:r>
              <w:rPr>
                <w:rFonts w:ascii="Times New Roman" w:eastAsia="宋体" w:hAnsi="Times New Roman"/>
                <w:b/>
                <w:bCs/>
                <w:color w:val="000000"/>
                <w:sz w:val="20"/>
                <w:szCs w:val="20"/>
              </w:rPr>
              <w:t>333</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9A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AE"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9A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9B0" w14:textId="77777777" w:rsidR="005C332D" w:rsidRDefault="00B93EAE">
            <w:pPr>
              <w:jc w:val="right"/>
              <w:textAlignment w:val="bottom"/>
            </w:pPr>
            <w:r>
              <w:rPr>
                <w:rFonts w:ascii="Times New Roman" w:eastAsia="宋体" w:hAnsi="Times New Roman"/>
                <w:color w:val="000000"/>
                <w:sz w:val="20"/>
                <w:szCs w:val="20"/>
              </w:rPr>
              <w:t>336 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9B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B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9B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9B4" w14:textId="77777777" w:rsidR="005C332D" w:rsidRDefault="00B93EAE">
            <w:pPr>
              <w:jc w:val="right"/>
              <w:textAlignment w:val="bottom"/>
            </w:pPr>
            <w:r>
              <w:rPr>
                <w:rFonts w:ascii="Times New Roman" w:eastAsia="宋体" w:hAnsi="Times New Roman"/>
                <w:color w:val="000000"/>
                <w:sz w:val="20"/>
                <w:szCs w:val="20"/>
              </w:rPr>
              <w:t>331 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9B5" w14:textId="77777777" w:rsidR="005C332D" w:rsidRDefault="005C332D">
            <w:pPr>
              <w:jc w:val="right"/>
              <w:rPr>
                <w:rFonts w:ascii="宋体"/>
              </w:rPr>
            </w:pPr>
          </w:p>
        </w:tc>
      </w:tr>
    </w:tbl>
    <w:p w14:paraId="518B79B7" w14:textId="77777777" w:rsidR="005C332D" w:rsidRDefault="00B93EAE">
      <w:pPr>
        <w:spacing w:before="120"/>
        <w:jc w:val="both"/>
      </w:pPr>
      <w:r>
        <w:rPr>
          <w:rFonts w:ascii="Times New Roman" w:eastAsia="宋体" w:hAnsi="Times New Roman"/>
          <w:color w:val="000000"/>
          <w:sz w:val="20"/>
          <w:szCs w:val="20"/>
        </w:rPr>
        <w:t>We accrue for warranty costs as part of our cost of sales based on associated material product costs, labor costs for technical support staff, and associated overhead. Our products are generally covered</w:t>
      </w:r>
      <w:r>
        <w:rPr>
          <w:rFonts w:ascii="Times New Roman" w:eastAsia="宋体" w:hAnsi="Times New Roman"/>
          <w:color w:val="000000"/>
          <w:sz w:val="20"/>
          <w:szCs w:val="20"/>
        </w:rPr>
        <w:t xml:space="preserve"> by a warranty for periods ranging from 90 days to five years, and for some products we provide a limited lifetime warranty.</w:t>
      </w:r>
    </w:p>
    <w:p w14:paraId="518B79B8" w14:textId="77777777" w:rsidR="005C332D" w:rsidRDefault="00B93EAE">
      <w:pPr>
        <w:spacing w:before="120"/>
        <w:ind w:hanging="360"/>
        <w:jc w:val="both"/>
      </w:pPr>
      <w:r>
        <w:rPr>
          <w:rFonts w:ascii="Times New Roman" w:eastAsia="宋体" w:hAnsi="Times New Roman"/>
          <w:b/>
          <w:bCs/>
          <w:color w:val="000000"/>
          <w:sz w:val="20"/>
          <w:szCs w:val="20"/>
        </w:rPr>
        <w:t>(d)Financing and Other Guarantees</w:t>
      </w:r>
    </w:p>
    <w:p w14:paraId="518B79B9" w14:textId="77777777" w:rsidR="005C332D" w:rsidRDefault="00B93EAE">
      <w:pPr>
        <w:spacing w:before="120"/>
        <w:jc w:val="both"/>
      </w:pPr>
      <w:r>
        <w:rPr>
          <w:rFonts w:ascii="Times New Roman" w:eastAsia="宋体" w:hAnsi="Times New Roman"/>
          <w:color w:val="000000"/>
          <w:sz w:val="20"/>
          <w:szCs w:val="20"/>
        </w:rPr>
        <w:t xml:space="preserve">In the ordinary course of business, we provide financing guarantees for various </w:t>
      </w:r>
      <w:r>
        <w:rPr>
          <w:rFonts w:ascii="Times New Roman" w:eastAsia="宋体" w:hAnsi="Times New Roman"/>
          <w:color w:val="000000"/>
          <w:sz w:val="20"/>
          <w:szCs w:val="20"/>
        </w:rPr>
        <w:t>third-party financing arrangements extended to channel partners customers. Payments under these financing guarantee arrangements were not material for the periods presented.</w:t>
      </w:r>
    </w:p>
    <w:p w14:paraId="518B79BA" w14:textId="77777777" w:rsidR="005C332D" w:rsidRDefault="00B93EAE">
      <w:pPr>
        <w:spacing w:before="120"/>
        <w:jc w:val="both"/>
      </w:pPr>
      <w:r>
        <w:rPr>
          <w:rFonts w:ascii="Times New Roman" w:eastAsia="宋体" w:hAnsi="Times New Roman"/>
          <w:color w:val="000000"/>
          <w:sz w:val="20"/>
          <w:szCs w:val="20"/>
          <w:u w:val="single"/>
        </w:rPr>
        <w:t>Channel Partner Financing Guarantees</w:t>
      </w:r>
      <w:r>
        <w:rPr>
          <w:rFonts w:ascii="Times New Roman" w:eastAsia="宋体" w:hAnsi="Times New Roman"/>
          <w:color w:val="000000"/>
          <w:sz w:val="20"/>
          <w:szCs w:val="20"/>
        </w:rPr>
        <w:t xml:space="preserve">   We facilitate arrangements for third-party </w:t>
      </w:r>
      <w:r>
        <w:rPr>
          <w:rFonts w:ascii="Times New Roman" w:eastAsia="宋体" w:hAnsi="Times New Roman"/>
          <w:color w:val="000000"/>
          <w:sz w:val="20"/>
          <w:szCs w:val="20"/>
        </w:rPr>
        <w:t>financing extended to channel partners, consisting of revolving short-term financing, with payment terms generally ranging from 60 to 90 days. These financing arrangements facilitate the working capital requirements of the channel partners, and, in some ca</w:t>
      </w:r>
      <w:r>
        <w:rPr>
          <w:rFonts w:ascii="Times New Roman" w:eastAsia="宋体" w:hAnsi="Times New Roman"/>
          <w:color w:val="000000"/>
          <w:sz w:val="20"/>
          <w:szCs w:val="20"/>
        </w:rPr>
        <w:t xml:space="preserve">ses, we guarantee a portion of these arrangements. The volume of channel partner financing was $27.9 billion, $26.7 billion, and $26.9 billion in fiscal 2022, 2021, and 2020, respectively. The balance of the channel partner financing subject to guarantees </w:t>
      </w:r>
      <w:r>
        <w:rPr>
          <w:rFonts w:ascii="Times New Roman" w:eastAsia="宋体" w:hAnsi="Times New Roman"/>
          <w:color w:val="000000"/>
          <w:sz w:val="20"/>
          <w:szCs w:val="20"/>
        </w:rPr>
        <w:t>was $1.4 billion and $1.3 billion as of July 30, 2022 and July 31, 2021, respectively.</w:t>
      </w:r>
    </w:p>
    <w:p w14:paraId="518B79BB" w14:textId="77777777" w:rsidR="005C332D" w:rsidRDefault="00B93EAE">
      <w:pPr>
        <w:spacing w:before="120"/>
        <w:jc w:val="both"/>
      </w:pPr>
      <w:r>
        <w:rPr>
          <w:rFonts w:ascii="Times New Roman" w:eastAsia="宋体" w:hAnsi="Times New Roman"/>
          <w:color w:val="000000"/>
          <w:sz w:val="20"/>
          <w:szCs w:val="20"/>
          <w:u w:val="single"/>
        </w:rPr>
        <w:t>Financing Guarantee Summary</w:t>
      </w:r>
      <w:r>
        <w:rPr>
          <w:rFonts w:ascii="Times New Roman" w:eastAsia="宋体" w:hAnsi="Times New Roman"/>
          <w:color w:val="000000"/>
          <w:sz w:val="20"/>
          <w:szCs w:val="20"/>
        </w:rPr>
        <w:t xml:space="preserve">   The aggregate amounts of channel partner financing guarantees outstanding at July 30, 2022 and July 31, 2021, representing the total maximu</w:t>
      </w:r>
      <w:r>
        <w:rPr>
          <w:rFonts w:ascii="Times New Roman" w:eastAsia="宋体" w:hAnsi="Times New Roman"/>
          <w:color w:val="000000"/>
          <w:sz w:val="20"/>
          <w:szCs w:val="20"/>
        </w:rPr>
        <w:t>m potential future payments under financing arrangements with third parties along with the related deferred revenue, are summarized in the following table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5C332D" w14:paraId="518B79C8" w14:textId="77777777">
        <w:trPr>
          <w:jc w:val="center"/>
        </w:trPr>
        <w:tc>
          <w:tcPr>
            <w:tcW w:w="50" w:type="pct"/>
            <w:shd w:val="clear" w:color="auto" w:fill="auto"/>
            <w:vAlign w:val="bottom"/>
          </w:tcPr>
          <w:p w14:paraId="518B79BC" w14:textId="77777777" w:rsidR="005C332D" w:rsidRDefault="005C332D">
            <w:pPr>
              <w:rPr>
                <w:rFonts w:ascii="宋体"/>
              </w:rPr>
            </w:pPr>
          </w:p>
        </w:tc>
        <w:tc>
          <w:tcPr>
            <w:tcW w:w="3442" w:type="pct"/>
            <w:shd w:val="clear" w:color="auto" w:fill="auto"/>
            <w:vAlign w:val="bottom"/>
          </w:tcPr>
          <w:p w14:paraId="518B79BD" w14:textId="77777777" w:rsidR="005C332D" w:rsidRDefault="005C332D">
            <w:pPr>
              <w:rPr>
                <w:rFonts w:ascii="宋体"/>
              </w:rPr>
            </w:pPr>
          </w:p>
        </w:tc>
        <w:tc>
          <w:tcPr>
            <w:tcW w:w="5" w:type="pct"/>
            <w:shd w:val="clear" w:color="auto" w:fill="auto"/>
            <w:vAlign w:val="bottom"/>
          </w:tcPr>
          <w:p w14:paraId="518B79BE" w14:textId="77777777" w:rsidR="005C332D" w:rsidRDefault="005C332D">
            <w:pPr>
              <w:rPr>
                <w:rFonts w:ascii="宋体"/>
              </w:rPr>
            </w:pPr>
          </w:p>
        </w:tc>
        <w:tc>
          <w:tcPr>
            <w:tcW w:w="50" w:type="pct"/>
            <w:shd w:val="clear" w:color="auto" w:fill="auto"/>
            <w:vAlign w:val="bottom"/>
          </w:tcPr>
          <w:p w14:paraId="518B79BF" w14:textId="77777777" w:rsidR="005C332D" w:rsidRDefault="005C332D">
            <w:pPr>
              <w:rPr>
                <w:rFonts w:ascii="宋体"/>
              </w:rPr>
            </w:pPr>
          </w:p>
        </w:tc>
        <w:tc>
          <w:tcPr>
            <w:tcW w:w="678" w:type="pct"/>
            <w:shd w:val="clear" w:color="auto" w:fill="auto"/>
            <w:vAlign w:val="bottom"/>
          </w:tcPr>
          <w:p w14:paraId="518B79C0" w14:textId="77777777" w:rsidR="005C332D" w:rsidRDefault="005C332D">
            <w:pPr>
              <w:rPr>
                <w:rFonts w:ascii="宋体"/>
              </w:rPr>
            </w:pPr>
          </w:p>
        </w:tc>
        <w:tc>
          <w:tcPr>
            <w:tcW w:w="5" w:type="pct"/>
            <w:shd w:val="clear" w:color="auto" w:fill="auto"/>
            <w:vAlign w:val="bottom"/>
          </w:tcPr>
          <w:p w14:paraId="518B79C1" w14:textId="77777777" w:rsidR="005C332D" w:rsidRDefault="005C332D">
            <w:pPr>
              <w:rPr>
                <w:rFonts w:ascii="宋体"/>
              </w:rPr>
            </w:pPr>
          </w:p>
        </w:tc>
        <w:tc>
          <w:tcPr>
            <w:tcW w:w="5" w:type="pct"/>
            <w:shd w:val="clear" w:color="auto" w:fill="auto"/>
            <w:vAlign w:val="bottom"/>
          </w:tcPr>
          <w:p w14:paraId="518B79C2" w14:textId="77777777" w:rsidR="005C332D" w:rsidRDefault="005C332D">
            <w:pPr>
              <w:rPr>
                <w:rFonts w:ascii="宋体"/>
              </w:rPr>
            </w:pPr>
          </w:p>
        </w:tc>
        <w:tc>
          <w:tcPr>
            <w:tcW w:w="26" w:type="pct"/>
            <w:shd w:val="clear" w:color="auto" w:fill="auto"/>
            <w:vAlign w:val="bottom"/>
          </w:tcPr>
          <w:p w14:paraId="518B79C3" w14:textId="77777777" w:rsidR="005C332D" w:rsidRDefault="005C332D">
            <w:pPr>
              <w:rPr>
                <w:rFonts w:ascii="宋体"/>
              </w:rPr>
            </w:pPr>
          </w:p>
        </w:tc>
        <w:tc>
          <w:tcPr>
            <w:tcW w:w="5" w:type="pct"/>
            <w:shd w:val="clear" w:color="auto" w:fill="auto"/>
            <w:vAlign w:val="bottom"/>
          </w:tcPr>
          <w:p w14:paraId="518B79C4" w14:textId="77777777" w:rsidR="005C332D" w:rsidRDefault="005C332D">
            <w:pPr>
              <w:rPr>
                <w:rFonts w:ascii="宋体"/>
              </w:rPr>
            </w:pPr>
          </w:p>
        </w:tc>
        <w:tc>
          <w:tcPr>
            <w:tcW w:w="50" w:type="pct"/>
            <w:shd w:val="clear" w:color="auto" w:fill="auto"/>
            <w:vAlign w:val="bottom"/>
          </w:tcPr>
          <w:p w14:paraId="518B79C5" w14:textId="77777777" w:rsidR="005C332D" w:rsidRDefault="005C332D">
            <w:pPr>
              <w:rPr>
                <w:rFonts w:ascii="宋体"/>
              </w:rPr>
            </w:pPr>
          </w:p>
        </w:tc>
        <w:tc>
          <w:tcPr>
            <w:tcW w:w="678" w:type="pct"/>
            <w:shd w:val="clear" w:color="auto" w:fill="auto"/>
            <w:vAlign w:val="bottom"/>
          </w:tcPr>
          <w:p w14:paraId="518B79C6" w14:textId="77777777" w:rsidR="005C332D" w:rsidRDefault="005C332D">
            <w:pPr>
              <w:rPr>
                <w:rFonts w:ascii="宋体"/>
              </w:rPr>
            </w:pPr>
          </w:p>
        </w:tc>
        <w:tc>
          <w:tcPr>
            <w:tcW w:w="5" w:type="pct"/>
            <w:shd w:val="clear" w:color="auto" w:fill="auto"/>
            <w:vAlign w:val="bottom"/>
          </w:tcPr>
          <w:p w14:paraId="518B79C7" w14:textId="77777777" w:rsidR="005C332D" w:rsidRDefault="005C332D">
            <w:pPr>
              <w:rPr>
                <w:rFonts w:ascii="宋体"/>
              </w:rPr>
            </w:pPr>
          </w:p>
        </w:tc>
      </w:tr>
      <w:tr w:rsidR="005C332D" w14:paraId="518B79CD" w14:textId="77777777">
        <w:trPr>
          <w:jc w:val="center"/>
        </w:trPr>
        <w:tc>
          <w:tcPr>
            <w:tcW w:w="0" w:type="auto"/>
            <w:gridSpan w:val="3"/>
            <w:shd w:val="clear" w:color="auto" w:fill="auto"/>
            <w:tcMar>
              <w:top w:w="0" w:type="dxa"/>
              <w:left w:w="20" w:type="dxa"/>
              <w:bottom w:w="0" w:type="dxa"/>
              <w:right w:w="20" w:type="dxa"/>
            </w:tcMar>
            <w:vAlign w:val="bottom"/>
          </w:tcPr>
          <w:p w14:paraId="518B79C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9CA"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9C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9CC"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79D6" w14:textId="77777777">
        <w:trPr>
          <w:jc w:val="center"/>
        </w:trPr>
        <w:tc>
          <w:tcPr>
            <w:tcW w:w="0" w:type="auto"/>
            <w:gridSpan w:val="3"/>
            <w:shd w:val="clear" w:color="auto" w:fill="CCEEFF"/>
            <w:tcMar>
              <w:top w:w="40" w:type="dxa"/>
              <w:left w:w="20" w:type="dxa"/>
              <w:bottom w:w="40" w:type="dxa"/>
              <w:right w:w="20" w:type="dxa"/>
            </w:tcMar>
          </w:tcPr>
          <w:p w14:paraId="518B79CE" w14:textId="77777777" w:rsidR="005C332D" w:rsidRDefault="00B93EAE">
            <w:pPr>
              <w:textAlignment w:val="top"/>
            </w:pPr>
            <w:r>
              <w:rPr>
                <w:rFonts w:ascii="Times New Roman" w:eastAsia="宋体" w:hAnsi="Times New Roman"/>
                <w:color w:val="000000"/>
                <w:sz w:val="20"/>
                <w:szCs w:val="20"/>
              </w:rPr>
              <w:t>Maximum potential future payments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9C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9D0" w14:textId="77777777" w:rsidR="005C332D" w:rsidRDefault="00B93EAE">
            <w:pPr>
              <w:jc w:val="right"/>
              <w:textAlignment w:val="bottom"/>
            </w:pPr>
            <w:r>
              <w:rPr>
                <w:rFonts w:ascii="Times New Roman" w:eastAsia="宋体" w:hAnsi="Times New Roman"/>
                <w:b/>
                <w:bCs/>
                <w:color w:val="000000"/>
                <w:sz w:val="20"/>
                <w:szCs w:val="20"/>
              </w:rPr>
              <w:t>188</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9D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D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9D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9D4" w14:textId="77777777" w:rsidR="005C332D" w:rsidRDefault="00B93EAE">
            <w:pPr>
              <w:jc w:val="right"/>
              <w:textAlignment w:val="bottom"/>
            </w:pPr>
            <w:r>
              <w:rPr>
                <w:rFonts w:ascii="Times New Roman" w:eastAsia="宋体" w:hAnsi="Times New Roman"/>
                <w:color w:val="000000"/>
                <w:sz w:val="20"/>
                <w:szCs w:val="20"/>
              </w:rPr>
              <w:t>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9D5" w14:textId="77777777" w:rsidR="005C332D" w:rsidRDefault="005C332D">
            <w:pPr>
              <w:jc w:val="right"/>
              <w:rPr>
                <w:rFonts w:ascii="宋体"/>
              </w:rPr>
            </w:pPr>
          </w:p>
        </w:tc>
      </w:tr>
      <w:tr w:rsidR="005C332D" w14:paraId="518B79DD" w14:textId="77777777">
        <w:trPr>
          <w:jc w:val="center"/>
        </w:trPr>
        <w:tc>
          <w:tcPr>
            <w:tcW w:w="0" w:type="auto"/>
            <w:gridSpan w:val="3"/>
            <w:shd w:val="clear" w:color="auto" w:fill="FFFFFF"/>
            <w:tcMar>
              <w:top w:w="40" w:type="dxa"/>
              <w:left w:w="20" w:type="dxa"/>
              <w:bottom w:w="40" w:type="dxa"/>
              <w:right w:w="20" w:type="dxa"/>
            </w:tcMar>
          </w:tcPr>
          <w:p w14:paraId="518B79D7" w14:textId="77777777" w:rsidR="005C332D" w:rsidRDefault="00B93EAE">
            <w:pPr>
              <w:textAlignment w:val="top"/>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518B79D8" w14:textId="77777777" w:rsidR="005C332D" w:rsidRDefault="00B93EAE">
            <w:pPr>
              <w:jc w:val="right"/>
              <w:textAlignment w:val="bottom"/>
            </w:pPr>
            <w:r>
              <w:rPr>
                <w:rFonts w:ascii="Times New Roman" w:eastAsia="宋体" w:hAnsi="Times New Roman"/>
                <w:b/>
                <w:bCs/>
                <w:color w:val="000000"/>
                <w:sz w:val="20"/>
                <w:szCs w:val="20"/>
              </w:rPr>
              <w:t>(9)</w:t>
            </w:r>
          </w:p>
        </w:tc>
        <w:tc>
          <w:tcPr>
            <w:tcW w:w="0" w:type="auto"/>
            <w:shd w:val="clear" w:color="auto" w:fill="FFFFFF"/>
            <w:tcMar>
              <w:top w:w="40" w:type="dxa"/>
              <w:left w:w="0" w:type="dxa"/>
              <w:bottom w:w="40" w:type="dxa"/>
              <w:right w:w="20" w:type="dxa"/>
            </w:tcMar>
            <w:vAlign w:val="bottom"/>
          </w:tcPr>
          <w:p w14:paraId="518B79D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9D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9DB" w14:textId="77777777" w:rsidR="005C332D" w:rsidRDefault="00B93EAE">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518B79DC" w14:textId="77777777" w:rsidR="005C332D" w:rsidRDefault="005C332D">
            <w:pPr>
              <w:jc w:val="right"/>
              <w:rPr>
                <w:rFonts w:ascii="宋体"/>
              </w:rPr>
            </w:pPr>
          </w:p>
        </w:tc>
      </w:tr>
      <w:tr w:rsidR="005C332D" w14:paraId="518B79E6" w14:textId="77777777">
        <w:trPr>
          <w:jc w:val="center"/>
        </w:trPr>
        <w:tc>
          <w:tcPr>
            <w:tcW w:w="0" w:type="auto"/>
            <w:gridSpan w:val="3"/>
            <w:shd w:val="clear" w:color="auto" w:fill="CCEEFF"/>
            <w:tcMar>
              <w:top w:w="40" w:type="dxa"/>
              <w:left w:w="740" w:type="dxa"/>
              <w:bottom w:w="40" w:type="dxa"/>
              <w:right w:w="20" w:type="dxa"/>
            </w:tcMar>
          </w:tcPr>
          <w:p w14:paraId="518B79DE"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9D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9E0" w14:textId="77777777" w:rsidR="005C332D" w:rsidRDefault="00B93EAE">
            <w:pPr>
              <w:jc w:val="right"/>
              <w:textAlignment w:val="bottom"/>
            </w:pPr>
            <w:r>
              <w:rPr>
                <w:rFonts w:ascii="Times New Roman" w:eastAsia="宋体" w:hAnsi="Times New Roman"/>
                <w:b/>
                <w:bCs/>
                <w:color w:val="000000"/>
                <w:sz w:val="20"/>
                <w:szCs w:val="20"/>
              </w:rPr>
              <w:t>179</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9E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9E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9E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9E4" w14:textId="77777777" w:rsidR="005C332D" w:rsidRDefault="00B93EAE">
            <w:pPr>
              <w:jc w:val="right"/>
              <w:textAlignment w:val="bottom"/>
            </w:pPr>
            <w:r>
              <w:rPr>
                <w:rFonts w:ascii="Times New Roman" w:eastAsia="宋体" w:hAnsi="Times New Roman"/>
                <w:color w:val="000000"/>
                <w:sz w:val="20"/>
                <w:szCs w:val="20"/>
              </w:rPr>
              <w:t>139 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9E5" w14:textId="77777777" w:rsidR="005C332D" w:rsidRDefault="005C332D">
            <w:pPr>
              <w:jc w:val="right"/>
              <w:rPr>
                <w:rFonts w:ascii="宋体"/>
              </w:rPr>
            </w:pPr>
          </w:p>
        </w:tc>
      </w:tr>
    </w:tbl>
    <w:p w14:paraId="518B79E7" w14:textId="77777777" w:rsidR="005C332D" w:rsidRDefault="00B93EAE">
      <w:pPr>
        <w:spacing w:before="120"/>
        <w:ind w:hanging="360"/>
        <w:jc w:val="both"/>
      </w:pPr>
      <w:r>
        <w:rPr>
          <w:rFonts w:ascii="Times New Roman" w:eastAsia="宋体" w:hAnsi="Times New Roman"/>
          <w:b/>
          <w:bCs/>
          <w:color w:val="000000"/>
          <w:sz w:val="20"/>
          <w:szCs w:val="20"/>
        </w:rPr>
        <w:t>(e)Indemnifications</w:t>
      </w:r>
    </w:p>
    <w:p w14:paraId="518B79E8" w14:textId="77777777" w:rsidR="005C332D" w:rsidRDefault="00B93EAE">
      <w:pPr>
        <w:spacing w:before="120"/>
        <w:jc w:val="both"/>
      </w:pPr>
      <w:r>
        <w:rPr>
          <w:rFonts w:ascii="Times New Roman" w:eastAsia="宋体" w:hAnsi="Times New Roman"/>
          <w:color w:val="000000"/>
          <w:sz w:val="20"/>
          <w:szCs w:val="20"/>
        </w:rPr>
        <w:t xml:space="preserve">In the normal course of business, we have indemnification obligations to other parties, including customers, lessors, and parties to other transactions with us, with </w:t>
      </w:r>
      <w:r>
        <w:rPr>
          <w:rFonts w:ascii="Times New Roman" w:eastAsia="宋体" w:hAnsi="Times New Roman"/>
          <w:color w:val="000000"/>
          <w:sz w:val="20"/>
          <w:szCs w:val="20"/>
        </w:rPr>
        <w:t>respect to certain matters. We have agreed to indemnify against losses arising from a breach of representations or covenants or out of intellectual property infringement or other claims made against certain parties. These agreements may limit the time or c</w:t>
      </w:r>
      <w:r>
        <w:rPr>
          <w:rFonts w:ascii="Times New Roman" w:eastAsia="宋体" w:hAnsi="Times New Roman"/>
          <w:color w:val="000000"/>
          <w:sz w:val="20"/>
          <w:szCs w:val="20"/>
        </w:rPr>
        <w:t>ircumstances within which an indemnification claim can be made and the amount of the claim.</w:t>
      </w:r>
    </w:p>
    <w:p w14:paraId="518B79E9" w14:textId="77777777" w:rsidR="005C332D" w:rsidRDefault="00B93EAE">
      <w:pPr>
        <w:spacing w:before="120"/>
        <w:jc w:val="both"/>
      </w:pPr>
      <w:r>
        <w:rPr>
          <w:rFonts w:ascii="Times New Roman" w:eastAsia="宋体" w:hAnsi="Times New Roman"/>
          <w:color w:val="000000"/>
          <w:sz w:val="20"/>
          <w:szCs w:val="20"/>
        </w:rPr>
        <w:t xml:space="preserve">It is not possible to determine the maximum potential amount for claims made under the indemnification obligations due to uncertainties in the litigation </w:t>
      </w:r>
      <w:r>
        <w:rPr>
          <w:rFonts w:ascii="Times New Roman" w:eastAsia="宋体" w:hAnsi="Times New Roman"/>
          <w:color w:val="000000"/>
          <w:sz w:val="20"/>
          <w:szCs w:val="20"/>
        </w:rPr>
        <w:t>process, coordination with and contributions by other parties and the defendants in these types of cases, and the unique facts and circumstances involved in each particular case and agreement. Historically, indemnity payments made by us have not had a mate</w:t>
      </w:r>
      <w:r>
        <w:rPr>
          <w:rFonts w:ascii="Times New Roman" w:eastAsia="宋体" w:hAnsi="Times New Roman"/>
          <w:color w:val="000000"/>
          <w:sz w:val="20"/>
          <w:szCs w:val="20"/>
        </w:rPr>
        <w:t>rial effect on our Consolidated Financial Statements.</w:t>
      </w:r>
    </w:p>
    <w:p w14:paraId="518B79EA" w14:textId="77777777" w:rsidR="005C332D" w:rsidRDefault="00B93EAE">
      <w:pPr>
        <w:spacing w:before="120"/>
        <w:jc w:val="both"/>
      </w:pPr>
      <w:r>
        <w:rPr>
          <w:rFonts w:ascii="Times New Roman" w:eastAsia="宋体" w:hAnsi="Times New Roman"/>
          <w:color w:val="000000"/>
          <w:sz w:val="20"/>
          <w:szCs w:val="20"/>
        </w:rPr>
        <w:t xml:space="preserve">In addition, we have entered into indemnification agreements with our officers and directors, and our Amended and Restated Bylaws contain similar indemnification obligations to our agents. </w:t>
      </w:r>
    </w:p>
    <w:p w14:paraId="518B79EB" w14:textId="77777777" w:rsidR="005C332D" w:rsidRDefault="00B93EAE">
      <w:pPr>
        <w:spacing w:before="120"/>
        <w:ind w:hanging="360"/>
        <w:jc w:val="both"/>
      </w:pPr>
      <w:r>
        <w:rPr>
          <w:rFonts w:ascii="Times New Roman" w:eastAsia="宋体" w:hAnsi="Times New Roman"/>
          <w:b/>
          <w:bCs/>
          <w:color w:val="000000"/>
          <w:sz w:val="20"/>
          <w:szCs w:val="20"/>
        </w:rPr>
        <w:t>(f)Legal Pro</w:t>
      </w:r>
      <w:r>
        <w:rPr>
          <w:rFonts w:ascii="Times New Roman" w:eastAsia="宋体" w:hAnsi="Times New Roman"/>
          <w:b/>
          <w:bCs/>
          <w:color w:val="000000"/>
          <w:sz w:val="20"/>
          <w:szCs w:val="20"/>
        </w:rPr>
        <w:t>ceedings</w:t>
      </w:r>
    </w:p>
    <w:p w14:paraId="518B79EC" w14:textId="77777777" w:rsidR="005C332D" w:rsidRDefault="00B93EAE">
      <w:pPr>
        <w:spacing w:before="120"/>
        <w:jc w:val="both"/>
      </w:pPr>
      <w:r>
        <w:rPr>
          <w:rFonts w:ascii="Times New Roman" w:eastAsia="宋体" w:hAnsi="Times New Roman"/>
          <w:color w:val="000000"/>
          <w:sz w:val="20"/>
          <w:szCs w:val="20"/>
          <w:u w:val="single"/>
        </w:rPr>
        <w:t>Brazil</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Brazilian authorities have investigated our Brazilian subsidiary and certain</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of its former employees, as well as a Brazilian importer of our products, and its affiliates and employees, relating to alleged evasion of import taxes and alleged</w:t>
      </w:r>
      <w:r>
        <w:rPr>
          <w:rFonts w:ascii="Times New Roman" w:eastAsia="宋体" w:hAnsi="Times New Roman"/>
          <w:color w:val="000000"/>
          <w:sz w:val="20"/>
          <w:szCs w:val="20"/>
        </w:rPr>
        <w:t xml:space="preserve"> improper transactions involving the subsidiary and the importer. Brazilian tax authorities have assessed claims against our Brazilian subsidiary based on a theory of joint liability with the Brazilian importer for import taxes, interest, and penalties. In</w:t>
      </w:r>
      <w:r>
        <w:rPr>
          <w:rFonts w:ascii="Times New Roman" w:eastAsia="宋体" w:hAnsi="Times New Roman"/>
          <w:color w:val="000000"/>
          <w:sz w:val="20"/>
          <w:szCs w:val="20"/>
        </w:rPr>
        <w:t xml:space="preserve"> addition to claims asserted by the Brazilian federal tax authorities in prior fiscal years, tax authorities from the Brazilian state of Sao Paulo have asserted similar claims on the same legal basis in prior fiscal years. </w:t>
      </w:r>
    </w:p>
    <w:p w14:paraId="518B79ED" w14:textId="77777777" w:rsidR="005C332D" w:rsidRDefault="00B93EAE">
      <w:pPr>
        <w:spacing w:before="120"/>
        <w:jc w:val="both"/>
      </w:pPr>
      <w:r>
        <w:rPr>
          <w:rFonts w:ascii="Times New Roman" w:eastAsia="宋体" w:hAnsi="Times New Roman"/>
          <w:color w:val="000000"/>
          <w:sz w:val="20"/>
          <w:szCs w:val="20"/>
        </w:rPr>
        <w:t>The asserted claims by Brazilian</w:t>
      </w:r>
      <w:r>
        <w:rPr>
          <w:rFonts w:ascii="Times New Roman" w:eastAsia="宋体" w:hAnsi="Times New Roman"/>
          <w:color w:val="000000"/>
          <w:sz w:val="20"/>
          <w:szCs w:val="20"/>
        </w:rPr>
        <w:t xml:space="preserve"> federal tax authorities are for calendar years 2003 through 2007, and the asserted claims by the tax authorities from the state of Sao Paulo are for calendar years 2005 through 2007. The total asserted claims by Brazilian state </w:t>
      </w:r>
    </w:p>
    <w:p w14:paraId="518B79EE" w14:textId="77777777" w:rsidR="005C332D" w:rsidRDefault="00B93EAE">
      <w:pPr>
        <w:jc w:val="center"/>
      </w:pPr>
      <w:r>
        <w:rPr>
          <w:rFonts w:ascii="Times New Roman" w:eastAsia="宋体" w:hAnsi="Times New Roman"/>
          <w:color w:val="000000"/>
          <w:sz w:val="20"/>
          <w:szCs w:val="20"/>
        </w:rPr>
        <w:t>90</w:t>
      </w:r>
    </w:p>
    <w:p w14:paraId="518B79EF" w14:textId="77777777" w:rsidR="005C332D" w:rsidRDefault="00B93EAE">
      <w:r>
        <w:pict w14:anchorId="518B876F">
          <v:rect id="_x0000_i1116" style="width:415.3pt;height:1.5pt" o:hralign="center" o:hrstd="t" o:hr="t" fillcolor="#a0a0a0" stroked="f"/>
        </w:pict>
      </w:r>
    </w:p>
    <w:p w14:paraId="518B79F0" w14:textId="77777777" w:rsidR="005C332D" w:rsidRDefault="005C332D"/>
    <w:p w14:paraId="518B79F1" w14:textId="77777777" w:rsidR="005C332D" w:rsidRDefault="00B93EAE">
      <w:pPr>
        <w:spacing w:before="120"/>
        <w:jc w:val="both"/>
      </w:pPr>
      <w:r>
        <w:rPr>
          <w:rFonts w:ascii="Times New Roman" w:eastAsia="宋体" w:hAnsi="Times New Roman"/>
          <w:color w:val="000000"/>
          <w:sz w:val="20"/>
          <w:szCs w:val="20"/>
        </w:rPr>
        <w:t>and federal tax auth</w:t>
      </w:r>
      <w:r>
        <w:rPr>
          <w:rFonts w:ascii="Times New Roman" w:eastAsia="宋体" w:hAnsi="Times New Roman"/>
          <w:color w:val="000000"/>
          <w:sz w:val="20"/>
          <w:szCs w:val="20"/>
        </w:rPr>
        <w:t xml:space="preserve">orities aggregate to $156 million for the alleged evasion of import and other taxes, $822 million for interest, and $387 million for various penalties, all determined using an exchange rate as of July 30, 2022. </w:t>
      </w:r>
    </w:p>
    <w:p w14:paraId="518B79F2" w14:textId="77777777" w:rsidR="005C332D" w:rsidRDefault="00B93EAE">
      <w:pPr>
        <w:spacing w:before="120"/>
        <w:jc w:val="both"/>
      </w:pPr>
      <w:r>
        <w:rPr>
          <w:rFonts w:ascii="Times New Roman" w:eastAsia="宋体" w:hAnsi="Times New Roman"/>
          <w:color w:val="000000"/>
          <w:sz w:val="20"/>
          <w:szCs w:val="20"/>
        </w:rPr>
        <w:t>We have completed a thorough review of the m</w:t>
      </w:r>
      <w:r>
        <w:rPr>
          <w:rFonts w:ascii="Times New Roman" w:eastAsia="宋体" w:hAnsi="Times New Roman"/>
          <w:color w:val="000000"/>
          <w:sz w:val="20"/>
          <w:szCs w:val="20"/>
        </w:rPr>
        <w:t>atters and believe the asserted claims against our Brazilian subsidiary are without merit, and we are defending the claims vigorously. While we believe there is no legal basis for the alleged liability, due to the complexities and uncertainty surrounding t</w:t>
      </w:r>
      <w:r>
        <w:rPr>
          <w:rFonts w:ascii="Times New Roman" w:eastAsia="宋体" w:hAnsi="Times New Roman"/>
          <w:color w:val="000000"/>
          <w:sz w:val="20"/>
          <w:szCs w:val="20"/>
        </w:rPr>
        <w:t>he judicial process in Brazil and the nature of the claims asserting joint liability with the importer, we are unable to determine the likelihood of an unfavorable outcome against our Brazilian subsidiary and are unable to reasonably estimate a range of lo</w:t>
      </w:r>
      <w:r>
        <w:rPr>
          <w:rFonts w:ascii="Times New Roman" w:eastAsia="宋体" w:hAnsi="Times New Roman"/>
          <w:color w:val="000000"/>
          <w:sz w:val="20"/>
          <w:szCs w:val="20"/>
        </w:rPr>
        <w:t xml:space="preserve">ss, if any. We do not expect a final judicial determination for several years. </w:t>
      </w:r>
    </w:p>
    <w:p w14:paraId="518B79F3" w14:textId="77777777" w:rsidR="005C332D" w:rsidRDefault="00B93EAE">
      <w:pPr>
        <w:spacing w:before="120"/>
        <w:jc w:val="both"/>
      </w:pPr>
      <w:r>
        <w:rPr>
          <w:rFonts w:ascii="Times New Roman" w:eastAsia="宋体" w:hAnsi="Times New Roman"/>
          <w:color w:val="000000"/>
          <w:sz w:val="20"/>
          <w:szCs w:val="20"/>
          <w:u w:val="single"/>
        </w:rPr>
        <w:t>SRI International</w:t>
      </w:r>
      <w:r>
        <w:rPr>
          <w:rFonts w:ascii="Times New Roman" w:eastAsia="宋体" w:hAnsi="Times New Roman"/>
          <w:color w:val="000000"/>
          <w:sz w:val="20"/>
          <w:szCs w:val="20"/>
        </w:rPr>
        <w:t xml:space="preserve"> On September 4, 2013, SRI International, Inc. (“SRI”) asserted claims against us in the U.S. District Court for the District of Delaware (“D. Del.”), accusing</w:t>
      </w:r>
      <w:r>
        <w:rPr>
          <w:rFonts w:ascii="Times New Roman" w:eastAsia="宋体" w:hAnsi="Times New Roman"/>
          <w:color w:val="000000"/>
          <w:sz w:val="20"/>
          <w:szCs w:val="20"/>
        </w:rPr>
        <w:t xml:space="preserve"> our products and services related to network intrusion detection of infringing two patents. After a trial, SRI obtained a verdict against us, and we appealed to the United States Court of Appeals for the Federal Circuit (“Federal Circuit”) which was ultim</w:t>
      </w:r>
      <w:r>
        <w:rPr>
          <w:rFonts w:ascii="Times New Roman" w:eastAsia="宋体" w:hAnsi="Times New Roman"/>
          <w:color w:val="000000"/>
          <w:sz w:val="20"/>
          <w:szCs w:val="20"/>
        </w:rPr>
        <w:t xml:space="preserve">ately unsuccessful. In resolution of this matter, we have paid the SRI judgments, including attorneys’ fees and post-judgment royalties and interest, in the aggregate amount of approximately $60 million. On May 17, 2022, the District Court entered a final </w:t>
      </w:r>
      <w:r>
        <w:rPr>
          <w:rFonts w:ascii="Times New Roman" w:eastAsia="宋体" w:hAnsi="Times New Roman"/>
          <w:color w:val="000000"/>
          <w:sz w:val="20"/>
          <w:szCs w:val="20"/>
        </w:rPr>
        <w:t>order in the case requiring us to pay SRI additional post-judgment interest of approximately $1 million. We made the payment and the case is now concluded.</w:t>
      </w:r>
    </w:p>
    <w:p w14:paraId="518B79F4" w14:textId="77777777" w:rsidR="005C332D" w:rsidRDefault="00B93EAE">
      <w:pPr>
        <w:spacing w:before="120"/>
        <w:jc w:val="both"/>
      </w:pPr>
      <w:r>
        <w:rPr>
          <w:rFonts w:ascii="Times New Roman" w:eastAsia="宋体" w:hAnsi="Times New Roman"/>
          <w:color w:val="000000"/>
          <w:sz w:val="20"/>
          <w:szCs w:val="20"/>
          <w:u w:val="single"/>
        </w:rPr>
        <w:t>Centripetal</w:t>
      </w:r>
      <w:r>
        <w:rPr>
          <w:rFonts w:ascii="Times New Roman" w:eastAsia="宋体" w:hAnsi="Times New Roman"/>
          <w:color w:val="000000"/>
          <w:sz w:val="20"/>
          <w:szCs w:val="20"/>
        </w:rPr>
        <w:t xml:space="preserve"> On February 13, 2018, Centripetal Networks, Inc. (“Centripetal”) asserted patent infring</w:t>
      </w:r>
      <w:r>
        <w:rPr>
          <w:rFonts w:ascii="Times New Roman" w:eastAsia="宋体" w:hAnsi="Times New Roman"/>
          <w:color w:val="000000"/>
          <w:sz w:val="20"/>
          <w:szCs w:val="20"/>
        </w:rPr>
        <w:t>ement claims against us in the U.S. District Court for the Eastern District of Virginia, alleging that several of our products and services (including our Catalyst switches, ASR and ISR series routers, ASAs with FirePOWER services, and Stealthwatch product</w:t>
      </w:r>
      <w:r>
        <w:rPr>
          <w:rFonts w:ascii="Times New Roman" w:eastAsia="宋体" w:hAnsi="Times New Roman"/>
          <w:color w:val="000000"/>
          <w:sz w:val="20"/>
          <w:szCs w:val="20"/>
        </w:rPr>
        <w:t>s) infringe eleven Centripetal U.S. patents. Following a number of successful petitions filed with the Patent Trial and Appeal Board (“PTAB”) of the United States Patent and Trademark Office (“PTO”) that were sustained on appeal, the district court case mo</w:t>
      </w:r>
      <w:r>
        <w:rPr>
          <w:rFonts w:ascii="Times New Roman" w:eastAsia="宋体" w:hAnsi="Times New Roman"/>
          <w:color w:val="000000"/>
          <w:sz w:val="20"/>
          <w:szCs w:val="20"/>
        </w:rPr>
        <w:t>ved forward on five asserted U.S. patents not subject to the IPR Proceedings. The district court conducted a bench trial by videoconference from May 6, 2020 to June 25, 2020. On October 5, 2020, the district court issued a judgment finding validity and wil</w:t>
      </w:r>
      <w:r>
        <w:rPr>
          <w:rFonts w:ascii="Times New Roman" w:eastAsia="宋体" w:hAnsi="Times New Roman"/>
          <w:color w:val="000000"/>
          <w:sz w:val="20"/>
          <w:szCs w:val="20"/>
        </w:rPr>
        <w:t>lful infringement of four of the asserted patents and non-infringement of the fifth patent. The district court awarded Centripetal $1.9 billion, comprised of $756 million in damages, $1.1 billion in enhanced damages for willful infringement, and pre-judgme</w:t>
      </w:r>
      <w:r>
        <w:rPr>
          <w:rFonts w:ascii="Times New Roman" w:eastAsia="宋体" w:hAnsi="Times New Roman"/>
          <w:color w:val="000000"/>
          <w:sz w:val="20"/>
          <w:szCs w:val="20"/>
        </w:rPr>
        <w:t>nt interest in the amount of $14 million. The district court declined to issue an injunction but, instead, awarded Centripetal a running royalty against revenue from the products found to infringe for an initial three-year term at a rate of 10%, with a min</w:t>
      </w:r>
      <w:r>
        <w:rPr>
          <w:rFonts w:ascii="Times New Roman" w:eastAsia="宋体" w:hAnsi="Times New Roman"/>
          <w:color w:val="000000"/>
          <w:sz w:val="20"/>
          <w:szCs w:val="20"/>
        </w:rPr>
        <w:t xml:space="preserve">imum annual royalty of $168 million and a maximum annual royalty of $300 million, and for a second three-year term at a rate of 5%, with a minimum annual royalty of $84 million and a maximum annual royalty of $150 million. We appealed the district court’s </w:t>
      </w:r>
      <w:r>
        <w:rPr>
          <w:rFonts w:ascii="Times New Roman" w:eastAsia="宋体" w:hAnsi="Times New Roman"/>
          <w:color w:val="000000"/>
          <w:sz w:val="20"/>
          <w:szCs w:val="20"/>
        </w:rPr>
        <w:t xml:space="preserve">judgment as to the four patents found valid and infringed to the Federal Circuit. On June 23, 2022, the Federal Circuit vacated the district court’s final judgment, remanded the case back to the district court to be assigned to a new judge and ordered the </w:t>
      </w:r>
      <w:r>
        <w:rPr>
          <w:rFonts w:ascii="Times New Roman" w:eastAsia="宋体" w:hAnsi="Times New Roman"/>
          <w:color w:val="000000"/>
          <w:sz w:val="20"/>
          <w:szCs w:val="20"/>
        </w:rPr>
        <w:t>district court to conduct additional proceedings.</w:t>
      </w:r>
    </w:p>
    <w:p w14:paraId="518B79F5" w14:textId="77777777" w:rsidR="005C332D" w:rsidRDefault="00B93EAE">
      <w:pPr>
        <w:spacing w:before="120"/>
        <w:jc w:val="both"/>
      </w:pPr>
      <w:r>
        <w:rPr>
          <w:rFonts w:ascii="Times New Roman" w:eastAsia="宋体" w:hAnsi="Times New Roman"/>
          <w:color w:val="000000"/>
          <w:sz w:val="20"/>
          <w:szCs w:val="20"/>
        </w:rPr>
        <w:t>Centripetal filed complaints in the District Court of Dusseldorf in Germany (“German Court”) against Cisco Systems GmbH and Cisco Systems, Inc., asserting a total of six patents. On April 29, 2020 and April</w:t>
      </w:r>
      <w:r>
        <w:rPr>
          <w:rFonts w:ascii="Times New Roman" w:eastAsia="宋体" w:hAnsi="Times New Roman"/>
          <w:color w:val="000000"/>
          <w:sz w:val="20"/>
          <w:szCs w:val="20"/>
        </w:rPr>
        <w:t xml:space="preserve"> 30, 2020, Centripetal asserted three European patents, seeking both injunctive relief and damages. Two of the three European patents are counterparts to two U.S. patents Centripetal asserted against us in the U.S. district court proceedings, one of which </w:t>
      </w:r>
      <w:r>
        <w:rPr>
          <w:rFonts w:ascii="Times New Roman" w:eastAsia="宋体" w:hAnsi="Times New Roman"/>
          <w:color w:val="000000"/>
          <w:sz w:val="20"/>
          <w:szCs w:val="20"/>
        </w:rPr>
        <w:t xml:space="preserve">has been invalidated by the PTAB. On June 22, 2021, Centripetal amended one of its complaints to assert one additional European patent and one additional German Utility Model patent. On December 10, 2021, the German Court rejected Centripetal’s complaints </w:t>
      </w:r>
      <w:r>
        <w:rPr>
          <w:rFonts w:ascii="Times New Roman" w:eastAsia="宋体" w:hAnsi="Times New Roman"/>
          <w:color w:val="000000"/>
          <w:sz w:val="20"/>
          <w:szCs w:val="20"/>
        </w:rPr>
        <w:t>on two patents, and Centripetal has appealed. A hearing for a Cisco nullity action in the Federal Patent Court in Germany on one of those two patents occurred on August 1, 2022, and we are waiting for the Court’s opinion. On December 21, 2021, the German C</w:t>
      </w:r>
      <w:r>
        <w:rPr>
          <w:rFonts w:ascii="Times New Roman" w:eastAsia="宋体" w:hAnsi="Times New Roman"/>
          <w:color w:val="000000"/>
          <w:sz w:val="20"/>
          <w:szCs w:val="20"/>
        </w:rPr>
        <w:t>ourt stayed its decision on infringement of the third patent pending a decision by the Federal Patent Court in a related nullity proceeding. On May 17, 2022, Centripetal withdrew its complaint for infringement of the German Utility Model patent. The procee</w:t>
      </w:r>
      <w:r>
        <w:rPr>
          <w:rFonts w:ascii="Times New Roman" w:eastAsia="宋体" w:hAnsi="Times New Roman"/>
          <w:color w:val="000000"/>
          <w:sz w:val="20"/>
          <w:szCs w:val="20"/>
        </w:rPr>
        <w:t xml:space="preserve">dings on Centripetal’s European patent filed on June 22, 2021 remains pending. </w:t>
      </w:r>
    </w:p>
    <w:p w14:paraId="518B79F6" w14:textId="77777777" w:rsidR="005C332D" w:rsidRDefault="00B93EAE">
      <w:pPr>
        <w:spacing w:before="120"/>
        <w:jc w:val="both"/>
      </w:pPr>
      <w:r>
        <w:rPr>
          <w:rFonts w:ascii="Times New Roman" w:eastAsia="宋体" w:hAnsi="Times New Roman"/>
          <w:color w:val="000000"/>
          <w:sz w:val="20"/>
          <w:szCs w:val="20"/>
        </w:rPr>
        <w:t>On February 14, 2022, Centripetal filed an additional complaint asserting infringement of another patent issued by the European Patent Office. Centripetal seeks both injunctive</w:t>
      </w:r>
      <w:r>
        <w:rPr>
          <w:rFonts w:ascii="Times New Roman" w:eastAsia="宋体" w:hAnsi="Times New Roman"/>
          <w:color w:val="000000"/>
          <w:sz w:val="20"/>
          <w:szCs w:val="20"/>
        </w:rPr>
        <w:t xml:space="preserve"> relief and damages on these patents. We are assessing the complaint and are preparing our defense.</w:t>
      </w:r>
    </w:p>
    <w:p w14:paraId="518B79F7" w14:textId="77777777" w:rsidR="005C332D" w:rsidRDefault="00B93EAE">
      <w:pPr>
        <w:spacing w:before="120"/>
        <w:jc w:val="both"/>
      </w:pPr>
      <w:r>
        <w:rPr>
          <w:rFonts w:ascii="Times New Roman" w:eastAsia="宋体" w:hAnsi="Times New Roman"/>
          <w:color w:val="000000"/>
          <w:sz w:val="20"/>
          <w:szCs w:val="20"/>
        </w:rPr>
        <w:t>Due to uncertainty surrounding patent litigation processes in the U.S. and Europe, we are unable to reasonably estimate the ultimate outcome of either litig</w:t>
      </w:r>
      <w:r>
        <w:rPr>
          <w:rFonts w:ascii="Times New Roman" w:eastAsia="宋体" w:hAnsi="Times New Roman"/>
          <w:color w:val="000000"/>
          <w:sz w:val="20"/>
          <w:szCs w:val="20"/>
        </w:rPr>
        <w:t>ation at this time. If we do not prevail in either litigation, we believe that any damages ultimately assessed would not have a material effect on our Consolidated Financial Statements.</w:t>
      </w:r>
    </w:p>
    <w:p w14:paraId="518B79F8" w14:textId="77777777" w:rsidR="005C332D" w:rsidRDefault="00B93EAE">
      <w:pPr>
        <w:spacing w:before="120"/>
        <w:jc w:val="both"/>
      </w:pPr>
      <w:r>
        <w:rPr>
          <w:rFonts w:ascii="Times New Roman" w:eastAsia="宋体" w:hAnsi="Times New Roman"/>
          <w:color w:val="000000"/>
          <w:sz w:val="20"/>
          <w:szCs w:val="20"/>
          <w:u w:val="single"/>
        </w:rPr>
        <w:t>Ramot</w:t>
      </w:r>
      <w:r>
        <w:rPr>
          <w:rFonts w:ascii="Times New Roman" w:eastAsia="宋体" w:hAnsi="Times New Roman"/>
          <w:color w:val="000000"/>
          <w:sz w:val="20"/>
          <w:szCs w:val="20"/>
        </w:rPr>
        <w:t xml:space="preserve"> On June 12, 2019, Ramot at Tel Aviv University Ltd. (“Ramot”) as</w:t>
      </w:r>
      <w:r>
        <w:rPr>
          <w:rFonts w:ascii="Times New Roman" w:eastAsia="宋体" w:hAnsi="Times New Roman"/>
          <w:color w:val="000000"/>
          <w:sz w:val="20"/>
          <w:szCs w:val="20"/>
        </w:rPr>
        <w:t>serted patent infringement claims against us in E.D. Tex., seeking damages, including enhanced damages for allegations of willful infringement, and a running royalty on future sales. Ramot alleges that certain Cisco optical transceiver modules and line car</w:t>
      </w:r>
      <w:r>
        <w:rPr>
          <w:rFonts w:ascii="Times New Roman" w:eastAsia="宋体" w:hAnsi="Times New Roman"/>
          <w:color w:val="000000"/>
          <w:sz w:val="20"/>
          <w:szCs w:val="20"/>
        </w:rPr>
        <w:t xml:space="preserve">ds infringe three patents. As of November 27, 2020, the PTO preliminarily found all asserted claims unpatentable in ex parte reexamination proceedings. On January 13, 2021, the court entered an order staying the case pending the conclusion of the ex parte </w:t>
      </w:r>
      <w:r>
        <w:rPr>
          <w:rFonts w:ascii="Times New Roman" w:eastAsia="宋体" w:hAnsi="Times New Roman"/>
          <w:color w:val="000000"/>
          <w:sz w:val="20"/>
          <w:szCs w:val="20"/>
        </w:rPr>
        <w:t>reexamination proceedings (“Reexamination Proceedings”). While we believe that we have strong non-infringement and invalidity arguments, and that Ramot’s damages theories are not supported by prevailing law, we are unable to reasonably estimate the ultimat</w:t>
      </w:r>
      <w:r>
        <w:rPr>
          <w:rFonts w:ascii="Times New Roman" w:eastAsia="宋体" w:hAnsi="Times New Roman"/>
          <w:color w:val="000000"/>
          <w:sz w:val="20"/>
          <w:szCs w:val="20"/>
        </w:rPr>
        <w:t xml:space="preserve">e outcome of </w:t>
      </w:r>
    </w:p>
    <w:p w14:paraId="518B79F9" w14:textId="77777777" w:rsidR="005C332D" w:rsidRDefault="00B93EAE">
      <w:pPr>
        <w:jc w:val="center"/>
      </w:pPr>
      <w:r>
        <w:rPr>
          <w:rFonts w:ascii="Times New Roman" w:eastAsia="宋体" w:hAnsi="Times New Roman"/>
          <w:color w:val="000000"/>
          <w:sz w:val="20"/>
          <w:szCs w:val="20"/>
        </w:rPr>
        <w:t>91</w:t>
      </w:r>
    </w:p>
    <w:p w14:paraId="518B79FA" w14:textId="77777777" w:rsidR="005C332D" w:rsidRDefault="00B93EAE">
      <w:r>
        <w:pict w14:anchorId="518B8770">
          <v:rect id="_x0000_i1117" style="width:415.3pt;height:1.5pt" o:hralign="center" o:hrstd="t" o:hr="t" fillcolor="#a0a0a0" stroked="f"/>
        </w:pict>
      </w:r>
    </w:p>
    <w:p w14:paraId="518B79FB" w14:textId="77777777" w:rsidR="005C332D" w:rsidRDefault="005C332D"/>
    <w:p w14:paraId="518B79FC" w14:textId="77777777" w:rsidR="005C332D" w:rsidRDefault="00B93EAE">
      <w:pPr>
        <w:spacing w:before="120"/>
        <w:jc w:val="both"/>
      </w:pPr>
      <w:r>
        <w:rPr>
          <w:rFonts w:ascii="Times New Roman" w:eastAsia="宋体" w:hAnsi="Times New Roman"/>
          <w:color w:val="000000"/>
          <w:sz w:val="20"/>
          <w:szCs w:val="20"/>
        </w:rPr>
        <w:t>this litigation at this time due to uncertainties in the litigation processes. If we do not prevail in court, we believe that any damages ultimately assessed would not have a material effect on our Consolidated Financial Statements.</w:t>
      </w:r>
    </w:p>
    <w:p w14:paraId="518B79FD" w14:textId="77777777" w:rsidR="005C332D" w:rsidRDefault="00B93EAE">
      <w:pPr>
        <w:spacing w:before="120"/>
        <w:jc w:val="both"/>
      </w:pPr>
      <w:r>
        <w:rPr>
          <w:rFonts w:ascii="Times New Roman" w:eastAsia="宋体" w:hAnsi="Times New Roman"/>
          <w:color w:val="000000"/>
          <w:sz w:val="20"/>
          <w:szCs w:val="20"/>
        </w:rPr>
        <w:t xml:space="preserve">On </w:t>
      </w:r>
      <w:r>
        <w:rPr>
          <w:rFonts w:ascii="Times New Roman" w:eastAsia="宋体" w:hAnsi="Times New Roman"/>
          <w:color w:val="000000"/>
          <w:sz w:val="20"/>
          <w:szCs w:val="20"/>
        </w:rPr>
        <w:t>February 26, 2021, Ramot asserted patent infringement claims against Acacia Communications, Inc. (“Acacia”) (which we subsequently acquired) in D. Del, seeking damages, including enhanced damages for allegations of willful infringement, and a running royal</w:t>
      </w:r>
      <w:r>
        <w:rPr>
          <w:rFonts w:ascii="Times New Roman" w:eastAsia="宋体" w:hAnsi="Times New Roman"/>
          <w:color w:val="000000"/>
          <w:sz w:val="20"/>
          <w:szCs w:val="20"/>
        </w:rPr>
        <w:t xml:space="preserve">ty on future sales. Ramot alleges that certain Acacia optical transceiver modules and integrated circuits infringe two of the three patents that Ramot has asserted in its E.D. Tex. case. On September 3, 2021, the court stayed the case pending the ultimate </w:t>
      </w:r>
      <w:r>
        <w:rPr>
          <w:rFonts w:ascii="Times New Roman" w:eastAsia="宋体" w:hAnsi="Times New Roman"/>
          <w:color w:val="000000"/>
          <w:sz w:val="20"/>
          <w:szCs w:val="20"/>
        </w:rPr>
        <w:t>resolution of the Reexamination Proceedings. Due to the early stage of the litigation as well as uncertainties in the litigation processes, we are unable, at this time, to reasonably estimate a potential range of loss, if any, or the ultimate outcome of th</w:t>
      </w:r>
      <w:r>
        <w:rPr>
          <w:rFonts w:ascii="Times New Roman" w:eastAsia="宋体" w:hAnsi="Times New Roman"/>
          <w:color w:val="000000"/>
          <w:sz w:val="20"/>
          <w:szCs w:val="20"/>
        </w:rPr>
        <w:t>is litigation.</w:t>
      </w:r>
    </w:p>
    <w:p w14:paraId="518B79FE" w14:textId="77777777" w:rsidR="005C332D" w:rsidRDefault="00B93EAE">
      <w:pPr>
        <w:spacing w:before="120"/>
        <w:jc w:val="both"/>
      </w:pPr>
      <w:r>
        <w:rPr>
          <w:rFonts w:ascii="Times New Roman" w:eastAsia="宋体" w:hAnsi="Times New Roman"/>
          <w:color w:val="000000"/>
          <w:sz w:val="20"/>
          <w:szCs w:val="20"/>
        </w:rPr>
        <w:t xml:space="preserve">On September 28, 2021, Cisco and Acacia filed a declaratory judgment action of noninfringement against Ramot in D. Del on another patent in the same family as those Ramot asserted in the previous litigations. Ramot counterclaimed for patent </w:t>
      </w:r>
      <w:r>
        <w:rPr>
          <w:rFonts w:ascii="Times New Roman" w:eastAsia="宋体" w:hAnsi="Times New Roman"/>
          <w:color w:val="000000"/>
          <w:sz w:val="20"/>
          <w:szCs w:val="20"/>
        </w:rPr>
        <w:t>infringement seeking damages, including enhanced damages for allegations of willful infringement, and a running royalty on future sales. Due to the early stage of the litigation as well as uncertainties in the litigation processes, we are unable, at this t</w:t>
      </w:r>
      <w:r>
        <w:rPr>
          <w:rFonts w:ascii="Times New Roman" w:eastAsia="宋体" w:hAnsi="Times New Roman"/>
          <w:color w:val="000000"/>
          <w:sz w:val="20"/>
          <w:szCs w:val="20"/>
        </w:rPr>
        <w:t>ime, to reasonably estimate a potential range of loss, if any, or the ultimate outcome of this litigation.</w:t>
      </w:r>
    </w:p>
    <w:p w14:paraId="518B79FF" w14:textId="77777777" w:rsidR="005C332D" w:rsidRDefault="00B93EAE">
      <w:pPr>
        <w:spacing w:before="120"/>
        <w:jc w:val="both"/>
      </w:pPr>
      <w:r>
        <w:rPr>
          <w:rFonts w:ascii="Times New Roman" w:eastAsia="宋体" w:hAnsi="Times New Roman"/>
          <w:color w:val="000000"/>
          <w:sz w:val="20"/>
          <w:szCs w:val="20"/>
        </w:rPr>
        <w:t>On May 24, 2022, Cisco and Acacia filed a declaratory judgment action of noninfringement against Ramot in D. Del on another patent in the same family</w:t>
      </w:r>
      <w:r>
        <w:rPr>
          <w:rFonts w:ascii="Times New Roman" w:eastAsia="宋体" w:hAnsi="Times New Roman"/>
          <w:color w:val="000000"/>
          <w:sz w:val="20"/>
          <w:szCs w:val="20"/>
        </w:rPr>
        <w:t xml:space="preserve"> as those Ramot asserted in the previous litigations. Ramot filed suit against Cisco in E.D. Tex. alleging infringement of the same patent. Ramot seeks damages, including enhanced damages for allegations of willful infringement, and a running royalty on fu</w:t>
      </w:r>
      <w:r>
        <w:rPr>
          <w:rFonts w:ascii="Times New Roman" w:eastAsia="宋体" w:hAnsi="Times New Roman"/>
          <w:color w:val="000000"/>
          <w:sz w:val="20"/>
          <w:szCs w:val="20"/>
        </w:rPr>
        <w:t>ture sales. Due to the early stage of these litigations as well as uncertainties in the litigation processes, we are unable, at this time, to reasonably estimate a potential range of loss, if any, or the ultimate outcome of these litigations.</w:t>
      </w:r>
    </w:p>
    <w:p w14:paraId="518B7A00" w14:textId="77777777" w:rsidR="005C332D" w:rsidRDefault="00B93EAE">
      <w:pPr>
        <w:spacing w:before="120"/>
        <w:jc w:val="both"/>
      </w:pPr>
      <w:r>
        <w:rPr>
          <w:rFonts w:ascii="Times New Roman" w:eastAsia="宋体" w:hAnsi="Times New Roman"/>
          <w:color w:val="000000"/>
          <w:sz w:val="20"/>
          <w:szCs w:val="20"/>
          <w:u w:val="single"/>
        </w:rPr>
        <w:t>Viasat</w:t>
      </w:r>
      <w:r>
        <w:rPr>
          <w:rFonts w:ascii="Times New Roman" w:eastAsia="宋体" w:hAnsi="Times New Roman"/>
          <w:color w:val="000000"/>
          <w:sz w:val="20"/>
          <w:szCs w:val="20"/>
        </w:rPr>
        <w:t xml:space="preserve"> On Jan</w:t>
      </w:r>
      <w:r>
        <w:rPr>
          <w:rFonts w:ascii="Times New Roman" w:eastAsia="宋体" w:hAnsi="Times New Roman"/>
          <w:color w:val="000000"/>
          <w:sz w:val="20"/>
          <w:szCs w:val="20"/>
        </w:rPr>
        <w:t>uary 21, 2016, Viasat, Inc. (“Viasat”) filed suit against Acacia (which we subsequently acquired) in the California Superior Court for San Diego County (“SDSC”) seeking unpaid royalties for breach of contract and the implied covenant of good faith and fair</w:t>
      </w:r>
      <w:r>
        <w:rPr>
          <w:rFonts w:ascii="Times New Roman" w:eastAsia="宋体" w:hAnsi="Times New Roman"/>
          <w:color w:val="000000"/>
          <w:sz w:val="20"/>
          <w:szCs w:val="20"/>
        </w:rPr>
        <w:t xml:space="preserve"> dealing, and damages for trade secret misappropriation for certain products (“Viasat 1”). Acacia counterclaimed for patent and trade secret misappropriation, contract, and unfair competition claims. On July 17, 2019, the jury found for Viasat on its contr</w:t>
      </w:r>
      <w:r>
        <w:rPr>
          <w:rFonts w:ascii="Times New Roman" w:eastAsia="宋体" w:hAnsi="Times New Roman"/>
          <w:color w:val="000000"/>
          <w:sz w:val="20"/>
          <w:szCs w:val="20"/>
        </w:rPr>
        <w:t>act claims, and awarded Viasat approximately $49 million for unpaid royalties through 2018. The jury further found that Acacia willfully misappropriated Viasat’s trade secrets and awarded Viasat $1. On Acacia’s counterclaims, the jury found for Acacia on i</w:t>
      </w:r>
      <w:r>
        <w:rPr>
          <w:rFonts w:ascii="Times New Roman" w:eastAsia="宋体" w:hAnsi="Times New Roman"/>
          <w:color w:val="000000"/>
          <w:sz w:val="20"/>
          <w:szCs w:val="20"/>
        </w:rPr>
        <w:t>ts contract and trade secret claims and awarded Acacia $1. Both Acacia and Viasat appealed to the California Court of Appeal, Fourth Appellate District (“CCA”). On May 23, 2022, the CCA affirmed the judgment of approximately $49 million, plus post-judgment</w:t>
      </w:r>
      <w:r>
        <w:rPr>
          <w:rFonts w:ascii="Times New Roman" w:eastAsia="宋体" w:hAnsi="Times New Roman"/>
          <w:color w:val="000000"/>
          <w:sz w:val="20"/>
          <w:szCs w:val="20"/>
        </w:rPr>
        <w:t xml:space="preserve"> interest and costs, for Viasat on its breach of contract claim for unpaid royalties, but reversed the judgments for Viasat for breach of the implied covenant of good faith and fair dealing, and for trade secret misappropriation. On July 8, 2022, a satisfa</w:t>
      </w:r>
      <w:r>
        <w:rPr>
          <w:rFonts w:ascii="Times New Roman" w:eastAsia="宋体" w:hAnsi="Times New Roman"/>
          <w:color w:val="000000"/>
          <w:sz w:val="20"/>
          <w:szCs w:val="20"/>
        </w:rPr>
        <w:t>ction of judgment was entered as to Acacia, resolving all claims and disputes as related to Viasat 1.</w:t>
      </w:r>
    </w:p>
    <w:p w14:paraId="518B7A01" w14:textId="77777777" w:rsidR="005C332D" w:rsidRDefault="00B93EAE">
      <w:pPr>
        <w:spacing w:before="120"/>
        <w:jc w:val="both"/>
      </w:pPr>
      <w:r>
        <w:rPr>
          <w:rFonts w:ascii="Times New Roman" w:eastAsia="宋体" w:hAnsi="Times New Roman"/>
          <w:color w:val="000000"/>
          <w:sz w:val="20"/>
          <w:szCs w:val="20"/>
        </w:rPr>
        <w:t>On November 6, 2019, Viasat filed a second suit in SDSC, alleging contract and trade secret claims for Acacia products sold from January 1, 2019 forward (</w:t>
      </w:r>
      <w:r>
        <w:rPr>
          <w:rFonts w:ascii="Times New Roman" w:eastAsia="宋体" w:hAnsi="Times New Roman"/>
          <w:color w:val="000000"/>
          <w:sz w:val="20"/>
          <w:szCs w:val="20"/>
        </w:rPr>
        <w:t>“Viasat 2”). On February 28, 2020, the court stayed Viasat 2 pending the appeal in Viasat 1. On June 9, 2020, Viasat filed a third suit in SDSC (“Viasat 3”). In Viasat 3, Viasat alleges contract and trade secrets claims for sales of additional Acacia produ</w:t>
      </w:r>
      <w:r>
        <w:rPr>
          <w:rFonts w:ascii="Times New Roman" w:eastAsia="宋体" w:hAnsi="Times New Roman"/>
          <w:color w:val="000000"/>
          <w:sz w:val="20"/>
          <w:szCs w:val="20"/>
        </w:rPr>
        <w:t>cts. On August 11, 2020, the court stayed Viasat 3 pending the appeal in Viasat 1.</w:t>
      </w:r>
    </w:p>
    <w:p w14:paraId="518B7A02" w14:textId="77777777" w:rsidR="005C332D" w:rsidRDefault="00B93EAE">
      <w:pPr>
        <w:spacing w:before="120"/>
        <w:jc w:val="both"/>
      </w:pPr>
      <w:r>
        <w:rPr>
          <w:rFonts w:ascii="Times New Roman" w:eastAsia="宋体" w:hAnsi="Times New Roman"/>
          <w:color w:val="000000"/>
          <w:sz w:val="20"/>
          <w:szCs w:val="20"/>
        </w:rPr>
        <w:t xml:space="preserve">On July 28, 2017, Acacia filed suit in the Commonwealth of Massachusetts Superior Court - Business Litigation Session against ViaSat alleging claims for </w:t>
      </w:r>
      <w:r>
        <w:rPr>
          <w:rFonts w:ascii="Times New Roman" w:eastAsia="宋体" w:hAnsi="Times New Roman"/>
          <w:color w:val="000000"/>
          <w:sz w:val="20"/>
          <w:szCs w:val="20"/>
        </w:rPr>
        <w:t xml:space="preserve">defamation, unfair competition, business torts, and declaratory judgment of no trade secret misappropriation. On April 5, 2018, ViaSat counterclaimed with contract, trade secret, and unfair competition claims (collectively, with Viasat 2 and Viasat 3, the </w:t>
      </w:r>
      <w:r>
        <w:rPr>
          <w:rFonts w:ascii="Times New Roman" w:eastAsia="宋体" w:hAnsi="Times New Roman"/>
          <w:color w:val="000000"/>
          <w:sz w:val="20"/>
          <w:szCs w:val="20"/>
        </w:rPr>
        <w:t>“Viasat Cases”). On December 13, 2018, the Massachusetts court entered an order staying the Massachusetts litigation, which has been extended to October 21, 2022.</w:t>
      </w:r>
    </w:p>
    <w:p w14:paraId="518B7A03" w14:textId="77777777" w:rsidR="005C332D" w:rsidRDefault="00B93EAE">
      <w:pPr>
        <w:spacing w:before="120"/>
        <w:jc w:val="both"/>
      </w:pPr>
      <w:r>
        <w:rPr>
          <w:rFonts w:ascii="Times New Roman" w:eastAsia="宋体" w:hAnsi="Times New Roman"/>
          <w:color w:val="000000"/>
          <w:sz w:val="20"/>
          <w:szCs w:val="20"/>
        </w:rPr>
        <w:t xml:space="preserve">We are unable to reasonably estimate the ultimate outcome of any of the Viasat Cases at this </w:t>
      </w:r>
      <w:r>
        <w:rPr>
          <w:rFonts w:ascii="Times New Roman" w:eastAsia="宋体" w:hAnsi="Times New Roman"/>
          <w:color w:val="000000"/>
          <w:sz w:val="20"/>
          <w:szCs w:val="20"/>
        </w:rPr>
        <w:t>time due to uncertainties in the litigation processes. If Acacia does not prevail, we believe that any relief ultimately assessed in any of the Viasat Cases would not have a material effect on our Consolidated Financial Statements.</w:t>
      </w:r>
    </w:p>
    <w:p w14:paraId="518B7A04" w14:textId="77777777" w:rsidR="005C332D" w:rsidRDefault="00B93EAE">
      <w:pPr>
        <w:spacing w:before="120"/>
        <w:jc w:val="both"/>
      </w:pPr>
      <w:r>
        <w:rPr>
          <w:rFonts w:ascii="Times New Roman" w:eastAsia="宋体" w:hAnsi="Times New Roman"/>
          <w:color w:val="000000"/>
          <w:sz w:val="20"/>
          <w:szCs w:val="20"/>
          <w:u w:val="single"/>
        </w:rPr>
        <w:t>Egenera</w:t>
      </w:r>
      <w:r>
        <w:rPr>
          <w:rFonts w:ascii="Times New Roman" w:eastAsia="宋体" w:hAnsi="Times New Roman"/>
          <w:color w:val="000000"/>
          <w:sz w:val="20"/>
          <w:szCs w:val="20"/>
        </w:rPr>
        <w:t xml:space="preserve"> On August 8, 201</w:t>
      </w:r>
      <w:r>
        <w:rPr>
          <w:rFonts w:ascii="Times New Roman" w:eastAsia="宋体" w:hAnsi="Times New Roman"/>
          <w:color w:val="000000"/>
          <w:sz w:val="20"/>
          <w:szCs w:val="20"/>
        </w:rPr>
        <w:t>6, Egenera, Inc. (“Egenera”) asserted infringement claims against us in the U.S. District Court for the District of Massachusetts, alleging that Cisco’s Unified Computing System Manager product infringes three U.S. patents. Egenera seeks damages, including</w:t>
      </w:r>
      <w:r>
        <w:rPr>
          <w:rFonts w:ascii="Times New Roman" w:eastAsia="宋体" w:hAnsi="Times New Roman"/>
          <w:color w:val="000000"/>
          <w:sz w:val="20"/>
          <w:szCs w:val="20"/>
        </w:rPr>
        <w:t xml:space="preserve"> enhanced damages for allegations of willful infringement, and an injunction. Two of the asserted patents have been dismissed, leaving Egenera’s infringement claim based on one asserted patent. On March 25, 2022, the PTO preliminarily found all of the asse</w:t>
      </w:r>
      <w:r>
        <w:rPr>
          <w:rFonts w:ascii="Times New Roman" w:eastAsia="宋体" w:hAnsi="Times New Roman"/>
          <w:color w:val="000000"/>
          <w:sz w:val="20"/>
          <w:szCs w:val="20"/>
        </w:rPr>
        <w:t>rted claims of the remaining patent unpatentable in ex parte reexamination proceedings. The court began a jury trial on the remaining patent on August 2, 2022. On August 15, 2022, the jury returned a verdict finding that Cisco does not infringe Egenera’s p</w:t>
      </w:r>
      <w:r>
        <w:rPr>
          <w:rFonts w:ascii="Times New Roman" w:eastAsia="宋体" w:hAnsi="Times New Roman"/>
          <w:color w:val="000000"/>
          <w:sz w:val="20"/>
          <w:szCs w:val="20"/>
        </w:rPr>
        <w:t>atent. The parties will file post-trial motions prior to the entry of final judgment in the case.</w:t>
      </w:r>
    </w:p>
    <w:p w14:paraId="518B7A05" w14:textId="77777777" w:rsidR="005C332D" w:rsidRDefault="00B93EAE">
      <w:pPr>
        <w:jc w:val="center"/>
      </w:pPr>
      <w:r>
        <w:rPr>
          <w:rFonts w:ascii="Times New Roman" w:eastAsia="宋体" w:hAnsi="Times New Roman"/>
          <w:color w:val="000000"/>
          <w:sz w:val="20"/>
          <w:szCs w:val="20"/>
        </w:rPr>
        <w:t>92</w:t>
      </w:r>
    </w:p>
    <w:p w14:paraId="518B7A06" w14:textId="77777777" w:rsidR="005C332D" w:rsidRDefault="00B93EAE">
      <w:r>
        <w:pict w14:anchorId="518B8771">
          <v:rect id="_x0000_i1118" style="width:415.3pt;height:1.5pt" o:hralign="center" o:hrstd="t" o:hr="t" fillcolor="#a0a0a0" stroked="f"/>
        </w:pict>
      </w:r>
    </w:p>
    <w:p w14:paraId="518B7A07" w14:textId="77777777" w:rsidR="005C332D" w:rsidRDefault="005C332D"/>
    <w:p w14:paraId="518B7A08" w14:textId="77777777" w:rsidR="005C332D" w:rsidRDefault="00B93EAE">
      <w:pPr>
        <w:spacing w:before="120"/>
        <w:jc w:val="both"/>
      </w:pPr>
      <w:r>
        <w:rPr>
          <w:rFonts w:ascii="Times New Roman" w:eastAsia="宋体" w:hAnsi="Times New Roman"/>
          <w:color w:val="000000"/>
          <w:sz w:val="20"/>
          <w:szCs w:val="20"/>
        </w:rPr>
        <w:t>In addition, we are subject to other legal proceedings, claims, and litigation arising in the ordinary course of business, including intellectual proper</w:t>
      </w:r>
      <w:r>
        <w:rPr>
          <w:rFonts w:ascii="Times New Roman" w:eastAsia="宋体" w:hAnsi="Times New Roman"/>
          <w:color w:val="000000"/>
          <w:sz w:val="20"/>
          <w:szCs w:val="20"/>
        </w:rPr>
        <w:t xml:space="preserve">ty litigation. While the outcome of these matters is currently not determinable, we do not believe that the ultimate costs to resolve these matters will have a material effect on our Consolidated Financial Statements. </w:t>
      </w:r>
    </w:p>
    <w:p w14:paraId="518B7A09" w14:textId="77777777" w:rsidR="005C332D" w:rsidRDefault="00B93EAE">
      <w:pPr>
        <w:spacing w:before="120"/>
        <w:jc w:val="both"/>
      </w:pPr>
      <w:r>
        <w:rPr>
          <w:rFonts w:ascii="Times New Roman" w:eastAsia="宋体" w:hAnsi="Times New Roman"/>
          <w:color w:val="000000"/>
          <w:sz w:val="20"/>
          <w:szCs w:val="20"/>
        </w:rPr>
        <w:t xml:space="preserve">For additional information regarding </w:t>
      </w:r>
      <w:r>
        <w:rPr>
          <w:rFonts w:ascii="Times New Roman" w:eastAsia="宋体" w:hAnsi="Times New Roman"/>
          <w:color w:val="000000"/>
          <w:sz w:val="20"/>
          <w:szCs w:val="20"/>
        </w:rPr>
        <w:t xml:space="preserve">intellectual property litigation, see “Part I, Item 1A. Risk Factors—We may be found to infringe on intellectual property rights of others” herein.  </w:t>
      </w:r>
    </w:p>
    <w:p w14:paraId="518B7A0A" w14:textId="77777777" w:rsidR="005C332D" w:rsidRDefault="005C332D">
      <w:pPr>
        <w:jc w:val="both"/>
      </w:pPr>
    </w:p>
    <w:p w14:paraId="518B7A0B" w14:textId="77777777" w:rsidR="005C332D" w:rsidRDefault="00B93EAE">
      <w:pPr>
        <w:ind w:hanging="360"/>
      </w:pPr>
      <w:r>
        <w:rPr>
          <w:rFonts w:ascii="Times New Roman" w:eastAsia="宋体" w:hAnsi="Times New Roman"/>
          <w:b/>
          <w:bCs/>
          <w:color w:val="000000"/>
          <w:sz w:val="20"/>
          <w:szCs w:val="20"/>
        </w:rPr>
        <w:t xml:space="preserve">15.Stockholders’ Equity </w:t>
      </w:r>
    </w:p>
    <w:p w14:paraId="518B7A0C" w14:textId="77777777" w:rsidR="005C332D" w:rsidRDefault="00B93EAE">
      <w:pPr>
        <w:spacing w:before="120"/>
        <w:ind w:hanging="360"/>
        <w:jc w:val="both"/>
      </w:pPr>
      <w:r>
        <w:rPr>
          <w:rFonts w:ascii="Times New Roman" w:eastAsia="宋体" w:hAnsi="Times New Roman"/>
          <w:b/>
          <w:bCs/>
          <w:color w:val="000000"/>
          <w:sz w:val="20"/>
          <w:szCs w:val="20"/>
        </w:rPr>
        <w:t>(a)Cash Dividends on Shares of Common Stock</w:t>
      </w:r>
    </w:p>
    <w:p w14:paraId="518B7A0D" w14:textId="77777777" w:rsidR="005C332D" w:rsidRDefault="00B93EAE">
      <w:pPr>
        <w:spacing w:before="120"/>
        <w:jc w:val="both"/>
      </w:pPr>
      <w:r>
        <w:rPr>
          <w:rFonts w:ascii="Times New Roman" w:eastAsia="宋体" w:hAnsi="Times New Roman"/>
          <w:color w:val="000000"/>
          <w:sz w:val="20"/>
          <w:szCs w:val="20"/>
        </w:rPr>
        <w:t xml:space="preserve">We declared and paid cash dividends </w:t>
      </w:r>
      <w:r>
        <w:rPr>
          <w:rFonts w:ascii="Times New Roman" w:eastAsia="宋体" w:hAnsi="Times New Roman"/>
          <w:color w:val="000000"/>
          <w:sz w:val="20"/>
          <w:szCs w:val="20"/>
        </w:rPr>
        <w:t>of $1.50, $1.46 and $1.42 per common share, or $6.2 billion during each of fiscal 2022 and 2021 and $6.0 billion during fiscal 2020, on our outstanding common stock.</w:t>
      </w:r>
    </w:p>
    <w:p w14:paraId="518B7A0E" w14:textId="77777777" w:rsidR="005C332D" w:rsidRDefault="00B93EAE">
      <w:pPr>
        <w:spacing w:before="120"/>
        <w:jc w:val="both"/>
      </w:pPr>
      <w:r>
        <w:rPr>
          <w:rFonts w:ascii="Times New Roman" w:eastAsia="宋体" w:hAnsi="Times New Roman"/>
          <w:color w:val="000000"/>
          <w:sz w:val="20"/>
          <w:szCs w:val="20"/>
        </w:rPr>
        <w:t>On August 23, 2022, our Board of Directors declared a quarterly dividend of $0.38 per comm</w:t>
      </w:r>
      <w:r>
        <w:rPr>
          <w:rFonts w:ascii="Times New Roman" w:eastAsia="宋体" w:hAnsi="Times New Roman"/>
          <w:color w:val="000000"/>
          <w:sz w:val="20"/>
          <w:szCs w:val="20"/>
        </w:rPr>
        <w:t>on share to be paid on October 26, 2022, to all stockholders of record as of the close of business on October 5, 2022. Any future dividends will be subject to the approval of our Board of Directors.</w:t>
      </w:r>
    </w:p>
    <w:p w14:paraId="518B7A0F" w14:textId="77777777" w:rsidR="005C332D" w:rsidRDefault="00B93EAE">
      <w:pPr>
        <w:spacing w:before="120"/>
        <w:ind w:hanging="360"/>
        <w:jc w:val="both"/>
      </w:pPr>
      <w:r>
        <w:rPr>
          <w:rFonts w:ascii="Times New Roman" w:eastAsia="宋体" w:hAnsi="Times New Roman"/>
          <w:b/>
          <w:bCs/>
          <w:color w:val="000000"/>
          <w:sz w:val="20"/>
          <w:szCs w:val="20"/>
        </w:rPr>
        <w:t>(b)Stock Repurchase Program</w:t>
      </w:r>
    </w:p>
    <w:p w14:paraId="518B7A10" w14:textId="77777777" w:rsidR="005C332D" w:rsidRDefault="00B93EAE">
      <w:pPr>
        <w:spacing w:before="120"/>
        <w:jc w:val="both"/>
      </w:pPr>
      <w:r>
        <w:rPr>
          <w:rFonts w:ascii="Times New Roman" w:eastAsia="宋体" w:hAnsi="Times New Roman"/>
          <w:color w:val="000000"/>
          <w:sz w:val="20"/>
          <w:szCs w:val="20"/>
        </w:rPr>
        <w:t xml:space="preserve">In September 2001, our Board </w:t>
      </w:r>
      <w:r>
        <w:rPr>
          <w:rFonts w:ascii="Times New Roman" w:eastAsia="宋体" w:hAnsi="Times New Roman"/>
          <w:color w:val="000000"/>
          <w:sz w:val="20"/>
          <w:szCs w:val="20"/>
        </w:rPr>
        <w:t xml:space="preserve">of Directors authorized a stock repurchase program. As of July 30, 2022, the remaining authorized amount for stock repurchases under this program was approximately $15.2 billion with no termination date. </w:t>
      </w:r>
    </w:p>
    <w:p w14:paraId="518B7A11" w14:textId="77777777" w:rsidR="005C332D" w:rsidRDefault="00B93EAE">
      <w:pPr>
        <w:spacing w:before="120"/>
        <w:jc w:val="both"/>
      </w:pPr>
      <w:r>
        <w:rPr>
          <w:rFonts w:ascii="Times New Roman" w:eastAsia="宋体" w:hAnsi="Times New Roman"/>
          <w:color w:val="000000"/>
          <w:sz w:val="20"/>
          <w:szCs w:val="20"/>
        </w:rPr>
        <w:t>A summary of the stock repurchase activity under th</w:t>
      </w:r>
      <w:r>
        <w:rPr>
          <w:rFonts w:ascii="Times New Roman" w:eastAsia="宋体" w:hAnsi="Times New Roman"/>
          <w:color w:val="000000"/>
          <w:sz w:val="20"/>
          <w:szCs w:val="20"/>
        </w:rPr>
        <w:t>e stock repurchase program, reported based on the trade date, is summarized as follows (in millions, except per-share amounts):</w:t>
      </w:r>
    </w:p>
    <w:tbl>
      <w:tblPr>
        <w:tblW w:w="4993" w:type="pct"/>
        <w:tblCellMar>
          <w:top w:w="15" w:type="dxa"/>
          <w:left w:w="15" w:type="dxa"/>
          <w:bottom w:w="15" w:type="dxa"/>
          <w:right w:w="15" w:type="dxa"/>
        </w:tblCellMar>
        <w:tblLook w:val="04A0" w:firstRow="1" w:lastRow="0" w:firstColumn="1" w:lastColumn="0" w:noHBand="0" w:noVBand="1"/>
      </w:tblPr>
      <w:tblGrid>
        <w:gridCol w:w="37"/>
        <w:gridCol w:w="4797"/>
        <w:gridCol w:w="36"/>
        <w:gridCol w:w="36"/>
        <w:gridCol w:w="36"/>
        <w:gridCol w:w="36"/>
        <w:gridCol w:w="49"/>
        <w:gridCol w:w="642"/>
        <w:gridCol w:w="36"/>
        <w:gridCol w:w="36"/>
        <w:gridCol w:w="36"/>
        <w:gridCol w:w="36"/>
        <w:gridCol w:w="121"/>
        <w:gridCol w:w="1304"/>
        <w:gridCol w:w="36"/>
        <w:gridCol w:w="36"/>
        <w:gridCol w:w="36"/>
        <w:gridCol w:w="36"/>
        <w:gridCol w:w="120"/>
        <w:gridCol w:w="786"/>
        <w:gridCol w:w="36"/>
      </w:tblGrid>
      <w:tr w:rsidR="005C332D" w14:paraId="518B7A27" w14:textId="77777777">
        <w:tc>
          <w:tcPr>
            <w:tcW w:w="50" w:type="pct"/>
            <w:shd w:val="clear" w:color="auto" w:fill="auto"/>
            <w:vAlign w:val="bottom"/>
          </w:tcPr>
          <w:p w14:paraId="518B7A12" w14:textId="77777777" w:rsidR="005C332D" w:rsidRDefault="005C332D">
            <w:pPr>
              <w:rPr>
                <w:rFonts w:ascii="宋体"/>
              </w:rPr>
            </w:pPr>
          </w:p>
        </w:tc>
        <w:tc>
          <w:tcPr>
            <w:tcW w:w="2931" w:type="pct"/>
            <w:shd w:val="clear" w:color="auto" w:fill="auto"/>
            <w:vAlign w:val="bottom"/>
          </w:tcPr>
          <w:p w14:paraId="518B7A13" w14:textId="77777777" w:rsidR="005C332D" w:rsidRDefault="005C332D">
            <w:pPr>
              <w:rPr>
                <w:rFonts w:ascii="宋体"/>
              </w:rPr>
            </w:pPr>
          </w:p>
        </w:tc>
        <w:tc>
          <w:tcPr>
            <w:tcW w:w="5" w:type="pct"/>
            <w:shd w:val="clear" w:color="auto" w:fill="auto"/>
            <w:vAlign w:val="bottom"/>
          </w:tcPr>
          <w:p w14:paraId="518B7A14" w14:textId="77777777" w:rsidR="005C332D" w:rsidRDefault="005C332D">
            <w:pPr>
              <w:rPr>
                <w:rFonts w:ascii="宋体"/>
              </w:rPr>
            </w:pPr>
          </w:p>
        </w:tc>
        <w:tc>
          <w:tcPr>
            <w:tcW w:w="5" w:type="pct"/>
            <w:shd w:val="clear" w:color="auto" w:fill="auto"/>
            <w:vAlign w:val="bottom"/>
          </w:tcPr>
          <w:p w14:paraId="518B7A15" w14:textId="77777777" w:rsidR="005C332D" w:rsidRDefault="005C332D">
            <w:pPr>
              <w:rPr>
                <w:rFonts w:ascii="宋体"/>
              </w:rPr>
            </w:pPr>
          </w:p>
        </w:tc>
        <w:tc>
          <w:tcPr>
            <w:tcW w:w="26" w:type="pct"/>
            <w:shd w:val="clear" w:color="auto" w:fill="auto"/>
            <w:vAlign w:val="bottom"/>
          </w:tcPr>
          <w:p w14:paraId="518B7A16" w14:textId="77777777" w:rsidR="005C332D" w:rsidRDefault="005C332D">
            <w:pPr>
              <w:rPr>
                <w:rFonts w:ascii="宋体"/>
              </w:rPr>
            </w:pPr>
          </w:p>
        </w:tc>
        <w:tc>
          <w:tcPr>
            <w:tcW w:w="5" w:type="pct"/>
            <w:shd w:val="clear" w:color="auto" w:fill="auto"/>
            <w:vAlign w:val="bottom"/>
          </w:tcPr>
          <w:p w14:paraId="518B7A17" w14:textId="77777777" w:rsidR="005C332D" w:rsidRDefault="005C332D">
            <w:pPr>
              <w:rPr>
                <w:rFonts w:ascii="宋体"/>
              </w:rPr>
            </w:pPr>
          </w:p>
        </w:tc>
        <w:tc>
          <w:tcPr>
            <w:tcW w:w="50" w:type="pct"/>
            <w:shd w:val="clear" w:color="auto" w:fill="auto"/>
            <w:vAlign w:val="bottom"/>
          </w:tcPr>
          <w:p w14:paraId="518B7A18" w14:textId="77777777" w:rsidR="005C332D" w:rsidRDefault="005C332D">
            <w:pPr>
              <w:rPr>
                <w:rFonts w:ascii="宋体"/>
              </w:rPr>
            </w:pPr>
          </w:p>
        </w:tc>
        <w:tc>
          <w:tcPr>
            <w:tcW w:w="479" w:type="pct"/>
            <w:shd w:val="clear" w:color="auto" w:fill="auto"/>
            <w:vAlign w:val="bottom"/>
          </w:tcPr>
          <w:p w14:paraId="518B7A19" w14:textId="77777777" w:rsidR="005C332D" w:rsidRDefault="005C332D">
            <w:pPr>
              <w:rPr>
                <w:rFonts w:ascii="宋体"/>
              </w:rPr>
            </w:pPr>
          </w:p>
        </w:tc>
        <w:tc>
          <w:tcPr>
            <w:tcW w:w="5" w:type="pct"/>
            <w:shd w:val="clear" w:color="auto" w:fill="auto"/>
            <w:vAlign w:val="bottom"/>
          </w:tcPr>
          <w:p w14:paraId="518B7A1A" w14:textId="77777777" w:rsidR="005C332D" w:rsidRDefault="005C332D">
            <w:pPr>
              <w:rPr>
                <w:rFonts w:ascii="宋体"/>
              </w:rPr>
            </w:pPr>
          </w:p>
        </w:tc>
        <w:tc>
          <w:tcPr>
            <w:tcW w:w="5" w:type="pct"/>
            <w:shd w:val="clear" w:color="auto" w:fill="auto"/>
            <w:vAlign w:val="bottom"/>
          </w:tcPr>
          <w:p w14:paraId="518B7A1B" w14:textId="77777777" w:rsidR="005C332D" w:rsidRDefault="005C332D">
            <w:pPr>
              <w:rPr>
                <w:rFonts w:ascii="宋体"/>
              </w:rPr>
            </w:pPr>
          </w:p>
        </w:tc>
        <w:tc>
          <w:tcPr>
            <w:tcW w:w="26" w:type="pct"/>
            <w:shd w:val="clear" w:color="auto" w:fill="auto"/>
            <w:vAlign w:val="bottom"/>
          </w:tcPr>
          <w:p w14:paraId="518B7A1C" w14:textId="77777777" w:rsidR="005C332D" w:rsidRDefault="005C332D">
            <w:pPr>
              <w:rPr>
                <w:rFonts w:ascii="宋体"/>
              </w:rPr>
            </w:pPr>
          </w:p>
        </w:tc>
        <w:tc>
          <w:tcPr>
            <w:tcW w:w="5" w:type="pct"/>
            <w:shd w:val="clear" w:color="auto" w:fill="auto"/>
            <w:vAlign w:val="bottom"/>
          </w:tcPr>
          <w:p w14:paraId="518B7A1D" w14:textId="77777777" w:rsidR="005C332D" w:rsidRDefault="005C332D">
            <w:pPr>
              <w:rPr>
                <w:rFonts w:ascii="宋体"/>
              </w:rPr>
            </w:pPr>
          </w:p>
        </w:tc>
        <w:tc>
          <w:tcPr>
            <w:tcW w:w="50" w:type="pct"/>
            <w:shd w:val="clear" w:color="auto" w:fill="auto"/>
            <w:vAlign w:val="bottom"/>
          </w:tcPr>
          <w:p w14:paraId="518B7A1E" w14:textId="77777777" w:rsidR="005C332D" w:rsidRDefault="005C332D">
            <w:pPr>
              <w:rPr>
                <w:rFonts w:ascii="宋体"/>
              </w:rPr>
            </w:pPr>
          </w:p>
        </w:tc>
        <w:tc>
          <w:tcPr>
            <w:tcW w:w="677" w:type="pct"/>
            <w:shd w:val="clear" w:color="auto" w:fill="auto"/>
            <w:vAlign w:val="bottom"/>
          </w:tcPr>
          <w:p w14:paraId="518B7A1F" w14:textId="77777777" w:rsidR="005C332D" w:rsidRDefault="005C332D">
            <w:pPr>
              <w:rPr>
                <w:rFonts w:ascii="宋体"/>
              </w:rPr>
            </w:pPr>
          </w:p>
        </w:tc>
        <w:tc>
          <w:tcPr>
            <w:tcW w:w="5" w:type="pct"/>
            <w:shd w:val="clear" w:color="auto" w:fill="auto"/>
            <w:vAlign w:val="bottom"/>
          </w:tcPr>
          <w:p w14:paraId="518B7A20" w14:textId="77777777" w:rsidR="005C332D" w:rsidRDefault="005C332D">
            <w:pPr>
              <w:rPr>
                <w:rFonts w:ascii="宋体"/>
              </w:rPr>
            </w:pPr>
          </w:p>
        </w:tc>
        <w:tc>
          <w:tcPr>
            <w:tcW w:w="5" w:type="pct"/>
            <w:shd w:val="clear" w:color="auto" w:fill="auto"/>
            <w:vAlign w:val="bottom"/>
          </w:tcPr>
          <w:p w14:paraId="518B7A21" w14:textId="77777777" w:rsidR="005C332D" w:rsidRDefault="005C332D">
            <w:pPr>
              <w:rPr>
                <w:rFonts w:ascii="宋体"/>
              </w:rPr>
            </w:pPr>
          </w:p>
        </w:tc>
        <w:tc>
          <w:tcPr>
            <w:tcW w:w="26" w:type="pct"/>
            <w:shd w:val="clear" w:color="auto" w:fill="auto"/>
            <w:vAlign w:val="bottom"/>
          </w:tcPr>
          <w:p w14:paraId="518B7A22" w14:textId="77777777" w:rsidR="005C332D" w:rsidRDefault="005C332D">
            <w:pPr>
              <w:rPr>
                <w:rFonts w:ascii="宋体"/>
              </w:rPr>
            </w:pPr>
          </w:p>
        </w:tc>
        <w:tc>
          <w:tcPr>
            <w:tcW w:w="5" w:type="pct"/>
            <w:shd w:val="clear" w:color="auto" w:fill="auto"/>
            <w:vAlign w:val="bottom"/>
          </w:tcPr>
          <w:p w14:paraId="518B7A23" w14:textId="77777777" w:rsidR="005C332D" w:rsidRDefault="005C332D">
            <w:pPr>
              <w:rPr>
                <w:rFonts w:ascii="宋体"/>
              </w:rPr>
            </w:pPr>
          </w:p>
        </w:tc>
        <w:tc>
          <w:tcPr>
            <w:tcW w:w="50" w:type="pct"/>
            <w:shd w:val="clear" w:color="auto" w:fill="auto"/>
            <w:vAlign w:val="bottom"/>
          </w:tcPr>
          <w:p w14:paraId="518B7A24" w14:textId="77777777" w:rsidR="005C332D" w:rsidRDefault="005C332D">
            <w:pPr>
              <w:rPr>
                <w:rFonts w:ascii="宋体"/>
              </w:rPr>
            </w:pPr>
          </w:p>
        </w:tc>
        <w:tc>
          <w:tcPr>
            <w:tcW w:w="581" w:type="pct"/>
            <w:shd w:val="clear" w:color="auto" w:fill="auto"/>
            <w:vAlign w:val="bottom"/>
          </w:tcPr>
          <w:p w14:paraId="518B7A25" w14:textId="77777777" w:rsidR="005C332D" w:rsidRDefault="005C332D">
            <w:pPr>
              <w:rPr>
                <w:rFonts w:ascii="宋体"/>
              </w:rPr>
            </w:pPr>
          </w:p>
        </w:tc>
        <w:tc>
          <w:tcPr>
            <w:tcW w:w="5" w:type="pct"/>
            <w:shd w:val="clear" w:color="auto" w:fill="auto"/>
            <w:vAlign w:val="bottom"/>
          </w:tcPr>
          <w:p w14:paraId="518B7A26" w14:textId="77777777" w:rsidR="005C332D" w:rsidRDefault="005C332D">
            <w:pPr>
              <w:rPr>
                <w:rFonts w:ascii="宋体"/>
              </w:rPr>
            </w:pPr>
          </w:p>
        </w:tc>
      </w:tr>
      <w:tr w:rsidR="005C332D" w14:paraId="518B7A2F" w14:textId="77777777">
        <w:tc>
          <w:tcPr>
            <w:tcW w:w="0" w:type="auto"/>
            <w:gridSpan w:val="3"/>
            <w:shd w:val="clear" w:color="auto" w:fill="auto"/>
            <w:tcMar>
              <w:top w:w="40" w:type="dxa"/>
              <w:left w:w="20" w:type="dxa"/>
              <w:bottom w:w="40" w:type="dxa"/>
              <w:right w:w="20" w:type="dxa"/>
            </w:tcMar>
            <w:vAlign w:val="bottom"/>
          </w:tcPr>
          <w:p w14:paraId="518B7A28" w14:textId="77777777" w:rsidR="005C332D" w:rsidRDefault="00B93EAE">
            <w:pPr>
              <w:textAlignment w:val="bottom"/>
            </w:pPr>
            <w:r>
              <w:rPr>
                <w:rFonts w:ascii="Times New Roman" w:eastAsia="宋体" w:hAnsi="Times New Roman"/>
                <w:color w:val="000000"/>
                <w:sz w:val="18"/>
                <w:szCs w:val="18"/>
                <w:u w:val="single"/>
              </w:rPr>
              <w:t>Years Ende</w:t>
            </w:r>
            <w:r>
              <w:rPr>
                <w:rFonts w:ascii="Times New Roman" w:eastAsia="宋体" w:hAnsi="Times New Roman"/>
                <w:color w:val="000000"/>
                <w:sz w:val="18"/>
                <w:szCs w:val="18"/>
                <w:u w:val="single"/>
              </w:rPr>
              <w:t>d</w:t>
            </w:r>
          </w:p>
        </w:tc>
        <w:tc>
          <w:tcPr>
            <w:tcW w:w="0" w:type="auto"/>
            <w:gridSpan w:val="3"/>
            <w:shd w:val="clear" w:color="auto" w:fill="auto"/>
            <w:tcMar>
              <w:top w:w="0" w:type="dxa"/>
              <w:left w:w="20" w:type="dxa"/>
              <w:bottom w:w="0" w:type="dxa"/>
              <w:right w:w="20" w:type="dxa"/>
            </w:tcMar>
            <w:vAlign w:val="bottom"/>
          </w:tcPr>
          <w:p w14:paraId="518B7A2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A2A" w14:textId="77777777" w:rsidR="005C332D" w:rsidRDefault="00B93EAE">
            <w:pPr>
              <w:jc w:val="center"/>
              <w:textAlignment w:val="bottom"/>
            </w:pPr>
            <w:r>
              <w:rPr>
                <w:rFonts w:ascii="Times New Roman" w:eastAsia="宋体" w:hAnsi="Times New Roman"/>
                <w:color w:val="000000"/>
                <w:sz w:val="18"/>
                <w:szCs w:val="18"/>
              </w:rPr>
              <w:t>Shares</w:t>
            </w:r>
          </w:p>
        </w:tc>
        <w:tc>
          <w:tcPr>
            <w:tcW w:w="0" w:type="auto"/>
            <w:gridSpan w:val="3"/>
            <w:shd w:val="clear" w:color="auto" w:fill="auto"/>
            <w:tcMar>
              <w:top w:w="0" w:type="dxa"/>
              <w:left w:w="20" w:type="dxa"/>
              <w:bottom w:w="0" w:type="dxa"/>
              <w:right w:w="20" w:type="dxa"/>
            </w:tcMar>
            <w:vAlign w:val="bottom"/>
          </w:tcPr>
          <w:p w14:paraId="518B7A2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A2C" w14:textId="77777777" w:rsidR="005C332D" w:rsidRDefault="00B93EAE">
            <w:pPr>
              <w:jc w:val="center"/>
              <w:textAlignment w:val="bottom"/>
            </w:pPr>
            <w:r>
              <w:rPr>
                <w:rFonts w:ascii="Times New Roman" w:eastAsia="宋体" w:hAnsi="Times New Roman"/>
                <w:color w:val="000000"/>
                <w:sz w:val="18"/>
                <w:szCs w:val="18"/>
              </w:rPr>
              <w:t>Weighted-Average Price per Share</w:t>
            </w:r>
          </w:p>
        </w:tc>
        <w:tc>
          <w:tcPr>
            <w:tcW w:w="0" w:type="auto"/>
            <w:gridSpan w:val="3"/>
            <w:shd w:val="clear" w:color="auto" w:fill="auto"/>
            <w:tcMar>
              <w:top w:w="0" w:type="dxa"/>
              <w:left w:w="20" w:type="dxa"/>
              <w:bottom w:w="0" w:type="dxa"/>
              <w:right w:w="20" w:type="dxa"/>
            </w:tcMar>
            <w:vAlign w:val="bottom"/>
          </w:tcPr>
          <w:p w14:paraId="518B7A2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A2E" w14:textId="77777777" w:rsidR="005C332D" w:rsidRDefault="00B93EAE">
            <w:pPr>
              <w:jc w:val="center"/>
              <w:textAlignment w:val="bottom"/>
            </w:pPr>
            <w:r>
              <w:rPr>
                <w:rFonts w:ascii="Times New Roman" w:eastAsia="宋体" w:hAnsi="Times New Roman"/>
                <w:color w:val="000000"/>
                <w:sz w:val="18"/>
                <w:szCs w:val="18"/>
              </w:rPr>
              <w:t>Amount</w:t>
            </w:r>
          </w:p>
        </w:tc>
      </w:tr>
      <w:tr w:rsidR="005C332D" w14:paraId="518B7A3C" w14:textId="77777777">
        <w:tc>
          <w:tcPr>
            <w:tcW w:w="0" w:type="auto"/>
            <w:gridSpan w:val="3"/>
            <w:shd w:val="clear" w:color="auto" w:fill="CCEEFF"/>
            <w:tcMar>
              <w:top w:w="40" w:type="dxa"/>
              <w:left w:w="20" w:type="dxa"/>
              <w:bottom w:w="40" w:type="dxa"/>
              <w:right w:w="20" w:type="dxa"/>
            </w:tcMar>
            <w:vAlign w:val="bottom"/>
          </w:tcPr>
          <w:p w14:paraId="518B7A30" w14:textId="77777777" w:rsidR="005C332D" w:rsidRDefault="00B93EAE">
            <w:pPr>
              <w:textAlignment w:val="bottom"/>
            </w:pPr>
            <w:r>
              <w:rPr>
                <w:rFonts w:ascii="Times New Roman" w:eastAsia="宋体" w:hAnsi="Times New Roman"/>
                <w:b/>
                <w:bCs/>
                <w:color w:val="000000"/>
                <w:sz w:val="20"/>
                <w:szCs w:val="20"/>
              </w:rPr>
              <w:t>July 30, 2022</w:t>
            </w:r>
          </w:p>
        </w:tc>
        <w:tc>
          <w:tcPr>
            <w:tcW w:w="0" w:type="auto"/>
            <w:gridSpan w:val="3"/>
            <w:shd w:val="clear" w:color="auto" w:fill="CCEEFF"/>
            <w:tcMar>
              <w:top w:w="0" w:type="dxa"/>
              <w:left w:w="20" w:type="dxa"/>
              <w:bottom w:w="0" w:type="dxa"/>
              <w:right w:w="20" w:type="dxa"/>
            </w:tcMar>
            <w:vAlign w:val="bottom"/>
          </w:tcPr>
          <w:p w14:paraId="518B7A31"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A32" w14:textId="77777777" w:rsidR="005C332D" w:rsidRDefault="00B93EAE">
            <w:pPr>
              <w:jc w:val="right"/>
              <w:textAlignment w:val="bottom"/>
            </w:pPr>
            <w:r>
              <w:rPr>
                <w:rFonts w:ascii="Times New Roman" w:eastAsia="宋体" w:hAnsi="Times New Roman"/>
                <w:b/>
                <w:bCs/>
                <w:color w:val="000000"/>
                <w:sz w:val="20"/>
                <w:szCs w:val="20"/>
              </w:rPr>
              <w:t>146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3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3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A35"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A36" w14:textId="77777777" w:rsidR="005C332D" w:rsidRDefault="00B93EAE">
            <w:pPr>
              <w:jc w:val="right"/>
              <w:textAlignment w:val="bottom"/>
            </w:pPr>
            <w:r>
              <w:rPr>
                <w:rFonts w:ascii="Times New Roman" w:eastAsia="宋体" w:hAnsi="Times New Roman"/>
                <w:b/>
                <w:bCs/>
                <w:color w:val="000000"/>
                <w:sz w:val="20"/>
                <w:szCs w:val="20"/>
              </w:rPr>
              <w:t>52.82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3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38"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A3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A3A" w14:textId="77777777" w:rsidR="005C332D" w:rsidRDefault="00B93EAE">
            <w:pPr>
              <w:jc w:val="right"/>
              <w:textAlignment w:val="bottom"/>
            </w:pPr>
            <w:r>
              <w:rPr>
                <w:rFonts w:ascii="Times New Roman" w:eastAsia="宋体" w:hAnsi="Times New Roman"/>
                <w:b/>
                <w:bCs/>
                <w:color w:val="000000"/>
                <w:sz w:val="20"/>
                <w:szCs w:val="20"/>
              </w:rPr>
              <w:t>7,734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3B" w14:textId="77777777" w:rsidR="005C332D" w:rsidRDefault="005C332D">
            <w:pPr>
              <w:jc w:val="right"/>
              <w:rPr>
                <w:rFonts w:ascii="宋体"/>
              </w:rPr>
            </w:pPr>
          </w:p>
        </w:tc>
      </w:tr>
      <w:tr w:rsidR="005C332D" w14:paraId="518B7A49" w14:textId="77777777">
        <w:tc>
          <w:tcPr>
            <w:tcW w:w="0" w:type="auto"/>
            <w:gridSpan w:val="3"/>
            <w:shd w:val="clear" w:color="auto" w:fill="FFFFFF"/>
            <w:tcMar>
              <w:top w:w="40" w:type="dxa"/>
              <w:left w:w="20" w:type="dxa"/>
              <w:bottom w:w="40" w:type="dxa"/>
              <w:right w:w="20" w:type="dxa"/>
            </w:tcMar>
            <w:vAlign w:val="bottom"/>
          </w:tcPr>
          <w:p w14:paraId="518B7A3D" w14:textId="77777777" w:rsidR="005C332D" w:rsidRDefault="00B93EAE">
            <w:pPr>
              <w:textAlignment w:val="bottom"/>
            </w:pPr>
            <w:r>
              <w:rPr>
                <w:rFonts w:ascii="Times New Roman" w:eastAsia="宋体" w:hAnsi="Times New Roman"/>
                <w:color w:val="000000"/>
                <w:sz w:val="20"/>
                <w:szCs w:val="20"/>
              </w:rPr>
              <w:t>July 31, 2021</w:t>
            </w:r>
          </w:p>
        </w:tc>
        <w:tc>
          <w:tcPr>
            <w:tcW w:w="0" w:type="auto"/>
            <w:gridSpan w:val="3"/>
            <w:shd w:val="clear" w:color="auto" w:fill="FFFFFF"/>
            <w:tcMar>
              <w:top w:w="0" w:type="dxa"/>
              <w:left w:w="20" w:type="dxa"/>
              <w:bottom w:w="0" w:type="dxa"/>
              <w:right w:w="20" w:type="dxa"/>
            </w:tcMar>
            <w:vAlign w:val="bottom"/>
          </w:tcPr>
          <w:p w14:paraId="518B7A3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A3F" w14:textId="77777777" w:rsidR="005C332D" w:rsidRDefault="00B93EAE">
            <w:pPr>
              <w:jc w:val="right"/>
              <w:textAlignment w:val="bottom"/>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vAlign w:val="bottom"/>
          </w:tcPr>
          <w:p w14:paraId="518B7A4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41"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A4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7A43" w14:textId="77777777" w:rsidR="005C332D" w:rsidRDefault="00B93EAE">
            <w:pPr>
              <w:jc w:val="right"/>
              <w:textAlignment w:val="bottom"/>
            </w:pPr>
            <w:r>
              <w:rPr>
                <w:rFonts w:ascii="Times New Roman" w:eastAsia="宋体" w:hAnsi="Times New Roman"/>
                <w:color w:val="000000"/>
                <w:sz w:val="20"/>
                <w:szCs w:val="20"/>
              </w:rPr>
              <w:t>45.48 </w:t>
            </w:r>
          </w:p>
        </w:tc>
        <w:tc>
          <w:tcPr>
            <w:tcW w:w="0" w:type="auto"/>
            <w:shd w:val="clear" w:color="auto" w:fill="FFFFFF"/>
            <w:tcMar>
              <w:top w:w="40" w:type="dxa"/>
              <w:left w:w="0" w:type="dxa"/>
              <w:bottom w:w="40" w:type="dxa"/>
              <w:right w:w="20" w:type="dxa"/>
            </w:tcMar>
            <w:vAlign w:val="bottom"/>
          </w:tcPr>
          <w:p w14:paraId="518B7A4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45"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A4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7A47" w14:textId="77777777" w:rsidR="005C332D" w:rsidRDefault="00B93EAE">
            <w:pPr>
              <w:jc w:val="right"/>
              <w:textAlignment w:val="bottom"/>
            </w:pPr>
            <w:r>
              <w:rPr>
                <w:rFonts w:ascii="Times New Roman" w:eastAsia="宋体" w:hAnsi="Times New Roman"/>
                <w:color w:val="000000"/>
                <w:sz w:val="20"/>
                <w:szCs w:val="20"/>
              </w:rPr>
              <w:t>2,902 </w:t>
            </w:r>
          </w:p>
        </w:tc>
        <w:tc>
          <w:tcPr>
            <w:tcW w:w="0" w:type="auto"/>
            <w:shd w:val="clear" w:color="auto" w:fill="FFFFFF"/>
            <w:tcMar>
              <w:top w:w="40" w:type="dxa"/>
              <w:left w:w="0" w:type="dxa"/>
              <w:bottom w:w="40" w:type="dxa"/>
              <w:right w:w="20" w:type="dxa"/>
            </w:tcMar>
            <w:vAlign w:val="bottom"/>
          </w:tcPr>
          <w:p w14:paraId="518B7A48" w14:textId="77777777" w:rsidR="005C332D" w:rsidRDefault="005C332D">
            <w:pPr>
              <w:jc w:val="right"/>
              <w:rPr>
                <w:rFonts w:ascii="宋体"/>
              </w:rPr>
            </w:pPr>
          </w:p>
        </w:tc>
      </w:tr>
      <w:tr w:rsidR="005C332D" w14:paraId="518B7A56" w14:textId="77777777">
        <w:tc>
          <w:tcPr>
            <w:tcW w:w="0" w:type="auto"/>
            <w:gridSpan w:val="3"/>
            <w:shd w:val="clear" w:color="auto" w:fill="CCEEFF"/>
            <w:tcMar>
              <w:top w:w="40" w:type="dxa"/>
              <w:left w:w="20" w:type="dxa"/>
              <w:bottom w:w="40" w:type="dxa"/>
              <w:right w:w="20" w:type="dxa"/>
            </w:tcMar>
            <w:vAlign w:val="bottom"/>
          </w:tcPr>
          <w:p w14:paraId="518B7A4A" w14:textId="77777777" w:rsidR="005C332D" w:rsidRDefault="00B93EAE">
            <w:pPr>
              <w:textAlignment w:val="bottom"/>
            </w:pPr>
            <w:r>
              <w:rPr>
                <w:rFonts w:ascii="Times New Roman" w:eastAsia="宋体" w:hAnsi="Times New Roman"/>
                <w:color w:val="000000"/>
                <w:sz w:val="20"/>
                <w:szCs w:val="20"/>
              </w:rPr>
              <w:t>July 25, 2020</w:t>
            </w:r>
          </w:p>
        </w:tc>
        <w:tc>
          <w:tcPr>
            <w:tcW w:w="0" w:type="auto"/>
            <w:gridSpan w:val="3"/>
            <w:shd w:val="clear" w:color="auto" w:fill="CCEEFF"/>
            <w:tcMar>
              <w:top w:w="0" w:type="dxa"/>
              <w:left w:w="20" w:type="dxa"/>
              <w:bottom w:w="0" w:type="dxa"/>
              <w:right w:w="20" w:type="dxa"/>
            </w:tcMar>
            <w:vAlign w:val="bottom"/>
          </w:tcPr>
          <w:p w14:paraId="518B7A4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A4C" w14:textId="77777777" w:rsidR="005C332D" w:rsidRDefault="00B93EAE">
            <w:pPr>
              <w:jc w:val="right"/>
              <w:textAlignment w:val="bottom"/>
            </w:pPr>
            <w:r>
              <w:rPr>
                <w:rFonts w:ascii="Times New Roman" w:eastAsia="宋体" w:hAnsi="Times New Roman"/>
                <w:color w:val="000000"/>
                <w:sz w:val="20"/>
                <w:szCs w:val="20"/>
              </w:rPr>
              <w:t>59 </w:t>
            </w:r>
          </w:p>
        </w:tc>
        <w:tc>
          <w:tcPr>
            <w:tcW w:w="0" w:type="auto"/>
            <w:shd w:val="clear" w:color="auto" w:fill="CCEEFF"/>
            <w:tcMar>
              <w:top w:w="40" w:type="dxa"/>
              <w:left w:w="0" w:type="dxa"/>
              <w:bottom w:w="40" w:type="dxa"/>
              <w:right w:w="20" w:type="dxa"/>
            </w:tcMar>
            <w:vAlign w:val="bottom"/>
          </w:tcPr>
          <w:p w14:paraId="518B7A4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4E"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A4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A50" w14:textId="77777777" w:rsidR="005C332D" w:rsidRDefault="00B93EAE">
            <w:pPr>
              <w:jc w:val="right"/>
              <w:textAlignment w:val="bottom"/>
            </w:pPr>
            <w:r>
              <w:rPr>
                <w:rFonts w:ascii="Times New Roman" w:eastAsia="宋体" w:hAnsi="Times New Roman"/>
                <w:color w:val="000000"/>
                <w:sz w:val="20"/>
                <w:szCs w:val="20"/>
              </w:rPr>
              <w:t>44.36 </w:t>
            </w:r>
          </w:p>
        </w:tc>
        <w:tc>
          <w:tcPr>
            <w:tcW w:w="0" w:type="auto"/>
            <w:shd w:val="clear" w:color="auto" w:fill="CCEEFF"/>
            <w:tcMar>
              <w:top w:w="40" w:type="dxa"/>
              <w:left w:w="0" w:type="dxa"/>
              <w:bottom w:w="40" w:type="dxa"/>
              <w:right w:w="20" w:type="dxa"/>
            </w:tcMar>
            <w:vAlign w:val="bottom"/>
          </w:tcPr>
          <w:p w14:paraId="518B7A5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52"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A53"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A54" w14:textId="77777777" w:rsidR="005C332D" w:rsidRDefault="00B93EAE">
            <w:pPr>
              <w:jc w:val="right"/>
              <w:textAlignment w:val="bottom"/>
            </w:pPr>
            <w:r>
              <w:rPr>
                <w:rFonts w:ascii="Times New Roman" w:eastAsia="宋体" w:hAnsi="Times New Roman"/>
                <w:color w:val="000000"/>
                <w:sz w:val="20"/>
                <w:szCs w:val="20"/>
              </w:rPr>
              <w:t>2,619 </w:t>
            </w:r>
          </w:p>
        </w:tc>
        <w:tc>
          <w:tcPr>
            <w:tcW w:w="0" w:type="auto"/>
            <w:shd w:val="clear" w:color="auto" w:fill="CCEEFF"/>
            <w:tcMar>
              <w:top w:w="40" w:type="dxa"/>
              <w:left w:w="0" w:type="dxa"/>
              <w:bottom w:w="40" w:type="dxa"/>
              <w:right w:w="20" w:type="dxa"/>
            </w:tcMar>
            <w:vAlign w:val="bottom"/>
          </w:tcPr>
          <w:p w14:paraId="518B7A55" w14:textId="77777777" w:rsidR="005C332D" w:rsidRDefault="005C332D">
            <w:pPr>
              <w:jc w:val="right"/>
              <w:rPr>
                <w:rFonts w:ascii="宋体"/>
              </w:rPr>
            </w:pPr>
          </w:p>
        </w:tc>
      </w:tr>
    </w:tbl>
    <w:p w14:paraId="518B7A57" w14:textId="77777777" w:rsidR="005C332D" w:rsidRDefault="00B93EAE">
      <w:pPr>
        <w:spacing w:before="120"/>
        <w:jc w:val="both"/>
      </w:pPr>
      <w:r>
        <w:rPr>
          <w:rFonts w:ascii="Times New Roman" w:eastAsia="宋体" w:hAnsi="Times New Roman"/>
          <w:color w:val="000000"/>
          <w:sz w:val="20"/>
          <w:szCs w:val="20"/>
        </w:rPr>
        <w:t>There were $70 million and $25 million in stock repurchases that were pending settlement as of July 30, 2022 and July 31, 2021, respectively. There was no stock repurchases that were pending settlement as of July 25, 2020.</w:t>
      </w:r>
    </w:p>
    <w:p w14:paraId="518B7A58" w14:textId="77777777" w:rsidR="005C332D" w:rsidRDefault="00B93EAE">
      <w:pPr>
        <w:spacing w:before="120"/>
        <w:jc w:val="both"/>
      </w:pPr>
      <w:r>
        <w:rPr>
          <w:rFonts w:ascii="Times New Roman" w:eastAsia="宋体" w:hAnsi="Times New Roman"/>
          <w:color w:val="000000"/>
          <w:sz w:val="20"/>
          <w:szCs w:val="20"/>
        </w:rPr>
        <w:t>The purchase price fo</w:t>
      </w:r>
      <w:r>
        <w:rPr>
          <w:rFonts w:ascii="Times New Roman" w:eastAsia="宋体" w:hAnsi="Times New Roman"/>
          <w:color w:val="000000"/>
          <w:sz w:val="20"/>
          <w:szCs w:val="20"/>
        </w:rPr>
        <w:t xml:space="preserve">r the shares of our stock repurchased is reflected as a reduction to stockholders’ equity. </w:t>
      </w:r>
    </w:p>
    <w:p w14:paraId="518B7A59" w14:textId="77777777" w:rsidR="005C332D" w:rsidRDefault="00B93EAE">
      <w:pPr>
        <w:spacing w:before="120"/>
        <w:jc w:val="both"/>
      </w:pPr>
      <w:r>
        <w:rPr>
          <w:rFonts w:ascii="Times New Roman" w:eastAsia="宋体" w:hAnsi="Times New Roman"/>
          <w:color w:val="000000"/>
          <w:sz w:val="20"/>
          <w:szCs w:val="20"/>
        </w:rPr>
        <w:t>We are required to allocate the purchase price of the repurchased shares as (i) a reduction to retained earnings or an increase to accumulated deficit and (ii) a re</w:t>
      </w:r>
      <w:r>
        <w:rPr>
          <w:rFonts w:ascii="Times New Roman" w:eastAsia="宋体" w:hAnsi="Times New Roman"/>
          <w:color w:val="000000"/>
          <w:sz w:val="20"/>
          <w:szCs w:val="20"/>
        </w:rPr>
        <w:t>duction of common stock and additional paid-in capital.</w:t>
      </w:r>
    </w:p>
    <w:p w14:paraId="518B7A5A" w14:textId="77777777" w:rsidR="005C332D" w:rsidRDefault="00B93EAE">
      <w:pPr>
        <w:spacing w:before="120"/>
        <w:ind w:hanging="360"/>
        <w:jc w:val="both"/>
      </w:pPr>
      <w:r>
        <w:rPr>
          <w:rFonts w:ascii="Times New Roman" w:eastAsia="宋体" w:hAnsi="Times New Roman"/>
          <w:b/>
          <w:bCs/>
          <w:color w:val="000000"/>
          <w:sz w:val="20"/>
          <w:szCs w:val="20"/>
        </w:rPr>
        <w:t>(c)Preferred Stock</w:t>
      </w:r>
    </w:p>
    <w:p w14:paraId="518B7A5B" w14:textId="77777777" w:rsidR="005C332D" w:rsidRDefault="00B93EAE">
      <w:pPr>
        <w:spacing w:before="120"/>
        <w:jc w:val="both"/>
      </w:pPr>
      <w:r>
        <w:rPr>
          <w:rFonts w:ascii="Times New Roman" w:eastAsia="宋体" w:hAnsi="Times New Roman"/>
          <w:color w:val="000000"/>
          <w:sz w:val="20"/>
          <w:szCs w:val="20"/>
        </w:rPr>
        <w:t>Under the terms of our Amended and Restated Certificate of Incorporation, the Board of Directors is authorized to issue preferred stock in one or more series and, in connection with</w:t>
      </w:r>
      <w:r>
        <w:rPr>
          <w:rFonts w:ascii="Times New Roman" w:eastAsia="宋体" w:hAnsi="Times New Roman"/>
          <w:color w:val="000000"/>
          <w:sz w:val="20"/>
          <w:szCs w:val="20"/>
        </w:rPr>
        <w:t xml:space="preserve"> the creation of such series, to fix by resolution the designation, powers (including voting powers (if any)), preferences and relative, participating, optional or other special rights, if any, of such series, and any qualifications, limitations or restric</w:t>
      </w:r>
      <w:r>
        <w:rPr>
          <w:rFonts w:ascii="Times New Roman" w:eastAsia="宋体" w:hAnsi="Times New Roman"/>
          <w:color w:val="000000"/>
          <w:sz w:val="20"/>
          <w:szCs w:val="20"/>
        </w:rPr>
        <w:t>tions thereof, of the shares of such series. As of July 30, 2022, we had not issued any shares of preferred stock.</w:t>
      </w:r>
    </w:p>
    <w:p w14:paraId="518B7A5C" w14:textId="77777777" w:rsidR="005C332D" w:rsidRDefault="005C332D">
      <w:pPr>
        <w:jc w:val="both"/>
      </w:pPr>
    </w:p>
    <w:p w14:paraId="518B7A5D" w14:textId="77777777" w:rsidR="005C332D" w:rsidRDefault="00B93EAE">
      <w:pPr>
        <w:jc w:val="center"/>
      </w:pPr>
      <w:r>
        <w:rPr>
          <w:rFonts w:ascii="Times New Roman" w:eastAsia="宋体" w:hAnsi="Times New Roman"/>
          <w:color w:val="000000"/>
          <w:sz w:val="20"/>
          <w:szCs w:val="20"/>
        </w:rPr>
        <w:t>93</w:t>
      </w:r>
    </w:p>
    <w:p w14:paraId="518B7A5E" w14:textId="77777777" w:rsidR="005C332D" w:rsidRDefault="00B93EAE">
      <w:r>
        <w:pict w14:anchorId="518B8772">
          <v:rect id="_x0000_i1119" style="width:415.3pt;height:1.5pt" o:hralign="center" o:hrstd="t" o:hr="t" fillcolor="#a0a0a0" stroked="f"/>
        </w:pict>
      </w:r>
    </w:p>
    <w:p w14:paraId="518B7A5F" w14:textId="77777777" w:rsidR="005C332D" w:rsidRDefault="005C332D"/>
    <w:p w14:paraId="518B7A60" w14:textId="77777777" w:rsidR="005C332D" w:rsidRDefault="00B93EAE">
      <w:pPr>
        <w:spacing w:before="120"/>
        <w:ind w:hanging="360"/>
      </w:pPr>
      <w:r>
        <w:rPr>
          <w:rFonts w:ascii="Times New Roman" w:eastAsia="宋体" w:hAnsi="Times New Roman"/>
          <w:b/>
          <w:bCs/>
          <w:color w:val="000000"/>
          <w:sz w:val="20"/>
          <w:szCs w:val="20"/>
        </w:rPr>
        <w:t xml:space="preserve">16.Employee Benefit Plans </w:t>
      </w:r>
    </w:p>
    <w:p w14:paraId="518B7A61" w14:textId="77777777" w:rsidR="005C332D" w:rsidRDefault="00B93EAE">
      <w:pPr>
        <w:spacing w:before="120"/>
        <w:ind w:hanging="360"/>
        <w:jc w:val="both"/>
      </w:pPr>
      <w:r>
        <w:rPr>
          <w:rFonts w:ascii="Times New Roman" w:eastAsia="宋体" w:hAnsi="Times New Roman"/>
          <w:b/>
          <w:bCs/>
          <w:color w:val="000000"/>
          <w:sz w:val="20"/>
          <w:szCs w:val="20"/>
        </w:rPr>
        <w:t>(a)Employee Stock Incentive Plans</w:t>
      </w:r>
    </w:p>
    <w:p w14:paraId="518B7A62" w14:textId="77777777" w:rsidR="005C332D" w:rsidRDefault="00B93EAE">
      <w:pPr>
        <w:spacing w:before="120"/>
        <w:jc w:val="both"/>
      </w:pPr>
      <w:r>
        <w:rPr>
          <w:rFonts w:ascii="Times New Roman" w:eastAsia="宋体" w:hAnsi="Times New Roman"/>
          <w:color w:val="000000"/>
          <w:sz w:val="20"/>
          <w:szCs w:val="20"/>
        </w:rPr>
        <w:t xml:space="preserve">We have one stock incentive plan: the 2005 Stock Incentive Plan (the “2005 Plan”). In addition, we have, in connection with our acquisitions of various companies, assumed the share-based awards granted under stock incentive plans of the acquired companies </w:t>
      </w:r>
      <w:r>
        <w:rPr>
          <w:rFonts w:ascii="Times New Roman" w:eastAsia="宋体" w:hAnsi="Times New Roman"/>
          <w:color w:val="000000"/>
          <w:sz w:val="20"/>
          <w:szCs w:val="20"/>
        </w:rPr>
        <w:t xml:space="preserve">or issued share-based awards in replacement thereof. Share-based awards are designed to reward employees for their long-term contributions to us and provide incentives for them to remain with us. The number and frequency of share-based awards are based on </w:t>
      </w:r>
      <w:r>
        <w:rPr>
          <w:rFonts w:ascii="Times New Roman" w:eastAsia="宋体" w:hAnsi="Times New Roman"/>
          <w:color w:val="000000"/>
          <w:sz w:val="20"/>
          <w:szCs w:val="20"/>
        </w:rPr>
        <w:t xml:space="preserve">competitive practices, our operating results, government regulations, and other factors. Our primary stock incentive plan is summarized as follows: </w:t>
      </w:r>
    </w:p>
    <w:p w14:paraId="518B7A63" w14:textId="77777777" w:rsidR="005C332D" w:rsidRDefault="00B93EAE">
      <w:pPr>
        <w:spacing w:before="120"/>
        <w:jc w:val="both"/>
      </w:pPr>
      <w:r>
        <w:rPr>
          <w:rFonts w:ascii="Times New Roman" w:eastAsia="宋体" w:hAnsi="Times New Roman"/>
          <w:color w:val="000000"/>
          <w:sz w:val="20"/>
          <w:szCs w:val="20"/>
        </w:rPr>
        <w:t xml:space="preserve">The 2005 Plan provides for the granting of stock options, stock grants, stock units and stock appreciation </w:t>
      </w:r>
      <w:r>
        <w:rPr>
          <w:rFonts w:ascii="Times New Roman" w:eastAsia="宋体" w:hAnsi="Times New Roman"/>
          <w:color w:val="000000"/>
          <w:sz w:val="20"/>
          <w:szCs w:val="20"/>
        </w:rPr>
        <w:t xml:space="preserve">rights (SARs), the vesting of which may be time-based or upon satisfaction of performance goals, or both, and/or other conditions. Employees (including employee directors and executive officers) and consultants of Cisco and its subsidiaries and affiliates </w:t>
      </w:r>
      <w:r>
        <w:rPr>
          <w:rFonts w:ascii="Times New Roman" w:eastAsia="宋体" w:hAnsi="Times New Roman"/>
          <w:color w:val="000000"/>
          <w:sz w:val="20"/>
          <w:szCs w:val="20"/>
        </w:rPr>
        <w:t>and non-employee directors of Cisco are eligible to participate in the 2005 Plan. The 2005 Plan may be terminated by our Board of Directors at any time and for any reason, and is currently set to terminate at the 2030 Annual Meeting unless re-adopted or ex</w:t>
      </w:r>
      <w:r>
        <w:rPr>
          <w:rFonts w:ascii="Times New Roman" w:eastAsia="宋体" w:hAnsi="Times New Roman"/>
          <w:color w:val="000000"/>
          <w:sz w:val="20"/>
          <w:szCs w:val="20"/>
        </w:rPr>
        <w:t>tended by our stockholders prior to or on such date.</w:t>
      </w:r>
    </w:p>
    <w:p w14:paraId="518B7A64" w14:textId="77777777" w:rsidR="005C332D" w:rsidRDefault="00B93EAE">
      <w:pPr>
        <w:spacing w:before="120"/>
        <w:jc w:val="both"/>
      </w:pPr>
      <w:r>
        <w:rPr>
          <w:rFonts w:ascii="Times New Roman" w:eastAsia="宋体" w:hAnsi="Times New Roman"/>
          <w:color w:val="000000"/>
          <w:sz w:val="20"/>
          <w:szCs w:val="20"/>
        </w:rPr>
        <w:t xml:space="preserve">Under the 2005 Plan’s share reserve feature, a distinction is made between the number of shares in the reserve attributable to (i) stock options and SARs and (ii) “full value” awards (i.e., stock grants </w:t>
      </w:r>
      <w:r>
        <w:rPr>
          <w:rFonts w:ascii="Times New Roman" w:eastAsia="宋体" w:hAnsi="Times New Roman"/>
          <w:color w:val="000000"/>
          <w:sz w:val="20"/>
          <w:szCs w:val="20"/>
        </w:rPr>
        <w:t>and stock units). Shares issued as stock grants, pursuant to stock units or pursuant to the settlement of dividend equivalents are counted against shares available for issuance under the 2005 Plan on a 1.5-to-1 ratio. For each share awarded as restricted s</w:t>
      </w:r>
      <w:r>
        <w:rPr>
          <w:rFonts w:ascii="Times New Roman" w:eastAsia="宋体" w:hAnsi="Times New Roman"/>
          <w:color w:val="000000"/>
          <w:sz w:val="20"/>
          <w:szCs w:val="20"/>
        </w:rPr>
        <w:t>tock or a restricted stock unit award under the 2005 Plan, 1.5 shares was deducted from the available share-based award balance. If awards issued under the 2005 Plan are forfeited or terminated for any reason before being exercised or settled, then the sha</w:t>
      </w:r>
      <w:r>
        <w:rPr>
          <w:rFonts w:ascii="Times New Roman" w:eastAsia="宋体" w:hAnsi="Times New Roman"/>
          <w:color w:val="000000"/>
          <w:sz w:val="20"/>
          <w:szCs w:val="20"/>
        </w:rPr>
        <w:t>res underlying such awards, plus the number of additional shares, if any, that counted against shares available for issuance under the 2005 Plan at the time of grant as a result of the application of the share ratio described above, will become available a</w:t>
      </w:r>
      <w:r>
        <w:rPr>
          <w:rFonts w:ascii="Times New Roman" w:eastAsia="宋体" w:hAnsi="Times New Roman"/>
          <w:color w:val="000000"/>
          <w:sz w:val="20"/>
          <w:szCs w:val="20"/>
        </w:rPr>
        <w:t>gain for issuance under the 2005 Plan. As of July 30, 2022, 205 million shares were authorized for future grant under the 2005 Plan.</w:t>
      </w:r>
    </w:p>
    <w:p w14:paraId="518B7A65" w14:textId="77777777" w:rsidR="005C332D" w:rsidRDefault="00B93EAE">
      <w:pPr>
        <w:spacing w:before="120"/>
        <w:ind w:hanging="360"/>
        <w:jc w:val="both"/>
      </w:pPr>
      <w:r>
        <w:rPr>
          <w:rFonts w:ascii="Times New Roman" w:eastAsia="宋体" w:hAnsi="Times New Roman"/>
          <w:b/>
          <w:bCs/>
          <w:color w:val="000000"/>
          <w:sz w:val="20"/>
          <w:szCs w:val="20"/>
        </w:rPr>
        <w:t>(b)Employee Stock Purchase Plan</w:t>
      </w:r>
    </w:p>
    <w:p w14:paraId="518B7A66" w14:textId="77777777" w:rsidR="005C332D" w:rsidRDefault="00B93EAE">
      <w:pPr>
        <w:spacing w:before="120"/>
        <w:jc w:val="both"/>
      </w:pPr>
      <w:r>
        <w:rPr>
          <w:rFonts w:ascii="Times New Roman" w:eastAsia="宋体" w:hAnsi="Times New Roman"/>
          <w:color w:val="000000"/>
          <w:sz w:val="20"/>
          <w:szCs w:val="20"/>
        </w:rPr>
        <w:t>We have an Employee Stock Purchase Plan under which eligible employees are offered shares t</w:t>
      </w:r>
      <w:r>
        <w:rPr>
          <w:rFonts w:ascii="Times New Roman" w:eastAsia="宋体" w:hAnsi="Times New Roman"/>
          <w:color w:val="000000"/>
          <w:sz w:val="20"/>
          <w:szCs w:val="20"/>
        </w:rPr>
        <w:t>hrough a 24-month offering period, which consists of four consecutive 6-month purchase periods. Employees may purchase a limited amount of shares of our stock at a discount of up to 15% of the lesser of the fair market value at the beginning of the offerin</w:t>
      </w:r>
      <w:r>
        <w:rPr>
          <w:rFonts w:ascii="Times New Roman" w:eastAsia="宋体" w:hAnsi="Times New Roman"/>
          <w:color w:val="000000"/>
          <w:sz w:val="20"/>
          <w:szCs w:val="20"/>
        </w:rPr>
        <w:t>g period or the end of each 6-month purchase period. The Employee Stock Purchase Plan is scheduled to terminate on the earlier of (i) January 3, 2030 and (ii) the date on which all shares available for issuance under the Employee Stock Purchase Plan are so</w:t>
      </w:r>
      <w:r>
        <w:rPr>
          <w:rFonts w:ascii="Times New Roman" w:eastAsia="宋体" w:hAnsi="Times New Roman"/>
          <w:color w:val="000000"/>
          <w:sz w:val="20"/>
          <w:szCs w:val="20"/>
        </w:rPr>
        <w:t>ld pursuant to exercised purchase rights. We issued 18 million, 17 million, and 18 million shares under the Employee Stock Purchase Plan in fiscal 2022, 2021, and 2020, respectively. As of July 30, 2022, 107 million shares were available for issuance under</w:t>
      </w:r>
      <w:r>
        <w:rPr>
          <w:rFonts w:ascii="Times New Roman" w:eastAsia="宋体" w:hAnsi="Times New Roman"/>
          <w:color w:val="000000"/>
          <w:sz w:val="20"/>
          <w:szCs w:val="20"/>
        </w:rPr>
        <w:t xml:space="preserve"> the Employee Stock Purchase Plan.</w:t>
      </w:r>
    </w:p>
    <w:p w14:paraId="518B7A67" w14:textId="77777777" w:rsidR="005C332D" w:rsidRDefault="00B93EAE">
      <w:pPr>
        <w:spacing w:before="120"/>
        <w:ind w:hanging="360"/>
        <w:jc w:val="both"/>
      </w:pPr>
      <w:r>
        <w:rPr>
          <w:rFonts w:ascii="Times New Roman" w:eastAsia="宋体" w:hAnsi="Times New Roman"/>
          <w:b/>
          <w:bCs/>
          <w:color w:val="000000"/>
          <w:sz w:val="20"/>
          <w:szCs w:val="20"/>
        </w:rPr>
        <w:t>(c)Summary of Share-Based Compensation Expense</w:t>
      </w:r>
    </w:p>
    <w:p w14:paraId="518B7A68" w14:textId="77777777" w:rsidR="005C332D" w:rsidRDefault="00B93EAE">
      <w:pPr>
        <w:spacing w:before="120"/>
        <w:jc w:val="both"/>
      </w:pPr>
      <w:r>
        <w:rPr>
          <w:rFonts w:ascii="Times New Roman" w:eastAsia="宋体" w:hAnsi="Times New Roman"/>
          <w:color w:val="000000"/>
          <w:sz w:val="20"/>
          <w:szCs w:val="20"/>
        </w:rPr>
        <w:t>Share-based compensation expense consists primarily of expenses for RSUs, stock purchase rights, and stock options, granted to employees or assumed from acquisitions. The fol</w:t>
      </w:r>
      <w:r>
        <w:rPr>
          <w:rFonts w:ascii="Times New Roman" w:eastAsia="宋体" w:hAnsi="Times New Roman"/>
          <w:color w:val="000000"/>
          <w:sz w:val="20"/>
          <w:szCs w:val="20"/>
        </w:rPr>
        <w:t>lowing table summarizes share-based compensation expense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393"/>
        <w:gridCol w:w="36"/>
        <w:gridCol w:w="120"/>
        <w:gridCol w:w="1080"/>
        <w:gridCol w:w="36"/>
        <w:gridCol w:w="36"/>
        <w:gridCol w:w="36"/>
        <w:gridCol w:w="36"/>
        <w:gridCol w:w="120"/>
        <w:gridCol w:w="1040"/>
        <w:gridCol w:w="36"/>
        <w:gridCol w:w="36"/>
        <w:gridCol w:w="36"/>
        <w:gridCol w:w="36"/>
        <w:gridCol w:w="120"/>
        <w:gridCol w:w="1040"/>
        <w:gridCol w:w="36"/>
      </w:tblGrid>
      <w:tr w:rsidR="005C332D" w14:paraId="518B7A7B" w14:textId="77777777">
        <w:tc>
          <w:tcPr>
            <w:tcW w:w="50" w:type="pct"/>
            <w:shd w:val="clear" w:color="auto" w:fill="auto"/>
            <w:vAlign w:val="bottom"/>
          </w:tcPr>
          <w:p w14:paraId="518B7A69" w14:textId="77777777" w:rsidR="005C332D" w:rsidRDefault="005C332D">
            <w:pPr>
              <w:rPr>
                <w:rFonts w:ascii="宋体"/>
              </w:rPr>
            </w:pPr>
          </w:p>
        </w:tc>
        <w:tc>
          <w:tcPr>
            <w:tcW w:w="2672" w:type="pct"/>
            <w:shd w:val="clear" w:color="auto" w:fill="auto"/>
            <w:vAlign w:val="bottom"/>
          </w:tcPr>
          <w:p w14:paraId="518B7A6A" w14:textId="77777777" w:rsidR="005C332D" w:rsidRDefault="005C332D">
            <w:pPr>
              <w:rPr>
                <w:rFonts w:ascii="宋体"/>
              </w:rPr>
            </w:pPr>
          </w:p>
        </w:tc>
        <w:tc>
          <w:tcPr>
            <w:tcW w:w="5" w:type="pct"/>
            <w:shd w:val="clear" w:color="auto" w:fill="auto"/>
            <w:vAlign w:val="bottom"/>
          </w:tcPr>
          <w:p w14:paraId="518B7A6B" w14:textId="77777777" w:rsidR="005C332D" w:rsidRDefault="005C332D">
            <w:pPr>
              <w:rPr>
                <w:rFonts w:ascii="宋体"/>
              </w:rPr>
            </w:pPr>
          </w:p>
        </w:tc>
        <w:tc>
          <w:tcPr>
            <w:tcW w:w="50" w:type="pct"/>
            <w:shd w:val="clear" w:color="auto" w:fill="auto"/>
            <w:vAlign w:val="bottom"/>
          </w:tcPr>
          <w:p w14:paraId="518B7A6C" w14:textId="77777777" w:rsidR="005C332D" w:rsidRDefault="005C332D">
            <w:pPr>
              <w:rPr>
                <w:rFonts w:ascii="宋体"/>
              </w:rPr>
            </w:pPr>
          </w:p>
        </w:tc>
        <w:tc>
          <w:tcPr>
            <w:tcW w:w="678" w:type="pct"/>
            <w:shd w:val="clear" w:color="auto" w:fill="auto"/>
            <w:vAlign w:val="bottom"/>
          </w:tcPr>
          <w:p w14:paraId="518B7A6D" w14:textId="77777777" w:rsidR="005C332D" w:rsidRDefault="005C332D">
            <w:pPr>
              <w:rPr>
                <w:rFonts w:ascii="宋体"/>
              </w:rPr>
            </w:pPr>
          </w:p>
        </w:tc>
        <w:tc>
          <w:tcPr>
            <w:tcW w:w="5" w:type="pct"/>
            <w:shd w:val="clear" w:color="auto" w:fill="auto"/>
            <w:vAlign w:val="bottom"/>
          </w:tcPr>
          <w:p w14:paraId="518B7A6E" w14:textId="77777777" w:rsidR="005C332D" w:rsidRDefault="005C332D">
            <w:pPr>
              <w:rPr>
                <w:rFonts w:ascii="宋体"/>
              </w:rPr>
            </w:pPr>
          </w:p>
        </w:tc>
        <w:tc>
          <w:tcPr>
            <w:tcW w:w="5" w:type="pct"/>
            <w:shd w:val="clear" w:color="auto" w:fill="auto"/>
            <w:vAlign w:val="bottom"/>
          </w:tcPr>
          <w:p w14:paraId="518B7A6F" w14:textId="77777777" w:rsidR="005C332D" w:rsidRDefault="005C332D">
            <w:pPr>
              <w:rPr>
                <w:rFonts w:ascii="宋体"/>
              </w:rPr>
            </w:pPr>
          </w:p>
        </w:tc>
        <w:tc>
          <w:tcPr>
            <w:tcW w:w="26" w:type="pct"/>
            <w:shd w:val="clear" w:color="auto" w:fill="auto"/>
            <w:vAlign w:val="bottom"/>
          </w:tcPr>
          <w:p w14:paraId="518B7A70" w14:textId="77777777" w:rsidR="005C332D" w:rsidRDefault="005C332D">
            <w:pPr>
              <w:rPr>
                <w:rFonts w:ascii="宋体"/>
              </w:rPr>
            </w:pPr>
          </w:p>
        </w:tc>
        <w:tc>
          <w:tcPr>
            <w:tcW w:w="5" w:type="pct"/>
            <w:shd w:val="clear" w:color="auto" w:fill="auto"/>
            <w:vAlign w:val="bottom"/>
          </w:tcPr>
          <w:p w14:paraId="518B7A71" w14:textId="77777777" w:rsidR="005C332D" w:rsidRDefault="005C332D">
            <w:pPr>
              <w:rPr>
                <w:rFonts w:ascii="宋体"/>
              </w:rPr>
            </w:pPr>
          </w:p>
        </w:tc>
        <w:tc>
          <w:tcPr>
            <w:tcW w:w="50" w:type="pct"/>
            <w:shd w:val="clear" w:color="auto" w:fill="auto"/>
            <w:vAlign w:val="bottom"/>
          </w:tcPr>
          <w:p w14:paraId="518B7A72" w14:textId="77777777" w:rsidR="005C332D" w:rsidRDefault="005C332D">
            <w:pPr>
              <w:rPr>
                <w:rFonts w:ascii="宋体"/>
              </w:rPr>
            </w:pPr>
          </w:p>
        </w:tc>
        <w:tc>
          <w:tcPr>
            <w:tcW w:w="678" w:type="pct"/>
            <w:shd w:val="clear" w:color="auto" w:fill="auto"/>
            <w:vAlign w:val="bottom"/>
          </w:tcPr>
          <w:p w14:paraId="518B7A73" w14:textId="77777777" w:rsidR="005C332D" w:rsidRDefault="005C332D">
            <w:pPr>
              <w:rPr>
                <w:rFonts w:ascii="宋体"/>
              </w:rPr>
            </w:pPr>
          </w:p>
        </w:tc>
        <w:tc>
          <w:tcPr>
            <w:tcW w:w="5" w:type="pct"/>
            <w:shd w:val="clear" w:color="auto" w:fill="auto"/>
            <w:vAlign w:val="bottom"/>
          </w:tcPr>
          <w:p w14:paraId="518B7A74" w14:textId="77777777" w:rsidR="005C332D" w:rsidRDefault="005C332D">
            <w:pPr>
              <w:rPr>
                <w:rFonts w:ascii="宋体"/>
              </w:rPr>
            </w:pPr>
          </w:p>
        </w:tc>
        <w:tc>
          <w:tcPr>
            <w:tcW w:w="5" w:type="pct"/>
            <w:shd w:val="clear" w:color="auto" w:fill="auto"/>
            <w:vAlign w:val="bottom"/>
          </w:tcPr>
          <w:p w14:paraId="518B7A75" w14:textId="77777777" w:rsidR="005C332D" w:rsidRDefault="005C332D">
            <w:pPr>
              <w:rPr>
                <w:rFonts w:ascii="宋体"/>
              </w:rPr>
            </w:pPr>
          </w:p>
        </w:tc>
        <w:tc>
          <w:tcPr>
            <w:tcW w:w="26" w:type="pct"/>
            <w:shd w:val="clear" w:color="auto" w:fill="auto"/>
            <w:vAlign w:val="bottom"/>
          </w:tcPr>
          <w:p w14:paraId="518B7A76" w14:textId="77777777" w:rsidR="005C332D" w:rsidRDefault="005C332D">
            <w:pPr>
              <w:rPr>
                <w:rFonts w:ascii="宋体"/>
              </w:rPr>
            </w:pPr>
          </w:p>
        </w:tc>
        <w:tc>
          <w:tcPr>
            <w:tcW w:w="5" w:type="pct"/>
            <w:shd w:val="clear" w:color="auto" w:fill="auto"/>
            <w:vAlign w:val="bottom"/>
          </w:tcPr>
          <w:p w14:paraId="518B7A77" w14:textId="77777777" w:rsidR="005C332D" w:rsidRDefault="005C332D">
            <w:pPr>
              <w:rPr>
                <w:rFonts w:ascii="宋体"/>
              </w:rPr>
            </w:pPr>
          </w:p>
        </w:tc>
        <w:tc>
          <w:tcPr>
            <w:tcW w:w="50" w:type="pct"/>
            <w:shd w:val="clear" w:color="auto" w:fill="auto"/>
            <w:vAlign w:val="bottom"/>
          </w:tcPr>
          <w:p w14:paraId="518B7A78" w14:textId="77777777" w:rsidR="005C332D" w:rsidRDefault="005C332D">
            <w:pPr>
              <w:rPr>
                <w:rFonts w:ascii="宋体"/>
              </w:rPr>
            </w:pPr>
          </w:p>
        </w:tc>
        <w:tc>
          <w:tcPr>
            <w:tcW w:w="678" w:type="pct"/>
            <w:shd w:val="clear" w:color="auto" w:fill="auto"/>
            <w:vAlign w:val="bottom"/>
          </w:tcPr>
          <w:p w14:paraId="518B7A79" w14:textId="77777777" w:rsidR="005C332D" w:rsidRDefault="005C332D">
            <w:pPr>
              <w:rPr>
                <w:rFonts w:ascii="宋体"/>
              </w:rPr>
            </w:pPr>
          </w:p>
        </w:tc>
        <w:tc>
          <w:tcPr>
            <w:tcW w:w="5" w:type="pct"/>
            <w:shd w:val="clear" w:color="auto" w:fill="auto"/>
            <w:vAlign w:val="bottom"/>
          </w:tcPr>
          <w:p w14:paraId="518B7A7A" w14:textId="77777777" w:rsidR="005C332D" w:rsidRDefault="005C332D">
            <w:pPr>
              <w:rPr>
                <w:rFonts w:ascii="宋体"/>
              </w:rPr>
            </w:pPr>
          </w:p>
        </w:tc>
      </w:tr>
      <w:tr w:rsidR="005C332D" w14:paraId="518B7A82" w14:textId="77777777">
        <w:tc>
          <w:tcPr>
            <w:tcW w:w="0" w:type="auto"/>
            <w:gridSpan w:val="3"/>
            <w:shd w:val="clear" w:color="auto" w:fill="auto"/>
            <w:tcMar>
              <w:top w:w="40" w:type="dxa"/>
              <w:left w:w="20" w:type="dxa"/>
              <w:bottom w:w="40" w:type="dxa"/>
              <w:right w:w="20" w:type="dxa"/>
            </w:tcMar>
            <w:vAlign w:val="bottom"/>
          </w:tcPr>
          <w:p w14:paraId="518B7A7C"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shd w:val="clear" w:color="auto" w:fill="auto"/>
            <w:tcMar>
              <w:top w:w="40" w:type="dxa"/>
              <w:left w:w="20" w:type="dxa"/>
              <w:bottom w:w="40" w:type="dxa"/>
              <w:right w:w="20" w:type="dxa"/>
            </w:tcMar>
            <w:vAlign w:val="bottom"/>
          </w:tcPr>
          <w:p w14:paraId="518B7A7D"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A7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A7F"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7A8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A81"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A8F" w14:textId="77777777">
        <w:tc>
          <w:tcPr>
            <w:tcW w:w="0" w:type="auto"/>
            <w:gridSpan w:val="3"/>
            <w:shd w:val="clear" w:color="auto" w:fill="CCEEFF"/>
            <w:tcMar>
              <w:top w:w="40" w:type="dxa"/>
              <w:left w:w="20" w:type="dxa"/>
              <w:bottom w:w="40" w:type="dxa"/>
              <w:right w:w="20" w:type="dxa"/>
            </w:tcMar>
          </w:tcPr>
          <w:p w14:paraId="518B7A83" w14:textId="77777777" w:rsidR="005C332D" w:rsidRDefault="00B93EAE">
            <w:pPr>
              <w:textAlignment w:val="top"/>
            </w:pPr>
            <w:r>
              <w:rPr>
                <w:rFonts w:ascii="Times New Roman" w:eastAsia="宋体" w:hAnsi="Times New Roman"/>
                <w:color w:val="000000"/>
                <w:sz w:val="20"/>
                <w:szCs w:val="20"/>
              </w:rPr>
              <w:t>Cost of sales—product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A8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A85" w14:textId="77777777" w:rsidR="005C332D" w:rsidRDefault="00B93EAE">
            <w:pPr>
              <w:jc w:val="right"/>
              <w:textAlignment w:val="bottom"/>
            </w:pPr>
            <w:r>
              <w:rPr>
                <w:rFonts w:ascii="Times New Roman" w:eastAsia="宋体" w:hAnsi="Times New Roman"/>
                <w:b/>
                <w:bCs/>
                <w:color w:val="000000"/>
                <w:sz w:val="20"/>
                <w:szCs w:val="20"/>
              </w:rPr>
              <w:t>112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8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8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A8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A89" w14:textId="77777777" w:rsidR="005C332D" w:rsidRDefault="00B93EAE">
            <w:pPr>
              <w:jc w:val="right"/>
              <w:textAlignment w:val="bottom"/>
            </w:pPr>
            <w:r>
              <w:rPr>
                <w:rFonts w:ascii="Times New Roman" w:eastAsia="宋体" w:hAnsi="Times New Roman"/>
                <w:color w:val="000000"/>
                <w:sz w:val="20"/>
                <w:szCs w:val="20"/>
              </w:rPr>
              <w:t>99 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8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8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A8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A8D" w14:textId="77777777" w:rsidR="005C332D" w:rsidRDefault="00B93EAE">
            <w:pPr>
              <w:jc w:val="right"/>
              <w:textAlignment w:val="bottom"/>
            </w:pPr>
            <w:r>
              <w:rPr>
                <w:rFonts w:ascii="Times New Roman" w:eastAsia="宋体" w:hAnsi="Times New Roman"/>
                <w:color w:val="000000"/>
                <w:sz w:val="20"/>
                <w:szCs w:val="20"/>
              </w:rPr>
              <w:t>93 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8E" w14:textId="77777777" w:rsidR="005C332D" w:rsidRDefault="005C332D">
            <w:pPr>
              <w:jc w:val="right"/>
              <w:rPr>
                <w:rFonts w:ascii="宋体"/>
              </w:rPr>
            </w:pPr>
          </w:p>
        </w:tc>
      </w:tr>
      <w:tr w:rsidR="005C332D" w14:paraId="518B7A99" w14:textId="77777777">
        <w:tc>
          <w:tcPr>
            <w:tcW w:w="0" w:type="auto"/>
            <w:gridSpan w:val="3"/>
            <w:shd w:val="clear" w:color="auto" w:fill="FFFFFF"/>
            <w:tcMar>
              <w:top w:w="40" w:type="dxa"/>
              <w:left w:w="20" w:type="dxa"/>
              <w:bottom w:w="40" w:type="dxa"/>
              <w:right w:w="20" w:type="dxa"/>
            </w:tcMar>
          </w:tcPr>
          <w:p w14:paraId="518B7A90" w14:textId="77777777" w:rsidR="005C332D" w:rsidRDefault="00B93EAE">
            <w:pPr>
              <w:textAlignment w:val="top"/>
            </w:pPr>
            <w:r>
              <w:rPr>
                <w:rFonts w:ascii="Times New Roman" w:eastAsia="宋体" w:hAnsi="Times New Roman"/>
                <w:color w:val="000000"/>
                <w:sz w:val="20"/>
                <w:szCs w:val="20"/>
              </w:rPr>
              <w:t>Cost of sales—service</w:t>
            </w:r>
          </w:p>
        </w:tc>
        <w:tc>
          <w:tcPr>
            <w:tcW w:w="0" w:type="auto"/>
            <w:gridSpan w:val="2"/>
            <w:shd w:val="clear" w:color="auto" w:fill="FFFFFF"/>
            <w:tcMar>
              <w:top w:w="40" w:type="dxa"/>
              <w:left w:w="20" w:type="dxa"/>
              <w:bottom w:w="40" w:type="dxa"/>
              <w:right w:w="0" w:type="dxa"/>
            </w:tcMar>
            <w:vAlign w:val="bottom"/>
          </w:tcPr>
          <w:p w14:paraId="518B7A91" w14:textId="77777777" w:rsidR="005C332D" w:rsidRDefault="00B93EAE">
            <w:pPr>
              <w:jc w:val="right"/>
              <w:textAlignment w:val="bottom"/>
            </w:pPr>
            <w:r>
              <w:rPr>
                <w:rFonts w:ascii="Times New Roman" w:eastAsia="宋体" w:hAnsi="Times New Roman"/>
                <w:b/>
                <w:bCs/>
                <w:color w:val="000000"/>
                <w:sz w:val="20"/>
                <w:szCs w:val="20"/>
              </w:rPr>
              <w:t>199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A9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9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A94" w14:textId="77777777" w:rsidR="005C332D" w:rsidRDefault="00B93EAE">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518B7A9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9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A97" w14:textId="77777777" w:rsidR="005C332D" w:rsidRDefault="00B93EAE">
            <w:pPr>
              <w:jc w:val="right"/>
              <w:textAlignment w:val="bottom"/>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bottom"/>
          </w:tcPr>
          <w:p w14:paraId="518B7A98" w14:textId="77777777" w:rsidR="005C332D" w:rsidRDefault="005C332D">
            <w:pPr>
              <w:jc w:val="right"/>
              <w:rPr>
                <w:rFonts w:ascii="宋体"/>
              </w:rPr>
            </w:pPr>
          </w:p>
        </w:tc>
      </w:tr>
      <w:tr w:rsidR="005C332D" w14:paraId="518B7AA3" w14:textId="77777777">
        <w:tc>
          <w:tcPr>
            <w:tcW w:w="0" w:type="auto"/>
            <w:gridSpan w:val="3"/>
            <w:shd w:val="clear" w:color="auto" w:fill="CCEEFF"/>
            <w:tcMar>
              <w:top w:w="40" w:type="dxa"/>
              <w:left w:w="20" w:type="dxa"/>
              <w:bottom w:w="40" w:type="dxa"/>
              <w:right w:w="20" w:type="dxa"/>
            </w:tcMar>
          </w:tcPr>
          <w:p w14:paraId="518B7A9A" w14:textId="77777777" w:rsidR="005C332D" w:rsidRDefault="00B93EAE">
            <w:pPr>
              <w:textAlignment w:val="top"/>
            </w:pPr>
            <w:r>
              <w:rPr>
                <w:rFonts w:ascii="Times New Roman" w:eastAsia="宋体" w:hAnsi="Times New Roman"/>
                <w:color w:val="000000"/>
                <w:sz w:val="20"/>
                <w:szCs w:val="20"/>
              </w:rPr>
              <w:t>Share-based compensation expense in cost of sales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A9B" w14:textId="77777777" w:rsidR="005C332D" w:rsidRDefault="00B93EAE">
            <w:pPr>
              <w:jc w:val="right"/>
              <w:textAlignment w:val="bottom"/>
            </w:pPr>
            <w:r>
              <w:rPr>
                <w:rFonts w:ascii="Times New Roman" w:eastAsia="宋体" w:hAnsi="Times New Roman"/>
                <w:b/>
                <w:bCs/>
                <w:color w:val="000000"/>
                <w:sz w:val="20"/>
                <w:szCs w:val="20"/>
              </w:rPr>
              <w:t>311</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9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9D"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A9E" w14:textId="77777777" w:rsidR="005C332D" w:rsidRDefault="00B93EAE">
            <w:pPr>
              <w:jc w:val="right"/>
              <w:textAlignment w:val="bottom"/>
            </w:pPr>
            <w:r>
              <w:rPr>
                <w:rFonts w:ascii="Times New Roman" w:eastAsia="宋体" w:hAnsi="Times New Roman"/>
                <w:color w:val="000000"/>
                <w:sz w:val="20"/>
                <w:szCs w:val="20"/>
              </w:rPr>
              <w:t>275 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9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A0"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AA1" w14:textId="77777777" w:rsidR="005C332D" w:rsidRDefault="00B93EAE">
            <w:pPr>
              <w:jc w:val="right"/>
              <w:textAlignment w:val="bottom"/>
            </w:pPr>
            <w:r>
              <w:rPr>
                <w:rFonts w:ascii="Times New Roman" w:eastAsia="宋体" w:hAnsi="Times New Roman"/>
                <w:color w:val="000000"/>
                <w:sz w:val="20"/>
                <w:szCs w:val="20"/>
              </w:rPr>
              <w:t>237 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A2" w14:textId="77777777" w:rsidR="005C332D" w:rsidRDefault="005C332D">
            <w:pPr>
              <w:jc w:val="right"/>
              <w:rPr>
                <w:rFonts w:ascii="宋体"/>
              </w:rPr>
            </w:pPr>
          </w:p>
        </w:tc>
      </w:tr>
      <w:tr w:rsidR="005C332D" w14:paraId="518B7AAD" w14:textId="77777777">
        <w:tc>
          <w:tcPr>
            <w:tcW w:w="0" w:type="auto"/>
            <w:gridSpan w:val="3"/>
            <w:shd w:val="clear" w:color="auto" w:fill="FFFFFF"/>
            <w:tcMar>
              <w:top w:w="40" w:type="dxa"/>
              <w:left w:w="20" w:type="dxa"/>
              <w:bottom w:w="40" w:type="dxa"/>
              <w:right w:w="20" w:type="dxa"/>
            </w:tcMar>
          </w:tcPr>
          <w:p w14:paraId="518B7AA4" w14:textId="77777777" w:rsidR="005C332D" w:rsidRDefault="00B93EAE">
            <w:pPr>
              <w:textAlignment w:val="top"/>
            </w:pPr>
            <w:r>
              <w:rPr>
                <w:rFonts w:ascii="Times New Roman" w:eastAsia="宋体" w:hAnsi="Times New Roman"/>
                <w:color w:val="000000"/>
                <w:sz w:val="20"/>
                <w:szCs w:val="20"/>
              </w:rPr>
              <w:t>Research and development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AA5" w14:textId="77777777" w:rsidR="005C332D" w:rsidRDefault="00B93EAE">
            <w:pPr>
              <w:jc w:val="right"/>
              <w:textAlignment w:val="bottom"/>
            </w:pPr>
            <w:r>
              <w:rPr>
                <w:rFonts w:ascii="Times New Roman" w:eastAsia="宋体" w:hAnsi="Times New Roman"/>
                <w:b/>
                <w:bCs/>
                <w:color w:val="000000"/>
                <w:sz w:val="20"/>
                <w:szCs w:val="20"/>
              </w:rPr>
              <w:t>790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AA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A7"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AA8" w14:textId="77777777" w:rsidR="005C332D" w:rsidRDefault="00B93EAE">
            <w:pPr>
              <w:jc w:val="right"/>
              <w:textAlignment w:val="bottom"/>
            </w:pPr>
            <w:r>
              <w:rPr>
                <w:rFonts w:ascii="Times New Roman" w:eastAsia="宋体" w:hAnsi="Times New Roman"/>
                <w:color w:val="000000"/>
                <w:sz w:val="20"/>
                <w:szCs w:val="20"/>
              </w:rPr>
              <w:t>694 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AA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AA"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AAB" w14:textId="77777777" w:rsidR="005C332D" w:rsidRDefault="00B93EAE">
            <w:pPr>
              <w:jc w:val="right"/>
              <w:textAlignment w:val="bottom"/>
            </w:pPr>
            <w:r>
              <w:rPr>
                <w:rFonts w:ascii="Times New Roman" w:eastAsia="宋体" w:hAnsi="Times New Roman"/>
                <w:color w:val="000000"/>
                <w:sz w:val="20"/>
                <w:szCs w:val="20"/>
              </w:rPr>
              <w:t>592 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AAC" w14:textId="77777777" w:rsidR="005C332D" w:rsidRDefault="005C332D">
            <w:pPr>
              <w:jc w:val="right"/>
              <w:rPr>
                <w:rFonts w:ascii="宋体"/>
              </w:rPr>
            </w:pPr>
          </w:p>
        </w:tc>
      </w:tr>
      <w:tr w:rsidR="005C332D" w14:paraId="518B7AB7" w14:textId="77777777">
        <w:tc>
          <w:tcPr>
            <w:tcW w:w="0" w:type="auto"/>
            <w:gridSpan w:val="3"/>
            <w:shd w:val="clear" w:color="auto" w:fill="CCEEFF"/>
            <w:tcMar>
              <w:top w:w="40" w:type="dxa"/>
              <w:left w:w="20" w:type="dxa"/>
              <w:bottom w:w="40" w:type="dxa"/>
              <w:right w:w="20" w:type="dxa"/>
            </w:tcMar>
          </w:tcPr>
          <w:p w14:paraId="518B7AAE" w14:textId="77777777" w:rsidR="005C332D" w:rsidRDefault="00B93EAE">
            <w:pPr>
              <w:textAlignment w:val="top"/>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518B7AAF" w14:textId="77777777" w:rsidR="005C332D" w:rsidRDefault="00B93EAE">
            <w:pPr>
              <w:jc w:val="right"/>
              <w:textAlignment w:val="bottom"/>
            </w:pPr>
            <w:r>
              <w:rPr>
                <w:rFonts w:ascii="Times New Roman" w:eastAsia="宋体" w:hAnsi="Times New Roman"/>
                <w:b/>
                <w:bCs/>
                <w:color w:val="000000"/>
                <w:sz w:val="20"/>
                <w:szCs w:val="20"/>
              </w:rPr>
              <w:t>572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AB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B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AB2" w14:textId="77777777" w:rsidR="005C332D" w:rsidRDefault="00B93EAE">
            <w:pPr>
              <w:jc w:val="right"/>
              <w:textAlignment w:val="bottom"/>
            </w:pPr>
            <w:r>
              <w:rPr>
                <w:rFonts w:ascii="Times New Roman" w:eastAsia="宋体" w:hAnsi="Times New Roman"/>
                <w:color w:val="000000"/>
                <w:sz w:val="20"/>
                <w:szCs w:val="20"/>
              </w:rPr>
              <w:t>540 </w:t>
            </w:r>
          </w:p>
        </w:tc>
        <w:tc>
          <w:tcPr>
            <w:tcW w:w="0" w:type="auto"/>
            <w:shd w:val="clear" w:color="auto" w:fill="CCEEFF"/>
            <w:tcMar>
              <w:top w:w="40" w:type="dxa"/>
              <w:left w:w="0" w:type="dxa"/>
              <w:bottom w:w="40" w:type="dxa"/>
              <w:right w:w="20" w:type="dxa"/>
            </w:tcMar>
            <w:vAlign w:val="bottom"/>
          </w:tcPr>
          <w:p w14:paraId="518B7AB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B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AB5" w14:textId="77777777" w:rsidR="005C332D" w:rsidRDefault="00B93EAE">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518B7AB6" w14:textId="77777777" w:rsidR="005C332D" w:rsidRDefault="005C332D">
            <w:pPr>
              <w:jc w:val="right"/>
              <w:rPr>
                <w:rFonts w:ascii="宋体"/>
              </w:rPr>
            </w:pPr>
          </w:p>
        </w:tc>
      </w:tr>
      <w:tr w:rsidR="005C332D" w14:paraId="518B7AC1" w14:textId="77777777">
        <w:tc>
          <w:tcPr>
            <w:tcW w:w="0" w:type="auto"/>
            <w:gridSpan w:val="3"/>
            <w:shd w:val="clear" w:color="auto" w:fill="FFFFFF"/>
            <w:tcMar>
              <w:top w:w="40" w:type="dxa"/>
              <w:left w:w="20" w:type="dxa"/>
              <w:bottom w:w="40" w:type="dxa"/>
              <w:right w:w="20" w:type="dxa"/>
            </w:tcMar>
          </w:tcPr>
          <w:p w14:paraId="518B7AB8" w14:textId="77777777" w:rsidR="005C332D" w:rsidRDefault="00B93EAE">
            <w:pPr>
              <w:textAlignment w:val="top"/>
            </w:pPr>
            <w:r>
              <w:rPr>
                <w:rFonts w:ascii="Times New Roman" w:eastAsia="宋体" w:hAnsi="Times New Roman"/>
                <w:color w:val="000000"/>
                <w:sz w:val="20"/>
                <w:szCs w:val="20"/>
              </w:rPr>
              <w:t xml:space="preserve">General and </w:t>
            </w:r>
            <w:r>
              <w:rPr>
                <w:rFonts w:ascii="Times New Roman" w:eastAsia="宋体" w:hAnsi="Times New Roman"/>
                <w:color w:val="000000"/>
                <w:sz w:val="20"/>
                <w:szCs w:val="20"/>
              </w:rPr>
              <w:t>administrative</w:t>
            </w:r>
          </w:p>
        </w:tc>
        <w:tc>
          <w:tcPr>
            <w:tcW w:w="0" w:type="auto"/>
            <w:gridSpan w:val="2"/>
            <w:shd w:val="clear" w:color="auto" w:fill="FFFFFF"/>
            <w:tcMar>
              <w:top w:w="40" w:type="dxa"/>
              <w:left w:w="20" w:type="dxa"/>
              <w:bottom w:w="40" w:type="dxa"/>
              <w:right w:w="0" w:type="dxa"/>
            </w:tcMar>
            <w:vAlign w:val="bottom"/>
          </w:tcPr>
          <w:p w14:paraId="518B7AB9" w14:textId="77777777" w:rsidR="005C332D" w:rsidRDefault="00B93EAE">
            <w:pPr>
              <w:jc w:val="right"/>
              <w:textAlignment w:val="bottom"/>
            </w:pPr>
            <w:r>
              <w:rPr>
                <w:rFonts w:ascii="Times New Roman" w:eastAsia="宋体" w:hAnsi="Times New Roman"/>
                <w:b/>
                <w:bCs/>
                <w:color w:val="000000"/>
                <w:sz w:val="20"/>
                <w:szCs w:val="20"/>
              </w:rPr>
              <w:t>212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AB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B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ABC" w14:textId="77777777" w:rsidR="005C332D" w:rsidRDefault="00B93EAE">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bottom"/>
          </w:tcPr>
          <w:p w14:paraId="518B7AB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B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ABF" w14:textId="77777777" w:rsidR="005C332D" w:rsidRDefault="00B93EAE">
            <w:pPr>
              <w:jc w:val="right"/>
              <w:textAlignment w:val="bottom"/>
            </w:pPr>
            <w:r>
              <w:rPr>
                <w:rFonts w:ascii="Times New Roman" w:eastAsia="宋体" w:hAnsi="Times New Roman"/>
                <w:color w:val="000000"/>
                <w:sz w:val="20"/>
                <w:szCs w:val="20"/>
              </w:rPr>
              <w:t>215 </w:t>
            </w:r>
          </w:p>
        </w:tc>
        <w:tc>
          <w:tcPr>
            <w:tcW w:w="0" w:type="auto"/>
            <w:shd w:val="clear" w:color="auto" w:fill="FFFFFF"/>
            <w:tcMar>
              <w:top w:w="40" w:type="dxa"/>
              <w:left w:w="0" w:type="dxa"/>
              <w:bottom w:w="40" w:type="dxa"/>
              <w:right w:w="20" w:type="dxa"/>
            </w:tcMar>
            <w:vAlign w:val="bottom"/>
          </w:tcPr>
          <w:p w14:paraId="518B7AC0" w14:textId="77777777" w:rsidR="005C332D" w:rsidRDefault="005C332D">
            <w:pPr>
              <w:jc w:val="right"/>
              <w:rPr>
                <w:rFonts w:ascii="宋体"/>
              </w:rPr>
            </w:pPr>
          </w:p>
        </w:tc>
      </w:tr>
      <w:tr w:rsidR="005C332D" w14:paraId="518B7ACB" w14:textId="77777777">
        <w:tc>
          <w:tcPr>
            <w:tcW w:w="0" w:type="auto"/>
            <w:gridSpan w:val="3"/>
            <w:shd w:val="clear" w:color="auto" w:fill="CCEEFF"/>
            <w:tcMar>
              <w:top w:w="40" w:type="dxa"/>
              <w:left w:w="20" w:type="dxa"/>
              <w:bottom w:w="40" w:type="dxa"/>
              <w:right w:w="20" w:type="dxa"/>
            </w:tcMar>
          </w:tcPr>
          <w:p w14:paraId="518B7AC2" w14:textId="77777777" w:rsidR="005C332D" w:rsidRDefault="00B93EAE">
            <w:pPr>
              <w:textAlignment w:val="top"/>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518B7AC3"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AC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C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AC6" w14:textId="77777777" w:rsidR="005C332D" w:rsidRDefault="00B93EAE">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518B7AC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C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AC9" w14:textId="77777777" w:rsidR="005C332D" w:rsidRDefault="00B93EAE">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518B7ACA" w14:textId="77777777" w:rsidR="005C332D" w:rsidRDefault="005C332D">
            <w:pPr>
              <w:jc w:val="right"/>
              <w:rPr>
                <w:rFonts w:ascii="宋体"/>
              </w:rPr>
            </w:pPr>
          </w:p>
        </w:tc>
      </w:tr>
      <w:tr w:rsidR="005C332D" w14:paraId="518B7AD5" w14:textId="77777777">
        <w:tc>
          <w:tcPr>
            <w:tcW w:w="0" w:type="auto"/>
            <w:gridSpan w:val="3"/>
            <w:shd w:val="clear" w:color="auto" w:fill="FFFFFF"/>
            <w:tcMar>
              <w:top w:w="40" w:type="dxa"/>
              <w:left w:w="20" w:type="dxa"/>
              <w:bottom w:w="40" w:type="dxa"/>
              <w:right w:w="20" w:type="dxa"/>
            </w:tcMar>
          </w:tcPr>
          <w:p w14:paraId="518B7ACC" w14:textId="77777777" w:rsidR="005C332D" w:rsidRDefault="00B93EAE">
            <w:pPr>
              <w:textAlignment w:val="top"/>
            </w:pPr>
            <w:r>
              <w:rPr>
                <w:rFonts w:ascii="Times New Roman" w:eastAsia="宋体" w:hAnsi="Times New Roman"/>
                <w:color w:val="000000"/>
                <w:sz w:val="20"/>
                <w:szCs w:val="20"/>
              </w:rPr>
              <w:t>Share-based compensation expense in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ACD" w14:textId="77777777" w:rsidR="005C332D" w:rsidRDefault="00B93EAE">
            <w:pPr>
              <w:jc w:val="right"/>
              <w:textAlignment w:val="bottom"/>
            </w:pPr>
            <w:r>
              <w:rPr>
                <w:rFonts w:ascii="Times New Roman" w:eastAsia="宋体" w:hAnsi="Times New Roman"/>
                <w:b/>
                <w:bCs/>
                <w:color w:val="000000"/>
                <w:sz w:val="20"/>
                <w:szCs w:val="20"/>
              </w:rPr>
              <w:t>1,575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AC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CF"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AD0" w14:textId="77777777" w:rsidR="005C332D" w:rsidRDefault="00B93EAE">
            <w:pPr>
              <w:jc w:val="right"/>
              <w:textAlignment w:val="bottom"/>
            </w:pPr>
            <w:r>
              <w:rPr>
                <w:rFonts w:ascii="Times New Roman" w:eastAsia="宋体" w:hAnsi="Times New Roman"/>
                <w:color w:val="000000"/>
                <w:sz w:val="20"/>
                <w:szCs w:val="20"/>
              </w:rPr>
              <w:t>1,486 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AD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D2"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AD3" w14:textId="77777777" w:rsidR="005C332D" w:rsidRDefault="00B93EAE">
            <w:pPr>
              <w:jc w:val="right"/>
              <w:textAlignment w:val="bottom"/>
            </w:pPr>
            <w:r>
              <w:rPr>
                <w:rFonts w:ascii="Times New Roman" w:eastAsia="宋体" w:hAnsi="Times New Roman"/>
                <w:color w:val="000000"/>
                <w:sz w:val="20"/>
                <w:szCs w:val="20"/>
              </w:rPr>
              <w:t>1,332 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AD4" w14:textId="77777777" w:rsidR="005C332D" w:rsidRDefault="005C332D">
            <w:pPr>
              <w:jc w:val="right"/>
              <w:rPr>
                <w:rFonts w:ascii="宋体"/>
              </w:rPr>
            </w:pPr>
          </w:p>
        </w:tc>
      </w:tr>
      <w:tr w:rsidR="005C332D" w14:paraId="518B7AE2" w14:textId="77777777">
        <w:tc>
          <w:tcPr>
            <w:tcW w:w="0" w:type="auto"/>
            <w:gridSpan w:val="3"/>
            <w:shd w:val="clear" w:color="auto" w:fill="CCEEFF"/>
            <w:tcMar>
              <w:top w:w="40" w:type="dxa"/>
              <w:left w:w="20" w:type="dxa"/>
              <w:bottom w:w="40" w:type="dxa"/>
              <w:right w:w="20" w:type="dxa"/>
            </w:tcMar>
            <w:vAlign w:val="bottom"/>
          </w:tcPr>
          <w:p w14:paraId="518B7AD6" w14:textId="77777777" w:rsidR="005C332D" w:rsidRDefault="00B93EAE">
            <w:pPr>
              <w:textAlignment w:val="bottom"/>
            </w:pPr>
            <w:r>
              <w:rPr>
                <w:rFonts w:ascii="Times New Roman" w:eastAsia="宋体" w:hAnsi="Times New Roman"/>
                <w:color w:val="000000"/>
                <w:sz w:val="20"/>
                <w:szCs w:val="20"/>
              </w:rPr>
              <w:t>Total share-based compensation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AD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AD8" w14:textId="77777777" w:rsidR="005C332D" w:rsidRDefault="00B93EAE">
            <w:pPr>
              <w:jc w:val="right"/>
              <w:textAlignment w:val="bottom"/>
            </w:pPr>
            <w:r>
              <w:rPr>
                <w:rFonts w:ascii="Times New Roman" w:eastAsia="宋体" w:hAnsi="Times New Roman"/>
                <w:b/>
                <w:bCs/>
                <w:color w:val="000000"/>
                <w:sz w:val="20"/>
                <w:szCs w:val="20"/>
              </w:rPr>
              <w:t>1,886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D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D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AD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ADC" w14:textId="77777777" w:rsidR="005C332D" w:rsidRDefault="00B93EAE">
            <w:pPr>
              <w:jc w:val="right"/>
              <w:textAlignment w:val="bottom"/>
            </w:pPr>
            <w:r>
              <w:rPr>
                <w:rFonts w:ascii="Times New Roman" w:eastAsia="宋体" w:hAnsi="Times New Roman"/>
                <w:color w:val="000000"/>
                <w:sz w:val="20"/>
                <w:szCs w:val="20"/>
              </w:rPr>
              <w:t>1,761 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D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AD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AD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AE0" w14:textId="77777777" w:rsidR="005C332D" w:rsidRDefault="00B93EAE">
            <w:pPr>
              <w:jc w:val="right"/>
              <w:textAlignment w:val="bottom"/>
            </w:pPr>
            <w:r>
              <w:rPr>
                <w:rFonts w:ascii="Times New Roman" w:eastAsia="宋体" w:hAnsi="Times New Roman"/>
                <w:color w:val="000000"/>
                <w:sz w:val="20"/>
                <w:szCs w:val="20"/>
              </w:rPr>
              <w:t>1,569 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AE1" w14:textId="77777777" w:rsidR="005C332D" w:rsidRDefault="005C332D">
            <w:pPr>
              <w:jc w:val="right"/>
              <w:rPr>
                <w:rFonts w:ascii="宋体"/>
              </w:rPr>
            </w:pPr>
          </w:p>
        </w:tc>
      </w:tr>
      <w:tr w:rsidR="005C332D" w14:paraId="518B7AEF" w14:textId="77777777">
        <w:tc>
          <w:tcPr>
            <w:tcW w:w="0" w:type="auto"/>
            <w:gridSpan w:val="3"/>
            <w:shd w:val="clear" w:color="auto" w:fill="FFFFFF"/>
            <w:tcMar>
              <w:top w:w="40" w:type="dxa"/>
              <w:left w:w="20" w:type="dxa"/>
              <w:bottom w:w="40" w:type="dxa"/>
              <w:right w:w="20" w:type="dxa"/>
            </w:tcMar>
            <w:vAlign w:val="bottom"/>
          </w:tcPr>
          <w:p w14:paraId="518B7AE3" w14:textId="77777777" w:rsidR="005C332D" w:rsidRDefault="00B93EAE">
            <w:pPr>
              <w:textAlignment w:val="bottom"/>
            </w:pPr>
            <w:r>
              <w:rPr>
                <w:rFonts w:ascii="Times New Roman" w:eastAsia="宋体" w:hAnsi="Times New Roman"/>
                <w:color w:val="000000"/>
                <w:sz w:val="20"/>
                <w:szCs w:val="20"/>
              </w:rPr>
              <w:t>Income tax benefit for share-based compensation</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518B7AE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518B7AE5" w14:textId="77777777" w:rsidR="005C332D" w:rsidRDefault="00B93EAE">
            <w:pPr>
              <w:jc w:val="right"/>
              <w:textAlignment w:val="bottom"/>
            </w:pPr>
            <w:r>
              <w:rPr>
                <w:rFonts w:ascii="Times New Roman" w:eastAsia="宋体" w:hAnsi="Times New Roman"/>
                <w:b/>
                <w:bCs/>
                <w:color w:val="000000"/>
                <w:sz w:val="20"/>
                <w:szCs w:val="20"/>
              </w:rPr>
              <w:t>457</w:t>
            </w:r>
            <w:r>
              <w:rPr>
                <w:rFonts w:ascii="Times New Roman" w:eastAsia="宋体" w:hAnsi="Times New Roman"/>
                <w:color w:val="000000"/>
                <w:sz w:val="20"/>
                <w:szCs w:val="20"/>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518B7AE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E7" w14:textId="77777777" w:rsidR="005C332D" w:rsidRDefault="005C332D">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518B7AE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518B7AE9" w14:textId="77777777" w:rsidR="005C332D" w:rsidRDefault="00B93EAE">
            <w:pPr>
              <w:jc w:val="right"/>
              <w:textAlignment w:val="bottom"/>
            </w:pPr>
            <w:r>
              <w:rPr>
                <w:rFonts w:ascii="Times New Roman" w:eastAsia="宋体" w:hAnsi="Times New Roman"/>
                <w:color w:val="000000"/>
                <w:sz w:val="20"/>
                <w:szCs w:val="20"/>
              </w:rPr>
              <w:t>387 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518B7AE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AEB" w14:textId="77777777" w:rsidR="005C332D" w:rsidRDefault="005C332D">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518B7AE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518B7AED" w14:textId="77777777" w:rsidR="005C332D" w:rsidRDefault="00B93EAE">
            <w:pPr>
              <w:jc w:val="right"/>
              <w:textAlignment w:val="bottom"/>
            </w:pPr>
            <w:r>
              <w:rPr>
                <w:rFonts w:ascii="Times New Roman" w:eastAsia="宋体" w:hAnsi="Times New Roman"/>
                <w:color w:val="000000"/>
                <w:sz w:val="20"/>
                <w:szCs w:val="20"/>
              </w:rPr>
              <w:t>452 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518B7AEE" w14:textId="77777777" w:rsidR="005C332D" w:rsidRDefault="005C332D">
            <w:pPr>
              <w:jc w:val="right"/>
              <w:rPr>
                <w:rFonts w:ascii="宋体"/>
              </w:rPr>
            </w:pPr>
          </w:p>
        </w:tc>
      </w:tr>
    </w:tbl>
    <w:p w14:paraId="518B7AF0" w14:textId="77777777" w:rsidR="005C332D" w:rsidRDefault="00B93EAE">
      <w:pPr>
        <w:spacing w:before="120"/>
        <w:jc w:val="both"/>
      </w:pPr>
      <w:r>
        <w:rPr>
          <w:rFonts w:ascii="Times New Roman" w:eastAsia="宋体" w:hAnsi="Times New Roman"/>
          <w:color w:val="000000"/>
          <w:sz w:val="20"/>
          <w:szCs w:val="20"/>
        </w:rPr>
        <w:t xml:space="preserve">As of July 30, 2022, the total compensation cost related to unvested share-based awards not yet recognized was $4.3 billion, which is expected to be recognized over approximately 2.6 years on a weighted-average basis. </w:t>
      </w:r>
    </w:p>
    <w:p w14:paraId="518B7AF1" w14:textId="77777777" w:rsidR="005C332D" w:rsidRDefault="00B93EAE">
      <w:pPr>
        <w:jc w:val="center"/>
      </w:pPr>
      <w:r>
        <w:rPr>
          <w:rFonts w:ascii="Times New Roman" w:eastAsia="宋体" w:hAnsi="Times New Roman"/>
          <w:color w:val="000000"/>
          <w:sz w:val="20"/>
          <w:szCs w:val="20"/>
        </w:rPr>
        <w:t>94</w:t>
      </w:r>
    </w:p>
    <w:p w14:paraId="518B7AF2" w14:textId="77777777" w:rsidR="005C332D" w:rsidRDefault="00B93EAE">
      <w:r>
        <w:pict w14:anchorId="518B8773">
          <v:rect id="_x0000_i1120" style="width:415.3pt;height:1.5pt" o:hralign="center" o:hrstd="t" o:hr="t" fillcolor="#a0a0a0" stroked="f"/>
        </w:pict>
      </w:r>
    </w:p>
    <w:p w14:paraId="518B7AF3" w14:textId="77777777" w:rsidR="005C332D" w:rsidRDefault="005C332D"/>
    <w:p w14:paraId="518B7AF4" w14:textId="77777777" w:rsidR="005C332D" w:rsidRDefault="00B93EAE">
      <w:pPr>
        <w:spacing w:before="120"/>
        <w:ind w:hanging="360"/>
        <w:jc w:val="both"/>
      </w:pPr>
      <w:r>
        <w:rPr>
          <w:rFonts w:ascii="Times New Roman" w:eastAsia="宋体" w:hAnsi="Times New Roman"/>
          <w:b/>
          <w:bCs/>
          <w:color w:val="000000"/>
          <w:sz w:val="20"/>
          <w:szCs w:val="20"/>
        </w:rPr>
        <w:t>(d)Restricted Stock Unit Awards</w:t>
      </w:r>
    </w:p>
    <w:p w14:paraId="518B7AF5" w14:textId="77777777" w:rsidR="005C332D" w:rsidRDefault="00B93EAE">
      <w:pPr>
        <w:spacing w:before="120"/>
      </w:pPr>
      <w:r>
        <w:rPr>
          <w:rFonts w:ascii="Times New Roman" w:eastAsia="宋体" w:hAnsi="Times New Roman"/>
          <w:color w:val="000000"/>
          <w:sz w:val="20"/>
          <w:szCs w:val="20"/>
        </w:rPr>
        <w:t>A summary of the restricted stock and stock unit activity, which includes time-based and performance-based or market-based RSUs, is as follows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40"/>
        <w:gridCol w:w="3533"/>
        <w:gridCol w:w="38"/>
        <w:gridCol w:w="87"/>
        <w:gridCol w:w="1180"/>
        <w:gridCol w:w="36"/>
        <w:gridCol w:w="36"/>
        <w:gridCol w:w="36"/>
        <w:gridCol w:w="36"/>
        <w:gridCol w:w="121"/>
        <w:gridCol w:w="1304"/>
        <w:gridCol w:w="36"/>
        <w:gridCol w:w="36"/>
        <w:gridCol w:w="36"/>
        <w:gridCol w:w="36"/>
        <w:gridCol w:w="121"/>
        <w:gridCol w:w="1563"/>
        <w:gridCol w:w="36"/>
      </w:tblGrid>
      <w:tr w:rsidR="005C332D" w14:paraId="518B7B08" w14:textId="77777777">
        <w:tc>
          <w:tcPr>
            <w:tcW w:w="50" w:type="pct"/>
            <w:shd w:val="clear" w:color="auto" w:fill="auto"/>
            <w:vAlign w:val="bottom"/>
          </w:tcPr>
          <w:p w14:paraId="518B7AF6" w14:textId="77777777" w:rsidR="005C332D" w:rsidRDefault="005C332D">
            <w:pPr>
              <w:rPr>
                <w:rFonts w:ascii="宋体"/>
              </w:rPr>
            </w:pPr>
          </w:p>
        </w:tc>
        <w:tc>
          <w:tcPr>
            <w:tcW w:w="2672" w:type="pct"/>
            <w:shd w:val="clear" w:color="auto" w:fill="auto"/>
            <w:vAlign w:val="bottom"/>
          </w:tcPr>
          <w:p w14:paraId="518B7AF7" w14:textId="77777777" w:rsidR="005C332D" w:rsidRDefault="005C332D">
            <w:pPr>
              <w:rPr>
                <w:rFonts w:ascii="宋体"/>
              </w:rPr>
            </w:pPr>
          </w:p>
        </w:tc>
        <w:tc>
          <w:tcPr>
            <w:tcW w:w="5" w:type="pct"/>
            <w:shd w:val="clear" w:color="auto" w:fill="auto"/>
            <w:vAlign w:val="bottom"/>
          </w:tcPr>
          <w:p w14:paraId="518B7AF8" w14:textId="77777777" w:rsidR="005C332D" w:rsidRDefault="005C332D">
            <w:pPr>
              <w:rPr>
                <w:rFonts w:ascii="宋体"/>
              </w:rPr>
            </w:pPr>
          </w:p>
        </w:tc>
        <w:tc>
          <w:tcPr>
            <w:tcW w:w="50" w:type="pct"/>
            <w:shd w:val="clear" w:color="auto" w:fill="auto"/>
            <w:vAlign w:val="bottom"/>
          </w:tcPr>
          <w:p w14:paraId="518B7AF9" w14:textId="77777777" w:rsidR="005C332D" w:rsidRDefault="005C332D">
            <w:pPr>
              <w:rPr>
                <w:rFonts w:ascii="宋体"/>
              </w:rPr>
            </w:pPr>
          </w:p>
        </w:tc>
        <w:tc>
          <w:tcPr>
            <w:tcW w:w="678" w:type="pct"/>
            <w:shd w:val="clear" w:color="auto" w:fill="auto"/>
            <w:vAlign w:val="bottom"/>
          </w:tcPr>
          <w:p w14:paraId="518B7AFA" w14:textId="77777777" w:rsidR="005C332D" w:rsidRDefault="005C332D">
            <w:pPr>
              <w:rPr>
                <w:rFonts w:ascii="宋体"/>
              </w:rPr>
            </w:pPr>
          </w:p>
        </w:tc>
        <w:tc>
          <w:tcPr>
            <w:tcW w:w="5" w:type="pct"/>
            <w:shd w:val="clear" w:color="auto" w:fill="auto"/>
            <w:vAlign w:val="bottom"/>
          </w:tcPr>
          <w:p w14:paraId="518B7AFB" w14:textId="77777777" w:rsidR="005C332D" w:rsidRDefault="005C332D">
            <w:pPr>
              <w:rPr>
                <w:rFonts w:ascii="宋体"/>
              </w:rPr>
            </w:pPr>
          </w:p>
        </w:tc>
        <w:tc>
          <w:tcPr>
            <w:tcW w:w="5" w:type="pct"/>
            <w:shd w:val="clear" w:color="auto" w:fill="auto"/>
            <w:vAlign w:val="bottom"/>
          </w:tcPr>
          <w:p w14:paraId="518B7AFC" w14:textId="77777777" w:rsidR="005C332D" w:rsidRDefault="005C332D">
            <w:pPr>
              <w:rPr>
                <w:rFonts w:ascii="宋体"/>
              </w:rPr>
            </w:pPr>
          </w:p>
        </w:tc>
        <w:tc>
          <w:tcPr>
            <w:tcW w:w="26" w:type="pct"/>
            <w:shd w:val="clear" w:color="auto" w:fill="auto"/>
            <w:vAlign w:val="bottom"/>
          </w:tcPr>
          <w:p w14:paraId="518B7AFD" w14:textId="77777777" w:rsidR="005C332D" w:rsidRDefault="005C332D">
            <w:pPr>
              <w:rPr>
                <w:rFonts w:ascii="宋体"/>
              </w:rPr>
            </w:pPr>
          </w:p>
        </w:tc>
        <w:tc>
          <w:tcPr>
            <w:tcW w:w="5" w:type="pct"/>
            <w:shd w:val="clear" w:color="auto" w:fill="auto"/>
            <w:vAlign w:val="bottom"/>
          </w:tcPr>
          <w:p w14:paraId="518B7AFE" w14:textId="77777777" w:rsidR="005C332D" w:rsidRDefault="005C332D">
            <w:pPr>
              <w:rPr>
                <w:rFonts w:ascii="宋体"/>
              </w:rPr>
            </w:pPr>
          </w:p>
        </w:tc>
        <w:tc>
          <w:tcPr>
            <w:tcW w:w="50" w:type="pct"/>
            <w:shd w:val="clear" w:color="auto" w:fill="auto"/>
            <w:vAlign w:val="bottom"/>
          </w:tcPr>
          <w:p w14:paraId="518B7AFF" w14:textId="77777777" w:rsidR="005C332D" w:rsidRDefault="005C332D">
            <w:pPr>
              <w:rPr>
                <w:rFonts w:ascii="宋体"/>
              </w:rPr>
            </w:pPr>
          </w:p>
        </w:tc>
        <w:tc>
          <w:tcPr>
            <w:tcW w:w="678" w:type="pct"/>
            <w:shd w:val="clear" w:color="auto" w:fill="auto"/>
            <w:vAlign w:val="bottom"/>
          </w:tcPr>
          <w:p w14:paraId="518B7B00" w14:textId="77777777" w:rsidR="005C332D" w:rsidRDefault="005C332D">
            <w:pPr>
              <w:rPr>
                <w:rFonts w:ascii="宋体"/>
              </w:rPr>
            </w:pPr>
          </w:p>
        </w:tc>
        <w:tc>
          <w:tcPr>
            <w:tcW w:w="5" w:type="pct"/>
            <w:shd w:val="clear" w:color="auto" w:fill="auto"/>
            <w:vAlign w:val="bottom"/>
          </w:tcPr>
          <w:p w14:paraId="518B7B01" w14:textId="77777777" w:rsidR="005C332D" w:rsidRDefault="005C332D">
            <w:pPr>
              <w:rPr>
                <w:rFonts w:ascii="宋体"/>
              </w:rPr>
            </w:pPr>
          </w:p>
        </w:tc>
        <w:tc>
          <w:tcPr>
            <w:tcW w:w="5" w:type="pct"/>
            <w:shd w:val="clear" w:color="auto" w:fill="auto"/>
            <w:vAlign w:val="bottom"/>
          </w:tcPr>
          <w:p w14:paraId="518B7B02" w14:textId="77777777" w:rsidR="005C332D" w:rsidRDefault="005C332D">
            <w:pPr>
              <w:rPr>
                <w:rFonts w:ascii="宋体"/>
              </w:rPr>
            </w:pPr>
          </w:p>
        </w:tc>
        <w:tc>
          <w:tcPr>
            <w:tcW w:w="26" w:type="pct"/>
            <w:shd w:val="clear" w:color="auto" w:fill="auto"/>
            <w:vAlign w:val="bottom"/>
          </w:tcPr>
          <w:p w14:paraId="518B7B03" w14:textId="77777777" w:rsidR="005C332D" w:rsidRDefault="005C332D">
            <w:pPr>
              <w:rPr>
                <w:rFonts w:ascii="宋体"/>
              </w:rPr>
            </w:pPr>
          </w:p>
        </w:tc>
        <w:tc>
          <w:tcPr>
            <w:tcW w:w="5" w:type="pct"/>
            <w:shd w:val="clear" w:color="auto" w:fill="auto"/>
            <w:vAlign w:val="bottom"/>
          </w:tcPr>
          <w:p w14:paraId="518B7B04" w14:textId="77777777" w:rsidR="005C332D" w:rsidRDefault="005C332D">
            <w:pPr>
              <w:rPr>
                <w:rFonts w:ascii="宋体"/>
              </w:rPr>
            </w:pPr>
          </w:p>
        </w:tc>
        <w:tc>
          <w:tcPr>
            <w:tcW w:w="50" w:type="pct"/>
            <w:shd w:val="clear" w:color="auto" w:fill="auto"/>
            <w:vAlign w:val="bottom"/>
          </w:tcPr>
          <w:p w14:paraId="518B7B05" w14:textId="77777777" w:rsidR="005C332D" w:rsidRDefault="005C332D">
            <w:pPr>
              <w:rPr>
                <w:rFonts w:ascii="宋体"/>
              </w:rPr>
            </w:pPr>
          </w:p>
        </w:tc>
        <w:tc>
          <w:tcPr>
            <w:tcW w:w="678" w:type="pct"/>
            <w:shd w:val="clear" w:color="auto" w:fill="auto"/>
            <w:vAlign w:val="bottom"/>
          </w:tcPr>
          <w:p w14:paraId="518B7B06" w14:textId="77777777" w:rsidR="005C332D" w:rsidRDefault="005C332D">
            <w:pPr>
              <w:rPr>
                <w:rFonts w:ascii="宋体"/>
              </w:rPr>
            </w:pPr>
          </w:p>
        </w:tc>
        <w:tc>
          <w:tcPr>
            <w:tcW w:w="5" w:type="pct"/>
            <w:shd w:val="clear" w:color="auto" w:fill="auto"/>
            <w:vAlign w:val="bottom"/>
          </w:tcPr>
          <w:p w14:paraId="518B7B07" w14:textId="77777777" w:rsidR="005C332D" w:rsidRDefault="005C332D">
            <w:pPr>
              <w:rPr>
                <w:rFonts w:ascii="宋体"/>
              </w:rPr>
            </w:pPr>
          </w:p>
        </w:tc>
      </w:tr>
      <w:tr w:rsidR="005C332D" w14:paraId="518B7B0F" w14:textId="77777777">
        <w:tc>
          <w:tcPr>
            <w:tcW w:w="0" w:type="auto"/>
            <w:gridSpan w:val="3"/>
            <w:shd w:val="clear" w:color="auto" w:fill="auto"/>
            <w:tcMar>
              <w:top w:w="0" w:type="dxa"/>
              <w:left w:w="20" w:type="dxa"/>
              <w:bottom w:w="0" w:type="dxa"/>
              <w:right w:w="20" w:type="dxa"/>
            </w:tcMar>
            <w:vAlign w:val="bottom"/>
          </w:tcPr>
          <w:p w14:paraId="518B7B0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B0A" w14:textId="77777777" w:rsidR="005C332D" w:rsidRDefault="00B93EAE">
            <w:pPr>
              <w:jc w:val="center"/>
              <w:textAlignment w:val="bottom"/>
            </w:pPr>
            <w:r>
              <w:rPr>
                <w:rFonts w:ascii="Times New Roman" w:eastAsia="宋体" w:hAnsi="Times New Roman"/>
                <w:color w:val="000000"/>
                <w:sz w:val="18"/>
                <w:szCs w:val="18"/>
              </w:rPr>
              <w:t>Restricted Stock/</w:t>
            </w:r>
            <w:r>
              <w:rPr>
                <w:rFonts w:ascii="Times New Roman" w:eastAsia="宋体" w:hAnsi="Times New Roman"/>
                <w:color w:val="000000"/>
                <w:sz w:val="18"/>
                <w:szCs w:val="18"/>
              </w:rPr>
              <w:br/>
              <w:t>Stock Units</w:t>
            </w:r>
          </w:p>
        </w:tc>
        <w:tc>
          <w:tcPr>
            <w:tcW w:w="0" w:type="auto"/>
            <w:gridSpan w:val="3"/>
            <w:shd w:val="clear" w:color="auto" w:fill="auto"/>
            <w:tcMar>
              <w:top w:w="0" w:type="dxa"/>
              <w:left w:w="20" w:type="dxa"/>
              <w:bottom w:w="0" w:type="dxa"/>
              <w:right w:w="20" w:type="dxa"/>
            </w:tcMar>
            <w:vAlign w:val="bottom"/>
          </w:tcPr>
          <w:p w14:paraId="518B7B0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B0C" w14:textId="77777777" w:rsidR="005C332D" w:rsidRDefault="00B93EAE">
            <w:pPr>
              <w:jc w:val="center"/>
              <w:textAlignment w:val="bottom"/>
            </w:pPr>
            <w:r>
              <w:rPr>
                <w:rFonts w:ascii="Times New Roman" w:eastAsia="宋体" w:hAnsi="Times New Roman"/>
                <w:color w:val="000000"/>
                <w:sz w:val="18"/>
                <w:szCs w:val="18"/>
              </w:rPr>
              <w:t>Weighted-Average</w:t>
            </w:r>
            <w:r>
              <w:rPr>
                <w:rFonts w:ascii="Times New Roman" w:eastAsia="宋体" w:hAnsi="Times New Roman"/>
                <w:color w:val="000000"/>
                <w:sz w:val="18"/>
                <w:szCs w:val="18"/>
              </w:rPr>
              <w:br/>
              <w:t>Grant Date Fair</w:t>
            </w:r>
            <w:r>
              <w:rPr>
                <w:rFonts w:ascii="Times New Roman" w:eastAsia="宋体" w:hAnsi="Times New Roman"/>
                <w:color w:val="000000"/>
                <w:sz w:val="18"/>
                <w:szCs w:val="18"/>
              </w:rPr>
              <w:br/>
              <w:t>Value per Share</w:t>
            </w:r>
          </w:p>
        </w:tc>
        <w:tc>
          <w:tcPr>
            <w:tcW w:w="0" w:type="auto"/>
            <w:gridSpan w:val="3"/>
            <w:shd w:val="clear" w:color="auto" w:fill="auto"/>
            <w:tcMar>
              <w:top w:w="0" w:type="dxa"/>
              <w:left w:w="20" w:type="dxa"/>
              <w:bottom w:w="0" w:type="dxa"/>
              <w:right w:w="20" w:type="dxa"/>
            </w:tcMar>
            <w:vAlign w:val="bottom"/>
          </w:tcPr>
          <w:p w14:paraId="518B7B0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B0E" w14:textId="77777777" w:rsidR="005C332D" w:rsidRDefault="00B93EAE">
            <w:pPr>
              <w:jc w:val="center"/>
              <w:textAlignment w:val="bottom"/>
            </w:pPr>
            <w:r>
              <w:rPr>
                <w:rFonts w:ascii="Times New Roman" w:eastAsia="宋体" w:hAnsi="Times New Roman"/>
                <w:color w:val="000000"/>
                <w:sz w:val="18"/>
                <w:szCs w:val="18"/>
              </w:rPr>
              <w:t>Aggregate Fair  Value</w:t>
            </w:r>
          </w:p>
        </w:tc>
      </w:tr>
      <w:tr w:rsidR="005C332D" w14:paraId="518B7B19" w14:textId="77777777">
        <w:tc>
          <w:tcPr>
            <w:tcW w:w="0" w:type="auto"/>
            <w:gridSpan w:val="3"/>
            <w:shd w:val="clear" w:color="auto" w:fill="CCEEFF"/>
            <w:tcMar>
              <w:top w:w="40" w:type="dxa"/>
              <w:left w:w="20" w:type="dxa"/>
              <w:bottom w:w="40" w:type="dxa"/>
              <w:right w:w="20" w:type="dxa"/>
            </w:tcMar>
          </w:tcPr>
          <w:p w14:paraId="518B7B10" w14:textId="77777777" w:rsidR="005C332D" w:rsidRDefault="00B93EAE">
            <w:pPr>
              <w:textAlignment w:val="top"/>
            </w:pPr>
            <w:r>
              <w:rPr>
                <w:rFonts w:ascii="Times New Roman" w:eastAsia="宋体" w:hAnsi="Times New Roman"/>
                <w:color w:val="000000"/>
                <w:sz w:val="20"/>
                <w:szCs w:val="20"/>
              </w:rPr>
              <w:t>UNVESTED BALANCE AT JULY 27,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B11" w14:textId="77777777" w:rsidR="005C332D" w:rsidRDefault="00B93EAE">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B1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1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B1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B15" w14:textId="77777777" w:rsidR="005C332D" w:rsidRDefault="00B93EAE">
            <w:pPr>
              <w:jc w:val="right"/>
              <w:textAlignment w:val="bottom"/>
            </w:pPr>
            <w:r>
              <w:rPr>
                <w:rFonts w:ascii="Times New Roman" w:eastAsia="宋体" w:hAnsi="Times New Roman"/>
                <w:color w:val="000000"/>
                <w:sz w:val="20"/>
                <w:szCs w:val="20"/>
              </w:rPr>
              <w:t>38.66 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B1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17"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B18" w14:textId="77777777" w:rsidR="005C332D" w:rsidRDefault="005C332D">
            <w:pPr>
              <w:rPr>
                <w:rFonts w:ascii="宋体"/>
              </w:rPr>
            </w:pPr>
          </w:p>
        </w:tc>
      </w:tr>
      <w:tr w:rsidR="005C332D" w14:paraId="518B7B22" w14:textId="77777777">
        <w:tc>
          <w:tcPr>
            <w:tcW w:w="0" w:type="auto"/>
            <w:gridSpan w:val="3"/>
            <w:shd w:val="clear" w:color="auto" w:fill="FFFFFF"/>
            <w:tcMar>
              <w:top w:w="40" w:type="dxa"/>
              <w:left w:w="20" w:type="dxa"/>
              <w:bottom w:w="40" w:type="dxa"/>
              <w:right w:w="20" w:type="dxa"/>
            </w:tcMar>
          </w:tcPr>
          <w:p w14:paraId="518B7B1A" w14:textId="77777777" w:rsidR="005C332D" w:rsidRDefault="00B93EAE">
            <w:pPr>
              <w:textAlignment w:val="top"/>
            </w:pPr>
            <w:r>
              <w:rPr>
                <w:rFonts w:ascii="Times New Roman" w:eastAsia="宋体" w:hAnsi="Times New Roman"/>
                <w:color w:val="000000"/>
                <w:sz w:val="20"/>
                <w:szCs w:val="20"/>
              </w:rPr>
              <w:t>Granted and assumed</w:t>
            </w:r>
          </w:p>
        </w:tc>
        <w:tc>
          <w:tcPr>
            <w:tcW w:w="0" w:type="auto"/>
            <w:gridSpan w:val="2"/>
            <w:shd w:val="clear" w:color="auto" w:fill="FFFFFF"/>
            <w:tcMar>
              <w:top w:w="40" w:type="dxa"/>
              <w:left w:w="20" w:type="dxa"/>
              <w:bottom w:w="40" w:type="dxa"/>
              <w:right w:w="0" w:type="dxa"/>
            </w:tcMar>
            <w:vAlign w:val="bottom"/>
          </w:tcPr>
          <w:p w14:paraId="518B7B1B" w14:textId="77777777" w:rsidR="005C332D" w:rsidRDefault="00B93EAE">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518B7B1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1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B1E" w14:textId="77777777" w:rsidR="005C332D" w:rsidRDefault="00B93EAE">
            <w:pPr>
              <w:jc w:val="right"/>
              <w:textAlignment w:val="bottom"/>
            </w:pPr>
            <w:r>
              <w:rPr>
                <w:rFonts w:ascii="Times New Roman" w:eastAsia="宋体" w:hAnsi="Times New Roman"/>
                <w:color w:val="000000"/>
                <w:sz w:val="20"/>
                <w:szCs w:val="20"/>
              </w:rPr>
              <w:t>42.61 </w:t>
            </w:r>
          </w:p>
        </w:tc>
        <w:tc>
          <w:tcPr>
            <w:tcW w:w="0" w:type="auto"/>
            <w:shd w:val="clear" w:color="auto" w:fill="FFFFFF"/>
            <w:tcMar>
              <w:top w:w="40" w:type="dxa"/>
              <w:left w:w="0" w:type="dxa"/>
              <w:bottom w:w="40" w:type="dxa"/>
              <w:right w:w="20" w:type="dxa"/>
            </w:tcMar>
            <w:vAlign w:val="bottom"/>
          </w:tcPr>
          <w:p w14:paraId="518B7B1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2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B21" w14:textId="77777777" w:rsidR="005C332D" w:rsidRDefault="005C332D">
            <w:pPr>
              <w:rPr>
                <w:rFonts w:ascii="宋体"/>
              </w:rPr>
            </w:pPr>
          </w:p>
        </w:tc>
      </w:tr>
      <w:tr w:rsidR="005C332D" w14:paraId="518B7B2D" w14:textId="77777777">
        <w:tc>
          <w:tcPr>
            <w:tcW w:w="0" w:type="auto"/>
            <w:gridSpan w:val="3"/>
            <w:shd w:val="clear" w:color="auto" w:fill="CCEEFF"/>
            <w:tcMar>
              <w:top w:w="40" w:type="dxa"/>
              <w:left w:w="20" w:type="dxa"/>
              <w:bottom w:w="40" w:type="dxa"/>
              <w:right w:w="20" w:type="dxa"/>
            </w:tcMar>
          </w:tcPr>
          <w:p w14:paraId="518B7B23" w14:textId="77777777" w:rsidR="005C332D" w:rsidRDefault="00B93EAE">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518B7B24" w14:textId="77777777" w:rsidR="005C332D" w:rsidRDefault="00B93EAE">
            <w:pPr>
              <w:jc w:val="right"/>
              <w:textAlignment w:val="bottom"/>
            </w:pPr>
            <w:r>
              <w:rPr>
                <w:rFonts w:ascii="Times New Roman" w:eastAsia="宋体" w:hAnsi="Times New Roman"/>
                <w:color w:val="000000"/>
                <w:sz w:val="20"/>
                <w:szCs w:val="20"/>
              </w:rPr>
              <w:t>(44)</w:t>
            </w:r>
          </w:p>
        </w:tc>
        <w:tc>
          <w:tcPr>
            <w:tcW w:w="0" w:type="auto"/>
            <w:shd w:val="clear" w:color="auto" w:fill="CCEEFF"/>
            <w:tcMar>
              <w:top w:w="40" w:type="dxa"/>
              <w:left w:w="0" w:type="dxa"/>
              <w:bottom w:w="40" w:type="dxa"/>
              <w:right w:w="20" w:type="dxa"/>
            </w:tcMar>
            <w:vAlign w:val="bottom"/>
          </w:tcPr>
          <w:p w14:paraId="518B7B2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2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B27" w14:textId="77777777" w:rsidR="005C332D" w:rsidRDefault="00B93EAE">
            <w:pPr>
              <w:jc w:val="right"/>
              <w:textAlignment w:val="bottom"/>
            </w:pPr>
            <w:r>
              <w:rPr>
                <w:rFonts w:ascii="Times New Roman" w:eastAsia="宋体" w:hAnsi="Times New Roman"/>
                <w:color w:val="000000"/>
                <w:sz w:val="20"/>
                <w:szCs w:val="20"/>
              </w:rPr>
              <w:t>35.20 </w:t>
            </w:r>
          </w:p>
        </w:tc>
        <w:tc>
          <w:tcPr>
            <w:tcW w:w="0" w:type="auto"/>
            <w:shd w:val="clear" w:color="auto" w:fill="CCEEFF"/>
            <w:tcMar>
              <w:top w:w="40" w:type="dxa"/>
              <w:left w:w="0" w:type="dxa"/>
              <w:bottom w:w="40" w:type="dxa"/>
              <w:right w:w="20" w:type="dxa"/>
            </w:tcMar>
            <w:vAlign w:val="bottom"/>
          </w:tcPr>
          <w:p w14:paraId="518B7B2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29"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B2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B2B" w14:textId="77777777" w:rsidR="005C332D" w:rsidRDefault="00B93EAE">
            <w:pPr>
              <w:jc w:val="right"/>
              <w:textAlignment w:val="bottom"/>
            </w:pPr>
            <w:r>
              <w:rPr>
                <w:rFonts w:ascii="Times New Roman" w:eastAsia="宋体" w:hAnsi="Times New Roman"/>
                <w:color w:val="000000"/>
                <w:sz w:val="20"/>
                <w:szCs w:val="20"/>
              </w:rPr>
              <w:t>2,045 </w:t>
            </w:r>
          </w:p>
        </w:tc>
        <w:tc>
          <w:tcPr>
            <w:tcW w:w="0" w:type="auto"/>
            <w:shd w:val="clear" w:color="auto" w:fill="CCEEFF"/>
            <w:tcMar>
              <w:top w:w="40" w:type="dxa"/>
              <w:left w:w="0" w:type="dxa"/>
              <w:bottom w:w="40" w:type="dxa"/>
              <w:right w:w="20" w:type="dxa"/>
            </w:tcMar>
            <w:vAlign w:val="bottom"/>
          </w:tcPr>
          <w:p w14:paraId="518B7B2C" w14:textId="77777777" w:rsidR="005C332D" w:rsidRDefault="005C332D">
            <w:pPr>
              <w:jc w:val="right"/>
              <w:rPr>
                <w:rFonts w:ascii="宋体"/>
              </w:rPr>
            </w:pPr>
          </w:p>
        </w:tc>
      </w:tr>
      <w:tr w:rsidR="005C332D" w14:paraId="518B7B36" w14:textId="77777777">
        <w:tc>
          <w:tcPr>
            <w:tcW w:w="0" w:type="auto"/>
            <w:gridSpan w:val="3"/>
            <w:shd w:val="clear" w:color="auto" w:fill="FFFFFF"/>
            <w:tcMar>
              <w:top w:w="40" w:type="dxa"/>
              <w:left w:w="20" w:type="dxa"/>
              <w:bottom w:w="40" w:type="dxa"/>
              <w:right w:w="20" w:type="dxa"/>
            </w:tcMar>
          </w:tcPr>
          <w:p w14:paraId="518B7B2E" w14:textId="77777777" w:rsidR="005C332D" w:rsidRDefault="00B93EAE">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518B7B2F" w14:textId="77777777" w:rsidR="005C332D" w:rsidRDefault="00B93EAE">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518B7B3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3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B32" w14:textId="77777777" w:rsidR="005C332D" w:rsidRDefault="00B93EAE">
            <w:pPr>
              <w:jc w:val="right"/>
              <w:textAlignment w:val="bottom"/>
            </w:pPr>
            <w:r>
              <w:rPr>
                <w:rFonts w:ascii="Times New Roman" w:eastAsia="宋体" w:hAnsi="Times New Roman"/>
                <w:color w:val="000000"/>
                <w:sz w:val="20"/>
                <w:szCs w:val="20"/>
              </w:rPr>
              <w:t>40.45 </w:t>
            </w:r>
          </w:p>
        </w:tc>
        <w:tc>
          <w:tcPr>
            <w:tcW w:w="0" w:type="auto"/>
            <w:shd w:val="clear" w:color="auto" w:fill="FFFFFF"/>
            <w:tcMar>
              <w:top w:w="40" w:type="dxa"/>
              <w:left w:w="0" w:type="dxa"/>
              <w:bottom w:w="40" w:type="dxa"/>
              <w:right w:w="20" w:type="dxa"/>
            </w:tcMar>
            <w:vAlign w:val="bottom"/>
          </w:tcPr>
          <w:p w14:paraId="518B7B3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3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B35" w14:textId="77777777" w:rsidR="005C332D" w:rsidRDefault="005C332D">
            <w:pPr>
              <w:rPr>
                <w:rFonts w:ascii="宋体"/>
              </w:rPr>
            </w:pPr>
          </w:p>
        </w:tc>
      </w:tr>
      <w:tr w:rsidR="005C332D" w14:paraId="518B7B3F" w14:textId="77777777">
        <w:tc>
          <w:tcPr>
            <w:tcW w:w="0" w:type="auto"/>
            <w:gridSpan w:val="3"/>
            <w:shd w:val="clear" w:color="auto" w:fill="CCEEFF"/>
            <w:tcMar>
              <w:top w:w="40" w:type="dxa"/>
              <w:left w:w="20" w:type="dxa"/>
              <w:bottom w:w="40" w:type="dxa"/>
              <w:right w:w="20" w:type="dxa"/>
            </w:tcMar>
          </w:tcPr>
          <w:p w14:paraId="518B7B37" w14:textId="77777777" w:rsidR="005C332D" w:rsidRDefault="00B93EAE">
            <w:pPr>
              <w:textAlignment w:val="top"/>
            </w:pPr>
            <w:r>
              <w:rPr>
                <w:rFonts w:ascii="Times New Roman" w:eastAsia="宋体" w:hAnsi="Times New Roman"/>
                <w:color w:val="000000"/>
                <w:sz w:val="20"/>
                <w:szCs w:val="20"/>
              </w:rPr>
              <w:t>UNVESTED 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B38" w14:textId="77777777" w:rsidR="005C332D" w:rsidRDefault="00B93EAE">
            <w:pPr>
              <w:jc w:val="right"/>
              <w:textAlignment w:val="bottom"/>
            </w:pPr>
            <w:r>
              <w:rPr>
                <w:rFonts w:ascii="Times New Roman" w:eastAsia="宋体" w:hAnsi="Times New Roman"/>
                <w:color w:val="000000"/>
                <w:sz w:val="20"/>
                <w:szCs w:val="20"/>
              </w:rPr>
              <w:t>96 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B3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3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B3B" w14:textId="77777777" w:rsidR="005C332D" w:rsidRDefault="00B93EAE">
            <w:pPr>
              <w:jc w:val="right"/>
              <w:textAlignment w:val="bottom"/>
            </w:pPr>
            <w:r>
              <w:rPr>
                <w:rFonts w:ascii="Times New Roman" w:eastAsia="宋体" w:hAnsi="Times New Roman"/>
                <w:color w:val="000000"/>
                <w:sz w:val="20"/>
                <w:szCs w:val="20"/>
              </w:rPr>
              <w:t>42.03 </w:t>
            </w:r>
          </w:p>
        </w:tc>
        <w:tc>
          <w:tcPr>
            <w:tcW w:w="0" w:type="auto"/>
            <w:shd w:val="clear" w:color="auto" w:fill="CCEEFF"/>
            <w:tcMar>
              <w:top w:w="40" w:type="dxa"/>
              <w:left w:w="0" w:type="dxa"/>
              <w:bottom w:w="40" w:type="dxa"/>
              <w:right w:w="20" w:type="dxa"/>
            </w:tcMar>
            <w:vAlign w:val="bottom"/>
          </w:tcPr>
          <w:p w14:paraId="518B7B3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3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B3E" w14:textId="77777777" w:rsidR="005C332D" w:rsidRDefault="005C332D">
            <w:pPr>
              <w:rPr>
                <w:rFonts w:ascii="宋体"/>
              </w:rPr>
            </w:pPr>
          </w:p>
        </w:tc>
      </w:tr>
      <w:tr w:rsidR="005C332D" w14:paraId="518B7B48" w14:textId="77777777">
        <w:tc>
          <w:tcPr>
            <w:tcW w:w="0" w:type="auto"/>
            <w:gridSpan w:val="3"/>
            <w:shd w:val="clear" w:color="auto" w:fill="FFFFFF"/>
            <w:tcMar>
              <w:top w:w="40" w:type="dxa"/>
              <w:left w:w="20" w:type="dxa"/>
              <w:bottom w:w="40" w:type="dxa"/>
              <w:right w:w="20" w:type="dxa"/>
            </w:tcMar>
          </w:tcPr>
          <w:p w14:paraId="518B7B40" w14:textId="77777777" w:rsidR="005C332D" w:rsidRDefault="00B93EAE">
            <w:pPr>
              <w:textAlignment w:val="top"/>
            </w:pPr>
            <w:r>
              <w:rPr>
                <w:rFonts w:ascii="Times New Roman" w:eastAsia="宋体" w:hAnsi="Times New Roman"/>
                <w:color w:val="000000"/>
                <w:sz w:val="20"/>
                <w:szCs w:val="20"/>
              </w:rPr>
              <w:t>Granted and assumed</w:t>
            </w:r>
          </w:p>
        </w:tc>
        <w:tc>
          <w:tcPr>
            <w:tcW w:w="0" w:type="auto"/>
            <w:gridSpan w:val="2"/>
            <w:shd w:val="clear" w:color="auto" w:fill="FFFFFF"/>
            <w:tcMar>
              <w:top w:w="40" w:type="dxa"/>
              <w:left w:w="20" w:type="dxa"/>
              <w:bottom w:w="40" w:type="dxa"/>
              <w:right w:w="0" w:type="dxa"/>
            </w:tcMar>
            <w:vAlign w:val="bottom"/>
          </w:tcPr>
          <w:p w14:paraId="518B7B41" w14:textId="77777777" w:rsidR="005C332D" w:rsidRDefault="00B93EAE">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518B7B4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4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B44" w14:textId="77777777" w:rsidR="005C332D" w:rsidRDefault="00B93EAE">
            <w:pPr>
              <w:jc w:val="right"/>
              <w:textAlignment w:val="bottom"/>
            </w:pPr>
            <w:r>
              <w:rPr>
                <w:rFonts w:ascii="Times New Roman" w:eastAsia="宋体" w:hAnsi="Times New Roman"/>
                <w:color w:val="000000"/>
                <w:sz w:val="20"/>
                <w:szCs w:val="20"/>
              </w:rPr>
              <w:t>41.89 </w:t>
            </w:r>
          </w:p>
        </w:tc>
        <w:tc>
          <w:tcPr>
            <w:tcW w:w="0" w:type="auto"/>
            <w:shd w:val="clear" w:color="auto" w:fill="FFFFFF"/>
            <w:tcMar>
              <w:top w:w="40" w:type="dxa"/>
              <w:left w:w="0" w:type="dxa"/>
              <w:bottom w:w="40" w:type="dxa"/>
              <w:right w:w="20" w:type="dxa"/>
            </w:tcMar>
            <w:vAlign w:val="bottom"/>
          </w:tcPr>
          <w:p w14:paraId="518B7B4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4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B47" w14:textId="77777777" w:rsidR="005C332D" w:rsidRDefault="005C332D">
            <w:pPr>
              <w:rPr>
                <w:rFonts w:ascii="宋体"/>
              </w:rPr>
            </w:pPr>
          </w:p>
        </w:tc>
      </w:tr>
      <w:tr w:rsidR="005C332D" w14:paraId="518B7B53" w14:textId="77777777">
        <w:tc>
          <w:tcPr>
            <w:tcW w:w="0" w:type="auto"/>
            <w:gridSpan w:val="3"/>
            <w:shd w:val="clear" w:color="auto" w:fill="CCEEFF"/>
            <w:tcMar>
              <w:top w:w="40" w:type="dxa"/>
              <w:left w:w="20" w:type="dxa"/>
              <w:bottom w:w="40" w:type="dxa"/>
              <w:right w:w="20" w:type="dxa"/>
            </w:tcMar>
          </w:tcPr>
          <w:p w14:paraId="518B7B49" w14:textId="77777777" w:rsidR="005C332D" w:rsidRDefault="00B93EAE">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518B7B4A" w14:textId="77777777" w:rsidR="005C332D" w:rsidRDefault="00B93EAE">
            <w:pPr>
              <w:jc w:val="right"/>
              <w:textAlignment w:val="bottom"/>
            </w:pPr>
            <w:r>
              <w:rPr>
                <w:rFonts w:ascii="Times New Roman" w:eastAsia="宋体" w:hAnsi="Times New Roman"/>
                <w:color w:val="000000"/>
                <w:sz w:val="20"/>
                <w:szCs w:val="20"/>
              </w:rPr>
              <w:t>(39)</w:t>
            </w:r>
          </w:p>
        </w:tc>
        <w:tc>
          <w:tcPr>
            <w:tcW w:w="0" w:type="auto"/>
            <w:shd w:val="clear" w:color="auto" w:fill="CCEEFF"/>
            <w:tcMar>
              <w:top w:w="40" w:type="dxa"/>
              <w:left w:w="0" w:type="dxa"/>
              <w:bottom w:w="40" w:type="dxa"/>
              <w:right w:w="20" w:type="dxa"/>
            </w:tcMar>
            <w:vAlign w:val="bottom"/>
          </w:tcPr>
          <w:p w14:paraId="518B7B4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4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B4D" w14:textId="77777777" w:rsidR="005C332D" w:rsidRDefault="00B93EAE">
            <w:pPr>
              <w:jc w:val="right"/>
              <w:textAlignment w:val="bottom"/>
            </w:pPr>
            <w:r>
              <w:rPr>
                <w:rFonts w:ascii="Times New Roman" w:eastAsia="宋体" w:hAnsi="Times New Roman"/>
                <w:color w:val="000000"/>
                <w:sz w:val="20"/>
                <w:szCs w:val="20"/>
              </w:rPr>
              <w:t>39.63 </w:t>
            </w:r>
          </w:p>
        </w:tc>
        <w:tc>
          <w:tcPr>
            <w:tcW w:w="0" w:type="auto"/>
            <w:shd w:val="clear" w:color="auto" w:fill="CCEEFF"/>
            <w:tcMar>
              <w:top w:w="40" w:type="dxa"/>
              <w:left w:w="0" w:type="dxa"/>
              <w:bottom w:w="40" w:type="dxa"/>
              <w:right w:w="20" w:type="dxa"/>
            </w:tcMar>
            <w:vAlign w:val="bottom"/>
          </w:tcPr>
          <w:p w14:paraId="518B7B4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4F"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B50"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7B51" w14:textId="77777777" w:rsidR="005C332D" w:rsidRDefault="00B93EAE">
            <w:pPr>
              <w:jc w:val="right"/>
              <w:textAlignment w:val="bottom"/>
            </w:pPr>
            <w:r>
              <w:rPr>
                <w:rFonts w:ascii="Times New Roman" w:eastAsia="宋体" w:hAnsi="Times New Roman"/>
                <w:color w:val="000000"/>
                <w:sz w:val="20"/>
                <w:szCs w:val="20"/>
              </w:rPr>
              <w:t>1,813 </w:t>
            </w:r>
          </w:p>
        </w:tc>
        <w:tc>
          <w:tcPr>
            <w:tcW w:w="0" w:type="auto"/>
            <w:shd w:val="clear" w:color="auto" w:fill="CCEEFF"/>
            <w:tcMar>
              <w:top w:w="40" w:type="dxa"/>
              <w:left w:w="0" w:type="dxa"/>
              <w:bottom w:w="40" w:type="dxa"/>
              <w:right w:w="20" w:type="dxa"/>
            </w:tcMar>
            <w:vAlign w:val="bottom"/>
          </w:tcPr>
          <w:p w14:paraId="518B7B52" w14:textId="77777777" w:rsidR="005C332D" w:rsidRDefault="005C332D">
            <w:pPr>
              <w:jc w:val="right"/>
              <w:rPr>
                <w:rFonts w:ascii="宋体"/>
              </w:rPr>
            </w:pPr>
          </w:p>
        </w:tc>
      </w:tr>
      <w:tr w:rsidR="005C332D" w14:paraId="518B7B5C" w14:textId="77777777">
        <w:tc>
          <w:tcPr>
            <w:tcW w:w="0" w:type="auto"/>
            <w:gridSpan w:val="3"/>
            <w:shd w:val="clear" w:color="auto" w:fill="FFFFFF"/>
            <w:tcMar>
              <w:top w:w="40" w:type="dxa"/>
              <w:left w:w="20" w:type="dxa"/>
              <w:bottom w:w="40" w:type="dxa"/>
              <w:right w:w="20" w:type="dxa"/>
            </w:tcMar>
          </w:tcPr>
          <w:p w14:paraId="518B7B54" w14:textId="77777777" w:rsidR="005C332D" w:rsidRDefault="00B93EAE">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518B7B55" w14:textId="77777777" w:rsidR="005C332D" w:rsidRDefault="00B93EAE">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518B7B5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5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B58" w14:textId="77777777" w:rsidR="005C332D" w:rsidRDefault="00B93EAE">
            <w:pPr>
              <w:jc w:val="right"/>
              <w:textAlignment w:val="bottom"/>
            </w:pPr>
            <w:r>
              <w:rPr>
                <w:rFonts w:ascii="Times New Roman" w:eastAsia="宋体" w:hAnsi="Times New Roman"/>
                <w:color w:val="000000"/>
                <w:sz w:val="20"/>
                <w:szCs w:val="20"/>
              </w:rPr>
              <w:t>42.13 </w:t>
            </w:r>
          </w:p>
        </w:tc>
        <w:tc>
          <w:tcPr>
            <w:tcW w:w="0" w:type="auto"/>
            <w:shd w:val="clear" w:color="auto" w:fill="FFFFFF"/>
            <w:tcMar>
              <w:top w:w="40" w:type="dxa"/>
              <w:left w:w="0" w:type="dxa"/>
              <w:bottom w:w="40" w:type="dxa"/>
              <w:right w:w="20" w:type="dxa"/>
            </w:tcMar>
            <w:vAlign w:val="bottom"/>
          </w:tcPr>
          <w:p w14:paraId="518B7B5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5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B5B" w14:textId="77777777" w:rsidR="005C332D" w:rsidRDefault="005C332D">
            <w:pPr>
              <w:rPr>
                <w:rFonts w:ascii="宋体"/>
              </w:rPr>
            </w:pPr>
          </w:p>
        </w:tc>
      </w:tr>
      <w:tr w:rsidR="005C332D" w14:paraId="518B7B65" w14:textId="77777777">
        <w:tc>
          <w:tcPr>
            <w:tcW w:w="0" w:type="auto"/>
            <w:gridSpan w:val="3"/>
            <w:shd w:val="clear" w:color="auto" w:fill="CCEEFF"/>
            <w:tcMar>
              <w:top w:w="40" w:type="dxa"/>
              <w:left w:w="20" w:type="dxa"/>
              <w:bottom w:w="40" w:type="dxa"/>
              <w:right w:w="20" w:type="dxa"/>
            </w:tcMar>
          </w:tcPr>
          <w:p w14:paraId="518B7B5D" w14:textId="77777777" w:rsidR="005C332D" w:rsidRDefault="00B93EAE">
            <w:pPr>
              <w:textAlignment w:val="top"/>
            </w:pPr>
            <w:r>
              <w:rPr>
                <w:rFonts w:ascii="Times New Roman" w:eastAsia="宋体" w:hAnsi="Times New Roman"/>
                <w:b/>
                <w:bCs/>
                <w:color w:val="000000"/>
                <w:sz w:val="20"/>
                <w:szCs w:val="20"/>
              </w:rPr>
              <w:t>UNVESTED BALANCE AT JULY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B5E" w14:textId="77777777" w:rsidR="005C332D" w:rsidRDefault="00B93EAE">
            <w:pPr>
              <w:jc w:val="right"/>
              <w:textAlignment w:val="bottom"/>
            </w:pPr>
            <w:r>
              <w:rPr>
                <w:rFonts w:ascii="Times New Roman" w:eastAsia="宋体" w:hAnsi="Times New Roman"/>
                <w:b/>
                <w:bCs/>
                <w:color w:val="000000"/>
                <w:sz w:val="20"/>
                <w:szCs w:val="20"/>
              </w:rPr>
              <w:t>94</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B5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6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B61" w14:textId="77777777" w:rsidR="005C332D" w:rsidRDefault="00B93EAE">
            <w:pPr>
              <w:jc w:val="right"/>
              <w:textAlignment w:val="bottom"/>
            </w:pPr>
            <w:r>
              <w:rPr>
                <w:rFonts w:ascii="Times New Roman" w:eastAsia="宋体" w:hAnsi="Times New Roman"/>
                <w:b/>
                <w:bCs/>
                <w:color w:val="000000"/>
                <w:sz w:val="20"/>
                <w:szCs w:val="20"/>
              </w:rPr>
              <w:t>42.93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B6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6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B64" w14:textId="77777777" w:rsidR="005C332D" w:rsidRDefault="005C332D">
            <w:pPr>
              <w:rPr>
                <w:rFonts w:ascii="宋体"/>
              </w:rPr>
            </w:pPr>
          </w:p>
        </w:tc>
      </w:tr>
      <w:tr w:rsidR="005C332D" w14:paraId="518B7B6E" w14:textId="77777777">
        <w:tc>
          <w:tcPr>
            <w:tcW w:w="0" w:type="auto"/>
            <w:gridSpan w:val="3"/>
            <w:shd w:val="clear" w:color="auto" w:fill="FFFFFF"/>
            <w:tcMar>
              <w:top w:w="40" w:type="dxa"/>
              <w:left w:w="20" w:type="dxa"/>
              <w:bottom w:w="40" w:type="dxa"/>
              <w:right w:w="20" w:type="dxa"/>
            </w:tcMar>
          </w:tcPr>
          <w:p w14:paraId="518B7B66" w14:textId="77777777" w:rsidR="005C332D" w:rsidRDefault="00B93EAE">
            <w:pPr>
              <w:textAlignment w:val="top"/>
            </w:pPr>
            <w:r>
              <w:rPr>
                <w:rFonts w:ascii="Times New Roman" w:eastAsia="宋体" w:hAnsi="Times New Roman"/>
                <w:b/>
                <w:bCs/>
                <w:color w:val="000000"/>
                <w:sz w:val="20"/>
                <w:szCs w:val="20"/>
              </w:rPr>
              <w:t>Granted and assumed</w:t>
            </w:r>
          </w:p>
        </w:tc>
        <w:tc>
          <w:tcPr>
            <w:tcW w:w="0" w:type="auto"/>
            <w:gridSpan w:val="2"/>
            <w:shd w:val="clear" w:color="auto" w:fill="FFFFFF"/>
            <w:tcMar>
              <w:top w:w="40" w:type="dxa"/>
              <w:left w:w="20" w:type="dxa"/>
              <w:bottom w:w="40" w:type="dxa"/>
              <w:right w:w="0" w:type="dxa"/>
            </w:tcMar>
            <w:vAlign w:val="bottom"/>
          </w:tcPr>
          <w:p w14:paraId="518B7B67" w14:textId="77777777" w:rsidR="005C332D" w:rsidRDefault="00B93EAE">
            <w:pPr>
              <w:jc w:val="right"/>
              <w:textAlignment w:val="bottom"/>
            </w:pPr>
            <w:r>
              <w:rPr>
                <w:rFonts w:ascii="Times New Roman" w:eastAsia="宋体" w:hAnsi="Times New Roman"/>
                <w:b/>
                <w:bCs/>
                <w:color w:val="000000"/>
                <w:sz w:val="20"/>
                <w:szCs w:val="20"/>
              </w:rPr>
              <w:t>52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B6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6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B6A" w14:textId="77777777" w:rsidR="005C332D" w:rsidRDefault="00B93EAE">
            <w:pPr>
              <w:jc w:val="right"/>
              <w:textAlignment w:val="bottom"/>
            </w:pPr>
            <w:r>
              <w:rPr>
                <w:rFonts w:ascii="Times New Roman" w:eastAsia="宋体" w:hAnsi="Times New Roman"/>
                <w:b/>
                <w:bCs/>
                <w:color w:val="000000"/>
                <w:sz w:val="20"/>
                <w:szCs w:val="20"/>
              </w:rPr>
              <w:t>50.06</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B6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6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B6D" w14:textId="77777777" w:rsidR="005C332D" w:rsidRDefault="005C332D">
            <w:pPr>
              <w:rPr>
                <w:rFonts w:ascii="宋体"/>
              </w:rPr>
            </w:pPr>
          </w:p>
        </w:tc>
      </w:tr>
      <w:tr w:rsidR="005C332D" w14:paraId="518B7B79" w14:textId="77777777">
        <w:tc>
          <w:tcPr>
            <w:tcW w:w="0" w:type="auto"/>
            <w:gridSpan w:val="3"/>
            <w:shd w:val="clear" w:color="auto" w:fill="CCEEFF"/>
            <w:tcMar>
              <w:top w:w="40" w:type="dxa"/>
              <w:left w:w="20" w:type="dxa"/>
              <w:bottom w:w="40" w:type="dxa"/>
              <w:right w:w="20" w:type="dxa"/>
            </w:tcMar>
          </w:tcPr>
          <w:p w14:paraId="518B7B6F" w14:textId="77777777" w:rsidR="005C332D" w:rsidRDefault="00B93EAE">
            <w:pPr>
              <w:textAlignment w:val="top"/>
            </w:pPr>
            <w:r>
              <w:rPr>
                <w:rFonts w:ascii="Times New Roman" w:eastAsia="宋体" w:hAnsi="Times New Roman"/>
                <w:b/>
                <w:bCs/>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518B7B70" w14:textId="77777777" w:rsidR="005C332D" w:rsidRDefault="00B93EAE">
            <w:pPr>
              <w:jc w:val="right"/>
              <w:textAlignment w:val="bottom"/>
            </w:pPr>
            <w:r>
              <w:rPr>
                <w:rFonts w:ascii="Times New Roman" w:eastAsia="宋体" w:hAnsi="Times New Roman"/>
                <w:b/>
                <w:bCs/>
                <w:color w:val="000000"/>
                <w:sz w:val="20"/>
                <w:szCs w:val="20"/>
              </w:rPr>
              <w:t>(37)</w:t>
            </w:r>
          </w:p>
        </w:tc>
        <w:tc>
          <w:tcPr>
            <w:tcW w:w="0" w:type="auto"/>
            <w:shd w:val="clear" w:color="auto" w:fill="CCEEFF"/>
            <w:tcMar>
              <w:top w:w="40" w:type="dxa"/>
              <w:left w:w="0" w:type="dxa"/>
              <w:bottom w:w="40" w:type="dxa"/>
              <w:right w:w="20" w:type="dxa"/>
            </w:tcMar>
            <w:vAlign w:val="bottom"/>
          </w:tcPr>
          <w:p w14:paraId="518B7B7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7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B73" w14:textId="77777777" w:rsidR="005C332D" w:rsidRDefault="00B93EAE">
            <w:pPr>
              <w:jc w:val="right"/>
              <w:textAlignment w:val="bottom"/>
            </w:pPr>
            <w:r>
              <w:rPr>
                <w:rFonts w:ascii="Times New Roman" w:eastAsia="宋体" w:hAnsi="Times New Roman"/>
                <w:b/>
                <w:bCs/>
                <w:color w:val="000000"/>
                <w:sz w:val="20"/>
                <w:szCs w:val="20"/>
              </w:rPr>
              <w:t>42.27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B7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75"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B76"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7B77" w14:textId="77777777" w:rsidR="005C332D" w:rsidRDefault="00B93EAE">
            <w:pPr>
              <w:jc w:val="right"/>
              <w:textAlignment w:val="bottom"/>
            </w:pPr>
            <w:r>
              <w:rPr>
                <w:rFonts w:ascii="Times New Roman" w:eastAsia="宋体" w:hAnsi="Times New Roman"/>
                <w:b/>
                <w:bCs/>
                <w:color w:val="000000"/>
                <w:sz w:val="20"/>
                <w:szCs w:val="20"/>
              </w:rPr>
              <w:t>1,979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B78" w14:textId="77777777" w:rsidR="005C332D" w:rsidRDefault="005C332D">
            <w:pPr>
              <w:jc w:val="right"/>
              <w:rPr>
                <w:rFonts w:ascii="宋体"/>
              </w:rPr>
            </w:pPr>
          </w:p>
        </w:tc>
      </w:tr>
      <w:tr w:rsidR="005C332D" w14:paraId="518B7B82" w14:textId="77777777">
        <w:tc>
          <w:tcPr>
            <w:tcW w:w="0" w:type="auto"/>
            <w:gridSpan w:val="3"/>
            <w:shd w:val="clear" w:color="auto" w:fill="FFFFFF"/>
            <w:tcMar>
              <w:top w:w="40" w:type="dxa"/>
              <w:left w:w="20" w:type="dxa"/>
              <w:bottom w:w="40" w:type="dxa"/>
              <w:right w:w="20" w:type="dxa"/>
            </w:tcMar>
          </w:tcPr>
          <w:p w14:paraId="518B7B7A" w14:textId="77777777" w:rsidR="005C332D" w:rsidRDefault="00B93EAE">
            <w:pPr>
              <w:textAlignment w:val="top"/>
            </w:pPr>
            <w:r>
              <w:rPr>
                <w:rFonts w:ascii="Times New Roman" w:eastAsia="宋体" w:hAnsi="Times New Roman"/>
                <w:b/>
                <w:bCs/>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518B7B7B" w14:textId="77777777" w:rsidR="005C332D" w:rsidRDefault="00B93EAE">
            <w:pPr>
              <w:jc w:val="right"/>
              <w:textAlignment w:val="bottom"/>
            </w:pPr>
            <w:r>
              <w:rPr>
                <w:rFonts w:ascii="Times New Roman" w:eastAsia="宋体" w:hAnsi="Times New Roman"/>
                <w:b/>
                <w:bCs/>
                <w:color w:val="000000"/>
                <w:sz w:val="20"/>
                <w:szCs w:val="20"/>
              </w:rPr>
              <w:t>(12)</w:t>
            </w:r>
          </w:p>
        </w:tc>
        <w:tc>
          <w:tcPr>
            <w:tcW w:w="0" w:type="auto"/>
            <w:shd w:val="clear" w:color="auto" w:fill="FFFFFF"/>
            <w:tcMar>
              <w:top w:w="40" w:type="dxa"/>
              <w:left w:w="0" w:type="dxa"/>
              <w:bottom w:w="40" w:type="dxa"/>
              <w:right w:w="20" w:type="dxa"/>
            </w:tcMar>
            <w:vAlign w:val="bottom"/>
          </w:tcPr>
          <w:p w14:paraId="518B7B7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7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B7E" w14:textId="77777777" w:rsidR="005C332D" w:rsidRDefault="00B93EAE">
            <w:pPr>
              <w:jc w:val="right"/>
              <w:textAlignment w:val="bottom"/>
            </w:pPr>
            <w:r>
              <w:rPr>
                <w:rFonts w:ascii="Times New Roman" w:eastAsia="宋体" w:hAnsi="Times New Roman"/>
                <w:b/>
                <w:bCs/>
                <w:color w:val="000000"/>
                <w:sz w:val="20"/>
                <w:szCs w:val="20"/>
              </w:rPr>
              <w:t>45.63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B7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B8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B81" w14:textId="77777777" w:rsidR="005C332D" w:rsidRDefault="005C332D">
            <w:pPr>
              <w:rPr>
                <w:rFonts w:ascii="宋体"/>
              </w:rPr>
            </w:pPr>
          </w:p>
        </w:tc>
      </w:tr>
      <w:tr w:rsidR="005C332D" w14:paraId="518B7B8C" w14:textId="77777777">
        <w:tc>
          <w:tcPr>
            <w:tcW w:w="0" w:type="auto"/>
            <w:gridSpan w:val="3"/>
            <w:shd w:val="clear" w:color="auto" w:fill="CCEEFF"/>
            <w:tcMar>
              <w:top w:w="40" w:type="dxa"/>
              <w:left w:w="20" w:type="dxa"/>
              <w:bottom w:w="40" w:type="dxa"/>
              <w:right w:w="20" w:type="dxa"/>
            </w:tcMar>
          </w:tcPr>
          <w:p w14:paraId="518B7B83" w14:textId="77777777" w:rsidR="005C332D" w:rsidRDefault="00B93EAE">
            <w:pPr>
              <w:textAlignment w:val="top"/>
            </w:pPr>
            <w:r>
              <w:rPr>
                <w:rFonts w:ascii="Times New Roman" w:eastAsia="宋体" w:hAnsi="Times New Roman"/>
                <w:b/>
                <w:bCs/>
                <w:color w:val="000000"/>
                <w:sz w:val="20"/>
                <w:szCs w:val="20"/>
              </w:rPr>
              <w:t>UNVESTED BALANCE AT JULY 30,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B84" w14:textId="77777777" w:rsidR="005C332D" w:rsidRDefault="00B93EAE">
            <w:pPr>
              <w:jc w:val="right"/>
              <w:textAlignment w:val="bottom"/>
            </w:pPr>
            <w:r>
              <w:rPr>
                <w:rFonts w:ascii="Times New Roman" w:eastAsia="宋体" w:hAnsi="Times New Roman"/>
                <w:b/>
                <w:bCs/>
                <w:color w:val="000000"/>
                <w:sz w:val="20"/>
                <w:szCs w:val="20"/>
              </w:rPr>
              <w:t>97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B8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86"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7B87"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7B88" w14:textId="77777777" w:rsidR="005C332D" w:rsidRDefault="00B93EAE">
            <w:pPr>
              <w:jc w:val="right"/>
              <w:textAlignment w:val="bottom"/>
            </w:pPr>
            <w:r>
              <w:rPr>
                <w:rFonts w:ascii="Times New Roman" w:eastAsia="宋体" w:hAnsi="Times New Roman"/>
                <w:b/>
                <w:bCs/>
                <w:color w:val="000000"/>
                <w:sz w:val="20"/>
                <w:szCs w:val="20"/>
              </w:rPr>
              <w:t>46.67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B8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8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B8B" w14:textId="77777777" w:rsidR="005C332D" w:rsidRDefault="005C332D">
            <w:pPr>
              <w:rPr>
                <w:rFonts w:ascii="宋体"/>
              </w:rPr>
            </w:pPr>
          </w:p>
        </w:tc>
      </w:tr>
    </w:tbl>
    <w:p w14:paraId="518B7B8D" w14:textId="77777777" w:rsidR="005C332D" w:rsidRDefault="00B93EAE">
      <w:pPr>
        <w:spacing w:before="120"/>
        <w:ind w:hanging="360"/>
        <w:jc w:val="both"/>
      </w:pPr>
      <w:r>
        <w:rPr>
          <w:rFonts w:ascii="Times New Roman" w:eastAsia="宋体" w:hAnsi="Times New Roman"/>
          <w:b/>
          <w:bCs/>
          <w:color w:val="000000"/>
          <w:sz w:val="20"/>
          <w:szCs w:val="20"/>
        </w:rPr>
        <w:t>(e)Valuation of Employee Share-Based Awards</w:t>
      </w:r>
    </w:p>
    <w:p w14:paraId="518B7B8E" w14:textId="77777777" w:rsidR="005C332D" w:rsidRDefault="00B93EAE">
      <w:pPr>
        <w:spacing w:before="120"/>
        <w:jc w:val="both"/>
      </w:pPr>
      <w:r>
        <w:rPr>
          <w:rFonts w:ascii="Times New Roman" w:eastAsia="宋体" w:hAnsi="Times New Roman"/>
          <w:color w:val="000000"/>
          <w:sz w:val="20"/>
          <w:szCs w:val="20"/>
        </w:rPr>
        <w:t xml:space="preserve">Time-based restricted stock </w:t>
      </w:r>
      <w:r>
        <w:rPr>
          <w:rFonts w:ascii="Times New Roman" w:eastAsia="宋体" w:hAnsi="Times New Roman"/>
          <w:color w:val="000000"/>
          <w:sz w:val="20"/>
          <w:szCs w:val="20"/>
        </w:rPr>
        <w:t>units and PRSUs that are based on our financial performance metrics or non-financial operating goals are valued using the market value of our common stock on the date of grant, discounted for the present value of expected dividends. On the date of grant, w</w:t>
      </w:r>
      <w:r>
        <w:rPr>
          <w:rFonts w:ascii="Times New Roman" w:eastAsia="宋体" w:hAnsi="Times New Roman"/>
          <w:color w:val="000000"/>
          <w:sz w:val="20"/>
          <w:szCs w:val="20"/>
        </w:rPr>
        <w:t>e estimated the fair value of the total shareholder return (TSR) component of the PRSUs using a Monte Carlo simulation model. The assumptions for the valuation of time-based RSUs and PRSUs are summarized as follows:</w:t>
      </w:r>
    </w:p>
    <w:tbl>
      <w:tblPr>
        <w:tblW w:w="4985" w:type="pct"/>
        <w:tblCellMar>
          <w:top w:w="15" w:type="dxa"/>
          <w:left w:w="15" w:type="dxa"/>
          <w:bottom w:w="15" w:type="dxa"/>
          <w:right w:w="15" w:type="dxa"/>
        </w:tblCellMar>
        <w:tblLook w:val="04A0" w:firstRow="1" w:lastRow="0" w:firstColumn="1" w:lastColumn="0" w:noHBand="0" w:noVBand="1"/>
      </w:tblPr>
      <w:tblGrid>
        <w:gridCol w:w="40"/>
        <w:gridCol w:w="4252"/>
        <w:gridCol w:w="39"/>
        <w:gridCol w:w="120"/>
        <w:gridCol w:w="1010"/>
        <w:gridCol w:w="220"/>
        <w:gridCol w:w="36"/>
        <w:gridCol w:w="36"/>
        <w:gridCol w:w="36"/>
        <w:gridCol w:w="120"/>
        <w:gridCol w:w="900"/>
        <w:gridCol w:w="187"/>
        <w:gridCol w:w="36"/>
        <w:gridCol w:w="36"/>
        <w:gridCol w:w="36"/>
        <w:gridCol w:w="120"/>
        <w:gridCol w:w="900"/>
        <w:gridCol w:w="187"/>
      </w:tblGrid>
      <w:tr w:rsidR="005C332D" w14:paraId="518B7BA1" w14:textId="77777777">
        <w:tc>
          <w:tcPr>
            <w:tcW w:w="50" w:type="pct"/>
            <w:shd w:val="clear" w:color="auto" w:fill="auto"/>
            <w:vAlign w:val="bottom"/>
          </w:tcPr>
          <w:p w14:paraId="518B7B8F" w14:textId="77777777" w:rsidR="005C332D" w:rsidRDefault="005C332D">
            <w:pPr>
              <w:rPr>
                <w:rFonts w:ascii="宋体"/>
              </w:rPr>
            </w:pPr>
          </w:p>
        </w:tc>
        <w:tc>
          <w:tcPr>
            <w:tcW w:w="2672" w:type="pct"/>
            <w:shd w:val="clear" w:color="auto" w:fill="auto"/>
            <w:vAlign w:val="bottom"/>
          </w:tcPr>
          <w:p w14:paraId="518B7B90" w14:textId="77777777" w:rsidR="005C332D" w:rsidRDefault="005C332D">
            <w:pPr>
              <w:rPr>
                <w:rFonts w:ascii="宋体"/>
              </w:rPr>
            </w:pPr>
          </w:p>
        </w:tc>
        <w:tc>
          <w:tcPr>
            <w:tcW w:w="5" w:type="pct"/>
            <w:shd w:val="clear" w:color="auto" w:fill="auto"/>
            <w:vAlign w:val="bottom"/>
          </w:tcPr>
          <w:p w14:paraId="518B7B91" w14:textId="77777777" w:rsidR="005C332D" w:rsidRDefault="005C332D">
            <w:pPr>
              <w:rPr>
                <w:rFonts w:ascii="宋体"/>
              </w:rPr>
            </w:pPr>
          </w:p>
        </w:tc>
        <w:tc>
          <w:tcPr>
            <w:tcW w:w="50" w:type="pct"/>
            <w:shd w:val="clear" w:color="auto" w:fill="auto"/>
            <w:vAlign w:val="bottom"/>
          </w:tcPr>
          <w:p w14:paraId="518B7B92" w14:textId="77777777" w:rsidR="005C332D" w:rsidRDefault="005C332D">
            <w:pPr>
              <w:rPr>
                <w:rFonts w:ascii="宋体"/>
              </w:rPr>
            </w:pPr>
          </w:p>
        </w:tc>
        <w:tc>
          <w:tcPr>
            <w:tcW w:w="678" w:type="pct"/>
            <w:shd w:val="clear" w:color="auto" w:fill="auto"/>
            <w:vAlign w:val="bottom"/>
          </w:tcPr>
          <w:p w14:paraId="518B7B93" w14:textId="77777777" w:rsidR="005C332D" w:rsidRDefault="005C332D">
            <w:pPr>
              <w:rPr>
                <w:rFonts w:ascii="宋体"/>
              </w:rPr>
            </w:pPr>
          </w:p>
        </w:tc>
        <w:tc>
          <w:tcPr>
            <w:tcW w:w="5" w:type="pct"/>
            <w:shd w:val="clear" w:color="auto" w:fill="auto"/>
            <w:vAlign w:val="bottom"/>
          </w:tcPr>
          <w:p w14:paraId="518B7B94" w14:textId="77777777" w:rsidR="005C332D" w:rsidRDefault="005C332D">
            <w:pPr>
              <w:rPr>
                <w:rFonts w:ascii="宋体"/>
              </w:rPr>
            </w:pPr>
          </w:p>
        </w:tc>
        <w:tc>
          <w:tcPr>
            <w:tcW w:w="5" w:type="pct"/>
            <w:shd w:val="clear" w:color="auto" w:fill="auto"/>
            <w:vAlign w:val="bottom"/>
          </w:tcPr>
          <w:p w14:paraId="518B7B95" w14:textId="77777777" w:rsidR="005C332D" w:rsidRDefault="005C332D">
            <w:pPr>
              <w:rPr>
                <w:rFonts w:ascii="宋体"/>
              </w:rPr>
            </w:pPr>
          </w:p>
        </w:tc>
        <w:tc>
          <w:tcPr>
            <w:tcW w:w="26" w:type="pct"/>
            <w:shd w:val="clear" w:color="auto" w:fill="auto"/>
            <w:vAlign w:val="bottom"/>
          </w:tcPr>
          <w:p w14:paraId="518B7B96" w14:textId="77777777" w:rsidR="005C332D" w:rsidRDefault="005C332D">
            <w:pPr>
              <w:rPr>
                <w:rFonts w:ascii="宋体"/>
              </w:rPr>
            </w:pPr>
          </w:p>
        </w:tc>
        <w:tc>
          <w:tcPr>
            <w:tcW w:w="5" w:type="pct"/>
            <w:shd w:val="clear" w:color="auto" w:fill="auto"/>
            <w:vAlign w:val="bottom"/>
          </w:tcPr>
          <w:p w14:paraId="518B7B97" w14:textId="77777777" w:rsidR="005C332D" w:rsidRDefault="005C332D">
            <w:pPr>
              <w:rPr>
                <w:rFonts w:ascii="宋体"/>
              </w:rPr>
            </w:pPr>
          </w:p>
        </w:tc>
        <w:tc>
          <w:tcPr>
            <w:tcW w:w="50" w:type="pct"/>
            <w:shd w:val="clear" w:color="auto" w:fill="auto"/>
            <w:vAlign w:val="bottom"/>
          </w:tcPr>
          <w:p w14:paraId="518B7B98" w14:textId="77777777" w:rsidR="005C332D" w:rsidRDefault="005C332D">
            <w:pPr>
              <w:rPr>
                <w:rFonts w:ascii="宋体"/>
              </w:rPr>
            </w:pPr>
          </w:p>
        </w:tc>
        <w:tc>
          <w:tcPr>
            <w:tcW w:w="678" w:type="pct"/>
            <w:shd w:val="clear" w:color="auto" w:fill="auto"/>
            <w:vAlign w:val="bottom"/>
          </w:tcPr>
          <w:p w14:paraId="518B7B99" w14:textId="77777777" w:rsidR="005C332D" w:rsidRDefault="005C332D">
            <w:pPr>
              <w:rPr>
                <w:rFonts w:ascii="宋体"/>
              </w:rPr>
            </w:pPr>
          </w:p>
        </w:tc>
        <w:tc>
          <w:tcPr>
            <w:tcW w:w="5" w:type="pct"/>
            <w:shd w:val="clear" w:color="auto" w:fill="auto"/>
            <w:vAlign w:val="bottom"/>
          </w:tcPr>
          <w:p w14:paraId="518B7B9A" w14:textId="77777777" w:rsidR="005C332D" w:rsidRDefault="005C332D">
            <w:pPr>
              <w:rPr>
                <w:rFonts w:ascii="宋体"/>
              </w:rPr>
            </w:pPr>
          </w:p>
        </w:tc>
        <w:tc>
          <w:tcPr>
            <w:tcW w:w="5" w:type="pct"/>
            <w:shd w:val="clear" w:color="auto" w:fill="auto"/>
            <w:vAlign w:val="bottom"/>
          </w:tcPr>
          <w:p w14:paraId="518B7B9B" w14:textId="77777777" w:rsidR="005C332D" w:rsidRDefault="005C332D">
            <w:pPr>
              <w:rPr>
                <w:rFonts w:ascii="宋体"/>
              </w:rPr>
            </w:pPr>
          </w:p>
        </w:tc>
        <w:tc>
          <w:tcPr>
            <w:tcW w:w="26" w:type="pct"/>
            <w:shd w:val="clear" w:color="auto" w:fill="auto"/>
            <w:vAlign w:val="bottom"/>
          </w:tcPr>
          <w:p w14:paraId="518B7B9C" w14:textId="77777777" w:rsidR="005C332D" w:rsidRDefault="005C332D">
            <w:pPr>
              <w:rPr>
                <w:rFonts w:ascii="宋体"/>
              </w:rPr>
            </w:pPr>
          </w:p>
        </w:tc>
        <w:tc>
          <w:tcPr>
            <w:tcW w:w="5" w:type="pct"/>
            <w:shd w:val="clear" w:color="auto" w:fill="auto"/>
            <w:vAlign w:val="bottom"/>
          </w:tcPr>
          <w:p w14:paraId="518B7B9D" w14:textId="77777777" w:rsidR="005C332D" w:rsidRDefault="005C332D">
            <w:pPr>
              <w:rPr>
                <w:rFonts w:ascii="宋体"/>
              </w:rPr>
            </w:pPr>
          </w:p>
        </w:tc>
        <w:tc>
          <w:tcPr>
            <w:tcW w:w="50" w:type="pct"/>
            <w:shd w:val="clear" w:color="auto" w:fill="auto"/>
            <w:vAlign w:val="bottom"/>
          </w:tcPr>
          <w:p w14:paraId="518B7B9E" w14:textId="77777777" w:rsidR="005C332D" w:rsidRDefault="005C332D">
            <w:pPr>
              <w:rPr>
                <w:rFonts w:ascii="宋体"/>
              </w:rPr>
            </w:pPr>
          </w:p>
        </w:tc>
        <w:tc>
          <w:tcPr>
            <w:tcW w:w="678" w:type="pct"/>
            <w:shd w:val="clear" w:color="auto" w:fill="auto"/>
            <w:vAlign w:val="bottom"/>
          </w:tcPr>
          <w:p w14:paraId="518B7B9F" w14:textId="77777777" w:rsidR="005C332D" w:rsidRDefault="005C332D">
            <w:pPr>
              <w:rPr>
                <w:rFonts w:ascii="宋体"/>
              </w:rPr>
            </w:pPr>
          </w:p>
        </w:tc>
        <w:tc>
          <w:tcPr>
            <w:tcW w:w="5" w:type="pct"/>
            <w:shd w:val="clear" w:color="auto" w:fill="auto"/>
            <w:vAlign w:val="bottom"/>
          </w:tcPr>
          <w:p w14:paraId="518B7BA0" w14:textId="77777777" w:rsidR="005C332D" w:rsidRDefault="005C332D">
            <w:pPr>
              <w:rPr>
                <w:rFonts w:ascii="宋体"/>
              </w:rPr>
            </w:pPr>
          </w:p>
        </w:tc>
      </w:tr>
      <w:tr w:rsidR="005C332D" w14:paraId="518B7BA4" w14:textId="77777777">
        <w:tc>
          <w:tcPr>
            <w:tcW w:w="0" w:type="auto"/>
            <w:gridSpan w:val="3"/>
            <w:shd w:val="clear" w:color="auto" w:fill="auto"/>
            <w:tcMar>
              <w:top w:w="0" w:type="dxa"/>
              <w:left w:w="20" w:type="dxa"/>
              <w:bottom w:w="0" w:type="dxa"/>
              <w:right w:w="20" w:type="dxa"/>
            </w:tcMar>
            <w:vAlign w:val="bottom"/>
          </w:tcPr>
          <w:p w14:paraId="518B7BA2"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7BA3" w14:textId="77777777" w:rsidR="005C332D" w:rsidRDefault="00B93EAE">
            <w:pPr>
              <w:jc w:val="center"/>
              <w:textAlignment w:val="bottom"/>
            </w:pPr>
            <w:r>
              <w:rPr>
                <w:rFonts w:ascii="Times New Roman" w:eastAsia="宋体" w:hAnsi="Times New Roman"/>
                <w:color w:val="000000"/>
                <w:sz w:val="18"/>
                <w:szCs w:val="18"/>
              </w:rPr>
              <w:t xml:space="preserve">RESTRICTED </w:t>
            </w:r>
            <w:r>
              <w:rPr>
                <w:rFonts w:ascii="Times New Roman" w:eastAsia="宋体" w:hAnsi="Times New Roman"/>
                <w:color w:val="000000"/>
                <w:sz w:val="18"/>
                <w:szCs w:val="18"/>
              </w:rPr>
              <w:t>STOCK UNITS</w:t>
            </w:r>
          </w:p>
        </w:tc>
      </w:tr>
      <w:tr w:rsidR="005C332D" w14:paraId="518B7BAB" w14:textId="77777777">
        <w:tc>
          <w:tcPr>
            <w:tcW w:w="0" w:type="auto"/>
            <w:gridSpan w:val="3"/>
            <w:shd w:val="clear" w:color="auto" w:fill="auto"/>
            <w:tcMar>
              <w:top w:w="40" w:type="dxa"/>
              <w:left w:w="20" w:type="dxa"/>
              <w:bottom w:w="40" w:type="dxa"/>
              <w:right w:w="20" w:type="dxa"/>
            </w:tcMar>
            <w:vAlign w:val="bottom"/>
          </w:tcPr>
          <w:p w14:paraId="518B7BA5"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BA6"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BA7"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BA8"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BA9"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BAA"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BB5" w14:textId="77777777">
        <w:tc>
          <w:tcPr>
            <w:tcW w:w="0" w:type="auto"/>
            <w:gridSpan w:val="3"/>
            <w:shd w:val="clear" w:color="auto" w:fill="CCEEFF"/>
            <w:tcMar>
              <w:top w:w="40" w:type="dxa"/>
              <w:left w:w="20" w:type="dxa"/>
              <w:bottom w:w="40" w:type="dxa"/>
              <w:right w:w="20" w:type="dxa"/>
            </w:tcMar>
          </w:tcPr>
          <w:p w14:paraId="518B7BAC" w14:textId="77777777" w:rsidR="005C332D" w:rsidRDefault="00B93EAE">
            <w:pPr>
              <w:textAlignment w:val="top"/>
            </w:pPr>
            <w:r>
              <w:rPr>
                <w:rFonts w:ascii="Times New Roman" w:eastAsia="宋体" w:hAnsi="Times New Roman"/>
                <w:color w:val="000000"/>
                <w:sz w:val="20"/>
                <w:szCs w:val="20"/>
              </w:rPr>
              <w:t>Number of shares granted (in millions)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BAD" w14:textId="77777777" w:rsidR="005C332D" w:rsidRDefault="00B93EAE">
            <w:pPr>
              <w:jc w:val="right"/>
              <w:textAlignment w:val="bottom"/>
            </w:pPr>
            <w:r>
              <w:rPr>
                <w:rFonts w:ascii="Times New Roman" w:eastAsia="宋体" w:hAnsi="Times New Roman"/>
                <w:b/>
                <w:bCs/>
                <w:color w:val="000000"/>
                <w:sz w:val="20"/>
                <w:szCs w:val="20"/>
              </w:rPr>
              <w:t>50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BA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AF"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BB0" w14:textId="77777777" w:rsidR="005C332D" w:rsidRDefault="00B93EAE">
            <w:pPr>
              <w:jc w:val="right"/>
              <w:textAlignment w:val="bottom"/>
            </w:pPr>
            <w:r>
              <w:rPr>
                <w:rFonts w:ascii="Times New Roman" w:eastAsia="宋体" w:hAnsi="Times New Roman"/>
                <w:color w:val="000000"/>
                <w:sz w:val="20"/>
                <w:szCs w:val="20"/>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BB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B2"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BB3" w14:textId="77777777" w:rsidR="005C332D" w:rsidRDefault="00B93EAE">
            <w:pPr>
              <w:jc w:val="right"/>
              <w:textAlignment w:val="bottom"/>
            </w:pPr>
            <w:r>
              <w:rPr>
                <w:rFonts w:ascii="Times New Roman" w:eastAsia="宋体" w:hAnsi="Times New Roman"/>
                <w:color w:val="000000"/>
                <w:sz w:val="20"/>
                <w:szCs w:val="20"/>
              </w:rPr>
              <w:t>47 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BB4" w14:textId="77777777" w:rsidR="005C332D" w:rsidRDefault="005C332D">
            <w:pPr>
              <w:jc w:val="right"/>
              <w:rPr>
                <w:rFonts w:ascii="宋体"/>
              </w:rPr>
            </w:pPr>
          </w:p>
        </w:tc>
      </w:tr>
      <w:tr w:rsidR="005C332D" w14:paraId="518B7BC2" w14:textId="77777777">
        <w:tc>
          <w:tcPr>
            <w:tcW w:w="0" w:type="auto"/>
            <w:gridSpan w:val="3"/>
            <w:shd w:val="clear" w:color="auto" w:fill="auto"/>
            <w:tcMar>
              <w:top w:w="40" w:type="dxa"/>
              <w:left w:w="20" w:type="dxa"/>
              <w:bottom w:w="40" w:type="dxa"/>
              <w:right w:w="20" w:type="dxa"/>
            </w:tcMar>
            <w:vAlign w:val="bottom"/>
          </w:tcPr>
          <w:p w14:paraId="518B7BB6" w14:textId="77777777" w:rsidR="005C332D" w:rsidRDefault="00B93EAE">
            <w:pPr>
              <w:textAlignment w:val="bottom"/>
            </w:pPr>
            <w:r>
              <w:rPr>
                <w:rFonts w:ascii="Times New Roman" w:eastAsia="宋体" w:hAnsi="Times New Roman"/>
                <w:color w:val="000000"/>
                <w:sz w:val="20"/>
                <w:szCs w:val="20"/>
              </w:rPr>
              <w:t>Grant date fair value per share</w:t>
            </w:r>
          </w:p>
        </w:tc>
        <w:tc>
          <w:tcPr>
            <w:tcW w:w="0" w:type="auto"/>
            <w:shd w:val="clear" w:color="auto" w:fill="auto"/>
            <w:tcMar>
              <w:top w:w="40" w:type="dxa"/>
              <w:left w:w="20" w:type="dxa"/>
              <w:bottom w:w="40" w:type="dxa"/>
              <w:right w:w="0" w:type="dxa"/>
            </w:tcMar>
            <w:vAlign w:val="bottom"/>
          </w:tcPr>
          <w:p w14:paraId="518B7BB7"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auto"/>
            <w:tcMar>
              <w:top w:w="40" w:type="dxa"/>
              <w:left w:w="0" w:type="dxa"/>
              <w:bottom w:w="40" w:type="dxa"/>
              <w:right w:w="0" w:type="dxa"/>
            </w:tcMar>
            <w:vAlign w:val="bottom"/>
          </w:tcPr>
          <w:p w14:paraId="518B7BB8" w14:textId="77777777" w:rsidR="005C332D" w:rsidRDefault="00B93EAE">
            <w:pPr>
              <w:jc w:val="right"/>
              <w:textAlignment w:val="bottom"/>
            </w:pPr>
            <w:r>
              <w:rPr>
                <w:rFonts w:ascii="Times New Roman" w:eastAsia="宋体" w:hAnsi="Times New Roman"/>
                <w:b/>
                <w:bCs/>
                <w:color w:val="000000"/>
                <w:sz w:val="20"/>
                <w:szCs w:val="20"/>
              </w:rPr>
              <w:t>49.68</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BB9"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BBA"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7BB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7BBC" w14:textId="77777777" w:rsidR="005C332D" w:rsidRDefault="00B93EAE">
            <w:pPr>
              <w:jc w:val="right"/>
              <w:textAlignment w:val="bottom"/>
            </w:pPr>
            <w:r>
              <w:rPr>
                <w:rFonts w:ascii="Times New Roman" w:eastAsia="宋体" w:hAnsi="Times New Roman"/>
                <w:color w:val="000000"/>
                <w:sz w:val="20"/>
                <w:szCs w:val="20"/>
              </w:rPr>
              <w:t>42.04 </w:t>
            </w:r>
          </w:p>
        </w:tc>
        <w:tc>
          <w:tcPr>
            <w:tcW w:w="0" w:type="auto"/>
            <w:shd w:val="clear" w:color="auto" w:fill="auto"/>
            <w:tcMar>
              <w:top w:w="40" w:type="dxa"/>
              <w:left w:w="0" w:type="dxa"/>
              <w:bottom w:w="40" w:type="dxa"/>
              <w:right w:w="20" w:type="dxa"/>
            </w:tcMar>
            <w:vAlign w:val="bottom"/>
          </w:tcPr>
          <w:p w14:paraId="518B7BBD"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BBE"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7BB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7BC0" w14:textId="77777777" w:rsidR="005C332D" w:rsidRDefault="00B93EAE">
            <w:pPr>
              <w:jc w:val="right"/>
              <w:textAlignment w:val="bottom"/>
            </w:pPr>
            <w:r>
              <w:rPr>
                <w:rFonts w:ascii="Times New Roman" w:eastAsia="宋体" w:hAnsi="Times New Roman"/>
                <w:color w:val="000000"/>
                <w:sz w:val="20"/>
                <w:szCs w:val="20"/>
              </w:rPr>
              <w:t>42.68 </w:t>
            </w:r>
          </w:p>
        </w:tc>
        <w:tc>
          <w:tcPr>
            <w:tcW w:w="0" w:type="auto"/>
            <w:shd w:val="clear" w:color="auto" w:fill="auto"/>
            <w:tcMar>
              <w:top w:w="40" w:type="dxa"/>
              <w:left w:w="0" w:type="dxa"/>
              <w:bottom w:w="40" w:type="dxa"/>
              <w:right w:w="20" w:type="dxa"/>
            </w:tcMar>
            <w:vAlign w:val="bottom"/>
          </w:tcPr>
          <w:p w14:paraId="518B7BC1" w14:textId="77777777" w:rsidR="005C332D" w:rsidRDefault="005C332D">
            <w:pPr>
              <w:jc w:val="right"/>
              <w:rPr>
                <w:rFonts w:ascii="宋体"/>
              </w:rPr>
            </w:pPr>
          </w:p>
        </w:tc>
      </w:tr>
      <w:tr w:rsidR="005C332D" w14:paraId="518B7BC9" w14:textId="77777777">
        <w:tc>
          <w:tcPr>
            <w:tcW w:w="0" w:type="auto"/>
            <w:gridSpan w:val="3"/>
            <w:shd w:val="clear" w:color="auto" w:fill="CCEEFF"/>
            <w:tcMar>
              <w:top w:w="40" w:type="dxa"/>
              <w:left w:w="20" w:type="dxa"/>
              <w:bottom w:w="40" w:type="dxa"/>
              <w:right w:w="20" w:type="dxa"/>
            </w:tcMar>
          </w:tcPr>
          <w:p w14:paraId="518B7BC3" w14:textId="77777777" w:rsidR="005C332D" w:rsidRDefault="00B93EAE">
            <w:pPr>
              <w:textAlignment w:val="top"/>
            </w:pPr>
            <w:r>
              <w:rPr>
                <w:rFonts w:ascii="Times New Roman" w:eastAsia="宋体" w:hAnsi="Times New Roman"/>
                <w:color w:val="000000"/>
                <w:sz w:val="20"/>
                <w:szCs w:val="20"/>
              </w:rPr>
              <w:t>Weighted-average assumptions/inputs:</w:t>
            </w:r>
          </w:p>
        </w:tc>
        <w:tc>
          <w:tcPr>
            <w:tcW w:w="0" w:type="auto"/>
            <w:gridSpan w:val="3"/>
            <w:shd w:val="clear" w:color="auto" w:fill="CCEEFF"/>
            <w:tcMar>
              <w:top w:w="0" w:type="dxa"/>
              <w:left w:w="20" w:type="dxa"/>
              <w:bottom w:w="0" w:type="dxa"/>
              <w:right w:w="20" w:type="dxa"/>
            </w:tcMar>
            <w:vAlign w:val="bottom"/>
          </w:tcPr>
          <w:p w14:paraId="518B7BC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BC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BC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BC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BC8" w14:textId="77777777" w:rsidR="005C332D" w:rsidRDefault="005C332D">
            <w:pPr>
              <w:rPr>
                <w:rFonts w:ascii="宋体"/>
              </w:rPr>
            </w:pPr>
          </w:p>
        </w:tc>
      </w:tr>
      <w:tr w:rsidR="005C332D" w14:paraId="518B7BD3" w14:textId="77777777">
        <w:tc>
          <w:tcPr>
            <w:tcW w:w="0" w:type="auto"/>
            <w:gridSpan w:val="3"/>
            <w:shd w:val="clear" w:color="auto" w:fill="auto"/>
            <w:tcMar>
              <w:top w:w="40" w:type="dxa"/>
              <w:left w:w="20" w:type="dxa"/>
              <w:bottom w:w="40" w:type="dxa"/>
              <w:right w:w="20" w:type="dxa"/>
            </w:tcMar>
          </w:tcPr>
          <w:p w14:paraId="518B7BCA" w14:textId="77777777" w:rsidR="005C332D" w:rsidRDefault="00B93EAE">
            <w:pPr>
              <w:textAlignment w:val="top"/>
            </w:pPr>
            <w:r>
              <w:rPr>
                <w:rFonts w:ascii="Times New Roman" w:eastAsia="宋体" w:hAnsi="Times New Roman"/>
                <w:color w:val="000000"/>
                <w:sz w:val="20"/>
                <w:szCs w:val="20"/>
              </w:rPr>
              <w:t>   Expected dividend yield</w:t>
            </w:r>
          </w:p>
        </w:tc>
        <w:tc>
          <w:tcPr>
            <w:tcW w:w="0" w:type="auto"/>
            <w:gridSpan w:val="2"/>
            <w:shd w:val="clear" w:color="auto" w:fill="auto"/>
            <w:tcMar>
              <w:top w:w="40" w:type="dxa"/>
              <w:left w:w="20" w:type="dxa"/>
              <w:bottom w:w="40" w:type="dxa"/>
              <w:right w:w="0" w:type="dxa"/>
            </w:tcMar>
            <w:vAlign w:val="bottom"/>
          </w:tcPr>
          <w:p w14:paraId="518B7BCB" w14:textId="77777777" w:rsidR="005C332D" w:rsidRDefault="00B93EAE">
            <w:pPr>
              <w:jc w:val="right"/>
              <w:textAlignment w:val="bottom"/>
            </w:pPr>
            <w:r>
              <w:rPr>
                <w:rFonts w:ascii="Times New Roman" w:eastAsia="宋体" w:hAnsi="Times New Roman"/>
                <w:b/>
                <w:bCs/>
                <w:color w:val="000000"/>
                <w:sz w:val="20"/>
                <w:szCs w:val="20"/>
              </w:rPr>
              <w:t>2.9</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BCC"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auto"/>
            <w:tcMar>
              <w:top w:w="0" w:type="dxa"/>
              <w:left w:w="20" w:type="dxa"/>
              <w:bottom w:w="0" w:type="dxa"/>
              <w:right w:w="20" w:type="dxa"/>
            </w:tcMar>
            <w:vAlign w:val="bottom"/>
          </w:tcPr>
          <w:p w14:paraId="518B7BCD"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BCE" w14:textId="77777777" w:rsidR="005C332D" w:rsidRDefault="00B93EAE">
            <w:pPr>
              <w:jc w:val="right"/>
              <w:textAlignment w:val="bottom"/>
            </w:pPr>
            <w:r>
              <w:rPr>
                <w:rFonts w:ascii="Times New Roman" w:eastAsia="宋体" w:hAnsi="Times New Roman"/>
                <w:color w:val="000000"/>
                <w:sz w:val="20"/>
                <w:szCs w:val="20"/>
              </w:rPr>
              <w:t>3.3 </w:t>
            </w:r>
          </w:p>
        </w:tc>
        <w:tc>
          <w:tcPr>
            <w:tcW w:w="0" w:type="auto"/>
            <w:shd w:val="clear" w:color="auto" w:fill="auto"/>
            <w:tcMar>
              <w:top w:w="40" w:type="dxa"/>
              <w:left w:w="0" w:type="dxa"/>
              <w:bottom w:w="40" w:type="dxa"/>
              <w:right w:w="20" w:type="dxa"/>
            </w:tcMar>
            <w:vAlign w:val="bottom"/>
          </w:tcPr>
          <w:p w14:paraId="518B7BCF"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518B7BD0"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BD1" w14:textId="77777777" w:rsidR="005C332D" w:rsidRDefault="00B93EAE">
            <w:pPr>
              <w:jc w:val="right"/>
              <w:textAlignment w:val="bottom"/>
            </w:pPr>
            <w:r>
              <w:rPr>
                <w:rFonts w:ascii="Times New Roman" w:eastAsia="宋体" w:hAnsi="Times New Roman"/>
                <w:color w:val="000000"/>
                <w:sz w:val="20"/>
                <w:szCs w:val="20"/>
              </w:rPr>
              <w:t>3.1 </w:t>
            </w:r>
          </w:p>
        </w:tc>
        <w:tc>
          <w:tcPr>
            <w:tcW w:w="0" w:type="auto"/>
            <w:shd w:val="clear" w:color="auto" w:fill="auto"/>
            <w:tcMar>
              <w:top w:w="40" w:type="dxa"/>
              <w:left w:w="0" w:type="dxa"/>
              <w:bottom w:w="40" w:type="dxa"/>
              <w:right w:w="20" w:type="dxa"/>
            </w:tcMar>
            <w:vAlign w:val="bottom"/>
          </w:tcPr>
          <w:p w14:paraId="518B7BD2"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7BDA" w14:textId="77777777">
        <w:tc>
          <w:tcPr>
            <w:tcW w:w="0" w:type="auto"/>
            <w:gridSpan w:val="3"/>
            <w:shd w:val="clear" w:color="auto" w:fill="CCEEFF"/>
            <w:tcMar>
              <w:top w:w="40" w:type="dxa"/>
              <w:left w:w="20" w:type="dxa"/>
              <w:bottom w:w="40" w:type="dxa"/>
              <w:right w:w="20" w:type="dxa"/>
            </w:tcMar>
          </w:tcPr>
          <w:p w14:paraId="518B7BD4" w14:textId="77777777" w:rsidR="005C332D" w:rsidRDefault="00B93EAE">
            <w:pPr>
              <w:textAlignment w:val="top"/>
            </w:pPr>
            <w:r>
              <w:rPr>
                <w:rFonts w:ascii="Times New Roman" w:eastAsia="宋体" w:hAnsi="Times New Roman"/>
                <w:color w:val="000000"/>
                <w:sz w:val="20"/>
                <w:szCs w:val="20"/>
              </w:rPr>
              <w:t>   Range of risk-free interest rates</w:t>
            </w:r>
          </w:p>
        </w:tc>
        <w:tc>
          <w:tcPr>
            <w:tcW w:w="0" w:type="auto"/>
            <w:gridSpan w:val="3"/>
            <w:shd w:val="clear" w:color="auto" w:fill="CCEEFF"/>
            <w:tcMar>
              <w:top w:w="40" w:type="dxa"/>
              <w:left w:w="20" w:type="dxa"/>
              <w:bottom w:w="40" w:type="dxa"/>
              <w:right w:w="20" w:type="dxa"/>
            </w:tcMar>
            <w:vAlign w:val="bottom"/>
          </w:tcPr>
          <w:p w14:paraId="518B7BD5" w14:textId="77777777" w:rsidR="005C332D" w:rsidRDefault="00B93EAE">
            <w:pPr>
              <w:jc w:val="right"/>
              <w:textAlignment w:val="bottom"/>
            </w:pPr>
            <w:r>
              <w:rPr>
                <w:rFonts w:ascii="Times New Roman" w:eastAsia="宋体" w:hAnsi="Times New Roman"/>
                <w:b/>
                <w:bCs/>
                <w:color w:val="000000"/>
                <w:sz w:val="20"/>
                <w:szCs w:val="20"/>
              </w:rPr>
              <w:t xml:space="preserve">0.0% </w:t>
            </w:r>
            <w:r>
              <w:rPr>
                <w:rFonts w:ascii="Arial" w:eastAsia="宋体" w:hAnsi="Arial" w:cs="Arial"/>
                <w:b/>
                <w:bCs/>
                <w:color w:val="000000"/>
                <w:sz w:val="20"/>
                <w:szCs w:val="20"/>
              </w:rPr>
              <w:t>–</w:t>
            </w:r>
            <w:r>
              <w:rPr>
                <w:rFonts w:ascii="Times New Roman" w:eastAsia="宋体" w:hAnsi="Times New Roman"/>
                <w:b/>
                <w:bCs/>
                <w:color w:val="000000"/>
                <w:sz w:val="20"/>
                <w:szCs w:val="20"/>
              </w:rPr>
              <w:t xml:space="preserve"> 3.0%</w:t>
            </w:r>
          </w:p>
        </w:tc>
        <w:tc>
          <w:tcPr>
            <w:tcW w:w="0" w:type="auto"/>
            <w:gridSpan w:val="3"/>
            <w:shd w:val="clear" w:color="auto" w:fill="CCEEFF"/>
            <w:tcMar>
              <w:top w:w="0" w:type="dxa"/>
              <w:left w:w="20" w:type="dxa"/>
              <w:bottom w:w="0" w:type="dxa"/>
              <w:right w:w="20" w:type="dxa"/>
            </w:tcMar>
            <w:vAlign w:val="bottom"/>
          </w:tcPr>
          <w:p w14:paraId="518B7BD6"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BD7" w14:textId="77777777" w:rsidR="005C332D" w:rsidRDefault="00B93EAE">
            <w:pPr>
              <w:jc w:val="right"/>
              <w:textAlignment w:val="bottom"/>
            </w:pPr>
            <w:r>
              <w:rPr>
                <w:rFonts w:ascii="Times New Roman" w:eastAsia="宋体" w:hAnsi="Times New Roman"/>
                <w:color w:val="000000"/>
                <w:sz w:val="20"/>
                <w:szCs w:val="20"/>
              </w:rPr>
              <w:t xml:space="preserve">0.0% </w:t>
            </w:r>
            <w:r>
              <w:rPr>
                <w:rFonts w:ascii="Arial" w:eastAsia="宋体" w:hAnsi="Arial" w:cs="Arial"/>
                <w:color w:val="000000"/>
                <w:sz w:val="20"/>
                <w:szCs w:val="20"/>
              </w:rPr>
              <w:t>–</w:t>
            </w:r>
            <w:r>
              <w:rPr>
                <w:rFonts w:ascii="Times New Roman" w:eastAsia="宋体" w:hAnsi="Times New Roman"/>
                <w:color w:val="000000"/>
                <w:sz w:val="20"/>
                <w:szCs w:val="20"/>
              </w:rPr>
              <w:t xml:space="preserve"> 0.9%</w:t>
            </w:r>
          </w:p>
        </w:tc>
        <w:tc>
          <w:tcPr>
            <w:tcW w:w="0" w:type="auto"/>
            <w:gridSpan w:val="3"/>
            <w:shd w:val="clear" w:color="auto" w:fill="CCEEFF"/>
            <w:tcMar>
              <w:top w:w="0" w:type="dxa"/>
              <w:left w:w="20" w:type="dxa"/>
              <w:bottom w:w="0" w:type="dxa"/>
              <w:right w:w="20" w:type="dxa"/>
            </w:tcMar>
            <w:vAlign w:val="bottom"/>
          </w:tcPr>
          <w:p w14:paraId="518B7BD8"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BD9" w14:textId="77777777" w:rsidR="005C332D" w:rsidRDefault="00B93EAE">
            <w:pPr>
              <w:jc w:val="right"/>
              <w:textAlignment w:val="bottom"/>
            </w:pPr>
            <w:r>
              <w:rPr>
                <w:rFonts w:ascii="Times New Roman" w:eastAsia="宋体" w:hAnsi="Times New Roman"/>
                <w:color w:val="000000"/>
                <w:sz w:val="20"/>
                <w:szCs w:val="20"/>
              </w:rPr>
              <w:t xml:space="preserve">0.0% </w:t>
            </w:r>
            <w:r>
              <w:rPr>
                <w:rFonts w:ascii="Arial" w:eastAsia="宋体" w:hAnsi="Arial" w:cs="Arial"/>
                <w:color w:val="000000"/>
                <w:sz w:val="20"/>
                <w:szCs w:val="20"/>
              </w:rPr>
              <w:t>–</w:t>
            </w:r>
            <w:r>
              <w:rPr>
                <w:rFonts w:ascii="Times New Roman" w:eastAsia="宋体" w:hAnsi="Times New Roman"/>
                <w:color w:val="000000"/>
                <w:sz w:val="20"/>
                <w:szCs w:val="20"/>
              </w:rPr>
              <w:t xml:space="preserve"> 2.0%</w:t>
            </w:r>
          </w:p>
        </w:tc>
      </w:tr>
    </w:tbl>
    <w:p w14:paraId="518B7BDB" w14:textId="77777777" w:rsidR="005C332D" w:rsidRDefault="005C332D">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252"/>
        <w:gridCol w:w="39"/>
        <w:gridCol w:w="120"/>
        <w:gridCol w:w="1010"/>
        <w:gridCol w:w="220"/>
        <w:gridCol w:w="36"/>
        <w:gridCol w:w="36"/>
        <w:gridCol w:w="36"/>
        <w:gridCol w:w="120"/>
        <w:gridCol w:w="900"/>
        <w:gridCol w:w="187"/>
        <w:gridCol w:w="36"/>
        <w:gridCol w:w="36"/>
        <w:gridCol w:w="36"/>
        <w:gridCol w:w="120"/>
        <w:gridCol w:w="900"/>
        <w:gridCol w:w="187"/>
      </w:tblGrid>
      <w:tr w:rsidR="005C332D" w14:paraId="518B7BEE" w14:textId="77777777">
        <w:trPr>
          <w:jc w:val="center"/>
        </w:trPr>
        <w:tc>
          <w:tcPr>
            <w:tcW w:w="50" w:type="pct"/>
            <w:shd w:val="clear" w:color="auto" w:fill="auto"/>
            <w:vAlign w:val="bottom"/>
          </w:tcPr>
          <w:p w14:paraId="518B7BDC" w14:textId="77777777" w:rsidR="005C332D" w:rsidRDefault="005C332D">
            <w:pPr>
              <w:rPr>
                <w:rFonts w:ascii="宋体"/>
              </w:rPr>
            </w:pPr>
          </w:p>
        </w:tc>
        <w:tc>
          <w:tcPr>
            <w:tcW w:w="2672" w:type="pct"/>
            <w:shd w:val="clear" w:color="auto" w:fill="auto"/>
            <w:vAlign w:val="bottom"/>
          </w:tcPr>
          <w:p w14:paraId="518B7BDD" w14:textId="77777777" w:rsidR="005C332D" w:rsidRDefault="005C332D">
            <w:pPr>
              <w:rPr>
                <w:rFonts w:ascii="宋体"/>
              </w:rPr>
            </w:pPr>
          </w:p>
        </w:tc>
        <w:tc>
          <w:tcPr>
            <w:tcW w:w="5" w:type="pct"/>
            <w:shd w:val="clear" w:color="auto" w:fill="auto"/>
            <w:vAlign w:val="bottom"/>
          </w:tcPr>
          <w:p w14:paraId="518B7BDE" w14:textId="77777777" w:rsidR="005C332D" w:rsidRDefault="005C332D">
            <w:pPr>
              <w:rPr>
                <w:rFonts w:ascii="宋体"/>
              </w:rPr>
            </w:pPr>
          </w:p>
        </w:tc>
        <w:tc>
          <w:tcPr>
            <w:tcW w:w="50" w:type="pct"/>
            <w:shd w:val="clear" w:color="auto" w:fill="auto"/>
            <w:vAlign w:val="bottom"/>
          </w:tcPr>
          <w:p w14:paraId="518B7BDF" w14:textId="77777777" w:rsidR="005C332D" w:rsidRDefault="005C332D">
            <w:pPr>
              <w:rPr>
                <w:rFonts w:ascii="宋体"/>
              </w:rPr>
            </w:pPr>
          </w:p>
        </w:tc>
        <w:tc>
          <w:tcPr>
            <w:tcW w:w="678" w:type="pct"/>
            <w:shd w:val="clear" w:color="auto" w:fill="auto"/>
            <w:vAlign w:val="bottom"/>
          </w:tcPr>
          <w:p w14:paraId="518B7BE0" w14:textId="77777777" w:rsidR="005C332D" w:rsidRDefault="005C332D">
            <w:pPr>
              <w:rPr>
                <w:rFonts w:ascii="宋体"/>
              </w:rPr>
            </w:pPr>
          </w:p>
        </w:tc>
        <w:tc>
          <w:tcPr>
            <w:tcW w:w="5" w:type="pct"/>
            <w:shd w:val="clear" w:color="auto" w:fill="auto"/>
            <w:vAlign w:val="bottom"/>
          </w:tcPr>
          <w:p w14:paraId="518B7BE1" w14:textId="77777777" w:rsidR="005C332D" w:rsidRDefault="005C332D">
            <w:pPr>
              <w:rPr>
                <w:rFonts w:ascii="宋体"/>
              </w:rPr>
            </w:pPr>
          </w:p>
        </w:tc>
        <w:tc>
          <w:tcPr>
            <w:tcW w:w="5" w:type="pct"/>
            <w:shd w:val="clear" w:color="auto" w:fill="auto"/>
            <w:vAlign w:val="bottom"/>
          </w:tcPr>
          <w:p w14:paraId="518B7BE2" w14:textId="77777777" w:rsidR="005C332D" w:rsidRDefault="005C332D">
            <w:pPr>
              <w:rPr>
                <w:rFonts w:ascii="宋体"/>
              </w:rPr>
            </w:pPr>
          </w:p>
        </w:tc>
        <w:tc>
          <w:tcPr>
            <w:tcW w:w="26" w:type="pct"/>
            <w:shd w:val="clear" w:color="auto" w:fill="auto"/>
            <w:vAlign w:val="bottom"/>
          </w:tcPr>
          <w:p w14:paraId="518B7BE3" w14:textId="77777777" w:rsidR="005C332D" w:rsidRDefault="005C332D">
            <w:pPr>
              <w:rPr>
                <w:rFonts w:ascii="宋体"/>
              </w:rPr>
            </w:pPr>
          </w:p>
        </w:tc>
        <w:tc>
          <w:tcPr>
            <w:tcW w:w="5" w:type="pct"/>
            <w:shd w:val="clear" w:color="auto" w:fill="auto"/>
            <w:vAlign w:val="bottom"/>
          </w:tcPr>
          <w:p w14:paraId="518B7BE4" w14:textId="77777777" w:rsidR="005C332D" w:rsidRDefault="005C332D">
            <w:pPr>
              <w:rPr>
                <w:rFonts w:ascii="宋体"/>
              </w:rPr>
            </w:pPr>
          </w:p>
        </w:tc>
        <w:tc>
          <w:tcPr>
            <w:tcW w:w="50" w:type="pct"/>
            <w:shd w:val="clear" w:color="auto" w:fill="auto"/>
            <w:vAlign w:val="bottom"/>
          </w:tcPr>
          <w:p w14:paraId="518B7BE5" w14:textId="77777777" w:rsidR="005C332D" w:rsidRDefault="005C332D">
            <w:pPr>
              <w:rPr>
                <w:rFonts w:ascii="宋体"/>
              </w:rPr>
            </w:pPr>
          </w:p>
        </w:tc>
        <w:tc>
          <w:tcPr>
            <w:tcW w:w="678" w:type="pct"/>
            <w:shd w:val="clear" w:color="auto" w:fill="auto"/>
            <w:vAlign w:val="bottom"/>
          </w:tcPr>
          <w:p w14:paraId="518B7BE6" w14:textId="77777777" w:rsidR="005C332D" w:rsidRDefault="005C332D">
            <w:pPr>
              <w:rPr>
                <w:rFonts w:ascii="宋体"/>
              </w:rPr>
            </w:pPr>
          </w:p>
        </w:tc>
        <w:tc>
          <w:tcPr>
            <w:tcW w:w="5" w:type="pct"/>
            <w:shd w:val="clear" w:color="auto" w:fill="auto"/>
            <w:vAlign w:val="bottom"/>
          </w:tcPr>
          <w:p w14:paraId="518B7BE7" w14:textId="77777777" w:rsidR="005C332D" w:rsidRDefault="005C332D">
            <w:pPr>
              <w:rPr>
                <w:rFonts w:ascii="宋体"/>
              </w:rPr>
            </w:pPr>
          </w:p>
        </w:tc>
        <w:tc>
          <w:tcPr>
            <w:tcW w:w="5" w:type="pct"/>
            <w:shd w:val="clear" w:color="auto" w:fill="auto"/>
            <w:vAlign w:val="bottom"/>
          </w:tcPr>
          <w:p w14:paraId="518B7BE8" w14:textId="77777777" w:rsidR="005C332D" w:rsidRDefault="005C332D">
            <w:pPr>
              <w:rPr>
                <w:rFonts w:ascii="宋体"/>
              </w:rPr>
            </w:pPr>
          </w:p>
        </w:tc>
        <w:tc>
          <w:tcPr>
            <w:tcW w:w="26" w:type="pct"/>
            <w:shd w:val="clear" w:color="auto" w:fill="auto"/>
            <w:vAlign w:val="bottom"/>
          </w:tcPr>
          <w:p w14:paraId="518B7BE9" w14:textId="77777777" w:rsidR="005C332D" w:rsidRDefault="005C332D">
            <w:pPr>
              <w:rPr>
                <w:rFonts w:ascii="宋体"/>
              </w:rPr>
            </w:pPr>
          </w:p>
        </w:tc>
        <w:tc>
          <w:tcPr>
            <w:tcW w:w="5" w:type="pct"/>
            <w:shd w:val="clear" w:color="auto" w:fill="auto"/>
            <w:vAlign w:val="bottom"/>
          </w:tcPr>
          <w:p w14:paraId="518B7BEA" w14:textId="77777777" w:rsidR="005C332D" w:rsidRDefault="005C332D">
            <w:pPr>
              <w:rPr>
                <w:rFonts w:ascii="宋体"/>
              </w:rPr>
            </w:pPr>
          </w:p>
        </w:tc>
        <w:tc>
          <w:tcPr>
            <w:tcW w:w="50" w:type="pct"/>
            <w:shd w:val="clear" w:color="auto" w:fill="auto"/>
            <w:vAlign w:val="bottom"/>
          </w:tcPr>
          <w:p w14:paraId="518B7BEB" w14:textId="77777777" w:rsidR="005C332D" w:rsidRDefault="005C332D">
            <w:pPr>
              <w:rPr>
                <w:rFonts w:ascii="宋体"/>
              </w:rPr>
            </w:pPr>
          </w:p>
        </w:tc>
        <w:tc>
          <w:tcPr>
            <w:tcW w:w="678" w:type="pct"/>
            <w:shd w:val="clear" w:color="auto" w:fill="auto"/>
            <w:vAlign w:val="bottom"/>
          </w:tcPr>
          <w:p w14:paraId="518B7BEC" w14:textId="77777777" w:rsidR="005C332D" w:rsidRDefault="005C332D">
            <w:pPr>
              <w:rPr>
                <w:rFonts w:ascii="宋体"/>
              </w:rPr>
            </w:pPr>
          </w:p>
        </w:tc>
        <w:tc>
          <w:tcPr>
            <w:tcW w:w="5" w:type="pct"/>
            <w:shd w:val="clear" w:color="auto" w:fill="auto"/>
            <w:vAlign w:val="bottom"/>
          </w:tcPr>
          <w:p w14:paraId="518B7BED" w14:textId="77777777" w:rsidR="005C332D" w:rsidRDefault="005C332D">
            <w:pPr>
              <w:rPr>
                <w:rFonts w:ascii="宋体"/>
              </w:rPr>
            </w:pPr>
          </w:p>
        </w:tc>
      </w:tr>
      <w:tr w:rsidR="005C332D" w14:paraId="518B7BF1" w14:textId="77777777">
        <w:trPr>
          <w:jc w:val="center"/>
        </w:trPr>
        <w:tc>
          <w:tcPr>
            <w:tcW w:w="0" w:type="auto"/>
            <w:gridSpan w:val="3"/>
            <w:shd w:val="clear" w:color="auto" w:fill="auto"/>
            <w:tcMar>
              <w:top w:w="0" w:type="dxa"/>
              <w:left w:w="20" w:type="dxa"/>
              <w:bottom w:w="0" w:type="dxa"/>
              <w:right w:w="20" w:type="dxa"/>
            </w:tcMar>
            <w:vAlign w:val="bottom"/>
          </w:tcPr>
          <w:p w14:paraId="518B7BEF" w14:textId="77777777" w:rsidR="005C332D" w:rsidRDefault="005C332D">
            <w:pPr>
              <w:rPr>
                <w:rFonts w:ascii="宋体"/>
              </w:rPr>
            </w:pPr>
          </w:p>
        </w:tc>
        <w:tc>
          <w:tcPr>
            <w:tcW w:w="0" w:type="auto"/>
            <w:gridSpan w:val="15"/>
            <w:shd w:val="clear" w:color="auto" w:fill="auto"/>
            <w:tcMar>
              <w:top w:w="40" w:type="dxa"/>
              <w:left w:w="20" w:type="dxa"/>
              <w:bottom w:w="40" w:type="dxa"/>
              <w:right w:w="20" w:type="dxa"/>
            </w:tcMar>
            <w:vAlign w:val="bottom"/>
          </w:tcPr>
          <w:p w14:paraId="518B7BF0" w14:textId="77777777" w:rsidR="005C332D" w:rsidRDefault="00B93EAE">
            <w:pPr>
              <w:jc w:val="center"/>
              <w:textAlignment w:val="bottom"/>
            </w:pPr>
            <w:r>
              <w:rPr>
                <w:rFonts w:ascii="Times New Roman" w:eastAsia="宋体" w:hAnsi="Times New Roman"/>
                <w:color w:val="000000"/>
                <w:sz w:val="18"/>
                <w:szCs w:val="18"/>
              </w:rPr>
              <w:t>PERFORMANCE BASED RESTRICTED STOCK UNITS</w:t>
            </w:r>
          </w:p>
        </w:tc>
      </w:tr>
      <w:tr w:rsidR="005C332D" w14:paraId="518B7BF8" w14:textId="77777777">
        <w:trPr>
          <w:jc w:val="center"/>
        </w:trPr>
        <w:tc>
          <w:tcPr>
            <w:tcW w:w="0" w:type="auto"/>
            <w:gridSpan w:val="3"/>
            <w:shd w:val="clear" w:color="auto" w:fill="auto"/>
            <w:tcMar>
              <w:top w:w="40" w:type="dxa"/>
              <w:left w:w="20" w:type="dxa"/>
              <w:bottom w:w="40" w:type="dxa"/>
              <w:right w:w="20" w:type="dxa"/>
            </w:tcMar>
            <w:vAlign w:val="bottom"/>
          </w:tcPr>
          <w:p w14:paraId="518B7BF2" w14:textId="77777777" w:rsidR="005C332D" w:rsidRDefault="00B93EAE">
            <w:pPr>
              <w:textAlignment w:val="bottom"/>
            </w:pPr>
            <w:r>
              <w:rPr>
                <w:rFonts w:ascii="Times New Roman" w:eastAsia="宋体" w:hAnsi="Times New Roman"/>
                <w:color w:val="000000"/>
                <w:sz w:val="18"/>
                <w:szCs w:val="18"/>
                <w:u w:val="single"/>
              </w:rPr>
              <w:t xml:space="preserve">Years </w:t>
            </w:r>
            <w:r>
              <w:rPr>
                <w:rFonts w:ascii="Times New Roman" w:eastAsia="宋体" w:hAnsi="Times New Roman"/>
                <w:color w:val="000000"/>
                <w:sz w:val="18"/>
                <w:szCs w:val="18"/>
                <w:u w:val="single"/>
              </w:rPr>
              <w:t>Ended</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BF3"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BF4"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BF5"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BF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BF7"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C02" w14:textId="77777777">
        <w:trPr>
          <w:jc w:val="center"/>
        </w:trPr>
        <w:tc>
          <w:tcPr>
            <w:tcW w:w="0" w:type="auto"/>
            <w:gridSpan w:val="3"/>
            <w:shd w:val="clear" w:color="auto" w:fill="CCEEFF"/>
            <w:tcMar>
              <w:top w:w="40" w:type="dxa"/>
              <w:left w:w="20" w:type="dxa"/>
              <w:bottom w:w="40" w:type="dxa"/>
              <w:right w:w="20" w:type="dxa"/>
            </w:tcMar>
          </w:tcPr>
          <w:p w14:paraId="518B7BF9" w14:textId="77777777" w:rsidR="005C332D" w:rsidRDefault="00B93EAE">
            <w:pPr>
              <w:textAlignment w:val="top"/>
            </w:pPr>
            <w:r>
              <w:rPr>
                <w:rFonts w:ascii="Times New Roman" w:eastAsia="宋体" w:hAnsi="Times New Roman"/>
                <w:color w:val="000000"/>
                <w:sz w:val="20"/>
                <w:szCs w:val="20"/>
              </w:rPr>
              <w:t>Number of shares granted (in millions)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BFA" w14:textId="77777777" w:rsidR="005C332D" w:rsidRDefault="00B93EAE">
            <w:pPr>
              <w:jc w:val="right"/>
              <w:textAlignment w:val="bottom"/>
            </w:pPr>
            <w:r>
              <w:rPr>
                <w:rFonts w:ascii="Times New Roman" w:eastAsia="宋体" w:hAnsi="Times New Roman"/>
                <w:b/>
                <w:bCs/>
                <w:color w:val="000000"/>
                <w:sz w:val="20"/>
                <w:szCs w:val="20"/>
              </w:rPr>
              <w:t>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BF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FC"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BFD" w14:textId="77777777" w:rsidR="005C332D" w:rsidRDefault="00B93EAE">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BF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BFF"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C00" w14:textId="77777777" w:rsidR="005C332D" w:rsidRDefault="00B93EAE">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C01" w14:textId="77777777" w:rsidR="005C332D" w:rsidRDefault="005C332D">
            <w:pPr>
              <w:jc w:val="right"/>
              <w:rPr>
                <w:rFonts w:ascii="宋体"/>
              </w:rPr>
            </w:pPr>
          </w:p>
        </w:tc>
      </w:tr>
      <w:tr w:rsidR="005C332D" w14:paraId="518B7C0F" w14:textId="77777777">
        <w:trPr>
          <w:jc w:val="center"/>
        </w:trPr>
        <w:tc>
          <w:tcPr>
            <w:tcW w:w="0" w:type="auto"/>
            <w:gridSpan w:val="3"/>
            <w:shd w:val="clear" w:color="auto" w:fill="auto"/>
            <w:tcMar>
              <w:top w:w="40" w:type="dxa"/>
              <w:left w:w="20" w:type="dxa"/>
              <w:bottom w:w="40" w:type="dxa"/>
              <w:right w:w="20" w:type="dxa"/>
            </w:tcMar>
            <w:vAlign w:val="bottom"/>
          </w:tcPr>
          <w:p w14:paraId="518B7C03" w14:textId="77777777" w:rsidR="005C332D" w:rsidRDefault="00B93EAE">
            <w:pPr>
              <w:textAlignment w:val="bottom"/>
            </w:pPr>
            <w:r>
              <w:rPr>
                <w:rFonts w:ascii="Times New Roman" w:eastAsia="宋体" w:hAnsi="Times New Roman"/>
                <w:color w:val="000000"/>
                <w:sz w:val="20"/>
                <w:szCs w:val="20"/>
              </w:rPr>
              <w:t>Grant date fair value per share</w:t>
            </w:r>
          </w:p>
        </w:tc>
        <w:tc>
          <w:tcPr>
            <w:tcW w:w="0" w:type="auto"/>
            <w:shd w:val="clear" w:color="auto" w:fill="auto"/>
            <w:tcMar>
              <w:top w:w="40" w:type="dxa"/>
              <w:left w:w="20" w:type="dxa"/>
              <w:bottom w:w="40" w:type="dxa"/>
              <w:right w:w="0" w:type="dxa"/>
            </w:tcMar>
            <w:vAlign w:val="bottom"/>
          </w:tcPr>
          <w:p w14:paraId="518B7C04"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auto"/>
            <w:tcMar>
              <w:top w:w="40" w:type="dxa"/>
              <w:left w:w="0" w:type="dxa"/>
              <w:bottom w:w="40" w:type="dxa"/>
              <w:right w:w="0" w:type="dxa"/>
            </w:tcMar>
            <w:vAlign w:val="bottom"/>
          </w:tcPr>
          <w:p w14:paraId="518B7C05" w14:textId="77777777" w:rsidR="005C332D" w:rsidRDefault="00B93EAE">
            <w:pPr>
              <w:jc w:val="right"/>
              <w:textAlignment w:val="bottom"/>
            </w:pPr>
            <w:r>
              <w:rPr>
                <w:rFonts w:ascii="Times New Roman" w:eastAsia="宋体" w:hAnsi="Times New Roman"/>
                <w:b/>
                <w:bCs/>
                <w:color w:val="000000"/>
                <w:sz w:val="20"/>
                <w:szCs w:val="20"/>
              </w:rPr>
              <w:t>59.64</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C06"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C07"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7C08"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7C09" w14:textId="77777777" w:rsidR="005C332D" w:rsidRDefault="00B93EAE">
            <w:pPr>
              <w:jc w:val="right"/>
              <w:textAlignment w:val="bottom"/>
            </w:pPr>
            <w:r>
              <w:rPr>
                <w:rFonts w:ascii="Times New Roman" w:eastAsia="宋体" w:hAnsi="Times New Roman"/>
                <w:color w:val="000000"/>
                <w:sz w:val="20"/>
                <w:szCs w:val="20"/>
              </w:rPr>
              <w:t>37.91 </w:t>
            </w:r>
          </w:p>
        </w:tc>
        <w:tc>
          <w:tcPr>
            <w:tcW w:w="0" w:type="auto"/>
            <w:shd w:val="clear" w:color="auto" w:fill="auto"/>
            <w:tcMar>
              <w:top w:w="40" w:type="dxa"/>
              <w:left w:w="0" w:type="dxa"/>
              <w:bottom w:w="40" w:type="dxa"/>
              <w:right w:w="20" w:type="dxa"/>
            </w:tcMar>
            <w:vAlign w:val="bottom"/>
          </w:tcPr>
          <w:p w14:paraId="518B7C0A"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C0B"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7C0C"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7C0D" w14:textId="77777777" w:rsidR="005C332D" w:rsidRDefault="00B93EAE">
            <w:pPr>
              <w:jc w:val="right"/>
              <w:textAlignment w:val="bottom"/>
            </w:pPr>
            <w:r>
              <w:rPr>
                <w:rFonts w:ascii="Times New Roman" w:eastAsia="宋体" w:hAnsi="Times New Roman"/>
                <w:color w:val="000000"/>
                <w:sz w:val="20"/>
                <w:szCs w:val="20"/>
              </w:rPr>
              <w:t>41.91 </w:t>
            </w:r>
          </w:p>
        </w:tc>
        <w:tc>
          <w:tcPr>
            <w:tcW w:w="0" w:type="auto"/>
            <w:shd w:val="clear" w:color="auto" w:fill="auto"/>
            <w:tcMar>
              <w:top w:w="40" w:type="dxa"/>
              <w:left w:w="0" w:type="dxa"/>
              <w:bottom w:w="40" w:type="dxa"/>
              <w:right w:w="20" w:type="dxa"/>
            </w:tcMar>
            <w:vAlign w:val="bottom"/>
          </w:tcPr>
          <w:p w14:paraId="518B7C0E" w14:textId="77777777" w:rsidR="005C332D" w:rsidRDefault="005C332D">
            <w:pPr>
              <w:jc w:val="right"/>
              <w:rPr>
                <w:rFonts w:ascii="宋体"/>
              </w:rPr>
            </w:pPr>
          </w:p>
        </w:tc>
      </w:tr>
      <w:tr w:rsidR="005C332D" w14:paraId="518B7C16" w14:textId="77777777">
        <w:trPr>
          <w:jc w:val="center"/>
        </w:trPr>
        <w:tc>
          <w:tcPr>
            <w:tcW w:w="0" w:type="auto"/>
            <w:gridSpan w:val="3"/>
            <w:shd w:val="clear" w:color="auto" w:fill="CCEEFF"/>
            <w:tcMar>
              <w:top w:w="40" w:type="dxa"/>
              <w:left w:w="20" w:type="dxa"/>
              <w:bottom w:w="40" w:type="dxa"/>
              <w:right w:w="20" w:type="dxa"/>
            </w:tcMar>
          </w:tcPr>
          <w:p w14:paraId="518B7C10" w14:textId="77777777" w:rsidR="005C332D" w:rsidRDefault="00B93EAE">
            <w:pPr>
              <w:textAlignment w:val="top"/>
            </w:pPr>
            <w:r>
              <w:rPr>
                <w:rFonts w:ascii="Times New Roman" w:eastAsia="宋体" w:hAnsi="Times New Roman"/>
                <w:color w:val="000000"/>
                <w:sz w:val="20"/>
                <w:szCs w:val="20"/>
              </w:rPr>
              <w:t>Weighted-average assumptions/inputs:</w:t>
            </w:r>
          </w:p>
        </w:tc>
        <w:tc>
          <w:tcPr>
            <w:tcW w:w="0" w:type="auto"/>
            <w:gridSpan w:val="3"/>
            <w:shd w:val="clear" w:color="auto" w:fill="CCEEFF"/>
            <w:tcMar>
              <w:top w:w="0" w:type="dxa"/>
              <w:left w:w="20" w:type="dxa"/>
              <w:bottom w:w="0" w:type="dxa"/>
              <w:right w:w="20" w:type="dxa"/>
            </w:tcMar>
            <w:vAlign w:val="bottom"/>
          </w:tcPr>
          <w:p w14:paraId="518B7C1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C1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C1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C1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C15" w14:textId="77777777" w:rsidR="005C332D" w:rsidRDefault="005C332D">
            <w:pPr>
              <w:rPr>
                <w:rFonts w:ascii="宋体"/>
              </w:rPr>
            </w:pPr>
          </w:p>
        </w:tc>
      </w:tr>
      <w:tr w:rsidR="005C332D" w14:paraId="518B7C20" w14:textId="77777777">
        <w:trPr>
          <w:jc w:val="center"/>
        </w:trPr>
        <w:tc>
          <w:tcPr>
            <w:tcW w:w="0" w:type="auto"/>
            <w:gridSpan w:val="3"/>
            <w:shd w:val="clear" w:color="auto" w:fill="auto"/>
            <w:tcMar>
              <w:top w:w="40" w:type="dxa"/>
              <w:left w:w="20" w:type="dxa"/>
              <w:bottom w:w="40" w:type="dxa"/>
              <w:right w:w="20" w:type="dxa"/>
            </w:tcMar>
          </w:tcPr>
          <w:p w14:paraId="518B7C17" w14:textId="77777777" w:rsidR="005C332D" w:rsidRDefault="00B93EAE">
            <w:pPr>
              <w:textAlignment w:val="top"/>
            </w:pPr>
            <w:r>
              <w:rPr>
                <w:rFonts w:ascii="Times New Roman" w:eastAsia="宋体" w:hAnsi="Times New Roman"/>
                <w:color w:val="000000"/>
                <w:sz w:val="20"/>
                <w:szCs w:val="20"/>
              </w:rPr>
              <w:t>   Expected dividend yield</w:t>
            </w:r>
          </w:p>
        </w:tc>
        <w:tc>
          <w:tcPr>
            <w:tcW w:w="0" w:type="auto"/>
            <w:gridSpan w:val="2"/>
            <w:shd w:val="clear" w:color="auto" w:fill="auto"/>
            <w:tcMar>
              <w:top w:w="40" w:type="dxa"/>
              <w:left w:w="20" w:type="dxa"/>
              <w:bottom w:w="40" w:type="dxa"/>
              <w:right w:w="0" w:type="dxa"/>
            </w:tcMar>
            <w:vAlign w:val="bottom"/>
          </w:tcPr>
          <w:p w14:paraId="518B7C18" w14:textId="77777777" w:rsidR="005C332D" w:rsidRDefault="00B93EAE">
            <w:pPr>
              <w:jc w:val="right"/>
              <w:textAlignment w:val="bottom"/>
            </w:pPr>
            <w:r>
              <w:rPr>
                <w:rFonts w:ascii="Times New Roman" w:eastAsia="宋体" w:hAnsi="Times New Roman"/>
                <w:b/>
                <w:bCs/>
                <w:color w:val="000000"/>
                <w:sz w:val="20"/>
                <w:szCs w:val="20"/>
              </w:rPr>
              <w:t>0.4</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C19"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auto"/>
            <w:tcMar>
              <w:top w:w="0" w:type="dxa"/>
              <w:left w:w="20" w:type="dxa"/>
              <w:bottom w:w="0" w:type="dxa"/>
              <w:right w:w="20" w:type="dxa"/>
            </w:tcMar>
            <w:vAlign w:val="bottom"/>
          </w:tcPr>
          <w:p w14:paraId="518B7C1A"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C1B" w14:textId="77777777" w:rsidR="005C332D" w:rsidRDefault="00B93EAE">
            <w:pPr>
              <w:jc w:val="right"/>
              <w:textAlignment w:val="bottom"/>
            </w:pPr>
            <w:r>
              <w:rPr>
                <w:rFonts w:ascii="Times New Roman" w:eastAsia="宋体" w:hAnsi="Times New Roman"/>
                <w:color w:val="000000"/>
                <w:sz w:val="20"/>
                <w:szCs w:val="20"/>
              </w:rPr>
              <w:t>3.6 </w:t>
            </w:r>
          </w:p>
        </w:tc>
        <w:tc>
          <w:tcPr>
            <w:tcW w:w="0" w:type="auto"/>
            <w:shd w:val="clear" w:color="auto" w:fill="auto"/>
            <w:tcMar>
              <w:top w:w="40" w:type="dxa"/>
              <w:left w:w="0" w:type="dxa"/>
              <w:bottom w:w="40" w:type="dxa"/>
              <w:right w:w="20" w:type="dxa"/>
            </w:tcMar>
            <w:vAlign w:val="bottom"/>
          </w:tcPr>
          <w:p w14:paraId="518B7C1C"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518B7C1D"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C1E" w14:textId="77777777" w:rsidR="005C332D" w:rsidRDefault="00B93EAE">
            <w:pPr>
              <w:jc w:val="right"/>
              <w:textAlignment w:val="bottom"/>
            </w:pPr>
            <w:r>
              <w:rPr>
                <w:rFonts w:ascii="Times New Roman" w:eastAsia="宋体" w:hAnsi="Times New Roman"/>
                <w:color w:val="000000"/>
                <w:sz w:val="20"/>
                <w:szCs w:val="20"/>
              </w:rPr>
              <w:t>2.8 </w:t>
            </w:r>
          </w:p>
        </w:tc>
        <w:tc>
          <w:tcPr>
            <w:tcW w:w="0" w:type="auto"/>
            <w:shd w:val="clear" w:color="auto" w:fill="auto"/>
            <w:tcMar>
              <w:top w:w="40" w:type="dxa"/>
              <w:left w:w="0" w:type="dxa"/>
              <w:bottom w:w="40" w:type="dxa"/>
              <w:right w:w="20" w:type="dxa"/>
            </w:tcMar>
            <w:vAlign w:val="bottom"/>
          </w:tcPr>
          <w:p w14:paraId="518B7C1F"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7C27" w14:textId="77777777">
        <w:trPr>
          <w:jc w:val="center"/>
        </w:trPr>
        <w:tc>
          <w:tcPr>
            <w:tcW w:w="0" w:type="auto"/>
            <w:gridSpan w:val="3"/>
            <w:shd w:val="clear" w:color="auto" w:fill="CCEEFF"/>
            <w:tcMar>
              <w:top w:w="40" w:type="dxa"/>
              <w:left w:w="20" w:type="dxa"/>
              <w:bottom w:w="40" w:type="dxa"/>
              <w:right w:w="20" w:type="dxa"/>
            </w:tcMar>
          </w:tcPr>
          <w:p w14:paraId="518B7C21" w14:textId="77777777" w:rsidR="005C332D" w:rsidRDefault="00B93EAE">
            <w:pPr>
              <w:textAlignment w:val="top"/>
            </w:pPr>
            <w:r>
              <w:rPr>
                <w:rFonts w:ascii="Times New Roman" w:eastAsia="宋体" w:hAnsi="Times New Roman"/>
                <w:color w:val="000000"/>
                <w:sz w:val="20"/>
                <w:szCs w:val="20"/>
              </w:rPr>
              <w:t>   Range of risk-free interest rates</w:t>
            </w:r>
          </w:p>
        </w:tc>
        <w:tc>
          <w:tcPr>
            <w:tcW w:w="0" w:type="auto"/>
            <w:gridSpan w:val="3"/>
            <w:shd w:val="clear" w:color="auto" w:fill="CCEEFF"/>
            <w:tcMar>
              <w:top w:w="40" w:type="dxa"/>
              <w:left w:w="20" w:type="dxa"/>
              <w:bottom w:w="40" w:type="dxa"/>
              <w:right w:w="20" w:type="dxa"/>
            </w:tcMar>
            <w:vAlign w:val="bottom"/>
          </w:tcPr>
          <w:p w14:paraId="518B7C22" w14:textId="77777777" w:rsidR="005C332D" w:rsidRDefault="00B93EAE">
            <w:pPr>
              <w:jc w:val="right"/>
              <w:textAlignment w:val="bottom"/>
            </w:pPr>
            <w:r>
              <w:rPr>
                <w:rFonts w:ascii="Times New Roman" w:eastAsia="宋体" w:hAnsi="Times New Roman"/>
                <w:b/>
                <w:bCs/>
                <w:color w:val="000000"/>
                <w:sz w:val="20"/>
                <w:szCs w:val="20"/>
              </w:rPr>
              <w:t xml:space="preserve">0.0% </w:t>
            </w:r>
            <w:r>
              <w:rPr>
                <w:rFonts w:ascii="Arial" w:eastAsia="宋体" w:hAnsi="Arial" w:cs="Arial"/>
                <w:b/>
                <w:bCs/>
                <w:color w:val="000000"/>
                <w:sz w:val="20"/>
                <w:szCs w:val="20"/>
              </w:rPr>
              <w:t xml:space="preserve">– </w:t>
            </w:r>
            <w:r>
              <w:rPr>
                <w:rFonts w:ascii="Times New Roman" w:eastAsia="宋体" w:hAnsi="Times New Roman"/>
                <w:b/>
                <w:bCs/>
                <w:color w:val="000000"/>
                <w:sz w:val="20"/>
                <w:szCs w:val="20"/>
              </w:rPr>
              <w:t>0.7%</w:t>
            </w:r>
          </w:p>
        </w:tc>
        <w:tc>
          <w:tcPr>
            <w:tcW w:w="0" w:type="auto"/>
            <w:gridSpan w:val="3"/>
            <w:shd w:val="clear" w:color="auto" w:fill="CCEEFF"/>
            <w:tcMar>
              <w:top w:w="0" w:type="dxa"/>
              <w:left w:w="20" w:type="dxa"/>
              <w:bottom w:w="0" w:type="dxa"/>
              <w:right w:w="20" w:type="dxa"/>
            </w:tcMar>
            <w:vAlign w:val="bottom"/>
          </w:tcPr>
          <w:p w14:paraId="518B7C23"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C24" w14:textId="77777777" w:rsidR="005C332D" w:rsidRDefault="00B93EAE">
            <w:pPr>
              <w:jc w:val="right"/>
              <w:textAlignment w:val="bottom"/>
            </w:pPr>
            <w:r>
              <w:rPr>
                <w:rFonts w:ascii="Times New Roman" w:eastAsia="宋体" w:hAnsi="Times New Roman"/>
                <w:color w:val="000000"/>
                <w:sz w:val="20"/>
                <w:szCs w:val="20"/>
              </w:rPr>
              <w:t xml:space="preserve">0.1% </w:t>
            </w:r>
            <w:r>
              <w:rPr>
                <w:rFonts w:ascii="Arial" w:eastAsia="宋体" w:hAnsi="Arial" w:cs="Arial"/>
                <w:color w:val="000000"/>
                <w:sz w:val="20"/>
                <w:szCs w:val="20"/>
              </w:rPr>
              <w:t>–</w:t>
            </w:r>
            <w:r>
              <w:rPr>
                <w:rFonts w:ascii="Times New Roman" w:eastAsia="宋体" w:hAnsi="Times New Roman"/>
                <w:color w:val="000000"/>
                <w:sz w:val="20"/>
                <w:szCs w:val="20"/>
              </w:rPr>
              <w:t xml:space="preserve"> 0.4%</w:t>
            </w:r>
          </w:p>
        </w:tc>
        <w:tc>
          <w:tcPr>
            <w:tcW w:w="0" w:type="auto"/>
            <w:gridSpan w:val="3"/>
            <w:shd w:val="clear" w:color="auto" w:fill="CCEEFF"/>
            <w:tcMar>
              <w:top w:w="0" w:type="dxa"/>
              <w:left w:w="20" w:type="dxa"/>
              <w:bottom w:w="0" w:type="dxa"/>
              <w:right w:w="20" w:type="dxa"/>
            </w:tcMar>
            <w:vAlign w:val="bottom"/>
          </w:tcPr>
          <w:p w14:paraId="518B7C2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C26" w14:textId="77777777" w:rsidR="005C332D" w:rsidRDefault="00B93EAE">
            <w:pPr>
              <w:jc w:val="right"/>
              <w:textAlignment w:val="bottom"/>
            </w:pPr>
            <w:r>
              <w:rPr>
                <w:rFonts w:ascii="Times New Roman" w:eastAsia="宋体" w:hAnsi="Times New Roman"/>
                <w:color w:val="000000"/>
                <w:sz w:val="20"/>
                <w:szCs w:val="20"/>
              </w:rPr>
              <w:t xml:space="preserve">1.7% </w:t>
            </w:r>
            <w:r>
              <w:rPr>
                <w:rFonts w:ascii="Arial" w:eastAsia="宋体" w:hAnsi="Arial" w:cs="Arial"/>
                <w:color w:val="000000"/>
                <w:sz w:val="20"/>
                <w:szCs w:val="20"/>
              </w:rPr>
              <w:t>–</w:t>
            </w:r>
            <w:r>
              <w:rPr>
                <w:rFonts w:ascii="Times New Roman" w:eastAsia="宋体" w:hAnsi="Times New Roman"/>
                <w:color w:val="000000"/>
                <w:sz w:val="20"/>
                <w:szCs w:val="20"/>
              </w:rPr>
              <w:t xml:space="preserve"> 2.0%</w:t>
            </w:r>
          </w:p>
        </w:tc>
      </w:tr>
      <w:tr w:rsidR="005C332D" w14:paraId="518B7C2E" w14:textId="77777777">
        <w:trPr>
          <w:jc w:val="center"/>
          <w:hidden/>
        </w:trPr>
        <w:tc>
          <w:tcPr>
            <w:tcW w:w="0" w:type="auto"/>
            <w:gridSpan w:val="3"/>
            <w:shd w:val="clear" w:color="auto" w:fill="auto"/>
            <w:vAlign w:val="bottom"/>
          </w:tcPr>
          <w:p w14:paraId="518B7C28" w14:textId="77777777" w:rsidR="005C332D" w:rsidRDefault="005C332D">
            <w:pPr>
              <w:rPr>
                <w:rFonts w:ascii="宋体"/>
                <w:vanish/>
              </w:rPr>
            </w:pPr>
          </w:p>
        </w:tc>
        <w:tc>
          <w:tcPr>
            <w:tcW w:w="0" w:type="auto"/>
            <w:gridSpan w:val="3"/>
            <w:shd w:val="clear" w:color="auto" w:fill="auto"/>
            <w:vAlign w:val="bottom"/>
          </w:tcPr>
          <w:p w14:paraId="518B7C29" w14:textId="77777777" w:rsidR="005C332D" w:rsidRDefault="005C332D">
            <w:pPr>
              <w:rPr>
                <w:rFonts w:ascii="宋体"/>
                <w:vanish/>
              </w:rPr>
            </w:pPr>
          </w:p>
        </w:tc>
        <w:tc>
          <w:tcPr>
            <w:tcW w:w="0" w:type="auto"/>
            <w:gridSpan w:val="3"/>
            <w:shd w:val="clear" w:color="auto" w:fill="auto"/>
            <w:vAlign w:val="bottom"/>
          </w:tcPr>
          <w:p w14:paraId="518B7C2A" w14:textId="77777777" w:rsidR="005C332D" w:rsidRDefault="005C332D">
            <w:pPr>
              <w:rPr>
                <w:rFonts w:ascii="宋体"/>
                <w:vanish/>
              </w:rPr>
            </w:pPr>
          </w:p>
        </w:tc>
        <w:tc>
          <w:tcPr>
            <w:tcW w:w="0" w:type="auto"/>
            <w:gridSpan w:val="3"/>
            <w:shd w:val="clear" w:color="auto" w:fill="auto"/>
            <w:vAlign w:val="bottom"/>
          </w:tcPr>
          <w:p w14:paraId="518B7C2B" w14:textId="77777777" w:rsidR="005C332D" w:rsidRDefault="005C332D">
            <w:pPr>
              <w:rPr>
                <w:rFonts w:ascii="宋体"/>
                <w:vanish/>
              </w:rPr>
            </w:pPr>
          </w:p>
        </w:tc>
        <w:tc>
          <w:tcPr>
            <w:tcW w:w="0" w:type="auto"/>
            <w:gridSpan w:val="3"/>
            <w:shd w:val="clear" w:color="auto" w:fill="auto"/>
            <w:vAlign w:val="bottom"/>
          </w:tcPr>
          <w:p w14:paraId="518B7C2C" w14:textId="77777777" w:rsidR="005C332D" w:rsidRDefault="005C332D">
            <w:pPr>
              <w:rPr>
                <w:rFonts w:ascii="宋体"/>
                <w:vanish/>
              </w:rPr>
            </w:pPr>
          </w:p>
        </w:tc>
        <w:tc>
          <w:tcPr>
            <w:tcW w:w="0" w:type="auto"/>
            <w:gridSpan w:val="3"/>
            <w:shd w:val="clear" w:color="auto" w:fill="auto"/>
            <w:vAlign w:val="bottom"/>
          </w:tcPr>
          <w:p w14:paraId="518B7C2D" w14:textId="77777777" w:rsidR="005C332D" w:rsidRDefault="005C332D">
            <w:pPr>
              <w:rPr>
                <w:rFonts w:ascii="宋体"/>
                <w:vanish/>
              </w:rPr>
            </w:pPr>
          </w:p>
        </w:tc>
      </w:tr>
    </w:tbl>
    <w:p w14:paraId="518B7C2F" w14:textId="77777777" w:rsidR="005C332D" w:rsidRDefault="00B93EAE">
      <w:pPr>
        <w:spacing w:before="120"/>
        <w:jc w:val="both"/>
      </w:pPr>
      <w:r>
        <w:rPr>
          <w:rFonts w:ascii="Times New Roman" w:eastAsia="宋体" w:hAnsi="Times New Roman"/>
          <w:color w:val="000000"/>
          <w:sz w:val="20"/>
          <w:szCs w:val="20"/>
        </w:rPr>
        <w:t>The PRSUs granted during the fiscal years presented are contingent on the achievement of our financial performance metrics, our comparative market-based returns, or the achievement of financial and non-financial operating goals. For the awards based on fin</w:t>
      </w:r>
      <w:r>
        <w:rPr>
          <w:rFonts w:ascii="Times New Roman" w:eastAsia="宋体" w:hAnsi="Times New Roman"/>
          <w:color w:val="000000"/>
          <w:sz w:val="20"/>
          <w:szCs w:val="20"/>
        </w:rPr>
        <w:t>ancial performance metrics or comparative market-based returns, generally 50% of the PRSUs are earned based on the average of annual operating cash flow and earnings per share goals established at the beginning of each fiscal year over a three-year perform</w:t>
      </w:r>
      <w:r>
        <w:rPr>
          <w:rFonts w:ascii="Times New Roman" w:eastAsia="宋体" w:hAnsi="Times New Roman"/>
          <w:color w:val="000000"/>
          <w:sz w:val="20"/>
          <w:szCs w:val="20"/>
        </w:rPr>
        <w:t>ance period. Generally, the remaining 50% of the PRSUs are earned based on our TSR measured against the benchmark TSR of a peer group over the same period. Each PRSU recipient could vest in 0% to 150% of the target shares granted contingent on the achievem</w:t>
      </w:r>
      <w:r>
        <w:rPr>
          <w:rFonts w:ascii="Times New Roman" w:eastAsia="宋体" w:hAnsi="Times New Roman"/>
          <w:color w:val="000000"/>
          <w:sz w:val="20"/>
          <w:szCs w:val="20"/>
        </w:rPr>
        <w:t xml:space="preserve">ent of our financial performance metrics or our comparative market-based returns, and 0% to 100% of the target shares granted contingent on the achievement of non-financial operating goals. </w:t>
      </w:r>
    </w:p>
    <w:p w14:paraId="518B7C30" w14:textId="77777777" w:rsidR="005C332D" w:rsidRDefault="00B93EAE">
      <w:pPr>
        <w:jc w:val="center"/>
      </w:pPr>
      <w:r>
        <w:rPr>
          <w:rFonts w:ascii="Times New Roman" w:eastAsia="宋体" w:hAnsi="Times New Roman"/>
          <w:color w:val="000000"/>
          <w:sz w:val="20"/>
          <w:szCs w:val="20"/>
        </w:rPr>
        <w:t>95</w:t>
      </w:r>
    </w:p>
    <w:p w14:paraId="518B7C31" w14:textId="77777777" w:rsidR="005C332D" w:rsidRDefault="00B93EAE">
      <w:r>
        <w:pict w14:anchorId="518B8774">
          <v:rect id="_x0000_i1121" style="width:415.3pt;height:1.5pt" o:hralign="center" o:hrstd="t" o:hr="t" fillcolor="#a0a0a0" stroked="f"/>
        </w:pict>
      </w:r>
    </w:p>
    <w:p w14:paraId="518B7C32" w14:textId="77777777" w:rsidR="005C332D" w:rsidRDefault="005C332D"/>
    <w:p w14:paraId="518B7C33" w14:textId="77777777" w:rsidR="005C332D" w:rsidRDefault="00B93EAE">
      <w:pPr>
        <w:spacing w:before="120"/>
        <w:jc w:val="both"/>
      </w:pPr>
      <w:r>
        <w:rPr>
          <w:rFonts w:ascii="Times New Roman" w:eastAsia="宋体" w:hAnsi="Times New Roman"/>
          <w:color w:val="000000"/>
          <w:sz w:val="20"/>
          <w:szCs w:val="20"/>
        </w:rPr>
        <w:t>The assumptions for the valuation of employee stock purchas</w:t>
      </w:r>
      <w:r>
        <w:rPr>
          <w:rFonts w:ascii="Times New Roman" w:eastAsia="宋体" w:hAnsi="Times New Roman"/>
          <w:color w:val="000000"/>
          <w:sz w:val="20"/>
          <w:szCs w:val="20"/>
        </w:rPr>
        <w:t>e rights are summarized as follows:</w:t>
      </w:r>
    </w:p>
    <w:tbl>
      <w:tblPr>
        <w:tblW w:w="4985" w:type="pct"/>
        <w:tblCellMar>
          <w:top w:w="15" w:type="dxa"/>
          <w:left w:w="15" w:type="dxa"/>
          <w:bottom w:w="15" w:type="dxa"/>
          <w:right w:w="15" w:type="dxa"/>
        </w:tblCellMar>
        <w:tblLook w:val="04A0" w:firstRow="1" w:lastRow="0" w:firstColumn="1" w:lastColumn="0" w:noHBand="0" w:noVBand="1"/>
      </w:tblPr>
      <w:tblGrid>
        <w:gridCol w:w="40"/>
        <w:gridCol w:w="4087"/>
        <w:gridCol w:w="38"/>
        <w:gridCol w:w="121"/>
        <w:gridCol w:w="990"/>
        <w:gridCol w:w="221"/>
        <w:gridCol w:w="37"/>
        <w:gridCol w:w="38"/>
        <w:gridCol w:w="37"/>
        <w:gridCol w:w="121"/>
        <w:gridCol w:w="989"/>
        <w:gridCol w:w="187"/>
        <w:gridCol w:w="36"/>
        <w:gridCol w:w="37"/>
        <w:gridCol w:w="36"/>
        <w:gridCol w:w="120"/>
        <w:gridCol w:w="989"/>
        <w:gridCol w:w="187"/>
      </w:tblGrid>
      <w:tr w:rsidR="005C332D" w14:paraId="518B7C46" w14:textId="77777777">
        <w:tc>
          <w:tcPr>
            <w:tcW w:w="50" w:type="pct"/>
            <w:shd w:val="clear" w:color="auto" w:fill="auto"/>
            <w:vAlign w:val="bottom"/>
          </w:tcPr>
          <w:p w14:paraId="518B7C34" w14:textId="77777777" w:rsidR="005C332D" w:rsidRDefault="005C332D">
            <w:pPr>
              <w:rPr>
                <w:rFonts w:ascii="宋体"/>
              </w:rPr>
            </w:pPr>
          </w:p>
        </w:tc>
        <w:tc>
          <w:tcPr>
            <w:tcW w:w="2672" w:type="pct"/>
            <w:shd w:val="clear" w:color="auto" w:fill="auto"/>
            <w:vAlign w:val="bottom"/>
          </w:tcPr>
          <w:p w14:paraId="518B7C35" w14:textId="77777777" w:rsidR="005C332D" w:rsidRDefault="005C332D">
            <w:pPr>
              <w:rPr>
                <w:rFonts w:ascii="宋体"/>
              </w:rPr>
            </w:pPr>
          </w:p>
        </w:tc>
        <w:tc>
          <w:tcPr>
            <w:tcW w:w="5" w:type="pct"/>
            <w:shd w:val="clear" w:color="auto" w:fill="auto"/>
            <w:vAlign w:val="bottom"/>
          </w:tcPr>
          <w:p w14:paraId="518B7C36" w14:textId="77777777" w:rsidR="005C332D" w:rsidRDefault="005C332D">
            <w:pPr>
              <w:rPr>
                <w:rFonts w:ascii="宋体"/>
              </w:rPr>
            </w:pPr>
          </w:p>
        </w:tc>
        <w:tc>
          <w:tcPr>
            <w:tcW w:w="50" w:type="pct"/>
            <w:shd w:val="clear" w:color="auto" w:fill="auto"/>
            <w:vAlign w:val="bottom"/>
          </w:tcPr>
          <w:p w14:paraId="518B7C37" w14:textId="77777777" w:rsidR="005C332D" w:rsidRDefault="005C332D">
            <w:pPr>
              <w:rPr>
                <w:rFonts w:ascii="宋体"/>
              </w:rPr>
            </w:pPr>
          </w:p>
        </w:tc>
        <w:tc>
          <w:tcPr>
            <w:tcW w:w="678" w:type="pct"/>
            <w:shd w:val="clear" w:color="auto" w:fill="auto"/>
            <w:vAlign w:val="bottom"/>
          </w:tcPr>
          <w:p w14:paraId="518B7C38" w14:textId="77777777" w:rsidR="005C332D" w:rsidRDefault="005C332D">
            <w:pPr>
              <w:rPr>
                <w:rFonts w:ascii="宋体"/>
              </w:rPr>
            </w:pPr>
          </w:p>
        </w:tc>
        <w:tc>
          <w:tcPr>
            <w:tcW w:w="5" w:type="pct"/>
            <w:shd w:val="clear" w:color="auto" w:fill="auto"/>
            <w:vAlign w:val="bottom"/>
          </w:tcPr>
          <w:p w14:paraId="518B7C39" w14:textId="77777777" w:rsidR="005C332D" w:rsidRDefault="005C332D">
            <w:pPr>
              <w:rPr>
                <w:rFonts w:ascii="宋体"/>
              </w:rPr>
            </w:pPr>
          </w:p>
        </w:tc>
        <w:tc>
          <w:tcPr>
            <w:tcW w:w="5" w:type="pct"/>
            <w:shd w:val="clear" w:color="auto" w:fill="auto"/>
            <w:vAlign w:val="bottom"/>
          </w:tcPr>
          <w:p w14:paraId="518B7C3A" w14:textId="77777777" w:rsidR="005C332D" w:rsidRDefault="005C332D">
            <w:pPr>
              <w:rPr>
                <w:rFonts w:ascii="宋体"/>
              </w:rPr>
            </w:pPr>
          </w:p>
        </w:tc>
        <w:tc>
          <w:tcPr>
            <w:tcW w:w="26" w:type="pct"/>
            <w:shd w:val="clear" w:color="auto" w:fill="auto"/>
            <w:vAlign w:val="bottom"/>
          </w:tcPr>
          <w:p w14:paraId="518B7C3B" w14:textId="77777777" w:rsidR="005C332D" w:rsidRDefault="005C332D">
            <w:pPr>
              <w:rPr>
                <w:rFonts w:ascii="宋体"/>
              </w:rPr>
            </w:pPr>
          </w:p>
        </w:tc>
        <w:tc>
          <w:tcPr>
            <w:tcW w:w="5" w:type="pct"/>
            <w:shd w:val="clear" w:color="auto" w:fill="auto"/>
            <w:vAlign w:val="bottom"/>
          </w:tcPr>
          <w:p w14:paraId="518B7C3C" w14:textId="77777777" w:rsidR="005C332D" w:rsidRDefault="005C332D">
            <w:pPr>
              <w:rPr>
                <w:rFonts w:ascii="宋体"/>
              </w:rPr>
            </w:pPr>
          </w:p>
        </w:tc>
        <w:tc>
          <w:tcPr>
            <w:tcW w:w="50" w:type="pct"/>
            <w:shd w:val="clear" w:color="auto" w:fill="auto"/>
            <w:vAlign w:val="bottom"/>
          </w:tcPr>
          <w:p w14:paraId="518B7C3D" w14:textId="77777777" w:rsidR="005C332D" w:rsidRDefault="005C332D">
            <w:pPr>
              <w:rPr>
                <w:rFonts w:ascii="宋体"/>
              </w:rPr>
            </w:pPr>
          </w:p>
        </w:tc>
        <w:tc>
          <w:tcPr>
            <w:tcW w:w="678" w:type="pct"/>
            <w:shd w:val="clear" w:color="auto" w:fill="auto"/>
            <w:vAlign w:val="bottom"/>
          </w:tcPr>
          <w:p w14:paraId="518B7C3E" w14:textId="77777777" w:rsidR="005C332D" w:rsidRDefault="005C332D">
            <w:pPr>
              <w:rPr>
                <w:rFonts w:ascii="宋体"/>
              </w:rPr>
            </w:pPr>
          </w:p>
        </w:tc>
        <w:tc>
          <w:tcPr>
            <w:tcW w:w="5" w:type="pct"/>
            <w:shd w:val="clear" w:color="auto" w:fill="auto"/>
            <w:vAlign w:val="bottom"/>
          </w:tcPr>
          <w:p w14:paraId="518B7C3F" w14:textId="77777777" w:rsidR="005C332D" w:rsidRDefault="005C332D">
            <w:pPr>
              <w:rPr>
                <w:rFonts w:ascii="宋体"/>
              </w:rPr>
            </w:pPr>
          </w:p>
        </w:tc>
        <w:tc>
          <w:tcPr>
            <w:tcW w:w="5" w:type="pct"/>
            <w:shd w:val="clear" w:color="auto" w:fill="auto"/>
            <w:vAlign w:val="bottom"/>
          </w:tcPr>
          <w:p w14:paraId="518B7C40" w14:textId="77777777" w:rsidR="005C332D" w:rsidRDefault="005C332D">
            <w:pPr>
              <w:rPr>
                <w:rFonts w:ascii="宋体"/>
              </w:rPr>
            </w:pPr>
          </w:p>
        </w:tc>
        <w:tc>
          <w:tcPr>
            <w:tcW w:w="26" w:type="pct"/>
            <w:shd w:val="clear" w:color="auto" w:fill="auto"/>
            <w:vAlign w:val="bottom"/>
          </w:tcPr>
          <w:p w14:paraId="518B7C41" w14:textId="77777777" w:rsidR="005C332D" w:rsidRDefault="005C332D">
            <w:pPr>
              <w:rPr>
                <w:rFonts w:ascii="宋体"/>
              </w:rPr>
            </w:pPr>
          </w:p>
        </w:tc>
        <w:tc>
          <w:tcPr>
            <w:tcW w:w="5" w:type="pct"/>
            <w:shd w:val="clear" w:color="auto" w:fill="auto"/>
            <w:vAlign w:val="bottom"/>
          </w:tcPr>
          <w:p w14:paraId="518B7C42" w14:textId="77777777" w:rsidR="005C332D" w:rsidRDefault="005C332D">
            <w:pPr>
              <w:rPr>
                <w:rFonts w:ascii="宋体"/>
              </w:rPr>
            </w:pPr>
          </w:p>
        </w:tc>
        <w:tc>
          <w:tcPr>
            <w:tcW w:w="50" w:type="pct"/>
            <w:shd w:val="clear" w:color="auto" w:fill="auto"/>
            <w:vAlign w:val="bottom"/>
          </w:tcPr>
          <w:p w14:paraId="518B7C43" w14:textId="77777777" w:rsidR="005C332D" w:rsidRDefault="005C332D">
            <w:pPr>
              <w:rPr>
                <w:rFonts w:ascii="宋体"/>
              </w:rPr>
            </w:pPr>
          </w:p>
        </w:tc>
        <w:tc>
          <w:tcPr>
            <w:tcW w:w="678" w:type="pct"/>
            <w:shd w:val="clear" w:color="auto" w:fill="auto"/>
            <w:vAlign w:val="bottom"/>
          </w:tcPr>
          <w:p w14:paraId="518B7C44" w14:textId="77777777" w:rsidR="005C332D" w:rsidRDefault="005C332D">
            <w:pPr>
              <w:rPr>
                <w:rFonts w:ascii="宋体"/>
              </w:rPr>
            </w:pPr>
          </w:p>
        </w:tc>
        <w:tc>
          <w:tcPr>
            <w:tcW w:w="5" w:type="pct"/>
            <w:shd w:val="clear" w:color="auto" w:fill="auto"/>
            <w:vAlign w:val="bottom"/>
          </w:tcPr>
          <w:p w14:paraId="518B7C45" w14:textId="77777777" w:rsidR="005C332D" w:rsidRDefault="005C332D">
            <w:pPr>
              <w:rPr>
                <w:rFonts w:ascii="宋体"/>
              </w:rPr>
            </w:pPr>
          </w:p>
        </w:tc>
      </w:tr>
      <w:tr w:rsidR="005C332D" w14:paraId="518B7C49" w14:textId="77777777">
        <w:tc>
          <w:tcPr>
            <w:tcW w:w="0" w:type="auto"/>
            <w:gridSpan w:val="3"/>
            <w:shd w:val="clear" w:color="auto" w:fill="auto"/>
            <w:tcMar>
              <w:top w:w="40" w:type="dxa"/>
              <w:left w:w="20" w:type="dxa"/>
              <w:bottom w:w="40" w:type="dxa"/>
              <w:right w:w="20" w:type="dxa"/>
            </w:tcMar>
            <w:vAlign w:val="bottom"/>
          </w:tcPr>
          <w:p w14:paraId="518B7C47" w14:textId="77777777" w:rsidR="005C332D" w:rsidRDefault="00B93EAE">
            <w:pPr>
              <w:textAlignment w:val="bottom"/>
            </w:pPr>
            <w:r>
              <w:rPr>
                <w:rFonts w:ascii="Times New Roman" w:eastAsia="宋体" w:hAnsi="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14:paraId="518B7C48" w14:textId="77777777" w:rsidR="005C332D" w:rsidRDefault="00B93EAE">
            <w:pPr>
              <w:jc w:val="center"/>
              <w:textAlignment w:val="bottom"/>
            </w:pPr>
            <w:r>
              <w:rPr>
                <w:rFonts w:ascii="Times New Roman" w:eastAsia="宋体" w:hAnsi="Times New Roman"/>
                <w:color w:val="000000"/>
                <w:sz w:val="18"/>
                <w:szCs w:val="18"/>
              </w:rPr>
              <w:t>EMPLOYEE STOCK PURCHASE RIGHTS</w:t>
            </w:r>
          </w:p>
        </w:tc>
      </w:tr>
      <w:tr w:rsidR="005C332D" w14:paraId="518B7C50" w14:textId="77777777">
        <w:tc>
          <w:tcPr>
            <w:tcW w:w="0" w:type="auto"/>
            <w:gridSpan w:val="3"/>
            <w:shd w:val="clear" w:color="auto" w:fill="auto"/>
            <w:tcMar>
              <w:top w:w="40" w:type="dxa"/>
              <w:left w:w="20" w:type="dxa"/>
              <w:bottom w:w="40" w:type="dxa"/>
              <w:right w:w="20" w:type="dxa"/>
            </w:tcMar>
            <w:vAlign w:val="bottom"/>
          </w:tcPr>
          <w:p w14:paraId="518B7C4A" w14:textId="77777777" w:rsidR="005C332D" w:rsidRDefault="00B93EAE">
            <w:pPr>
              <w:textAlignment w:val="bottom"/>
            </w:pPr>
            <w:r>
              <w:rPr>
                <w:rFonts w:ascii="Times New Roman" w:eastAsia="宋体" w:hAnsi="Times New Roman"/>
                <w:color w:val="000000"/>
                <w:sz w:val="16"/>
                <w:szCs w:val="16"/>
                <w:u w:val="single"/>
              </w:rPr>
              <w:t>Years Ended</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C4B"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C4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C4D"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7C4E"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7C4F"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C57" w14:textId="77777777">
        <w:tc>
          <w:tcPr>
            <w:tcW w:w="0" w:type="auto"/>
            <w:gridSpan w:val="3"/>
            <w:shd w:val="clear" w:color="auto" w:fill="CCEEFF"/>
            <w:tcMar>
              <w:top w:w="40" w:type="dxa"/>
              <w:left w:w="20" w:type="dxa"/>
              <w:bottom w:w="40" w:type="dxa"/>
              <w:right w:w="20" w:type="dxa"/>
            </w:tcMar>
          </w:tcPr>
          <w:p w14:paraId="518B7C51" w14:textId="77777777" w:rsidR="005C332D" w:rsidRDefault="00B93EAE">
            <w:pPr>
              <w:textAlignment w:val="top"/>
            </w:pPr>
            <w:r>
              <w:rPr>
                <w:rFonts w:ascii="Times New Roman" w:eastAsia="宋体" w:hAnsi="Times New Roman"/>
                <w:color w:val="000000"/>
                <w:sz w:val="20"/>
                <w:szCs w:val="20"/>
              </w:rPr>
              <w:t>Weighted-average assumptions: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C5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C53"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C5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C55"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C56" w14:textId="77777777" w:rsidR="005C332D" w:rsidRDefault="005C332D">
            <w:pPr>
              <w:rPr>
                <w:rFonts w:ascii="宋体"/>
              </w:rPr>
            </w:pPr>
          </w:p>
        </w:tc>
      </w:tr>
      <w:tr w:rsidR="005C332D" w14:paraId="518B7C61" w14:textId="77777777">
        <w:tc>
          <w:tcPr>
            <w:tcW w:w="0" w:type="auto"/>
            <w:gridSpan w:val="3"/>
            <w:shd w:val="clear" w:color="auto" w:fill="auto"/>
            <w:tcMar>
              <w:top w:w="40" w:type="dxa"/>
              <w:left w:w="20" w:type="dxa"/>
              <w:bottom w:w="40" w:type="dxa"/>
              <w:right w:w="20" w:type="dxa"/>
            </w:tcMar>
          </w:tcPr>
          <w:p w14:paraId="518B7C58" w14:textId="77777777" w:rsidR="005C332D" w:rsidRDefault="00B93EAE">
            <w:pPr>
              <w:textAlignment w:val="top"/>
            </w:pPr>
            <w:r>
              <w:rPr>
                <w:rFonts w:ascii="Times New Roman" w:eastAsia="宋体" w:hAnsi="Times New Roman"/>
                <w:color w:val="000000"/>
                <w:sz w:val="20"/>
                <w:szCs w:val="20"/>
              </w:rPr>
              <w:t>   Expected volatility</w:t>
            </w:r>
          </w:p>
        </w:tc>
        <w:tc>
          <w:tcPr>
            <w:tcW w:w="0" w:type="auto"/>
            <w:gridSpan w:val="2"/>
            <w:shd w:val="clear" w:color="auto" w:fill="auto"/>
            <w:tcMar>
              <w:top w:w="40" w:type="dxa"/>
              <w:left w:w="20" w:type="dxa"/>
              <w:bottom w:w="40" w:type="dxa"/>
              <w:right w:w="0" w:type="dxa"/>
            </w:tcMar>
            <w:vAlign w:val="bottom"/>
          </w:tcPr>
          <w:p w14:paraId="518B7C59" w14:textId="77777777" w:rsidR="005C332D" w:rsidRDefault="00B93EAE">
            <w:pPr>
              <w:jc w:val="right"/>
              <w:textAlignment w:val="bottom"/>
            </w:pPr>
            <w:r>
              <w:rPr>
                <w:rFonts w:ascii="Times New Roman" w:eastAsia="宋体" w:hAnsi="Times New Roman"/>
                <w:b/>
                <w:bCs/>
                <w:color w:val="000000"/>
                <w:sz w:val="20"/>
                <w:szCs w:val="20"/>
              </w:rPr>
              <w:t>27.9</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C5A"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auto"/>
            <w:tcMar>
              <w:top w:w="0" w:type="dxa"/>
              <w:left w:w="20" w:type="dxa"/>
              <w:bottom w:w="0" w:type="dxa"/>
              <w:right w:w="20" w:type="dxa"/>
            </w:tcMar>
            <w:vAlign w:val="bottom"/>
          </w:tcPr>
          <w:p w14:paraId="518B7C5B"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C5C" w14:textId="77777777" w:rsidR="005C332D" w:rsidRDefault="00B93EAE">
            <w:pPr>
              <w:jc w:val="right"/>
              <w:textAlignment w:val="bottom"/>
            </w:pPr>
            <w:r>
              <w:rPr>
                <w:rFonts w:ascii="Times New Roman" w:eastAsia="宋体" w:hAnsi="Times New Roman"/>
                <w:color w:val="000000"/>
                <w:sz w:val="20"/>
                <w:szCs w:val="20"/>
              </w:rPr>
              <w:t>29.2 </w:t>
            </w:r>
          </w:p>
        </w:tc>
        <w:tc>
          <w:tcPr>
            <w:tcW w:w="0" w:type="auto"/>
            <w:shd w:val="clear" w:color="auto" w:fill="auto"/>
            <w:tcMar>
              <w:top w:w="40" w:type="dxa"/>
              <w:left w:w="0" w:type="dxa"/>
              <w:bottom w:w="40" w:type="dxa"/>
              <w:right w:w="20" w:type="dxa"/>
            </w:tcMar>
            <w:vAlign w:val="bottom"/>
          </w:tcPr>
          <w:p w14:paraId="518B7C5D"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518B7C5E"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C5F" w14:textId="77777777" w:rsidR="005C332D" w:rsidRDefault="00B93EAE">
            <w:pPr>
              <w:jc w:val="right"/>
              <w:textAlignment w:val="bottom"/>
            </w:pPr>
            <w:r>
              <w:rPr>
                <w:rFonts w:ascii="Times New Roman" w:eastAsia="宋体" w:hAnsi="Times New Roman"/>
                <w:color w:val="000000"/>
                <w:sz w:val="20"/>
                <w:szCs w:val="20"/>
              </w:rPr>
              <w:t>22.2 </w:t>
            </w:r>
          </w:p>
        </w:tc>
        <w:tc>
          <w:tcPr>
            <w:tcW w:w="0" w:type="auto"/>
            <w:shd w:val="clear" w:color="auto" w:fill="auto"/>
            <w:tcMar>
              <w:top w:w="40" w:type="dxa"/>
              <w:left w:w="0" w:type="dxa"/>
              <w:bottom w:w="40" w:type="dxa"/>
              <w:right w:w="20" w:type="dxa"/>
            </w:tcMar>
            <w:vAlign w:val="bottom"/>
          </w:tcPr>
          <w:p w14:paraId="518B7C60"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7C6B" w14:textId="77777777">
        <w:tc>
          <w:tcPr>
            <w:tcW w:w="0" w:type="auto"/>
            <w:gridSpan w:val="3"/>
            <w:shd w:val="clear" w:color="auto" w:fill="CCEEFF"/>
            <w:tcMar>
              <w:top w:w="40" w:type="dxa"/>
              <w:left w:w="20" w:type="dxa"/>
              <w:bottom w:w="40" w:type="dxa"/>
              <w:right w:w="20" w:type="dxa"/>
            </w:tcMar>
          </w:tcPr>
          <w:p w14:paraId="518B7C62" w14:textId="77777777" w:rsidR="005C332D" w:rsidRDefault="00B93EAE">
            <w:pPr>
              <w:textAlignment w:val="top"/>
            </w:pPr>
            <w:r>
              <w:rPr>
                <w:rFonts w:ascii="Times New Roman" w:eastAsia="宋体" w:hAnsi="Times New Roman"/>
                <w:color w:val="000000"/>
                <w:sz w:val="20"/>
                <w:szCs w:val="20"/>
              </w:rPr>
              <w:t>   Risk-free interest rate</w:t>
            </w:r>
          </w:p>
        </w:tc>
        <w:tc>
          <w:tcPr>
            <w:tcW w:w="0" w:type="auto"/>
            <w:gridSpan w:val="2"/>
            <w:shd w:val="clear" w:color="auto" w:fill="CCEEFF"/>
            <w:tcMar>
              <w:top w:w="40" w:type="dxa"/>
              <w:left w:w="20" w:type="dxa"/>
              <w:bottom w:w="40" w:type="dxa"/>
              <w:right w:w="0" w:type="dxa"/>
            </w:tcMar>
            <w:vAlign w:val="bottom"/>
          </w:tcPr>
          <w:p w14:paraId="518B7C63" w14:textId="77777777" w:rsidR="005C332D" w:rsidRDefault="00B93EAE">
            <w:pPr>
              <w:jc w:val="right"/>
              <w:textAlignment w:val="bottom"/>
            </w:pPr>
            <w:r>
              <w:rPr>
                <w:rFonts w:ascii="Times New Roman" w:eastAsia="宋体" w:hAnsi="Times New Roman"/>
                <w:b/>
                <w:bCs/>
                <w:color w:val="000000"/>
                <w:sz w:val="20"/>
                <w:szCs w:val="20"/>
              </w:rPr>
              <w:t>0.1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C64"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7C6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C66" w14:textId="77777777" w:rsidR="005C332D" w:rsidRDefault="00B93EAE">
            <w:pPr>
              <w:jc w:val="right"/>
              <w:textAlignment w:val="bottom"/>
            </w:pPr>
            <w:r>
              <w:rPr>
                <w:rFonts w:ascii="Times New Roman" w:eastAsia="宋体" w:hAnsi="Times New Roman"/>
                <w:color w:val="000000"/>
                <w:sz w:val="20"/>
                <w:szCs w:val="20"/>
              </w:rPr>
              <w:t>0.3 </w:t>
            </w:r>
          </w:p>
        </w:tc>
        <w:tc>
          <w:tcPr>
            <w:tcW w:w="0" w:type="auto"/>
            <w:shd w:val="clear" w:color="auto" w:fill="CCEEFF"/>
            <w:tcMar>
              <w:top w:w="40" w:type="dxa"/>
              <w:left w:w="0" w:type="dxa"/>
              <w:bottom w:w="40" w:type="dxa"/>
              <w:right w:w="20" w:type="dxa"/>
            </w:tcMar>
            <w:vAlign w:val="bottom"/>
          </w:tcPr>
          <w:p w14:paraId="518B7C67"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7C6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C69" w14:textId="77777777" w:rsidR="005C332D" w:rsidRDefault="00B93EAE">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518B7C6A"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7C75" w14:textId="77777777">
        <w:tc>
          <w:tcPr>
            <w:tcW w:w="0" w:type="auto"/>
            <w:gridSpan w:val="3"/>
            <w:shd w:val="clear" w:color="auto" w:fill="auto"/>
            <w:tcMar>
              <w:top w:w="40" w:type="dxa"/>
              <w:left w:w="20" w:type="dxa"/>
              <w:bottom w:w="40" w:type="dxa"/>
              <w:right w:w="20" w:type="dxa"/>
            </w:tcMar>
          </w:tcPr>
          <w:p w14:paraId="518B7C6C" w14:textId="77777777" w:rsidR="005C332D" w:rsidRDefault="00B93EAE">
            <w:pPr>
              <w:textAlignment w:val="top"/>
            </w:pPr>
            <w:r>
              <w:rPr>
                <w:rFonts w:ascii="Times New Roman" w:eastAsia="宋体" w:hAnsi="Times New Roman"/>
                <w:color w:val="000000"/>
                <w:sz w:val="20"/>
                <w:szCs w:val="20"/>
              </w:rPr>
              <w:t>   Expected dividend</w:t>
            </w:r>
          </w:p>
        </w:tc>
        <w:tc>
          <w:tcPr>
            <w:tcW w:w="0" w:type="auto"/>
            <w:gridSpan w:val="2"/>
            <w:shd w:val="clear" w:color="auto" w:fill="auto"/>
            <w:tcMar>
              <w:top w:w="40" w:type="dxa"/>
              <w:left w:w="20" w:type="dxa"/>
              <w:bottom w:w="40" w:type="dxa"/>
              <w:right w:w="0" w:type="dxa"/>
            </w:tcMar>
            <w:vAlign w:val="bottom"/>
          </w:tcPr>
          <w:p w14:paraId="518B7C6D" w14:textId="77777777" w:rsidR="005C332D" w:rsidRDefault="00B93EAE">
            <w:pPr>
              <w:jc w:val="right"/>
              <w:textAlignment w:val="bottom"/>
            </w:pPr>
            <w:r>
              <w:rPr>
                <w:rFonts w:ascii="Times New Roman" w:eastAsia="宋体" w:hAnsi="Times New Roman"/>
                <w:b/>
                <w:bCs/>
                <w:color w:val="000000"/>
                <w:sz w:val="20"/>
                <w:szCs w:val="20"/>
              </w:rPr>
              <w:t>3.2</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C6E"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auto"/>
            <w:tcMar>
              <w:top w:w="0" w:type="dxa"/>
              <w:left w:w="20" w:type="dxa"/>
              <w:bottom w:w="0" w:type="dxa"/>
              <w:right w:w="20" w:type="dxa"/>
            </w:tcMar>
            <w:vAlign w:val="bottom"/>
          </w:tcPr>
          <w:p w14:paraId="518B7C6F"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C70" w14:textId="77777777" w:rsidR="005C332D" w:rsidRDefault="00B93EAE">
            <w:pPr>
              <w:jc w:val="right"/>
              <w:textAlignment w:val="bottom"/>
            </w:pPr>
            <w:r>
              <w:rPr>
                <w:rFonts w:ascii="Times New Roman" w:eastAsia="宋体" w:hAnsi="Times New Roman"/>
                <w:color w:val="000000"/>
                <w:sz w:val="20"/>
                <w:szCs w:val="20"/>
              </w:rPr>
              <w:t>3.2 </w:t>
            </w:r>
          </w:p>
        </w:tc>
        <w:tc>
          <w:tcPr>
            <w:tcW w:w="0" w:type="auto"/>
            <w:shd w:val="clear" w:color="auto" w:fill="auto"/>
            <w:tcMar>
              <w:top w:w="40" w:type="dxa"/>
              <w:left w:w="0" w:type="dxa"/>
              <w:bottom w:w="40" w:type="dxa"/>
              <w:right w:w="20" w:type="dxa"/>
            </w:tcMar>
            <w:vAlign w:val="bottom"/>
          </w:tcPr>
          <w:p w14:paraId="518B7C71"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518B7C72"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C73" w14:textId="77777777" w:rsidR="005C332D" w:rsidRDefault="00B93EAE">
            <w:pPr>
              <w:jc w:val="right"/>
              <w:textAlignment w:val="bottom"/>
            </w:pPr>
            <w:r>
              <w:rPr>
                <w:rFonts w:ascii="Times New Roman" w:eastAsia="宋体" w:hAnsi="Times New Roman"/>
                <w:color w:val="000000"/>
                <w:sz w:val="20"/>
                <w:szCs w:val="20"/>
              </w:rPr>
              <w:t>3.0 </w:t>
            </w:r>
          </w:p>
        </w:tc>
        <w:tc>
          <w:tcPr>
            <w:tcW w:w="0" w:type="auto"/>
            <w:shd w:val="clear" w:color="auto" w:fill="auto"/>
            <w:tcMar>
              <w:top w:w="40" w:type="dxa"/>
              <w:left w:w="0" w:type="dxa"/>
              <w:bottom w:w="40" w:type="dxa"/>
              <w:right w:w="20" w:type="dxa"/>
            </w:tcMar>
            <w:vAlign w:val="bottom"/>
          </w:tcPr>
          <w:p w14:paraId="518B7C74"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7C7C" w14:textId="77777777">
        <w:tc>
          <w:tcPr>
            <w:tcW w:w="0" w:type="auto"/>
            <w:gridSpan w:val="3"/>
            <w:shd w:val="clear" w:color="auto" w:fill="CCEEFF"/>
            <w:tcMar>
              <w:top w:w="40" w:type="dxa"/>
              <w:left w:w="20" w:type="dxa"/>
              <w:bottom w:w="40" w:type="dxa"/>
              <w:right w:w="20" w:type="dxa"/>
            </w:tcMar>
          </w:tcPr>
          <w:p w14:paraId="518B7C76" w14:textId="77777777" w:rsidR="005C332D" w:rsidRDefault="00B93EAE">
            <w:pPr>
              <w:textAlignment w:val="top"/>
            </w:pPr>
            <w:r>
              <w:rPr>
                <w:rFonts w:ascii="Times New Roman" w:eastAsia="宋体" w:hAnsi="Times New Roman"/>
                <w:color w:val="000000"/>
                <w:sz w:val="20"/>
                <w:szCs w:val="20"/>
              </w:rPr>
              <w:t>   Expected life (in years)</w:t>
            </w:r>
          </w:p>
        </w:tc>
        <w:tc>
          <w:tcPr>
            <w:tcW w:w="0" w:type="auto"/>
            <w:gridSpan w:val="3"/>
            <w:shd w:val="clear" w:color="auto" w:fill="CCEEFF"/>
            <w:tcMar>
              <w:top w:w="40" w:type="dxa"/>
              <w:left w:w="20" w:type="dxa"/>
              <w:bottom w:w="40" w:type="dxa"/>
              <w:right w:w="20" w:type="dxa"/>
            </w:tcMar>
            <w:vAlign w:val="bottom"/>
          </w:tcPr>
          <w:p w14:paraId="518B7C77" w14:textId="77777777" w:rsidR="005C332D" w:rsidRDefault="00B93EAE">
            <w:pPr>
              <w:jc w:val="right"/>
              <w:textAlignment w:val="bottom"/>
            </w:pPr>
            <w:r>
              <w:rPr>
                <w:rFonts w:ascii="Times New Roman" w:eastAsia="宋体" w:hAnsi="Times New Roman"/>
                <w:b/>
                <w:bCs/>
                <w:color w:val="000000"/>
                <w:sz w:val="20"/>
                <w:szCs w:val="20"/>
              </w:rPr>
              <w:t>1.2</w:t>
            </w:r>
          </w:p>
        </w:tc>
        <w:tc>
          <w:tcPr>
            <w:tcW w:w="0" w:type="auto"/>
            <w:gridSpan w:val="3"/>
            <w:shd w:val="clear" w:color="auto" w:fill="CCEEFF"/>
            <w:tcMar>
              <w:top w:w="0" w:type="dxa"/>
              <w:left w:w="20" w:type="dxa"/>
              <w:bottom w:w="0" w:type="dxa"/>
              <w:right w:w="20" w:type="dxa"/>
            </w:tcMar>
            <w:vAlign w:val="bottom"/>
          </w:tcPr>
          <w:p w14:paraId="518B7C78"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C79" w14:textId="77777777" w:rsidR="005C332D" w:rsidRDefault="00B93EAE">
            <w:pPr>
              <w:jc w:val="right"/>
              <w:textAlignment w:val="bottom"/>
            </w:pPr>
            <w:r>
              <w:rPr>
                <w:rFonts w:ascii="Times New Roman" w:eastAsia="宋体" w:hAnsi="Times New Roman"/>
                <w:color w:val="000000"/>
                <w:sz w:val="20"/>
                <w:szCs w:val="20"/>
              </w:rPr>
              <w:t>1.3</w:t>
            </w:r>
          </w:p>
        </w:tc>
        <w:tc>
          <w:tcPr>
            <w:tcW w:w="0" w:type="auto"/>
            <w:gridSpan w:val="3"/>
            <w:shd w:val="clear" w:color="auto" w:fill="CCEEFF"/>
            <w:tcMar>
              <w:top w:w="0" w:type="dxa"/>
              <w:left w:w="20" w:type="dxa"/>
              <w:bottom w:w="0" w:type="dxa"/>
              <w:right w:w="20" w:type="dxa"/>
            </w:tcMar>
            <w:vAlign w:val="bottom"/>
          </w:tcPr>
          <w:p w14:paraId="518B7C7A"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vAlign w:val="bottom"/>
          </w:tcPr>
          <w:p w14:paraId="518B7C7B" w14:textId="77777777" w:rsidR="005C332D" w:rsidRDefault="00B93EAE">
            <w:pPr>
              <w:jc w:val="right"/>
              <w:textAlignment w:val="bottom"/>
            </w:pPr>
            <w:r>
              <w:rPr>
                <w:rFonts w:ascii="Times New Roman" w:eastAsia="宋体" w:hAnsi="Times New Roman"/>
                <w:color w:val="000000"/>
                <w:sz w:val="20"/>
                <w:szCs w:val="20"/>
              </w:rPr>
              <w:t>1.3</w:t>
            </w:r>
          </w:p>
        </w:tc>
      </w:tr>
      <w:tr w:rsidR="005C332D" w14:paraId="518B7C89" w14:textId="77777777">
        <w:tc>
          <w:tcPr>
            <w:tcW w:w="0" w:type="auto"/>
            <w:gridSpan w:val="3"/>
            <w:shd w:val="clear" w:color="auto" w:fill="auto"/>
            <w:tcMar>
              <w:top w:w="40" w:type="dxa"/>
              <w:left w:w="20" w:type="dxa"/>
              <w:bottom w:w="40" w:type="dxa"/>
              <w:right w:w="20" w:type="dxa"/>
            </w:tcMar>
          </w:tcPr>
          <w:p w14:paraId="518B7C7D" w14:textId="77777777" w:rsidR="005C332D" w:rsidRDefault="00B93EAE">
            <w:pPr>
              <w:textAlignment w:val="top"/>
            </w:pPr>
            <w:r>
              <w:rPr>
                <w:rFonts w:ascii="Times New Roman" w:eastAsia="宋体" w:hAnsi="Times New Roman"/>
                <w:color w:val="000000"/>
                <w:sz w:val="20"/>
                <w:szCs w:val="20"/>
              </w:rPr>
              <w:t>Weighted-average estimated grant date fair value per share</w:t>
            </w:r>
          </w:p>
        </w:tc>
        <w:tc>
          <w:tcPr>
            <w:tcW w:w="0" w:type="auto"/>
            <w:shd w:val="clear" w:color="auto" w:fill="auto"/>
            <w:tcMar>
              <w:top w:w="40" w:type="dxa"/>
              <w:left w:w="20" w:type="dxa"/>
              <w:bottom w:w="40" w:type="dxa"/>
              <w:right w:w="0" w:type="dxa"/>
            </w:tcMar>
            <w:vAlign w:val="bottom"/>
          </w:tcPr>
          <w:p w14:paraId="518B7C7E"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auto"/>
            <w:tcMar>
              <w:top w:w="40" w:type="dxa"/>
              <w:left w:w="0" w:type="dxa"/>
              <w:bottom w:w="40" w:type="dxa"/>
              <w:right w:w="0" w:type="dxa"/>
            </w:tcMar>
            <w:vAlign w:val="bottom"/>
          </w:tcPr>
          <w:p w14:paraId="518B7C7F" w14:textId="77777777" w:rsidR="005C332D" w:rsidRDefault="00B93EAE">
            <w:pPr>
              <w:jc w:val="right"/>
              <w:textAlignment w:val="bottom"/>
            </w:pPr>
            <w:r>
              <w:rPr>
                <w:rFonts w:ascii="Times New Roman" w:eastAsia="宋体" w:hAnsi="Times New Roman"/>
                <w:b/>
                <w:bCs/>
                <w:color w:val="000000"/>
                <w:sz w:val="20"/>
                <w:szCs w:val="20"/>
              </w:rPr>
              <w:t>12.90</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C80"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C81"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7C82"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7C83" w14:textId="77777777" w:rsidR="005C332D" w:rsidRDefault="00B93EAE">
            <w:pPr>
              <w:jc w:val="right"/>
              <w:textAlignment w:val="bottom"/>
            </w:pPr>
            <w:r>
              <w:rPr>
                <w:rFonts w:ascii="Times New Roman" w:eastAsia="宋体" w:hAnsi="Times New Roman"/>
                <w:color w:val="000000"/>
                <w:sz w:val="20"/>
                <w:szCs w:val="20"/>
              </w:rPr>
              <w:t>12.46 </w:t>
            </w:r>
          </w:p>
        </w:tc>
        <w:tc>
          <w:tcPr>
            <w:tcW w:w="0" w:type="auto"/>
            <w:shd w:val="clear" w:color="auto" w:fill="auto"/>
            <w:tcMar>
              <w:top w:w="40" w:type="dxa"/>
              <w:left w:w="0" w:type="dxa"/>
              <w:bottom w:w="40" w:type="dxa"/>
              <w:right w:w="20" w:type="dxa"/>
            </w:tcMar>
            <w:vAlign w:val="bottom"/>
          </w:tcPr>
          <w:p w14:paraId="518B7C84"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C85"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7C8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7C87" w14:textId="77777777" w:rsidR="005C332D" w:rsidRDefault="00B93EAE">
            <w:pPr>
              <w:jc w:val="right"/>
              <w:textAlignment w:val="bottom"/>
            </w:pPr>
            <w:r>
              <w:rPr>
                <w:rFonts w:ascii="Times New Roman" w:eastAsia="宋体" w:hAnsi="Times New Roman"/>
                <w:color w:val="000000"/>
                <w:sz w:val="20"/>
                <w:szCs w:val="20"/>
              </w:rPr>
              <w:t>10.20 </w:t>
            </w:r>
          </w:p>
        </w:tc>
        <w:tc>
          <w:tcPr>
            <w:tcW w:w="0" w:type="auto"/>
            <w:shd w:val="clear" w:color="auto" w:fill="auto"/>
            <w:tcMar>
              <w:top w:w="40" w:type="dxa"/>
              <w:left w:w="0" w:type="dxa"/>
              <w:bottom w:w="40" w:type="dxa"/>
              <w:right w:w="20" w:type="dxa"/>
            </w:tcMar>
            <w:vAlign w:val="bottom"/>
          </w:tcPr>
          <w:p w14:paraId="518B7C88" w14:textId="77777777" w:rsidR="005C332D" w:rsidRDefault="005C332D">
            <w:pPr>
              <w:jc w:val="right"/>
              <w:rPr>
                <w:rFonts w:ascii="宋体"/>
              </w:rPr>
            </w:pPr>
          </w:p>
        </w:tc>
      </w:tr>
    </w:tbl>
    <w:p w14:paraId="518B7C8A" w14:textId="77777777" w:rsidR="005C332D" w:rsidRDefault="00B93EAE">
      <w:pPr>
        <w:spacing w:before="120"/>
        <w:jc w:val="both"/>
      </w:pPr>
      <w:r>
        <w:rPr>
          <w:rFonts w:ascii="Times New Roman" w:eastAsia="宋体" w:hAnsi="Times New Roman"/>
          <w:color w:val="000000"/>
          <w:sz w:val="20"/>
          <w:szCs w:val="20"/>
        </w:rPr>
        <w:t>The valuation of employee stock purchase rights and the related assumptions are for the employee stock purchases made during the respective fiscal years.</w:t>
      </w:r>
    </w:p>
    <w:p w14:paraId="518B7C8B" w14:textId="77777777" w:rsidR="005C332D" w:rsidRDefault="00B93EAE">
      <w:pPr>
        <w:spacing w:before="120"/>
        <w:jc w:val="both"/>
      </w:pPr>
      <w:r>
        <w:rPr>
          <w:rFonts w:ascii="Times New Roman" w:eastAsia="宋体" w:hAnsi="Times New Roman"/>
          <w:color w:val="000000"/>
          <w:sz w:val="20"/>
          <w:szCs w:val="20"/>
        </w:rPr>
        <w:t>We used third-party analyses to assist in developing the assumptions used in our Black-Sch</w:t>
      </w:r>
      <w:r>
        <w:rPr>
          <w:rFonts w:ascii="Times New Roman" w:eastAsia="宋体" w:hAnsi="Times New Roman"/>
          <w:color w:val="000000"/>
          <w:sz w:val="20"/>
          <w:szCs w:val="20"/>
        </w:rPr>
        <w:t xml:space="preserve">oles model. We are responsible for determining the assumptions used in estimating the fair value of our share-based payment awards. </w:t>
      </w:r>
    </w:p>
    <w:p w14:paraId="518B7C8C" w14:textId="77777777" w:rsidR="005C332D" w:rsidRDefault="00B93EAE">
      <w:pPr>
        <w:spacing w:before="120"/>
        <w:jc w:val="both"/>
      </w:pPr>
      <w:r>
        <w:rPr>
          <w:rFonts w:ascii="Times New Roman" w:eastAsia="宋体" w:hAnsi="Times New Roman"/>
          <w:color w:val="000000"/>
          <w:sz w:val="20"/>
          <w:szCs w:val="20"/>
        </w:rPr>
        <w:t>We used the implied volatility for traded options (with contract terms corresponding to the expected life of the employee s</w:t>
      </w:r>
      <w:r>
        <w:rPr>
          <w:rFonts w:ascii="Times New Roman" w:eastAsia="宋体" w:hAnsi="Times New Roman"/>
          <w:color w:val="000000"/>
          <w:sz w:val="20"/>
          <w:szCs w:val="20"/>
        </w:rPr>
        <w:t>tock purchase rights) on our stock as the expected volatility assumption required in the Black-Scholes model. The implied volatility is more representative of future stock price trends than historical volatility. The risk-free interest rate assumption is b</w:t>
      </w:r>
      <w:r>
        <w:rPr>
          <w:rFonts w:ascii="Times New Roman" w:eastAsia="宋体" w:hAnsi="Times New Roman"/>
          <w:color w:val="000000"/>
          <w:sz w:val="20"/>
          <w:szCs w:val="20"/>
        </w:rPr>
        <w:t>ased upon observed interest rates appropriate for the term of our employee stock purchase rights. The dividend yield assumption is based on the history and expectation of dividend payouts at the grant date.</w:t>
      </w:r>
    </w:p>
    <w:p w14:paraId="518B7C8D" w14:textId="77777777" w:rsidR="005C332D" w:rsidRDefault="00B93EAE">
      <w:pPr>
        <w:spacing w:before="120"/>
        <w:ind w:hanging="360"/>
        <w:jc w:val="both"/>
      </w:pPr>
      <w:r>
        <w:rPr>
          <w:rFonts w:ascii="Times New Roman" w:eastAsia="宋体" w:hAnsi="Times New Roman"/>
          <w:b/>
          <w:bCs/>
          <w:color w:val="000000"/>
          <w:sz w:val="20"/>
          <w:szCs w:val="20"/>
        </w:rPr>
        <w:t>(f)Employee 401(k) Plans</w:t>
      </w:r>
    </w:p>
    <w:p w14:paraId="518B7C8E" w14:textId="77777777" w:rsidR="005C332D" w:rsidRDefault="00B93EAE">
      <w:pPr>
        <w:spacing w:before="120"/>
        <w:jc w:val="both"/>
      </w:pPr>
      <w:r>
        <w:rPr>
          <w:rFonts w:ascii="Times New Roman" w:eastAsia="宋体" w:hAnsi="Times New Roman"/>
          <w:color w:val="000000"/>
          <w:sz w:val="20"/>
          <w:szCs w:val="20"/>
        </w:rPr>
        <w:t>We sponsor the Cisco Sys</w:t>
      </w:r>
      <w:r>
        <w:rPr>
          <w:rFonts w:ascii="Times New Roman" w:eastAsia="宋体" w:hAnsi="Times New Roman"/>
          <w:color w:val="000000"/>
          <w:sz w:val="20"/>
          <w:szCs w:val="20"/>
        </w:rPr>
        <w:t xml:space="preserve">tems, Inc. 401(k) Plan (the “Plan”) to provide retirement benefits for our employees. As allowed under Section 401(k) of the Internal Revenue Code, the Plan provides for tax-deferred salary contributions and after-tax contributions for eligible employees. </w:t>
      </w:r>
      <w:r>
        <w:rPr>
          <w:rFonts w:ascii="Times New Roman" w:eastAsia="宋体" w:hAnsi="Times New Roman"/>
          <w:color w:val="000000"/>
          <w:sz w:val="20"/>
          <w:szCs w:val="20"/>
        </w:rPr>
        <w:t>The Plan allows employees to contribute up to 75% of their annual eligible earnings to the Plan on a pretax and after-tax basis, including Roth contributions. Employee contributions are limited to a maximum annual amount as set periodically by the Internal</w:t>
      </w:r>
      <w:r>
        <w:rPr>
          <w:rFonts w:ascii="Times New Roman" w:eastAsia="宋体" w:hAnsi="Times New Roman"/>
          <w:color w:val="000000"/>
          <w:sz w:val="20"/>
          <w:szCs w:val="20"/>
        </w:rPr>
        <w:t xml:space="preserve"> Revenue Code. We match pretax and Roth employee contributions up to 100% of the first 4.5% of eligible earnings that are contributed by employees. Therefore, the maximum matching contribution that we may allocate to each participant’s account will not exc</w:t>
      </w:r>
      <w:r>
        <w:rPr>
          <w:rFonts w:ascii="Times New Roman" w:eastAsia="宋体" w:hAnsi="Times New Roman"/>
          <w:color w:val="000000"/>
          <w:sz w:val="20"/>
          <w:szCs w:val="20"/>
        </w:rPr>
        <w:t>eed $13,725 for the 2022 calendar year due to the $305,000 annual limit on eligible earnings imposed by the Internal Revenue Code. All matching contributions vest immediately. Our matching contributions to the Plan totaled $306 million, $290 million, and $</w:t>
      </w:r>
      <w:r>
        <w:rPr>
          <w:rFonts w:ascii="Times New Roman" w:eastAsia="宋体" w:hAnsi="Times New Roman"/>
          <w:color w:val="000000"/>
          <w:sz w:val="20"/>
          <w:szCs w:val="20"/>
        </w:rPr>
        <w:t>295 million in fiscal 2022, 2021, and 2020, respectively.</w:t>
      </w:r>
    </w:p>
    <w:p w14:paraId="518B7C8F" w14:textId="77777777" w:rsidR="005C332D" w:rsidRDefault="00B93EAE">
      <w:pPr>
        <w:spacing w:before="120"/>
        <w:jc w:val="both"/>
      </w:pPr>
      <w:r>
        <w:rPr>
          <w:rFonts w:ascii="Times New Roman" w:eastAsia="宋体" w:hAnsi="Times New Roman"/>
          <w:color w:val="000000"/>
          <w:sz w:val="20"/>
          <w:szCs w:val="20"/>
        </w:rPr>
        <w:t>The Plan allows employees who meet the age requirements and reach the Plan contribution limits to make catch-up contributions (pretax or Roth) not to exceed the lesser of 75% of their annual eligibl</w:t>
      </w:r>
      <w:r>
        <w:rPr>
          <w:rFonts w:ascii="Times New Roman" w:eastAsia="宋体" w:hAnsi="Times New Roman"/>
          <w:color w:val="000000"/>
          <w:sz w:val="20"/>
          <w:szCs w:val="20"/>
        </w:rPr>
        <w:t xml:space="preserve">e earnings or the limit set forth in the Internal Revenue Code. Catch-up contributions are not eligible for matching contributions. In addition, the Plan provides for discretionary profit-sharing contributions as determined by the Board of Directors. Such </w:t>
      </w:r>
      <w:r>
        <w:rPr>
          <w:rFonts w:ascii="Times New Roman" w:eastAsia="宋体" w:hAnsi="Times New Roman"/>
          <w:color w:val="000000"/>
          <w:sz w:val="20"/>
          <w:szCs w:val="20"/>
        </w:rPr>
        <w:t>contributions to the Plan are allocated among eligible participants in the proportion of their salaries to the total salaries of all participants. There were no discretionary profit-sharing contributions made in fiscal 2022, 2021, and 2020.</w:t>
      </w:r>
    </w:p>
    <w:p w14:paraId="518B7C90" w14:textId="77777777" w:rsidR="005C332D" w:rsidRDefault="00B93EAE">
      <w:pPr>
        <w:spacing w:before="120"/>
        <w:jc w:val="both"/>
      </w:pPr>
      <w:r>
        <w:rPr>
          <w:rFonts w:ascii="Times New Roman" w:eastAsia="宋体" w:hAnsi="Times New Roman"/>
          <w:color w:val="000000"/>
          <w:sz w:val="20"/>
          <w:szCs w:val="20"/>
        </w:rPr>
        <w:t>We also sponsor</w:t>
      </w:r>
      <w:r>
        <w:rPr>
          <w:rFonts w:ascii="Times New Roman" w:eastAsia="宋体" w:hAnsi="Times New Roman"/>
          <w:color w:val="000000"/>
          <w:sz w:val="20"/>
          <w:szCs w:val="20"/>
        </w:rPr>
        <w:t xml:space="preserve"> other 401(k) plans as a result of acquisitions of other companies. Our contributions to these plans were not material to Cisco on either an individual or aggregate basis for any of the fiscal years presented.</w:t>
      </w:r>
    </w:p>
    <w:p w14:paraId="518B7C91" w14:textId="77777777" w:rsidR="005C332D" w:rsidRDefault="00B93EAE">
      <w:pPr>
        <w:spacing w:before="120"/>
        <w:ind w:hanging="360"/>
        <w:jc w:val="both"/>
      </w:pPr>
      <w:r>
        <w:rPr>
          <w:rFonts w:ascii="Times New Roman" w:eastAsia="宋体" w:hAnsi="Times New Roman"/>
          <w:b/>
          <w:bCs/>
          <w:color w:val="000000"/>
          <w:sz w:val="20"/>
          <w:szCs w:val="20"/>
        </w:rPr>
        <w:t>(g)Deferred Compensation Plans</w:t>
      </w:r>
    </w:p>
    <w:p w14:paraId="518B7C92" w14:textId="77777777" w:rsidR="005C332D" w:rsidRDefault="00B93EAE">
      <w:pPr>
        <w:spacing w:before="120"/>
        <w:jc w:val="both"/>
      </w:pPr>
      <w:r>
        <w:rPr>
          <w:rFonts w:ascii="Times New Roman" w:eastAsia="宋体" w:hAnsi="Times New Roman"/>
          <w:color w:val="000000"/>
          <w:sz w:val="20"/>
          <w:szCs w:val="20"/>
        </w:rPr>
        <w:t>The Cisco Syste</w:t>
      </w:r>
      <w:r>
        <w:rPr>
          <w:rFonts w:ascii="Times New Roman" w:eastAsia="宋体" w:hAnsi="Times New Roman"/>
          <w:color w:val="000000"/>
          <w:sz w:val="20"/>
          <w:szCs w:val="20"/>
        </w:rPr>
        <w:t xml:space="preserve">ms, Inc. Deferred Compensation Plan (the “Deferred Compensation Plan”), a nonqualified deferred compensation plan, became effective in 2007. As required by applicable law, participation in the Deferred Compensation Plan is limited to a select group of our </w:t>
      </w:r>
      <w:r>
        <w:rPr>
          <w:rFonts w:ascii="Times New Roman" w:eastAsia="宋体" w:hAnsi="Times New Roman"/>
          <w:color w:val="000000"/>
          <w:sz w:val="20"/>
          <w:szCs w:val="20"/>
        </w:rPr>
        <w:t>management employees. Under the Deferred Compensation Plan, which is an unfunded and unsecured deferred compensation arrangement, a participant may elect to defer base salary, bonus, and/or commissions, pursuant to such rules as may be established by Cisco</w:t>
      </w:r>
      <w:r>
        <w:rPr>
          <w:rFonts w:ascii="Times New Roman" w:eastAsia="宋体" w:hAnsi="Times New Roman"/>
          <w:color w:val="000000"/>
          <w:sz w:val="20"/>
          <w:szCs w:val="20"/>
        </w:rPr>
        <w:t>, up to the maximum percentages for each deferral election as described in the plan. We may also, at our discretion, make a matching contribution to the employee under the Deferred Compensation Plan. A matching contribution equal to 4.5% of eligible compen</w:t>
      </w:r>
      <w:r>
        <w:rPr>
          <w:rFonts w:ascii="Times New Roman" w:eastAsia="宋体" w:hAnsi="Times New Roman"/>
          <w:color w:val="000000"/>
          <w:sz w:val="20"/>
          <w:szCs w:val="20"/>
        </w:rPr>
        <w:t>sation in excess of the Internal Revenue Code limit for qualified plans for calendar year 2022 that is deferred by participants under the Deferred Compensation Plan (with a $1.5 million cap on eligible compensation) will be made to eligible participants’ a</w:t>
      </w:r>
      <w:r>
        <w:rPr>
          <w:rFonts w:ascii="Times New Roman" w:eastAsia="宋体" w:hAnsi="Times New Roman"/>
          <w:color w:val="000000"/>
          <w:sz w:val="20"/>
          <w:szCs w:val="20"/>
        </w:rPr>
        <w:t>ccounts at the end of calendar year 2022. The total deferred compensation liability under the Deferred Compensation Plan, together with deferred compensation plans assumed from acquired companies, was approximately $760 million</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and $845 million as of July </w:t>
      </w:r>
      <w:r>
        <w:rPr>
          <w:rFonts w:ascii="Times New Roman" w:eastAsia="宋体" w:hAnsi="Times New Roman"/>
          <w:color w:val="000000"/>
          <w:sz w:val="20"/>
          <w:szCs w:val="20"/>
        </w:rPr>
        <w:t xml:space="preserve">30, 2022 and July 31, 2021, respectively, and was recorded primarily in other long-term liabilities. </w:t>
      </w:r>
    </w:p>
    <w:p w14:paraId="518B7C93" w14:textId="77777777" w:rsidR="005C332D" w:rsidRDefault="00B93EAE">
      <w:pPr>
        <w:jc w:val="center"/>
      </w:pPr>
      <w:r>
        <w:rPr>
          <w:rFonts w:ascii="Times New Roman" w:eastAsia="宋体" w:hAnsi="Times New Roman"/>
          <w:color w:val="000000"/>
          <w:sz w:val="20"/>
          <w:szCs w:val="20"/>
        </w:rPr>
        <w:t>96</w:t>
      </w:r>
    </w:p>
    <w:p w14:paraId="518B7C94" w14:textId="77777777" w:rsidR="005C332D" w:rsidRDefault="00B93EAE">
      <w:r>
        <w:pict w14:anchorId="518B8775">
          <v:rect id="_x0000_i1122" style="width:415.3pt;height:1.5pt" o:hralign="center" o:hrstd="t" o:hr="t" fillcolor="#a0a0a0" stroked="f"/>
        </w:pict>
      </w:r>
    </w:p>
    <w:p w14:paraId="518B7C95" w14:textId="77777777" w:rsidR="005C332D" w:rsidRDefault="005C332D"/>
    <w:p w14:paraId="518B7C96" w14:textId="77777777" w:rsidR="005C332D" w:rsidRDefault="00B93EAE">
      <w:pPr>
        <w:ind w:hanging="360"/>
      </w:pPr>
      <w:r>
        <w:rPr>
          <w:rFonts w:ascii="Times New Roman" w:eastAsia="宋体" w:hAnsi="Times New Roman"/>
          <w:b/>
          <w:bCs/>
          <w:color w:val="000000"/>
          <w:sz w:val="20"/>
          <w:szCs w:val="20"/>
        </w:rPr>
        <w:t xml:space="preserve">17.Comprehensive Income (Loss) </w:t>
      </w:r>
    </w:p>
    <w:p w14:paraId="518B7C97" w14:textId="77777777" w:rsidR="005C332D" w:rsidRDefault="00B93EAE">
      <w:pPr>
        <w:spacing w:before="120"/>
      </w:pPr>
      <w:r>
        <w:rPr>
          <w:rFonts w:ascii="Times New Roman" w:eastAsia="宋体" w:hAnsi="Times New Roman"/>
          <w:color w:val="000000"/>
          <w:sz w:val="20"/>
          <w:szCs w:val="20"/>
        </w:rPr>
        <w:t xml:space="preserve">The components of AOCI, net of tax, and the other comprehensive income (loss) are summarized as follows (in </w:t>
      </w:r>
      <w:r>
        <w:rPr>
          <w:rFonts w:ascii="Times New Roman" w:eastAsia="宋体" w:hAnsi="Times New Roman"/>
          <w:color w:val="000000"/>
          <w:sz w:val="20"/>
          <w:szCs w:val="20"/>
        </w:rPr>
        <w:t>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3347"/>
        <w:gridCol w:w="38"/>
        <w:gridCol w:w="121"/>
        <w:gridCol w:w="1261"/>
        <w:gridCol w:w="36"/>
        <w:gridCol w:w="36"/>
        <w:gridCol w:w="36"/>
        <w:gridCol w:w="36"/>
        <w:gridCol w:w="121"/>
        <w:gridCol w:w="814"/>
        <w:gridCol w:w="36"/>
        <w:gridCol w:w="36"/>
        <w:gridCol w:w="36"/>
        <w:gridCol w:w="36"/>
        <w:gridCol w:w="121"/>
        <w:gridCol w:w="804"/>
        <w:gridCol w:w="36"/>
        <w:gridCol w:w="36"/>
        <w:gridCol w:w="36"/>
        <w:gridCol w:w="36"/>
        <w:gridCol w:w="121"/>
        <w:gridCol w:w="1069"/>
        <w:gridCol w:w="36"/>
      </w:tblGrid>
      <w:tr w:rsidR="005C332D" w14:paraId="518B7CB0" w14:textId="77777777">
        <w:trPr>
          <w:jc w:val="center"/>
        </w:trPr>
        <w:tc>
          <w:tcPr>
            <w:tcW w:w="50" w:type="pct"/>
            <w:shd w:val="clear" w:color="auto" w:fill="auto"/>
            <w:vAlign w:val="bottom"/>
          </w:tcPr>
          <w:p w14:paraId="518B7C98" w14:textId="77777777" w:rsidR="005C332D" w:rsidRDefault="005C332D">
            <w:pPr>
              <w:rPr>
                <w:rFonts w:ascii="宋体"/>
              </w:rPr>
            </w:pPr>
          </w:p>
        </w:tc>
        <w:tc>
          <w:tcPr>
            <w:tcW w:w="2287" w:type="pct"/>
            <w:shd w:val="clear" w:color="auto" w:fill="auto"/>
            <w:vAlign w:val="bottom"/>
          </w:tcPr>
          <w:p w14:paraId="518B7C99" w14:textId="77777777" w:rsidR="005C332D" w:rsidRDefault="005C332D">
            <w:pPr>
              <w:rPr>
                <w:rFonts w:ascii="宋体"/>
              </w:rPr>
            </w:pPr>
          </w:p>
        </w:tc>
        <w:tc>
          <w:tcPr>
            <w:tcW w:w="5" w:type="pct"/>
            <w:shd w:val="clear" w:color="auto" w:fill="auto"/>
            <w:vAlign w:val="bottom"/>
          </w:tcPr>
          <w:p w14:paraId="518B7C9A" w14:textId="77777777" w:rsidR="005C332D" w:rsidRDefault="005C332D">
            <w:pPr>
              <w:rPr>
                <w:rFonts w:ascii="宋体"/>
              </w:rPr>
            </w:pPr>
          </w:p>
        </w:tc>
        <w:tc>
          <w:tcPr>
            <w:tcW w:w="50" w:type="pct"/>
            <w:shd w:val="clear" w:color="auto" w:fill="auto"/>
            <w:vAlign w:val="bottom"/>
          </w:tcPr>
          <w:p w14:paraId="518B7C9B" w14:textId="77777777" w:rsidR="005C332D" w:rsidRDefault="005C332D">
            <w:pPr>
              <w:rPr>
                <w:rFonts w:ascii="宋体"/>
              </w:rPr>
            </w:pPr>
          </w:p>
        </w:tc>
        <w:tc>
          <w:tcPr>
            <w:tcW w:w="581" w:type="pct"/>
            <w:shd w:val="clear" w:color="auto" w:fill="auto"/>
            <w:vAlign w:val="bottom"/>
          </w:tcPr>
          <w:p w14:paraId="518B7C9C" w14:textId="77777777" w:rsidR="005C332D" w:rsidRDefault="005C332D">
            <w:pPr>
              <w:rPr>
                <w:rFonts w:ascii="宋体"/>
              </w:rPr>
            </w:pPr>
          </w:p>
        </w:tc>
        <w:tc>
          <w:tcPr>
            <w:tcW w:w="5" w:type="pct"/>
            <w:shd w:val="clear" w:color="auto" w:fill="auto"/>
            <w:vAlign w:val="bottom"/>
          </w:tcPr>
          <w:p w14:paraId="518B7C9D" w14:textId="77777777" w:rsidR="005C332D" w:rsidRDefault="005C332D">
            <w:pPr>
              <w:rPr>
                <w:rFonts w:ascii="宋体"/>
              </w:rPr>
            </w:pPr>
          </w:p>
        </w:tc>
        <w:tc>
          <w:tcPr>
            <w:tcW w:w="5" w:type="pct"/>
            <w:shd w:val="clear" w:color="auto" w:fill="auto"/>
            <w:vAlign w:val="bottom"/>
          </w:tcPr>
          <w:p w14:paraId="518B7C9E" w14:textId="77777777" w:rsidR="005C332D" w:rsidRDefault="005C332D">
            <w:pPr>
              <w:rPr>
                <w:rFonts w:ascii="宋体"/>
              </w:rPr>
            </w:pPr>
          </w:p>
        </w:tc>
        <w:tc>
          <w:tcPr>
            <w:tcW w:w="26" w:type="pct"/>
            <w:shd w:val="clear" w:color="auto" w:fill="auto"/>
            <w:vAlign w:val="bottom"/>
          </w:tcPr>
          <w:p w14:paraId="518B7C9F" w14:textId="77777777" w:rsidR="005C332D" w:rsidRDefault="005C332D">
            <w:pPr>
              <w:rPr>
                <w:rFonts w:ascii="宋体"/>
              </w:rPr>
            </w:pPr>
          </w:p>
        </w:tc>
        <w:tc>
          <w:tcPr>
            <w:tcW w:w="5" w:type="pct"/>
            <w:shd w:val="clear" w:color="auto" w:fill="auto"/>
            <w:vAlign w:val="bottom"/>
          </w:tcPr>
          <w:p w14:paraId="518B7CA0" w14:textId="77777777" w:rsidR="005C332D" w:rsidRDefault="005C332D">
            <w:pPr>
              <w:rPr>
                <w:rFonts w:ascii="宋体"/>
              </w:rPr>
            </w:pPr>
          </w:p>
        </w:tc>
        <w:tc>
          <w:tcPr>
            <w:tcW w:w="50" w:type="pct"/>
            <w:shd w:val="clear" w:color="auto" w:fill="auto"/>
            <w:vAlign w:val="bottom"/>
          </w:tcPr>
          <w:p w14:paraId="518B7CA1" w14:textId="77777777" w:rsidR="005C332D" w:rsidRDefault="005C332D">
            <w:pPr>
              <w:rPr>
                <w:rFonts w:ascii="宋体"/>
              </w:rPr>
            </w:pPr>
          </w:p>
        </w:tc>
        <w:tc>
          <w:tcPr>
            <w:tcW w:w="581" w:type="pct"/>
            <w:shd w:val="clear" w:color="auto" w:fill="auto"/>
            <w:vAlign w:val="bottom"/>
          </w:tcPr>
          <w:p w14:paraId="518B7CA2" w14:textId="77777777" w:rsidR="005C332D" w:rsidRDefault="005C332D">
            <w:pPr>
              <w:rPr>
                <w:rFonts w:ascii="宋体"/>
              </w:rPr>
            </w:pPr>
          </w:p>
        </w:tc>
        <w:tc>
          <w:tcPr>
            <w:tcW w:w="5" w:type="pct"/>
            <w:shd w:val="clear" w:color="auto" w:fill="auto"/>
            <w:vAlign w:val="bottom"/>
          </w:tcPr>
          <w:p w14:paraId="518B7CA3" w14:textId="77777777" w:rsidR="005C332D" w:rsidRDefault="005C332D">
            <w:pPr>
              <w:rPr>
                <w:rFonts w:ascii="宋体"/>
              </w:rPr>
            </w:pPr>
          </w:p>
        </w:tc>
        <w:tc>
          <w:tcPr>
            <w:tcW w:w="5" w:type="pct"/>
            <w:shd w:val="clear" w:color="auto" w:fill="auto"/>
            <w:vAlign w:val="bottom"/>
          </w:tcPr>
          <w:p w14:paraId="518B7CA4" w14:textId="77777777" w:rsidR="005C332D" w:rsidRDefault="005C332D">
            <w:pPr>
              <w:rPr>
                <w:rFonts w:ascii="宋体"/>
              </w:rPr>
            </w:pPr>
          </w:p>
        </w:tc>
        <w:tc>
          <w:tcPr>
            <w:tcW w:w="26" w:type="pct"/>
            <w:shd w:val="clear" w:color="auto" w:fill="auto"/>
            <w:vAlign w:val="bottom"/>
          </w:tcPr>
          <w:p w14:paraId="518B7CA5" w14:textId="77777777" w:rsidR="005C332D" w:rsidRDefault="005C332D">
            <w:pPr>
              <w:rPr>
                <w:rFonts w:ascii="宋体"/>
              </w:rPr>
            </w:pPr>
          </w:p>
        </w:tc>
        <w:tc>
          <w:tcPr>
            <w:tcW w:w="5" w:type="pct"/>
            <w:shd w:val="clear" w:color="auto" w:fill="auto"/>
            <w:vAlign w:val="bottom"/>
          </w:tcPr>
          <w:p w14:paraId="518B7CA6" w14:textId="77777777" w:rsidR="005C332D" w:rsidRDefault="005C332D">
            <w:pPr>
              <w:rPr>
                <w:rFonts w:ascii="宋体"/>
              </w:rPr>
            </w:pPr>
          </w:p>
        </w:tc>
        <w:tc>
          <w:tcPr>
            <w:tcW w:w="50" w:type="pct"/>
            <w:shd w:val="clear" w:color="auto" w:fill="auto"/>
            <w:vAlign w:val="bottom"/>
          </w:tcPr>
          <w:p w14:paraId="518B7CA7" w14:textId="77777777" w:rsidR="005C332D" w:rsidRDefault="005C332D">
            <w:pPr>
              <w:rPr>
                <w:rFonts w:ascii="宋体"/>
              </w:rPr>
            </w:pPr>
          </w:p>
        </w:tc>
        <w:tc>
          <w:tcPr>
            <w:tcW w:w="581" w:type="pct"/>
            <w:shd w:val="clear" w:color="auto" w:fill="auto"/>
            <w:vAlign w:val="bottom"/>
          </w:tcPr>
          <w:p w14:paraId="518B7CA8" w14:textId="77777777" w:rsidR="005C332D" w:rsidRDefault="005C332D">
            <w:pPr>
              <w:rPr>
                <w:rFonts w:ascii="宋体"/>
              </w:rPr>
            </w:pPr>
          </w:p>
        </w:tc>
        <w:tc>
          <w:tcPr>
            <w:tcW w:w="5" w:type="pct"/>
            <w:shd w:val="clear" w:color="auto" w:fill="auto"/>
            <w:vAlign w:val="bottom"/>
          </w:tcPr>
          <w:p w14:paraId="518B7CA9" w14:textId="77777777" w:rsidR="005C332D" w:rsidRDefault="005C332D">
            <w:pPr>
              <w:rPr>
                <w:rFonts w:ascii="宋体"/>
              </w:rPr>
            </w:pPr>
          </w:p>
        </w:tc>
        <w:tc>
          <w:tcPr>
            <w:tcW w:w="5" w:type="pct"/>
            <w:shd w:val="clear" w:color="auto" w:fill="auto"/>
            <w:vAlign w:val="bottom"/>
          </w:tcPr>
          <w:p w14:paraId="518B7CAA" w14:textId="77777777" w:rsidR="005C332D" w:rsidRDefault="005C332D">
            <w:pPr>
              <w:rPr>
                <w:rFonts w:ascii="宋体"/>
              </w:rPr>
            </w:pPr>
          </w:p>
        </w:tc>
        <w:tc>
          <w:tcPr>
            <w:tcW w:w="26" w:type="pct"/>
            <w:shd w:val="clear" w:color="auto" w:fill="auto"/>
            <w:vAlign w:val="bottom"/>
          </w:tcPr>
          <w:p w14:paraId="518B7CAB" w14:textId="77777777" w:rsidR="005C332D" w:rsidRDefault="005C332D">
            <w:pPr>
              <w:rPr>
                <w:rFonts w:ascii="宋体"/>
              </w:rPr>
            </w:pPr>
          </w:p>
        </w:tc>
        <w:tc>
          <w:tcPr>
            <w:tcW w:w="5" w:type="pct"/>
            <w:shd w:val="clear" w:color="auto" w:fill="auto"/>
            <w:vAlign w:val="bottom"/>
          </w:tcPr>
          <w:p w14:paraId="518B7CAC" w14:textId="77777777" w:rsidR="005C332D" w:rsidRDefault="005C332D">
            <w:pPr>
              <w:rPr>
                <w:rFonts w:ascii="宋体"/>
              </w:rPr>
            </w:pPr>
          </w:p>
        </w:tc>
        <w:tc>
          <w:tcPr>
            <w:tcW w:w="50" w:type="pct"/>
            <w:shd w:val="clear" w:color="auto" w:fill="auto"/>
            <w:vAlign w:val="bottom"/>
          </w:tcPr>
          <w:p w14:paraId="518B7CAD" w14:textId="77777777" w:rsidR="005C332D" w:rsidRDefault="005C332D">
            <w:pPr>
              <w:rPr>
                <w:rFonts w:ascii="宋体"/>
              </w:rPr>
            </w:pPr>
          </w:p>
        </w:tc>
        <w:tc>
          <w:tcPr>
            <w:tcW w:w="582" w:type="pct"/>
            <w:shd w:val="clear" w:color="auto" w:fill="auto"/>
            <w:vAlign w:val="bottom"/>
          </w:tcPr>
          <w:p w14:paraId="518B7CAE" w14:textId="77777777" w:rsidR="005C332D" w:rsidRDefault="005C332D">
            <w:pPr>
              <w:rPr>
                <w:rFonts w:ascii="宋体"/>
              </w:rPr>
            </w:pPr>
          </w:p>
        </w:tc>
        <w:tc>
          <w:tcPr>
            <w:tcW w:w="5" w:type="pct"/>
            <w:shd w:val="clear" w:color="auto" w:fill="auto"/>
            <w:vAlign w:val="bottom"/>
          </w:tcPr>
          <w:p w14:paraId="518B7CAF" w14:textId="77777777" w:rsidR="005C332D" w:rsidRDefault="005C332D">
            <w:pPr>
              <w:rPr>
                <w:rFonts w:ascii="宋体"/>
              </w:rPr>
            </w:pPr>
          </w:p>
        </w:tc>
      </w:tr>
      <w:tr w:rsidR="005C332D" w14:paraId="518B7CB9" w14:textId="77777777">
        <w:trPr>
          <w:jc w:val="center"/>
        </w:trPr>
        <w:tc>
          <w:tcPr>
            <w:tcW w:w="0" w:type="auto"/>
            <w:gridSpan w:val="3"/>
            <w:shd w:val="clear" w:color="auto" w:fill="auto"/>
            <w:tcMar>
              <w:top w:w="0" w:type="dxa"/>
              <w:left w:w="20" w:type="dxa"/>
              <w:bottom w:w="0" w:type="dxa"/>
              <w:right w:w="20" w:type="dxa"/>
            </w:tcMar>
            <w:vAlign w:val="bottom"/>
          </w:tcPr>
          <w:p w14:paraId="518B7CB1"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CB2" w14:textId="77777777" w:rsidR="005C332D" w:rsidRDefault="00B93EAE">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vAlign w:val="bottom"/>
          </w:tcPr>
          <w:p w14:paraId="518B7CB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CB4" w14:textId="77777777" w:rsidR="005C332D" w:rsidRDefault="00B93EAE">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vAlign w:val="bottom"/>
          </w:tcPr>
          <w:p w14:paraId="518B7CB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CB6" w14:textId="77777777" w:rsidR="005C332D" w:rsidRDefault="00B93EAE">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vAlign w:val="bottom"/>
          </w:tcPr>
          <w:p w14:paraId="518B7CB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CB8" w14:textId="77777777" w:rsidR="005C332D" w:rsidRDefault="00B93EAE">
            <w:pPr>
              <w:jc w:val="center"/>
              <w:textAlignment w:val="bottom"/>
            </w:pPr>
            <w:r>
              <w:rPr>
                <w:rFonts w:ascii="Times New Roman" w:eastAsia="宋体" w:hAnsi="Times New Roman"/>
                <w:color w:val="000000"/>
                <w:sz w:val="18"/>
                <w:szCs w:val="18"/>
              </w:rPr>
              <w:t xml:space="preserve">Accumulated Other </w:t>
            </w:r>
            <w:r>
              <w:rPr>
                <w:rFonts w:ascii="Times New Roman" w:eastAsia="宋体" w:hAnsi="Times New Roman"/>
                <w:color w:val="000000"/>
                <w:sz w:val="18"/>
                <w:szCs w:val="18"/>
              </w:rPr>
              <w:t>Comprehensive Income (Loss)</w:t>
            </w:r>
          </w:p>
        </w:tc>
      </w:tr>
      <w:tr w:rsidR="005C332D" w14:paraId="518B7CCA" w14:textId="77777777">
        <w:trPr>
          <w:jc w:val="center"/>
        </w:trPr>
        <w:tc>
          <w:tcPr>
            <w:tcW w:w="0" w:type="auto"/>
            <w:gridSpan w:val="3"/>
            <w:shd w:val="clear" w:color="auto" w:fill="CCEEFF"/>
            <w:tcMar>
              <w:top w:w="40" w:type="dxa"/>
              <w:left w:w="20" w:type="dxa"/>
              <w:bottom w:w="40" w:type="dxa"/>
              <w:right w:w="20" w:type="dxa"/>
            </w:tcMar>
          </w:tcPr>
          <w:p w14:paraId="518B7CBA" w14:textId="77777777" w:rsidR="005C332D" w:rsidRDefault="00B93EAE">
            <w:pPr>
              <w:textAlignment w:val="top"/>
            </w:pPr>
            <w:r>
              <w:rPr>
                <w:rFonts w:ascii="Times New Roman" w:eastAsia="宋体" w:hAnsi="Times New Roman"/>
                <w:color w:val="000000"/>
                <w:sz w:val="20"/>
                <w:szCs w:val="20"/>
              </w:rPr>
              <w:t>BALANCE AT JULY 27, 2019</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CB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CBC" w14:textId="77777777" w:rsidR="005C332D" w:rsidRDefault="00B93EA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CB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CBE"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CBF"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CC0" w14:textId="77777777" w:rsidR="005C332D" w:rsidRDefault="00B93EAE">
            <w:pPr>
              <w:jc w:val="right"/>
              <w:textAlignment w:val="bottom"/>
            </w:pPr>
            <w:r>
              <w:rPr>
                <w:rFonts w:ascii="Times New Roman" w:eastAsia="宋体" w:hAnsi="Times New Roman"/>
                <w:color w:val="000000"/>
                <w:sz w:val="20"/>
                <w:szCs w:val="20"/>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CC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CC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CC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CC4" w14:textId="77777777" w:rsidR="005C332D" w:rsidRDefault="00B93EAE">
            <w:pPr>
              <w:jc w:val="right"/>
              <w:textAlignment w:val="bottom"/>
            </w:pPr>
            <w:r>
              <w:rPr>
                <w:rFonts w:ascii="Times New Roman" w:eastAsia="宋体" w:hAnsi="Times New Roman"/>
                <w:color w:val="000000"/>
                <w:sz w:val="20"/>
                <w:szCs w:val="20"/>
              </w:rPr>
              <w:t>(778)</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CC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CC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CC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CC8" w14:textId="77777777" w:rsidR="005C332D" w:rsidRDefault="00B93EAE">
            <w:pPr>
              <w:jc w:val="right"/>
              <w:textAlignment w:val="bottom"/>
            </w:pPr>
            <w:r>
              <w:rPr>
                <w:rFonts w:ascii="Times New Roman" w:eastAsia="宋体" w:hAnsi="Times New Roman"/>
                <w:color w:val="000000"/>
                <w:sz w:val="20"/>
                <w:szCs w:val="20"/>
              </w:rPr>
              <w:t>(792)</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CC9" w14:textId="77777777" w:rsidR="005C332D" w:rsidRDefault="005C332D">
            <w:pPr>
              <w:jc w:val="right"/>
              <w:rPr>
                <w:rFonts w:ascii="宋体"/>
              </w:rPr>
            </w:pPr>
          </w:p>
        </w:tc>
      </w:tr>
      <w:tr w:rsidR="005C332D" w14:paraId="518B7CD7" w14:textId="77777777">
        <w:trPr>
          <w:jc w:val="center"/>
        </w:trPr>
        <w:tc>
          <w:tcPr>
            <w:tcW w:w="0" w:type="auto"/>
            <w:gridSpan w:val="3"/>
            <w:shd w:val="clear" w:color="auto" w:fill="FFFFFF"/>
            <w:tcMar>
              <w:top w:w="40" w:type="dxa"/>
              <w:left w:w="245" w:type="dxa"/>
              <w:bottom w:w="40" w:type="dxa"/>
              <w:right w:w="20" w:type="dxa"/>
            </w:tcMar>
          </w:tcPr>
          <w:p w14:paraId="518B7CCB" w14:textId="77777777" w:rsidR="005C332D" w:rsidRDefault="00B93EAE">
            <w:pPr>
              <w:textAlignment w:val="top"/>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518B7CCC" w14:textId="77777777" w:rsidR="005C332D" w:rsidRDefault="00B93EAE">
            <w:pPr>
              <w:jc w:val="right"/>
              <w:textAlignment w:val="bottom"/>
            </w:pPr>
            <w:r>
              <w:rPr>
                <w:rFonts w:ascii="Times New Roman" w:eastAsia="宋体" w:hAnsi="Times New Roman"/>
                <w:color w:val="000000"/>
                <w:sz w:val="20"/>
                <w:szCs w:val="20"/>
              </w:rPr>
              <w:t>420 </w:t>
            </w:r>
          </w:p>
        </w:tc>
        <w:tc>
          <w:tcPr>
            <w:tcW w:w="0" w:type="auto"/>
            <w:shd w:val="clear" w:color="auto" w:fill="FFFFFF"/>
            <w:tcMar>
              <w:top w:w="40" w:type="dxa"/>
              <w:left w:w="0" w:type="dxa"/>
              <w:bottom w:w="40" w:type="dxa"/>
              <w:right w:w="20" w:type="dxa"/>
            </w:tcMar>
            <w:vAlign w:val="bottom"/>
          </w:tcPr>
          <w:p w14:paraId="518B7CC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CC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CCF" w14:textId="77777777" w:rsidR="005C332D" w:rsidRDefault="00B93EAE">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518B7CD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CD1"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CD2" w14:textId="77777777" w:rsidR="005C332D" w:rsidRDefault="00B93EAE">
            <w:pPr>
              <w:jc w:val="right"/>
              <w:textAlignment w:val="bottom"/>
            </w:pPr>
            <w:r>
              <w:rPr>
                <w:rFonts w:ascii="Times New Roman" w:eastAsia="宋体" w:hAnsi="Times New Roman"/>
                <w:color w:val="000000"/>
                <w:sz w:val="20"/>
                <w:szCs w:val="20"/>
              </w:rPr>
              <w:t>(51)</w:t>
            </w:r>
          </w:p>
        </w:tc>
        <w:tc>
          <w:tcPr>
            <w:tcW w:w="0" w:type="auto"/>
            <w:shd w:val="clear" w:color="auto" w:fill="FFFFFF"/>
            <w:tcMar>
              <w:top w:w="40" w:type="dxa"/>
              <w:left w:w="0" w:type="dxa"/>
              <w:bottom w:w="40" w:type="dxa"/>
              <w:right w:w="20" w:type="dxa"/>
            </w:tcMar>
            <w:vAlign w:val="bottom"/>
          </w:tcPr>
          <w:p w14:paraId="518B7CD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CD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CD5" w14:textId="77777777" w:rsidR="005C332D" w:rsidRDefault="00B93EAE">
            <w:pPr>
              <w:jc w:val="right"/>
              <w:textAlignment w:val="bottom"/>
            </w:pPr>
            <w:r>
              <w:rPr>
                <w:rFonts w:ascii="Times New Roman" w:eastAsia="宋体" w:hAnsi="Times New Roman"/>
                <w:color w:val="000000"/>
                <w:sz w:val="20"/>
                <w:szCs w:val="20"/>
              </w:rPr>
              <w:t>376 </w:t>
            </w:r>
          </w:p>
        </w:tc>
        <w:tc>
          <w:tcPr>
            <w:tcW w:w="0" w:type="auto"/>
            <w:shd w:val="clear" w:color="auto" w:fill="FFFFFF"/>
            <w:tcMar>
              <w:top w:w="40" w:type="dxa"/>
              <w:left w:w="0" w:type="dxa"/>
              <w:bottom w:w="40" w:type="dxa"/>
              <w:right w:w="20" w:type="dxa"/>
            </w:tcMar>
            <w:vAlign w:val="bottom"/>
          </w:tcPr>
          <w:p w14:paraId="518B7CD6" w14:textId="77777777" w:rsidR="005C332D" w:rsidRDefault="005C332D">
            <w:pPr>
              <w:jc w:val="right"/>
              <w:rPr>
                <w:rFonts w:ascii="宋体"/>
              </w:rPr>
            </w:pPr>
          </w:p>
        </w:tc>
      </w:tr>
      <w:tr w:rsidR="005C332D" w14:paraId="518B7CE4" w14:textId="77777777">
        <w:trPr>
          <w:jc w:val="center"/>
        </w:trPr>
        <w:tc>
          <w:tcPr>
            <w:tcW w:w="0" w:type="auto"/>
            <w:gridSpan w:val="3"/>
            <w:shd w:val="clear" w:color="auto" w:fill="CCEEFF"/>
            <w:tcMar>
              <w:top w:w="40" w:type="dxa"/>
              <w:left w:w="245" w:type="dxa"/>
              <w:bottom w:w="40" w:type="dxa"/>
              <w:right w:w="20" w:type="dxa"/>
            </w:tcMar>
          </w:tcPr>
          <w:p w14:paraId="518B7CD8" w14:textId="77777777" w:rsidR="005C332D" w:rsidRDefault="00B93EAE">
            <w:pPr>
              <w:textAlignment w:val="top"/>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518B7CD9" w14:textId="77777777" w:rsidR="005C332D" w:rsidRDefault="00B93EAE">
            <w:pPr>
              <w:jc w:val="right"/>
              <w:textAlignment w:val="bottom"/>
            </w:pPr>
            <w:r>
              <w:rPr>
                <w:rFonts w:ascii="Times New Roman" w:eastAsia="宋体" w:hAnsi="Times New Roman"/>
                <w:color w:val="000000"/>
                <w:sz w:val="20"/>
                <w:szCs w:val="20"/>
              </w:rPr>
              <w:t>(42)</w:t>
            </w:r>
          </w:p>
        </w:tc>
        <w:tc>
          <w:tcPr>
            <w:tcW w:w="0" w:type="auto"/>
            <w:shd w:val="clear" w:color="auto" w:fill="CCEEFF"/>
            <w:tcMar>
              <w:top w:w="40" w:type="dxa"/>
              <w:left w:w="0" w:type="dxa"/>
              <w:bottom w:w="40" w:type="dxa"/>
              <w:right w:w="20" w:type="dxa"/>
            </w:tcMar>
            <w:vAlign w:val="bottom"/>
          </w:tcPr>
          <w:p w14:paraId="518B7CD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CD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CDC"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518B7CD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CD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CDF" w14:textId="77777777" w:rsidR="005C332D" w:rsidRDefault="00B93EA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518B7CE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CE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CE2" w14:textId="77777777" w:rsidR="005C332D" w:rsidRDefault="00B93EAE">
            <w:pPr>
              <w:jc w:val="right"/>
              <w:textAlignment w:val="bottom"/>
            </w:pPr>
            <w:r>
              <w:rPr>
                <w:rFonts w:ascii="Times New Roman" w:eastAsia="宋体" w:hAnsi="Times New Roman"/>
                <w:color w:val="000000"/>
                <w:sz w:val="20"/>
                <w:szCs w:val="20"/>
              </w:rPr>
              <w:t>(35)</w:t>
            </w:r>
          </w:p>
        </w:tc>
        <w:tc>
          <w:tcPr>
            <w:tcW w:w="0" w:type="auto"/>
            <w:shd w:val="clear" w:color="auto" w:fill="CCEEFF"/>
            <w:tcMar>
              <w:top w:w="40" w:type="dxa"/>
              <w:left w:w="0" w:type="dxa"/>
              <w:bottom w:w="40" w:type="dxa"/>
              <w:right w:w="20" w:type="dxa"/>
            </w:tcMar>
            <w:vAlign w:val="bottom"/>
          </w:tcPr>
          <w:p w14:paraId="518B7CE3" w14:textId="77777777" w:rsidR="005C332D" w:rsidRDefault="005C332D">
            <w:pPr>
              <w:jc w:val="right"/>
              <w:rPr>
                <w:rFonts w:ascii="宋体"/>
              </w:rPr>
            </w:pPr>
          </w:p>
        </w:tc>
      </w:tr>
      <w:tr w:rsidR="005C332D" w14:paraId="518B7CF1" w14:textId="77777777">
        <w:trPr>
          <w:jc w:val="center"/>
        </w:trPr>
        <w:tc>
          <w:tcPr>
            <w:tcW w:w="0" w:type="auto"/>
            <w:gridSpan w:val="3"/>
            <w:shd w:val="clear" w:color="auto" w:fill="FFFFFF"/>
            <w:tcMar>
              <w:top w:w="40" w:type="dxa"/>
              <w:left w:w="245" w:type="dxa"/>
              <w:bottom w:w="40" w:type="dxa"/>
              <w:right w:w="20" w:type="dxa"/>
            </w:tcMar>
          </w:tcPr>
          <w:p w14:paraId="518B7CE5" w14:textId="77777777" w:rsidR="005C332D" w:rsidRDefault="00B93EAE">
            <w:pPr>
              <w:textAlignment w:val="top"/>
            </w:pPr>
            <w:r>
              <w:rPr>
                <w:rFonts w:ascii="Times New Roman" w:eastAsia="宋体" w:hAnsi="Times New Roman"/>
                <w:color w:val="000000"/>
                <w:sz w:val="20"/>
                <w:szCs w:val="20"/>
              </w:rPr>
              <w:t>Tax benefit (expense)</w:t>
            </w:r>
          </w:p>
        </w:tc>
        <w:tc>
          <w:tcPr>
            <w:tcW w:w="0" w:type="auto"/>
            <w:gridSpan w:val="2"/>
            <w:shd w:val="clear" w:color="auto" w:fill="FFFFFF"/>
            <w:tcMar>
              <w:top w:w="40" w:type="dxa"/>
              <w:left w:w="20" w:type="dxa"/>
              <w:bottom w:w="40" w:type="dxa"/>
              <w:right w:w="0" w:type="dxa"/>
            </w:tcMar>
            <w:vAlign w:val="bottom"/>
          </w:tcPr>
          <w:p w14:paraId="518B7CE6" w14:textId="77777777" w:rsidR="005C332D" w:rsidRDefault="00B93EAE">
            <w:pPr>
              <w:jc w:val="right"/>
              <w:textAlignment w:val="bottom"/>
            </w:pPr>
            <w:r>
              <w:rPr>
                <w:rFonts w:ascii="Times New Roman" w:eastAsia="宋体" w:hAnsi="Times New Roman"/>
                <w:color w:val="000000"/>
                <w:sz w:val="20"/>
                <w:szCs w:val="20"/>
              </w:rPr>
              <w:t>(63)</w:t>
            </w:r>
          </w:p>
        </w:tc>
        <w:tc>
          <w:tcPr>
            <w:tcW w:w="0" w:type="auto"/>
            <w:shd w:val="clear" w:color="auto" w:fill="FFFFFF"/>
            <w:tcMar>
              <w:top w:w="40" w:type="dxa"/>
              <w:left w:w="0" w:type="dxa"/>
              <w:bottom w:w="40" w:type="dxa"/>
              <w:right w:w="20" w:type="dxa"/>
            </w:tcMar>
            <w:vAlign w:val="bottom"/>
          </w:tcPr>
          <w:p w14:paraId="518B7CE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CE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CE9"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CE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CE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CEC" w14:textId="77777777" w:rsidR="005C332D" w:rsidRDefault="00B93EAE">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518B7CE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CE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CEF" w14:textId="77777777" w:rsidR="005C332D" w:rsidRDefault="00B93EAE">
            <w:pPr>
              <w:jc w:val="right"/>
              <w:textAlignment w:val="bottom"/>
            </w:pPr>
            <w:r>
              <w:rPr>
                <w:rFonts w:ascii="Times New Roman" w:eastAsia="宋体" w:hAnsi="Times New Roman"/>
                <w:color w:val="000000"/>
                <w:sz w:val="20"/>
                <w:szCs w:val="20"/>
              </w:rPr>
              <w:t>(68)</w:t>
            </w:r>
          </w:p>
        </w:tc>
        <w:tc>
          <w:tcPr>
            <w:tcW w:w="0" w:type="auto"/>
            <w:shd w:val="clear" w:color="auto" w:fill="FFFFFF"/>
            <w:tcMar>
              <w:top w:w="40" w:type="dxa"/>
              <w:left w:w="0" w:type="dxa"/>
              <w:bottom w:w="40" w:type="dxa"/>
              <w:right w:w="20" w:type="dxa"/>
            </w:tcMar>
            <w:vAlign w:val="bottom"/>
          </w:tcPr>
          <w:p w14:paraId="518B7CF0" w14:textId="77777777" w:rsidR="005C332D" w:rsidRDefault="005C332D">
            <w:pPr>
              <w:jc w:val="right"/>
              <w:rPr>
                <w:rFonts w:ascii="宋体"/>
              </w:rPr>
            </w:pPr>
          </w:p>
        </w:tc>
      </w:tr>
      <w:tr w:rsidR="005C332D" w14:paraId="518B7CFE" w14:textId="77777777">
        <w:trPr>
          <w:jc w:val="center"/>
        </w:trPr>
        <w:tc>
          <w:tcPr>
            <w:tcW w:w="0" w:type="auto"/>
            <w:gridSpan w:val="3"/>
            <w:shd w:val="clear" w:color="auto" w:fill="CCEEFF"/>
            <w:tcMar>
              <w:top w:w="40" w:type="dxa"/>
              <w:left w:w="20" w:type="dxa"/>
              <w:bottom w:w="40" w:type="dxa"/>
              <w:right w:w="20" w:type="dxa"/>
            </w:tcMar>
          </w:tcPr>
          <w:p w14:paraId="518B7CF2" w14:textId="77777777" w:rsidR="005C332D" w:rsidRDefault="00B93EAE">
            <w:pPr>
              <w:textAlignment w:val="top"/>
            </w:pPr>
            <w:r>
              <w:rPr>
                <w:rFonts w:ascii="Times New Roman" w:eastAsia="宋体" w:hAnsi="Times New Roman"/>
                <w:color w:val="000000"/>
                <w:sz w:val="20"/>
                <w:szCs w:val="20"/>
              </w:rPr>
              <w:t>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CF3" w14:textId="77777777" w:rsidR="005C332D" w:rsidRDefault="00B93EAE">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CF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CF5"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CF6" w14:textId="77777777" w:rsidR="005C332D" w:rsidRDefault="00B93EAE">
            <w:pPr>
              <w:jc w:val="right"/>
              <w:textAlignment w:val="bottom"/>
            </w:pPr>
            <w:r>
              <w:rPr>
                <w:rFonts w:ascii="Times New Roman" w:eastAsia="宋体" w:hAnsi="Times New Roman"/>
                <w:color w:val="000000"/>
                <w:sz w:val="20"/>
                <w:szCs w:val="20"/>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CF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CF8"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CF9" w14:textId="77777777" w:rsidR="005C332D" w:rsidRDefault="00B93EAE">
            <w:pPr>
              <w:jc w:val="right"/>
              <w:textAlignment w:val="bottom"/>
            </w:pPr>
            <w:r>
              <w:rPr>
                <w:rFonts w:ascii="Times New Roman" w:eastAsia="宋体" w:hAnsi="Times New Roman"/>
                <w:color w:val="000000"/>
                <w:sz w:val="20"/>
                <w:szCs w:val="20"/>
              </w:rPr>
              <w:t>(828)</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CF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CFB"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CFC" w14:textId="77777777" w:rsidR="005C332D" w:rsidRDefault="00B93EAE">
            <w:pPr>
              <w:jc w:val="right"/>
              <w:textAlignment w:val="bottom"/>
            </w:pPr>
            <w:r>
              <w:rPr>
                <w:rFonts w:ascii="Times New Roman" w:eastAsia="宋体" w:hAnsi="Times New Roman"/>
                <w:color w:val="000000"/>
                <w:sz w:val="20"/>
                <w:szCs w:val="20"/>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CFD" w14:textId="77777777" w:rsidR="005C332D" w:rsidRDefault="005C332D">
            <w:pPr>
              <w:jc w:val="right"/>
              <w:rPr>
                <w:rFonts w:ascii="宋体"/>
              </w:rPr>
            </w:pPr>
          </w:p>
        </w:tc>
      </w:tr>
      <w:tr w:rsidR="005C332D" w14:paraId="518B7D0B" w14:textId="77777777">
        <w:trPr>
          <w:jc w:val="center"/>
        </w:trPr>
        <w:tc>
          <w:tcPr>
            <w:tcW w:w="0" w:type="auto"/>
            <w:gridSpan w:val="3"/>
            <w:shd w:val="clear" w:color="auto" w:fill="FFFFFF"/>
            <w:tcMar>
              <w:top w:w="40" w:type="dxa"/>
              <w:left w:w="245" w:type="dxa"/>
              <w:bottom w:w="40" w:type="dxa"/>
              <w:right w:w="20" w:type="dxa"/>
            </w:tcMar>
          </w:tcPr>
          <w:p w14:paraId="518B7CFF" w14:textId="77777777" w:rsidR="005C332D" w:rsidRDefault="00B93EAE">
            <w:pPr>
              <w:textAlignment w:val="top"/>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518B7D00" w14:textId="77777777" w:rsidR="005C332D" w:rsidRDefault="00B93EAE">
            <w:pPr>
              <w:jc w:val="right"/>
              <w:textAlignment w:val="bottom"/>
            </w:pPr>
            <w:r>
              <w:rPr>
                <w:rFonts w:ascii="Times New Roman" w:eastAsia="宋体" w:hAnsi="Times New Roman"/>
                <w:color w:val="000000"/>
                <w:sz w:val="20"/>
                <w:szCs w:val="20"/>
              </w:rPr>
              <w:t>(141)</w:t>
            </w:r>
          </w:p>
        </w:tc>
        <w:tc>
          <w:tcPr>
            <w:tcW w:w="0" w:type="auto"/>
            <w:shd w:val="clear" w:color="auto" w:fill="FFFFFF"/>
            <w:tcMar>
              <w:top w:w="40" w:type="dxa"/>
              <w:left w:w="0" w:type="dxa"/>
              <w:bottom w:w="40" w:type="dxa"/>
              <w:right w:w="20" w:type="dxa"/>
            </w:tcMar>
            <w:vAlign w:val="bottom"/>
          </w:tcPr>
          <w:p w14:paraId="518B7D0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0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03" w14:textId="77777777" w:rsidR="005C332D" w:rsidRDefault="00B93EAE">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518B7D0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05"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06" w14:textId="77777777" w:rsidR="005C332D" w:rsidRDefault="00B93EAE">
            <w:pPr>
              <w:jc w:val="right"/>
              <w:textAlignment w:val="bottom"/>
            </w:pPr>
            <w:r>
              <w:rPr>
                <w:rFonts w:ascii="Times New Roman" w:eastAsia="宋体" w:hAnsi="Times New Roman"/>
                <w:color w:val="000000"/>
                <w:sz w:val="20"/>
                <w:szCs w:val="20"/>
              </w:rPr>
              <w:t>229 </w:t>
            </w:r>
          </w:p>
        </w:tc>
        <w:tc>
          <w:tcPr>
            <w:tcW w:w="0" w:type="auto"/>
            <w:shd w:val="clear" w:color="auto" w:fill="FFFFFF"/>
            <w:tcMar>
              <w:top w:w="40" w:type="dxa"/>
              <w:left w:w="0" w:type="dxa"/>
              <w:bottom w:w="40" w:type="dxa"/>
              <w:right w:w="20" w:type="dxa"/>
            </w:tcMar>
            <w:vAlign w:val="bottom"/>
          </w:tcPr>
          <w:p w14:paraId="518B7D0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0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09" w14:textId="77777777" w:rsidR="005C332D" w:rsidRDefault="00B93EAE">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518B7D0A" w14:textId="77777777" w:rsidR="005C332D" w:rsidRDefault="005C332D">
            <w:pPr>
              <w:jc w:val="right"/>
              <w:rPr>
                <w:rFonts w:ascii="宋体"/>
              </w:rPr>
            </w:pPr>
          </w:p>
        </w:tc>
      </w:tr>
      <w:tr w:rsidR="005C332D" w14:paraId="518B7D18" w14:textId="77777777">
        <w:trPr>
          <w:jc w:val="center"/>
        </w:trPr>
        <w:tc>
          <w:tcPr>
            <w:tcW w:w="0" w:type="auto"/>
            <w:gridSpan w:val="3"/>
            <w:shd w:val="clear" w:color="auto" w:fill="CCEEFF"/>
            <w:tcMar>
              <w:top w:w="40" w:type="dxa"/>
              <w:left w:w="245" w:type="dxa"/>
              <w:bottom w:w="40" w:type="dxa"/>
              <w:right w:w="20" w:type="dxa"/>
            </w:tcMar>
          </w:tcPr>
          <w:p w14:paraId="518B7D0C" w14:textId="77777777" w:rsidR="005C332D" w:rsidRDefault="00B93EAE">
            <w:pPr>
              <w:textAlignment w:val="top"/>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518B7D0D" w14:textId="77777777" w:rsidR="005C332D" w:rsidRDefault="00B93EAE">
            <w:pPr>
              <w:jc w:val="right"/>
              <w:textAlignment w:val="bottom"/>
            </w:pPr>
            <w:r>
              <w:rPr>
                <w:rFonts w:ascii="Times New Roman" w:eastAsia="宋体" w:hAnsi="Times New Roman"/>
                <w:color w:val="000000"/>
                <w:sz w:val="20"/>
                <w:szCs w:val="20"/>
              </w:rPr>
              <w:t>(53)</w:t>
            </w:r>
          </w:p>
        </w:tc>
        <w:tc>
          <w:tcPr>
            <w:tcW w:w="0" w:type="auto"/>
            <w:shd w:val="clear" w:color="auto" w:fill="CCEEFF"/>
            <w:tcMar>
              <w:top w:w="40" w:type="dxa"/>
              <w:left w:w="0" w:type="dxa"/>
              <w:bottom w:w="40" w:type="dxa"/>
              <w:right w:w="20" w:type="dxa"/>
            </w:tcMar>
            <w:vAlign w:val="bottom"/>
          </w:tcPr>
          <w:p w14:paraId="518B7D0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0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10" w14:textId="77777777" w:rsidR="005C332D" w:rsidRDefault="00B93EAE">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518B7D1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1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13" w14:textId="77777777" w:rsidR="005C332D" w:rsidRDefault="00B93EAE">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518B7D1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1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16" w14:textId="77777777" w:rsidR="005C332D" w:rsidRDefault="00B93EAE">
            <w:pPr>
              <w:jc w:val="right"/>
              <w:textAlignment w:val="bottom"/>
            </w:pPr>
            <w:r>
              <w:rPr>
                <w:rFonts w:ascii="Times New Roman" w:eastAsia="宋体" w:hAnsi="Times New Roman"/>
                <w:color w:val="000000"/>
                <w:sz w:val="20"/>
                <w:szCs w:val="20"/>
              </w:rPr>
              <w:t>(64)</w:t>
            </w:r>
          </w:p>
        </w:tc>
        <w:tc>
          <w:tcPr>
            <w:tcW w:w="0" w:type="auto"/>
            <w:shd w:val="clear" w:color="auto" w:fill="CCEEFF"/>
            <w:tcMar>
              <w:top w:w="40" w:type="dxa"/>
              <w:left w:w="0" w:type="dxa"/>
              <w:bottom w:w="40" w:type="dxa"/>
              <w:right w:w="20" w:type="dxa"/>
            </w:tcMar>
            <w:vAlign w:val="bottom"/>
          </w:tcPr>
          <w:p w14:paraId="518B7D17" w14:textId="77777777" w:rsidR="005C332D" w:rsidRDefault="005C332D">
            <w:pPr>
              <w:jc w:val="right"/>
              <w:rPr>
                <w:rFonts w:ascii="宋体"/>
              </w:rPr>
            </w:pPr>
          </w:p>
        </w:tc>
      </w:tr>
      <w:tr w:rsidR="005C332D" w14:paraId="518B7D25" w14:textId="77777777">
        <w:trPr>
          <w:jc w:val="center"/>
        </w:trPr>
        <w:tc>
          <w:tcPr>
            <w:tcW w:w="0" w:type="auto"/>
            <w:gridSpan w:val="3"/>
            <w:shd w:val="clear" w:color="auto" w:fill="FFFFFF"/>
            <w:tcMar>
              <w:top w:w="40" w:type="dxa"/>
              <w:left w:w="245" w:type="dxa"/>
              <w:bottom w:w="40" w:type="dxa"/>
              <w:right w:w="20" w:type="dxa"/>
            </w:tcMar>
          </w:tcPr>
          <w:p w14:paraId="518B7D19" w14:textId="77777777" w:rsidR="005C332D" w:rsidRDefault="00B93EAE">
            <w:pPr>
              <w:textAlignment w:val="top"/>
            </w:pPr>
            <w:r>
              <w:rPr>
                <w:rFonts w:ascii="Times New Roman" w:eastAsia="宋体" w:hAnsi="Times New Roman"/>
                <w:color w:val="000000"/>
                <w:sz w:val="20"/>
                <w:szCs w:val="20"/>
              </w:rPr>
              <w:t>Tax benefit (expense)</w:t>
            </w:r>
          </w:p>
        </w:tc>
        <w:tc>
          <w:tcPr>
            <w:tcW w:w="0" w:type="auto"/>
            <w:gridSpan w:val="2"/>
            <w:shd w:val="clear" w:color="auto" w:fill="FFFFFF"/>
            <w:tcMar>
              <w:top w:w="40" w:type="dxa"/>
              <w:left w:w="20" w:type="dxa"/>
              <w:bottom w:w="40" w:type="dxa"/>
              <w:right w:w="0" w:type="dxa"/>
            </w:tcMar>
            <w:vAlign w:val="bottom"/>
          </w:tcPr>
          <w:p w14:paraId="518B7D1A" w14:textId="77777777" w:rsidR="005C332D" w:rsidRDefault="00B93EAE">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518B7D1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1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1D" w14:textId="77777777" w:rsidR="005C332D" w:rsidRDefault="00B93EAE">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518B7D1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1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20" w14:textId="77777777" w:rsidR="005C332D" w:rsidRDefault="00B93EAE">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518B7D2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2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23" w14:textId="77777777" w:rsidR="005C332D" w:rsidRDefault="00B93EAE">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518B7D24" w14:textId="77777777" w:rsidR="005C332D" w:rsidRDefault="005C332D">
            <w:pPr>
              <w:jc w:val="right"/>
              <w:rPr>
                <w:rFonts w:ascii="宋体"/>
              </w:rPr>
            </w:pPr>
          </w:p>
        </w:tc>
      </w:tr>
      <w:tr w:rsidR="005C332D" w14:paraId="518B7D32" w14:textId="77777777">
        <w:trPr>
          <w:jc w:val="center"/>
        </w:trPr>
        <w:tc>
          <w:tcPr>
            <w:tcW w:w="0" w:type="auto"/>
            <w:gridSpan w:val="3"/>
            <w:shd w:val="clear" w:color="auto" w:fill="CCEEFF"/>
            <w:tcMar>
              <w:top w:w="40" w:type="dxa"/>
              <w:left w:w="20" w:type="dxa"/>
              <w:bottom w:w="40" w:type="dxa"/>
              <w:right w:w="20" w:type="dxa"/>
            </w:tcMar>
          </w:tcPr>
          <w:p w14:paraId="518B7D26" w14:textId="77777777" w:rsidR="005C332D" w:rsidRDefault="00B93EAE">
            <w:pPr>
              <w:textAlignment w:val="top"/>
            </w:pPr>
            <w:r>
              <w:rPr>
                <w:rFonts w:ascii="Times New Roman" w:eastAsia="宋体" w:hAnsi="Times New Roman"/>
                <w:b/>
                <w:bCs/>
                <w:color w:val="000000"/>
                <w:sz w:val="20"/>
                <w:szCs w:val="20"/>
              </w:rPr>
              <w:t>BALANCE AT JULY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D27" w14:textId="77777777" w:rsidR="005C332D" w:rsidRDefault="00B93EAE">
            <w:pPr>
              <w:jc w:val="right"/>
              <w:textAlignment w:val="bottom"/>
            </w:pPr>
            <w:r>
              <w:rPr>
                <w:rFonts w:ascii="Times New Roman" w:eastAsia="宋体" w:hAnsi="Times New Roman"/>
                <w:b/>
                <w:bCs/>
                <w:color w:val="000000"/>
                <w:sz w:val="20"/>
                <w:szCs w:val="20"/>
              </w:rPr>
              <w:t>182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D2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29"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D2A" w14:textId="77777777" w:rsidR="005C332D" w:rsidRDefault="00B93EAE">
            <w:pPr>
              <w:jc w:val="right"/>
              <w:textAlignment w:val="bottom"/>
            </w:pPr>
            <w:r>
              <w:rPr>
                <w:rFonts w:ascii="Times New Roman" w:eastAsia="宋体" w:hAnsi="Times New Roman"/>
                <w:b/>
                <w:bCs/>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D2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2C"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D2D" w14:textId="77777777" w:rsidR="005C332D" w:rsidRDefault="00B93EAE">
            <w:pPr>
              <w:jc w:val="right"/>
              <w:textAlignment w:val="bottom"/>
            </w:pPr>
            <w:r>
              <w:rPr>
                <w:rFonts w:ascii="Times New Roman" w:eastAsia="宋体" w:hAnsi="Times New Roman"/>
                <w:b/>
                <w:bCs/>
                <w:color w:val="000000"/>
                <w:sz w:val="20"/>
                <w:szCs w:val="20"/>
              </w:rPr>
              <w:t>(598)</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D2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2F"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D30" w14:textId="77777777" w:rsidR="005C332D" w:rsidRDefault="00B93EAE">
            <w:pPr>
              <w:jc w:val="right"/>
              <w:textAlignment w:val="bottom"/>
            </w:pPr>
            <w:r>
              <w:rPr>
                <w:rFonts w:ascii="Times New Roman" w:eastAsia="宋体" w:hAnsi="Times New Roman"/>
                <w:b/>
                <w:bCs/>
                <w:color w:val="000000"/>
                <w:sz w:val="20"/>
                <w:szCs w:val="20"/>
              </w:rPr>
              <w:t>(417)</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D31" w14:textId="77777777" w:rsidR="005C332D" w:rsidRDefault="005C332D">
            <w:pPr>
              <w:jc w:val="right"/>
              <w:rPr>
                <w:rFonts w:ascii="宋体"/>
              </w:rPr>
            </w:pPr>
          </w:p>
        </w:tc>
      </w:tr>
      <w:tr w:rsidR="005C332D" w14:paraId="518B7D3F" w14:textId="77777777">
        <w:trPr>
          <w:jc w:val="center"/>
        </w:trPr>
        <w:tc>
          <w:tcPr>
            <w:tcW w:w="0" w:type="auto"/>
            <w:gridSpan w:val="3"/>
            <w:shd w:val="clear" w:color="auto" w:fill="FFFFFF"/>
            <w:tcMar>
              <w:top w:w="40" w:type="dxa"/>
              <w:left w:w="245" w:type="dxa"/>
              <w:bottom w:w="40" w:type="dxa"/>
              <w:right w:w="20" w:type="dxa"/>
            </w:tcMar>
            <w:vAlign w:val="bottom"/>
          </w:tcPr>
          <w:p w14:paraId="518B7D33" w14:textId="77777777" w:rsidR="005C332D" w:rsidRDefault="00B93EAE">
            <w:pPr>
              <w:textAlignment w:val="bottom"/>
            </w:pPr>
            <w:r>
              <w:rPr>
                <w:rFonts w:ascii="Times New Roman" w:eastAsia="宋体" w:hAnsi="Times New Roman"/>
                <w:b/>
                <w:bCs/>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518B7D34" w14:textId="77777777" w:rsidR="005C332D" w:rsidRDefault="00B93EAE">
            <w:pPr>
              <w:jc w:val="right"/>
              <w:textAlignment w:val="bottom"/>
            </w:pPr>
            <w:r>
              <w:rPr>
                <w:rFonts w:ascii="Times New Roman" w:eastAsia="宋体" w:hAnsi="Times New Roman"/>
                <w:b/>
                <w:bCs/>
                <w:color w:val="000000"/>
                <w:sz w:val="20"/>
                <w:szCs w:val="20"/>
              </w:rPr>
              <w:t>(731)</w:t>
            </w:r>
          </w:p>
        </w:tc>
        <w:tc>
          <w:tcPr>
            <w:tcW w:w="0" w:type="auto"/>
            <w:shd w:val="clear" w:color="auto" w:fill="FFFFFF"/>
            <w:tcMar>
              <w:top w:w="40" w:type="dxa"/>
              <w:left w:w="0" w:type="dxa"/>
              <w:bottom w:w="40" w:type="dxa"/>
              <w:right w:w="20" w:type="dxa"/>
            </w:tcMar>
            <w:vAlign w:val="bottom"/>
          </w:tcPr>
          <w:p w14:paraId="518B7D3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3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37" w14:textId="77777777" w:rsidR="005C332D" w:rsidRDefault="00B93EAE">
            <w:pPr>
              <w:jc w:val="right"/>
              <w:textAlignment w:val="bottom"/>
            </w:pPr>
            <w:r>
              <w:rPr>
                <w:rFonts w:ascii="Times New Roman" w:eastAsia="宋体" w:hAnsi="Times New Roman"/>
                <w:b/>
                <w:bCs/>
                <w:color w:val="000000"/>
                <w:sz w:val="20"/>
                <w:szCs w:val="20"/>
              </w:rPr>
              <w:t>87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D3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3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3A" w14:textId="77777777" w:rsidR="005C332D" w:rsidRDefault="00B93EAE">
            <w:pPr>
              <w:jc w:val="right"/>
              <w:textAlignment w:val="bottom"/>
            </w:pPr>
            <w:r>
              <w:rPr>
                <w:rFonts w:ascii="Times New Roman" w:eastAsia="宋体" w:hAnsi="Times New Roman"/>
                <w:b/>
                <w:bCs/>
                <w:color w:val="000000"/>
                <w:sz w:val="20"/>
                <w:szCs w:val="20"/>
              </w:rPr>
              <w:t>(647)</w:t>
            </w:r>
          </w:p>
        </w:tc>
        <w:tc>
          <w:tcPr>
            <w:tcW w:w="0" w:type="auto"/>
            <w:shd w:val="clear" w:color="auto" w:fill="FFFFFF"/>
            <w:tcMar>
              <w:top w:w="40" w:type="dxa"/>
              <w:left w:w="0" w:type="dxa"/>
              <w:bottom w:w="40" w:type="dxa"/>
              <w:right w:w="20" w:type="dxa"/>
            </w:tcMar>
            <w:vAlign w:val="bottom"/>
          </w:tcPr>
          <w:p w14:paraId="518B7D3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3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3D" w14:textId="77777777" w:rsidR="005C332D" w:rsidRDefault="00B93EAE">
            <w:pPr>
              <w:jc w:val="right"/>
              <w:textAlignment w:val="bottom"/>
            </w:pPr>
            <w:r>
              <w:rPr>
                <w:rFonts w:ascii="Times New Roman" w:eastAsia="宋体" w:hAnsi="Times New Roman"/>
                <w:b/>
                <w:bCs/>
                <w:color w:val="000000"/>
                <w:sz w:val="20"/>
                <w:szCs w:val="20"/>
              </w:rPr>
              <w:t>(1,291)</w:t>
            </w:r>
          </w:p>
        </w:tc>
        <w:tc>
          <w:tcPr>
            <w:tcW w:w="0" w:type="auto"/>
            <w:shd w:val="clear" w:color="auto" w:fill="FFFFFF"/>
            <w:tcMar>
              <w:top w:w="40" w:type="dxa"/>
              <w:left w:w="0" w:type="dxa"/>
              <w:bottom w:w="40" w:type="dxa"/>
              <w:right w:w="20" w:type="dxa"/>
            </w:tcMar>
            <w:vAlign w:val="bottom"/>
          </w:tcPr>
          <w:p w14:paraId="518B7D3E" w14:textId="77777777" w:rsidR="005C332D" w:rsidRDefault="005C332D">
            <w:pPr>
              <w:jc w:val="right"/>
              <w:rPr>
                <w:rFonts w:ascii="宋体"/>
              </w:rPr>
            </w:pPr>
          </w:p>
        </w:tc>
      </w:tr>
      <w:tr w:rsidR="005C332D" w14:paraId="518B7D4C" w14:textId="77777777">
        <w:trPr>
          <w:jc w:val="center"/>
        </w:trPr>
        <w:tc>
          <w:tcPr>
            <w:tcW w:w="0" w:type="auto"/>
            <w:gridSpan w:val="3"/>
            <w:shd w:val="clear" w:color="auto" w:fill="CCEEFF"/>
            <w:tcMar>
              <w:top w:w="40" w:type="dxa"/>
              <w:left w:w="245" w:type="dxa"/>
              <w:bottom w:w="40" w:type="dxa"/>
              <w:right w:w="20" w:type="dxa"/>
            </w:tcMar>
            <w:vAlign w:val="bottom"/>
          </w:tcPr>
          <w:p w14:paraId="518B7D40" w14:textId="77777777" w:rsidR="005C332D" w:rsidRDefault="00B93EAE">
            <w:pPr>
              <w:textAlignment w:val="bottom"/>
            </w:pPr>
            <w:r>
              <w:rPr>
                <w:rFonts w:ascii="Times New Roman" w:eastAsia="宋体" w:hAnsi="Times New Roman"/>
                <w:b/>
                <w:bCs/>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518B7D41" w14:textId="77777777" w:rsidR="005C332D" w:rsidRDefault="00B93EAE">
            <w:pPr>
              <w:jc w:val="right"/>
              <w:textAlignment w:val="bottom"/>
            </w:pPr>
            <w:r>
              <w:rPr>
                <w:rFonts w:ascii="Times New Roman" w:eastAsia="宋体" w:hAnsi="Times New Roman"/>
                <w:b/>
                <w:bCs/>
                <w:color w:val="000000"/>
                <w:sz w:val="20"/>
                <w:szCs w:val="20"/>
              </w:rPr>
              <w:t>(9)</w:t>
            </w:r>
          </w:p>
        </w:tc>
        <w:tc>
          <w:tcPr>
            <w:tcW w:w="0" w:type="auto"/>
            <w:shd w:val="clear" w:color="auto" w:fill="CCEEFF"/>
            <w:tcMar>
              <w:top w:w="40" w:type="dxa"/>
              <w:left w:w="0" w:type="dxa"/>
              <w:bottom w:w="40" w:type="dxa"/>
              <w:right w:w="20" w:type="dxa"/>
            </w:tcMar>
            <w:vAlign w:val="bottom"/>
          </w:tcPr>
          <w:p w14:paraId="518B7D4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4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44" w14:textId="77777777" w:rsidR="005C332D" w:rsidRDefault="00B93EAE">
            <w:pPr>
              <w:jc w:val="right"/>
              <w:textAlignment w:val="bottom"/>
            </w:pPr>
            <w:r>
              <w:rPr>
                <w:rFonts w:ascii="Times New Roman" w:eastAsia="宋体" w:hAnsi="Times New Roman"/>
                <w:b/>
                <w:bCs/>
                <w:color w:val="000000"/>
                <w:sz w:val="20"/>
                <w:szCs w:val="20"/>
              </w:rPr>
              <w:t>(29)</w:t>
            </w:r>
          </w:p>
        </w:tc>
        <w:tc>
          <w:tcPr>
            <w:tcW w:w="0" w:type="auto"/>
            <w:shd w:val="clear" w:color="auto" w:fill="CCEEFF"/>
            <w:tcMar>
              <w:top w:w="40" w:type="dxa"/>
              <w:left w:w="0" w:type="dxa"/>
              <w:bottom w:w="40" w:type="dxa"/>
              <w:right w:w="20" w:type="dxa"/>
            </w:tcMar>
            <w:vAlign w:val="bottom"/>
          </w:tcPr>
          <w:p w14:paraId="518B7D4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4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47" w14:textId="77777777" w:rsidR="005C332D" w:rsidRDefault="00B93EAE">
            <w:pPr>
              <w:jc w:val="right"/>
              <w:textAlignment w:val="bottom"/>
            </w:pPr>
            <w:r>
              <w:rPr>
                <w:rFonts w:ascii="Times New Roman" w:eastAsia="宋体" w:hAnsi="Times New Roman"/>
                <w:b/>
                <w:bCs/>
                <w:color w:val="000000"/>
                <w:sz w:val="20"/>
                <w:szCs w:val="20"/>
              </w:rPr>
              <w:t>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D4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4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4A" w14:textId="77777777" w:rsidR="005C332D" w:rsidRDefault="00B93EAE">
            <w:pPr>
              <w:jc w:val="right"/>
              <w:textAlignment w:val="bottom"/>
            </w:pPr>
            <w:r>
              <w:rPr>
                <w:rFonts w:ascii="Times New Roman" w:eastAsia="宋体" w:hAnsi="Times New Roman"/>
                <w:b/>
                <w:bCs/>
                <w:color w:val="000000"/>
                <w:sz w:val="20"/>
                <w:szCs w:val="20"/>
              </w:rPr>
              <w:t>(36)</w:t>
            </w:r>
          </w:p>
        </w:tc>
        <w:tc>
          <w:tcPr>
            <w:tcW w:w="0" w:type="auto"/>
            <w:shd w:val="clear" w:color="auto" w:fill="CCEEFF"/>
            <w:tcMar>
              <w:top w:w="40" w:type="dxa"/>
              <w:left w:w="0" w:type="dxa"/>
              <w:bottom w:w="40" w:type="dxa"/>
              <w:right w:w="20" w:type="dxa"/>
            </w:tcMar>
            <w:vAlign w:val="bottom"/>
          </w:tcPr>
          <w:p w14:paraId="518B7D4B" w14:textId="77777777" w:rsidR="005C332D" w:rsidRDefault="005C332D">
            <w:pPr>
              <w:jc w:val="right"/>
              <w:rPr>
                <w:rFonts w:ascii="宋体"/>
              </w:rPr>
            </w:pPr>
          </w:p>
        </w:tc>
      </w:tr>
      <w:tr w:rsidR="005C332D" w14:paraId="518B7D59" w14:textId="77777777">
        <w:trPr>
          <w:jc w:val="center"/>
        </w:trPr>
        <w:tc>
          <w:tcPr>
            <w:tcW w:w="0" w:type="auto"/>
            <w:gridSpan w:val="3"/>
            <w:shd w:val="clear" w:color="auto" w:fill="FFFFFF"/>
            <w:tcMar>
              <w:top w:w="40" w:type="dxa"/>
              <w:left w:w="245" w:type="dxa"/>
              <w:bottom w:w="40" w:type="dxa"/>
              <w:right w:w="20" w:type="dxa"/>
            </w:tcMar>
            <w:vAlign w:val="bottom"/>
          </w:tcPr>
          <w:p w14:paraId="518B7D4D" w14:textId="77777777" w:rsidR="005C332D" w:rsidRDefault="00B93EAE">
            <w:pPr>
              <w:textAlignment w:val="bottom"/>
            </w:pPr>
            <w:r>
              <w:rPr>
                <w:rFonts w:ascii="Times New Roman" w:eastAsia="宋体" w:hAnsi="Times New Roman"/>
                <w:b/>
                <w:bCs/>
                <w:color w:val="000000"/>
                <w:sz w:val="20"/>
                <w:szCs w:val="20"/>
              </w:rPr>
              <w:t>Tax benefit (expense)</w:t>
            </w:r>
          </w:p>
        </w:tc>
        <w:tc>
          <w:tcPr>
            <w:tcW w:w="0" w:type="auto"/>
            <w:gridSpan w:val="2"/>
            <w:shd w:val="clear" w:color="auto" w:fill="FFFFFF"/>
            <w:tcMar>
              <w:top w:w="40" w:type="dxa"/>
              <w:left w:w="20" w:type="dxa"/>
              <w:bottom w:w="40" w:type="dxa"/>
              <w:right w:w="0" w:type="dxa"/>
            </w:tcMar>
            <w:vAlign w:val="bottom"/>
          </w:tcPr>
          <w:p w14:paraId="518B7D4E" w14:textId="77777777" w:rsidR="005C332D" w:rsidRDefault="00B93EAE">
            <w:pPr>
              <w:jc w:val="right"/>
              <w:textAlignment w:val="bottom"/>
            </w:pPr>
            <w:r>
              <w:rPr>
                <w:rFonts w:ascii="Times New Roman" w:eastAsia="宋体" w:hAnsi="Times New Roman"/>
                <w:b/>
                <w:bCs/>
                <w:color w:val="000000"/>
                <w:sz w:val="20"/>
                <w:szCs w:val="20"/>
              </w:rPr>
              <w:t>179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D4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5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51" w14:textId="77777777" w:rsidR="005C332D" w:rsidRDefault="00B93EAE">
            <w:pPr>
              <w:jc w:val="right"/>
              <w:textAlignment w:val="bottom"/>
            </w:pPr>
            <w:r>
              <w:rPr>
                <w:rFonts w:ascii="Times New Roman" w:eastAsia="宋体" w:hAnsi="Times New Roman"/>
                <w:b/>
                <w:bCs/>
                <w:color w:val="000000"/>
                <w:sz w:val="20"/>
                <w:szCs w:val="20"/>
              </w:rPr>
              <w:t>(13)</w:t>
            </w:r>
          </w:p>
        </w:tc>
        <w:tc>
          <w:tcPr>
            <w:tcW w:w="0" w:type="auto"/>
            <w:shd w:val="clear" w:color="auto" w:fill="FFFFFF"/>
            <w:tcMar>
              <w:top w:w="40" w:type="dxa"/>
              <w:left w:w="0" w:type="dxa"/>
              <w:bottom w:w="40" w:type="dxa"/>
              <w:right w:w="20" w:type="dxa"/>
            </w:tcMar>
            <w:vAlign w:val="bottom"/>
          </w:tcPr>
          <w:p w14:paraId="518B7D5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5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54" w14:textId="77777777" w:rsidR="005C332D" w:rsidRDefault="00B93EAE">
            <w:pPr>
              <w:jc w:val="right"/>
              <w:textAlignment w:val="bottom"/>
            </w:pPr>
            <w:r>
              <w:rPr>
                <w:rFonts w:ascii="Times New Roman" w:eastAsia="宋体" w:hAnsi="Times New Roman"/>
                <w:b/>
                <w:bCs/>
                <w:color w:val="000000"/>
                <w:sz w:val="20"/>
                <w:szCs w:val="20"/>
              </w:rPr>
              <w:t>(44)</w:t>
            </w:r>
          </w:p>
        </w:tc>
        <w:tc>
          <w:tcPr>
            <w:tcW w:w="0" w:type="auto"/>
            <w:shd w:val="clear" w:color="auto" w:fill="FFFFFF"/>
            <w:tcMar>
              <w:top w:w="40" w:type="dxa"/>
              <w:left w:w="0" w:type="dxa"/>
              <w:bottom w:w="40" w:type="dxa"/>
              <w:right w:w="20" w:type="dxa"/>
            </w:tcMar>
            <w:vAlign w:val="bottom"/>
          </w:tcPr>
          <w:p w14:paraId="518B7D5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5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57" w14:textId="77777777" w:rsidR="005C332D" w:rsidRDefault="00B93EAE">
            <w:pPr>
              <w:jc w:val="right"/>
              <w:textAlignment w:val="bottom"/>
            </w:pPr>
            <w:r>
              <w:rPr>
                <w:rFonts w:ascii="Times New Roman" w:eastAsia="宋体" w:hAnsi="Times New Roman"/>
                <w:b/>
                <w:bCs/>
                <w:color w:val="000000"/>
                <w:sz w:val="20"/>
                <w:szCs w:val="20"/>
              </w:rPr>
              <w:t>122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D58" w14:textId="77777777" w:rsidR="005C332D" w:rsidRDefault="005C332D">
            <w:pPr>
              <w:jc w:val="right"/>
              <w:rPr>
                <w:rFonts w:ascii="宋体"/>
              </w:rPr>
            </w:pPr>
          </w:p>
        </w:tc>
      </w:tr>
      <w:tr w:rsidR="005C332D" w14:paraId="518B7D6A" w14:textId="77777777">
        <w:trPr>
          <w:jc w:val="center"/>
        </w:trPr>
        <w:tc>
          <w:tcPr>
            <w:tcW w:w="0" w:type="auto"/>
            <w:gridSpan w:val="3"/>
            <w:shd w:val="clear" w:color="auto" w:fill="CCEEFF"/>
            <w:tcMar>
              <w:top w:w="40" w:type="dxa"/>
              <w:left w:w="20" w:type="dxa"/>
              <w:bottom w:w="40" w:type="dxa"/>
              <w:right w:w="20" w:type="dxa"/>
            </w:tcMar>
          </w:tcPr>
          <w:p w14:paraId="518B7D5A" w14:textId="77777777" w:rsidR="005C332D" w:rsidRDefault="00B93EAE">
            <w:pPr>
              <w:textAlignment w:val="top"/>
            </w:pPr>
            <w:r>
              <w:rPr>
                <w:rFonts w:ascii="Times New Roman" w:eastAsia="宋体" w:hAnsi="Times New Roman"/>
                <w:b/>
                <w:bCs/>
                <w:color w:val="000000"/>
                <w:sz w:val="20"/>
                <w:szCs w:val="20"/>
              </w:rPr>
              <w:t>BALANCE AT JULY 30,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D5B"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D5C" w14:textId="77777777" w:rsidR="005C332D" w:rsidRDefault="00B93EAE">
            <w:pPr>
              <w:jc w:val="right"/>
              <w:textAlignment w:val="bottom"/>
            </w:pPr>
            <w:r>
              <w:rPr>
                <w:rFonts w:ascii="Times New Roman" w:eastAsia="宋体" w:hAnsi="Times New Roman"/>
                <w:b/>
                <w:bCs/>
                <w:color w:val="000000"/>
                <w:sz w:val="20"/>
                <w:szCs w:val="20"/>
              </w:rPr>
              <w:t>(379)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D5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5E"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D5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D60" w14:textId="77777777" w:rsidR="005C332D" w:rsidRDefault="00B93EAE">
            <w:pPr>
              <w:jc w:val="right"/>
              <w:textAlignment w:val="bottom"/>
            </w:pPr>
            <w:r>
              <w:rPr>
                <w:rFonts w:ascii="Times New Roman" w:eastAsia="宋体" w:hAnsi="Times New Roman"/>
                <w:b/>
                <w:bCs/>
                <w:color w:val="000000"/>
                <w:sz w:val="20"/>
                <w:szCs w:val="20"/>
              </w:rPr>
              <w:t>44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D6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6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D6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D64" w14:textId="77777777" w:rsidR="005C332D" w:rsidRDefault="00B93EAE">
            <w:pPr>
              <w:jc w:val="right"/>
              <w:textAlignment w:val="bottom"/>
            </w:pPr>
            <w:r>
              <w:rPr>
                <w:rFonts w:ascii="Times New Roman" w:eastAsia="宋体" w:hAnsi="Times New Roman"/>
                <w:b/>
                <w:bCs/>
                <w:color w:val="000000"/>
                <w:sz w:val="20"/>
                <w:szCs w:val="20"/>
              </w:rPr>
              <w:t>(1,287)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D6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66"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D6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D68" w14:textId="77777777" w:rsidR="005C332D" w:rsidRDefault="00B93EAE">
            <w:pPr>
              <w:jc w:val="right"/>
              <w:textAlignment w:val="bottom"/>
            </w:pPr>
            <w:r>
              <w:rPr>
                <w:rFonts w:ascii="Times New Roman" w:eastAsia="宋体" w:hAnsi="Times New Roman"/>
                <w:b/>
                <w:bCs/>
                <w:color w:val="000000"/>
                <w:sz w:val="20"/>
                <w:szCs w:val="20"/>
              </w:rPr>
              <w:t>(1,622)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D69" w14:textId="77777777" w:rsidR="005C332D" w:rsidRDefault="005C332D">
            <w:pPr>
              <w:jc w:val="right"/>
              <w:rPr>
                <w:rFonts w:ascii="宋体"/>
              </w:rPr>
            </w:pPr>
          </w:p>
        </w:tc>
      </w:tr>
    </w:tbl>
    <w:p w14:paraId="518B7D6B" w14:textId="77777777" w:rsidR="005C332D" w:rsidRDefault="005C332D">
      <w:pPr>
        <w:spacing w:before="120"/>
      </w:pPr>
    </w:p>
    <w:p w14:paraId="518B7D6C" w14:textId="77777777" w:rsidR="005C332D" w:rsidRDefault="005C332D"/>
    <w:p w14:paraId="518B7D6D" w14:textId="77777777" w:rsidR="005C332D" w:rsidRDefault="00B93EAE">
      <w:pPr>
        <w:jc w:val="center"/>
      </w:pPr>
      <w:r>
        <w:rPr>
          <w:rFonts w:ascii="Times New Roman" w:eastAsia="宋体" w:hAnsi="Times New Roman"/>
          <w:color w:val="000000"/>
          <w:sz w:val="20"/>
          <w:szCs w:val="20"/>
        </w:rPr>
        <w:t>97</w:t>
      </w:r>
    </w:p>
    <w:p w14:paraId="518B7D6E" w14:textId="77777777" w:rsidR="005C332D" w:rsidRDefault="00B93EAE">
      <w:r>
        <w:pict w14:anchorId="518B8776">
          <v:rect id="_x0000_i1123" style="width:415.3pt;height:1.5pt" o:hralign="center" o:hrstd="t" o:hr="t" fillcolor="#a0a0a0" stroked="f"/>
        </w:pict>
      </w:r>
    </w:p>
    <w:p w14:paraId="518B7D6F" w14:textId="77777777" w:rsidR="005C332D" w:rsidRDefault="005C332D"/>
    <w:p w14:paraId="518B7D70" w14:textId="77777777" w:rsidR="005C332D" w:rsidRDefault="00B93EAE">
      <w:pPr>
        <w:spacing w:before="120"/>
        <w:ind w:hanging="360"/>
      </w:pPr>
      <w:r>
        <w:rPr>
          <w:rFonts w:ascii="Times New Roman" w:eastAsia="宋体" w:hAnsi="Times New Roman"/>
          <w:b/>
          <w:bCs/>
          <w:color w:val="000000"/>
          <w:sz w:val="20"/>
          <w:szCs w:val="20"/>
        </w:rPr>
        <w:t>18.Income Taxes</w:t>
      </w:r>
    </w:p>
    <w:p w14:paraId="518B7D71" w14:textId="77777777" w:rsidR="005C332D" w:rsidRDefault="00B93EAE">
      <w:pPr>
        <w:spacing w:before="120"/>
        <w:ind w:hanging="360"/>
      </w:pPr>
      <w:r>
        <w:rPr>
          <w:rFonts w:ascii="Times New Roman" w:eastAsia="宋体" w:hAnsi="Times New Roman"/>
          <w:b/>
          <w:bCs/>
          <w:color w:val="000000"/>
          <w:sz w:val="20"/>
          <w:szCs w:val="20"/>
        </w:rPr>
        <w:t>(a)Provision for Income Taxes</w:t>
      </w:r>
    </w:p>
    <w:p w14:paraId="518B7D72" w14:textId="77777777" w:rsidR="005C332D" w:rsidRDefault="00B93EAE">
      <w:pPr>
        <w:spacing w:before="120"/>
      </w:pPr>
      <w:r>
        <w:rPr>
          <w:rFonts w:ascii="Times New Roman" w:eastAsia="宋体" w:hAnsi="Times New Roman"/>
          <w:color w:val="000000"/>
          <w:sz w:val="20"/>
          <w:szCs w:val="20"/>
        </w:rPr>
        <w:t>The provision for income taxes consists of the following (in millions):</w:t>
      </w:r>
    </w:p>
    <w:tbl>
      <w:tblPr>
        <w:tblW w:w="4985" w:type="pct"/>
        <w:tblCellMar>
          <w:top w:w="15" w:type="dxa"/>
          <w:left w:w="15" w:type="dxa"/>
          <w:bottom w:w="15" w:type="dxa"/>
          <w:right w:w="15" w:type="dxa"/>
        </w:tblCellMar>
        <w:tblLook w:val="04A0" w:firstRow="1" w:lastRow="0" w:firstColumn="1" w:lastColumn="0" w:noHBand="0" w:noVBand="1"/>
      </w:tblPr>
      <w:tblGrid>
        <w:gridCol w:w="41"/>
        <w:gridCol w:w="4389"/>
        <w:gridCol w:w="39"/>
        <w:gridCol w:w="120"/>
        <w:gridCol w:w="1079"/>
        <w:gridCol w:w="36"/>
        <w:gridCol w:w="36"/>
        <w:gridCol w:w="36"/>
        <w:gridCol w:w="36"/>
        <w:gridCol w:w="120"/>
        <w:gridCol w:w="1039"/>
        <w:gridCol w:w="36"/>
        <w:gridCol w:w="36"/>
        <w:gridCol w:w="36"/>
        <w:gridCol w:w="36"/>
        <w:gridCol w:w="120"/>
        <w:gridCol w:w="1040"/>
        <w:gridCol w:w="36"/>
      </w:tblGrid>
      <w:tr w:rsidR="005C332D" w14:paraId="518B7D85" w14:textId="77777777">
        <w:tc>
          <w:tcPr>
            <w:tcW w:w="50" w:type="pct"/>
            <w:shd w:val="clear" w:color="auto" w:fill="auto"/>
            <w:vAlign w:val="bottom"/>
          </w:tcPr>
          <w:p w14:paraId="518B7D73" w14:textId="77777777" w:rsidR="005C332D" w:rsidRDefault="005C332D">
            <w:pPr>
              <w:rPr>
                <w:rFonts w:ascii="宋体"/>
              </w:rPr>
            </w:pPr>
          </w:p>
        </w:tc>
        <w:tc>
          <w:tcPr>
            <w:tcW w:w="2672" w:type="pct"/>
            <w:shd w:val="clear" w:color="auto" w:fill="auto"/>
            <w:vAlign w:val="bottom"/>
          </w:tcPr>
          <w:p w14:paraId="518B7D74" w14:textId="77777777" w:rsidR="005C332D" w:rsidRDefault="005C332D">
            <w:pPr>
              <w:rPr>
                <w:rFonts w:ascii="宋体"/>
              </w:rPr>
            </w:pPr>
          </w:p>
        </w:tc>
        <w:tc>
          <w:tcPr>
            <w:tcW w:w="5" w:type="pct"/>
            <w:shd w:val="clear" w:color="auto" w:fill="auto"/>
            <w:vAlign w:val="bottom"/>
          </w:tcPr>
          <w:p w14:paraId="518B7D75" w14:textId="77777777" w:rsidR="005C332D" w:rsidRDefault="005C332D">
            <w:pPr>
              <w:rPr>
                <w:rFonts w:ascii="宋体"/>
              </w:rPr>
            </w:pPr>
          </w:p>
        </w:tc>
        <w:tc>
          <w:tcPr>
            <w:tcW w:w="50" w:type="pct"/>
            <w:shd w:val="clear" w:color="auto" w:fill="auto"/>
            <w:vAlign w:val="bottom"/>
          </w:tcPr>
          <w:p w14:paraId="518B7D76" w14:textId="77777777" w:rsidR="005C332D" w:rsidRDefault="005C332D">
            <w:pPr>
              <w:rPr>
                <w:rFonts w:ascii="宋体"/>
              </w:rPr>
            </w:pPr>
          </w:p>
        </w:tc>
        <w:tc>
          <w:tcPr>
            <w:tcW w:w="678" w:type="pct"/>
            <w:shd w:val="clear" w:color="auto" w:fill="auto"/>
            <w:vAlign w:val="bottom"/>
          </w:tcPr>
          <w:p w14:paraId="518B7D77" w14:textId="77777777" w:rsidR="005C332D" w:rsidRDefault="005C332D">
            <w:pPr>
              <w:rPr>
                <w:rFonts w:ascii="宋体"/>
              </w:rPr>
            </w:pPr>
          </w:p>
        </w:tc>
        <w:tc>
          <w:tcPr>
            <w:tcW w:w="5" w:type="pct"/>
            <w:shd w:val="clear" w:color="auto" w:fill="auto"/>
            <w:vAlign w:val="bottom"/>
          </w:tcPr>
          <w:p w14:paraId="518B7D78" w14:textId="77777777" w:rsidR="005C332D" w:rsidRDefault="005C332D">
            <w:pPr>
              <w:rPr>
                <w:rFonts w:ascii="宋体"/>
              </w:rPr>
            </w:pPr>
          </w:p>
        </w:tc>
        <w:tc>
          <w:tcPr>
            <w:tcW w:w="5" w:type="pct"/>
            <w:shd w:val="clear" w:color="auto" w:fill="auto"/>
            <w:vAlign w:val="bottom"/>
          </w:tcPr>
          <w:p w14:paraId="518B7D79" w14:textId="77777777" w:rsidR="005C332D" w:rsidRDefault="005C332D">
            <w:pPr>
              <w:rPr>
                <w:rFonts w:ascii="宋体"/>
              </w:rPr>
            </w:pPr>
          </w:p>
        </w:tc>
        <w:tc>
          <w:tcPr>
            <w:tcW w:w="26" w:type="pct"/>
            <w:shd w:val="clear" w:color="auto" w:fill="auto"/>
            <w:vAlign w:val="bottom"/>
          </w:tcPr>
          <w:p w14:paraId="518B7D7A" w14:textId="77777777" w:rsidR="005C332D" w:rsidRDefault="005C332D">
            <w:pPr>
              <w:rPr>
                <w:rFonts w:ascii="宋体"/>
              </w:rPr>
            </w:pPr>
          </w:p>
        </w:tc>
        <w:tc>
          <w:tcPr>
            <w:tcW w:w="5" w:type="pct"/>
            <w:shd w:val="clear" w:color="auto" w:fill="auto"/>
            <w:vAlign w:val="bottom"/>
          </w:tcPr>
          <w:p w14:paraId="518B7D7B" w14:textId="77777777" w:rsidR="005C332D" w:rsidRDefault="005C332D">
            <w:pPr>
              <w:rPr>
                <w:rFonts w:ascii="宋体"/>
              </w:rPr>
            </w:pPr>
          </w:p>
        </w:tc>
        <w:tc>
          <w:tcPr>
            <w:tcW w:w="50" w:type="pct"/>
            <w:shd w:val="clear" w:color="auto" w:fill="auto"/>
            <w:vAlign w:val="bottom"/>
          </w:tcPr>
          <w:p w14:paraId="518B7D7C" w14:textId="77777777" w:rsidR="005C332D" w:rsidRDefault="005C332D">
            <w:pPr>
              <w:rPr>
                <w:rFonts w:ascii="宋体"/>
              </w:rPr>
            </w:pPr>
          </w:p>
        </w:tc>
        <w:tc>
          <w:tcPr>
            <w:tcW w:w="678" w:type="pct"/>
            <w:shd w:val="clear" w:color="auto" w:fill="auto"/>
            <w:vAlign w:val="bottom"/>
          </w:tcPr>
          <w:p w14:paraId="518B7D7D" w14:textId="77777777" w:rsidR="005C332D" w:rsidRDefault="005C332D">
            <w:pPr>
              <w:rPr>
                <w:rFonts w:ascii="宋体"/>
              </w:rPr>
            </w:pPr>
          </w:p>
        </w:tc>
        <w:tc>
          <w:tcPr>
            <w:tcW w:w="5" w:type="pct"/>
            <w:shd w:val="clear" w:color="auto" w:fill="auto"/>
            <w:vAlign w:val="bottom"/>
          </w:tcPr>
          <w:p w14:paraId="518B7D7E" w14:textId="77777777" w:rsidR="005C332D" w:rsidRDefault="005C332D">
            <w:pPr>
              <w:rPr>
                <w:rFonts w:ascii="宋体"/>
              </w:rPr>
            </w:pPr>
          </w:p>
        </w:tc>
        <w:tc>
          <w:tcPr>
            <w:tcW w:w="5" w:type="pct"/>
            <w:shd w:val="clear" w:color="auto" w:fill="auto"/>
            <w:vAlign w:val="bottom"/>
          </w:tcPr>
          <w:p w14:paraId="518B7D7F" w14:textId="77777777" w:rsidR="005C332D" w:rsidRDefault="005C332D">
            <w:pPr>
              <w:rPr>
                <w:rFonts w:ascii="宋体"/>
              </w:rPr>
            </w:pPr>
          </w:p>
        </w:tc>
        <w:tc>
          <w:tcPr>
            <w:tcW w:w="26" w:type="pct"/>
            <w:shd w:val="clear" w:color="auto" w:fill="auto"/>
            <w:vAlign w:val="bottom"/>
          </w:tcPr>
          <w:p w14:paraId="518B7D80" w14:textId="77777777" w:rsidR="005C332D" w:rsidRDefault="005C332D">
            <w:pPr>
              <w:rPr>
                <w:rFonts w:ascii="宋体"/>
              </w:rPr>
            </w:pPr>
          </w:p>
        </w:tc>
        <w:tc>
          <w:tcPr>
            <w:tcW w:w="5" w:type="pct"/>
            <w:shd w:val="clear" w:color="auto" w:fill="auto"/>
            <w:vAlign w:val="bottom"/>
          </w:tcPr>
          <w:p w14:paraId="518B7D81" w14:textId="77777777" w:rsidR="005C332D" w:rsidRDefault="005C332D">
            <w:pPr>
              <w:rPr>
                <w:rFonts w:ascii="宋体"/>
              </w:rPr>
            </w:pPr>
          </w:p>
        </w:tc>
        <w:tc>
          <w:tcPr>
            <w:tcW w:w="50" w:type="pct"/>
            <w:shd w:val="clear" w:color="auto" w:fill="auto"/>
            <w:vAlign w:val="bottom"/>
          </w:tcPr>
          <w:p w14:paraId="518B7D82" w14:textId="77777777" w:rsidR="005C332D" w:rsidRDefault="005C332D">
            <w:pPr>
              <w:rPr>
                <w:rFonts w:ascii="宋体"/>
              </w:rPr>
            </w:pPr>
          </w:p>
        </w:tc>
        <w:tc>
          <w:tcPr>
            <w:tcW w:w="678" w:type="pct"/>
            <w:shd w:val="clear" w:color="auto" w:fill="auto"/>
            <w:vAlign w:val="bottom"/>
          </w:tcPr>
          <w:p w14:paraId="518B7D83" w14:textId="77777777" w:rsidR="005C332D" w:rsidRDefault="005C332D">
            <w:pPr>
              <w:rPr>
                <w:rFonts w:ascii="宋体"/>
              </w:rPr>
            </w:pPr>
          </w:p>
        </w:tc>
        <w:tc>
          <w:tcPr>
            <w:tcW w:w="5" w:type="pct"/>
            <w:shd w:val="clear" w:color="auto" w:fill="auto"/>
            <w:vAlign w:val="bottom"/>
          </w:tcPr>
          <w:p w14:paraId="518B7D84" w14:textId="77777777" w:rsidR="005C332D" w:rsidRDefault="005C332D">
            <w:pPr>
              <w:rPr>
                <w:rFonts w:ascii="宋体"/>
              </w:rPr>
            </w:pPr>
          </w:p>
        </w:tc>
      </w:tr>
      <w:tr w:rsidR="005C332D" w14:paraId="518B7D8C" w14:textId="77777777">
        <w:tc>
          <w:tcPr>
            <w:tcW w:w="0" w:type="auto"/>
            <w:gridSpan w:val="3"/>
            <w:shd w:val="clear" w:color="auto" w:fill="auto"/>
            <w:tcMar>
              <w:top w:w="40" w:type="dxa"/>
              <w:left w:w="20" w:type="dxa"/>
              <w:bottom w:w="40" w:type="dxa"/>
              <w:right w:w="20" w:type="dxa"/>
            </w:tcMar>
            <w:vAlign w:val="bottom"/>
          </w:tcPr>
          <w:p w14:paraId="518B7D86" w14:textId="77777777" w:rsidR="005C332D" w:rsidRDefault="00B93EAE">
            <w:pPr>
              <w:textAlignment w:val="bottom"/>
            </w:pPr>
            <w:r>
              <w:rPr>
                <w:rFonts w:ascii="Times New Roman" w:eastAsia="宋体" w:hAnsi="Times New Roman"/>
                <w:color w:val="000000"/>
                <w:sz w:val="16"/>
                <w:szCs w:val="16"/>
                <w:u w:val="single"/>
              </w:rPr>
              <w:t>Years Ended</w:t>
            </w:r>
          </w:p>
        </w:tc>
        <w:tc>
          <w:tcPr>
            <w:tcW w:w="0" w:type="auto"/>
            <w:gridSpan w:val="3"/>
            <w:shd w:val="clear" w:color="auto" w:fill="auto"/>
            <w:tcMar>
              <w:top w:w="40" w:type="dxa"/>
              <w:left w:w="20" w:type="dxa"/>
              <w:bottom w:w="40" w:type="dxa"/>
              <w:right w:w="20" w:type="dxa"/>
            </w:tcMar>
            <w:vAlign w:val="bottom"/>
          </w:tcPr>
          <w:p w14:paraId="518B7D87"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D8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D89"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7D8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D8B"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D93" w14:textId="77777777">
        <w:tc>
          <w:tcPr>
            <w:tcW w:w="0" w:type="auto"/>
            <w:gridSpan w:val="3"/>
            <w:shd w:val="clear" w:color="auto" w:fill="CCEEFF"/>
            <w:tcMar>
              <w:top w:w="40" w:type="dxa"/>
              <w:left w:w="20" w:type="dxa"/>
              <w:bottom w:w="40" w:type="dxa"/>
              <w:right w:w="20" w:type="dxa"/>
            </w:tcMar>
          </w:tcPr>
          <w:p w14:paraId="518B7D8D" w14:textId="77777777" w:rsidR="005C332D" w:rsidRDefault="00B93EAE">
            <w:pPr>
              <w:textAlignment w:val="top"/>
            </w:pPr>
            <w:r>
              <w:rPr>
                <w:rFonts w:ascii="Times New Roman" w:eastAsia="宋体" w:hAnsi="Times New Roman"/>
                <w:color w:val="000000"/>
                <w:sz w:val="20"/>
                <w:szCs w:val="20"/>
              </w:rPr>
              <w:t>Federal:</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D8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D8F"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D9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D91"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D92" w14:textId="77777777" w:rsidR="005C332D" w:rsidRDefault="005C332D">
            <w:pPr>
              <w:rPr>
                <w:rFonts w:ascii="宋体"/>
              </w:rPr>
            </w:pPr>
          </w:p>
        </w:tc>
      </w:tr>
      <w:tr w:rsidR="005C332D" w14:paraId="518B7DA0" w14:textId="77777777">
        <w:tc>
          <w:tcPr>
            <w:tcW w:w="0" w:type="auto"/>
            <w:gridSpan w:val="3"/>
            <w:shd w:val="clear" w:color="auto" w:fill="FFFFFF"/>
            <w:tcMar>
              <w:top w:w="40" w:type="dxa"/>
              <w:left w:w="380" w:type="dxa"/>
              <w:bottom w:w="40" w:type="dxa"/>
              <w:right w:w="20" w:type="dxa"/>
            </w:tcMar>
          </w:tcPr>
          <w:p w14:paraId="518B7D94" w14:textId="77777777" w:rsidR="005C332D" w:rsidRDefault="00B93EAE">
            <w:pPr>
              <w:textAlignment w:val="top"/>
            </w:pPr>
            <w:r>
              <w:rPr>
                <w:rFonts w:ascii="Times New Roman" w:eastAsia="宋体" w:hAnsi="Times New Roman"/>
                <w:color w:val="000000"/>
                <w:sz w:val="20"/>
                <w:szCs w:val="20"/>
              </w:rPr>
              <w:t>Current</w:t>
            </w:r>
          </w:p>
        </w:tc>
        <w:tc>
          <w:tcPr>
            <w:tcW w:w="0" w:type="auto"/>
            <w:shd w:val="clear" w:color="auto" w:fill="FFFFFF"/>
            <w:tcMar>
              <w:top w:w="40" w:type="dxa"/>
              <w:left w:w="20" w:type="dxa"/>
              <w:bottom w:w="40" w:type="dxa"/>
              <w:right w:w="0" w:type="dxa"/>
            </w:tcMar>
            <w:vAlign w:val="bottom"/>
          </w:tcPr>
          <w:p w14:paraId="518B7D95"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7D96" w14:textId="77777777" w:rsidR="005C332D" w:rsidRDefault="00B93EAE">
            <w:pPr>
              <w:jc w:val="right"/>
              <w:textAlignment w:val="bottom"/>
            </w:pPr>
            <w:r>
              <w:rPr>
                <w:rFonts w:ascii="Times New Roman" w:eastAsia="宋体" w:hAnsi="Times New Roman"/>
                <w:b/>
                <w:bCs/>
                <w:color w:val="000000"/>
                <w:sz w:val="20"/>
                <w:szCs w:val="20"/>
              </w:rPr>
              <w:t>2,203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D9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98"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D99"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7D9A" w14:textId="77777777" w:rsidR="005C332D" w:rsidRDefault="00B93EAE">
            <w:pPr>
              <w:jc w:val="right"/>
              <w:textAlignment w:val="bottom"/>
            </w:pPr>
            <w:r>
              <w:rPr>
                <w:rFonts w:ascii="Times New Roman" w:eastAsia="宋体" w:hAnsi="Times New Roman"/>
                <w:color w:val="000000"/>
                <w:sz w:val="20"/>
                <w:szCs w:val="20"/>
              </w:rPr>
              <w:t>1,959 </w:t>
            </w:r>
          </w:p>
        </w:tc>
        <w:tc>
          <w:tcPr>
            <w:tcW w:w="0" w:type="auto"/>
            <w:shd w:val="clear" w:color="auto" w:fill="FFFFFF"/>
            <w:tcMar>
              <w:top w:w="40" w:type="dxa"/>
              <w:left w:w="0" w:type="dxa"/>
              <w:bottom w:w="40" w:type="dxa"/>
              <w:right w:w="20" w:type="dxa"/>
            </w:tcMar>
            <w:vAlign w:val="bottom"/>
          </w:tcPr>
          <w:p w14:paraId="518B7D9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9C"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7D9D"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7D9E" w14:textId="77777777" w:rsidR="005C332D" w:rsidRDefault="00B93EAE">
            <w:pPr>
              <w:jc w:val="right"/>
              <w:textAlignment w:val="bottom"/>
            </w:pPr>
            <w:r>
              <w:rPr>
                <w:rFonts w:ascii="Times New Roman" w:eastAsia="宋体" w:hAnsi="Times New Roman"/>
                <w:color w:val="000000"/>
                <w:sz w:val="20"/>
                <w:szCs w:val="20"/>
              </w:rPr>
              <w:t>1,101 </w:t>
            </w:r>
          </w:p>
        </w:tc>
        <w:tc>
          <w:tcPr>
            <w:tcW w:w="0" w:type="auto"/>
            <w:shd w:val="clear" w:color="auto" w:fill="FFFFFF"/>
            <w:tcMar>
              <w:top w:w="40" w:type="dxa"/>
              <w:left w:w="0" w:type="dxa"/>
              <w:bottom w:w="40" w:type="dxa"/>
              <w:right w:w="20" w:type="dxa"/>
            </w:tcMar>
            <w:vAlign w:val="bottom"/>
          </w:tcPr>
          <w:p w14:paraId="518B7D9F" w14:textId="77777777" w:rsidR="005C332D" w:rsidRDefault="005C332D">
            <w:pPr>
              <w:jc w:val="right"/>
              <w:rPr>
                <w:rFonts w:ascii="宋体"/>
              </w:rPr>
            </w:pPr>
          </w:p>
        </w:tc>
      </w:tr>
      <w:tr w:rsidR="005C332D" w14:paraId="518B7DAA" w14:textId="77777777">
        <w:tc>
          <w:tcPr>
            <w:tcW w:w="0" w:type="auto"/>
            <w:gridSpan w:val="3"/>
            <w:shd w:val="clear" w:color="auto" w:fill="CCEEFF"/>
            <w:tcMar>
              <w:top w:w="40" w:type="dxa"/>
              <w:left w:w="380" w:type="dxa"/>
              <w:bottom w:w="40" w:type="dxa"/>
              <w:right w:w="20" w:type="dxa"/>
            </w:tcMar>
          </w:tcPr>
          <w:p w14:paraId="518B7DA1" w14:textId="77777777" w:rsidR="005C332D" w:rsidRDefault="00B93EAE">
            <w:pPr>
              <w:textAlignment w:val="top"/>
            </w:pPr>
            <w:r>
              <w:rPr>
                <w:rFonts w:ascii="Times New Roman" w:eastAsia="宋体" w:hAnsi="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14:paraId="518B7DA2" w14:textId="77777777" w:rsidR="005C332D" w:rsidRDefault="00B93EAE">
            <w:pPr>
              <w:jc w:val="right"/>
              <w:textAlignment w:val="bottom"/>
            </w:pPr>
            <w:r>
              <w:rPr>
                <w:rFonts w:ascii="Times New Roman" w:eastAsia="宋体" w:hAnsi="Times New Roman"/>
                <w:b/>
                <w:bCs/>
                <w:color w:val="000000"/>
                <w:sz w:val="20"/>
                <w:szCs w:val="20"/>
              </w:rPr>
              <w:t>(176)</w:t>
            </w:r>
          </w:p>
        </w:tc>
        <w:tc>
          <w:tcPr>
            <w:tcW w:w="0" w:type="auto"/>
            <w:shd w:val="clear" w:color="auto" w:fill="CCEEFF"/>
            <w:tcMar>
              <w:top w:w="40" w:type="dxa"/>
              <w:left w:w="0" w:type="dxa"/>
              <w:bottom w:w="40" w:type="dxa"/>
              <w:right w:w="20" w:type="dxa"/>
            </w:tcMar>
            <w:vAlign w:val="bottom"/>
          </w:tcPr>
          <w:p w14:paraId="518B7DA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A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A5" w14:textId="77777777" w:rsidR="005C332D" w:rsidRDefault="00B93EAE">
            <w:pPr>
              <w:jc w:val="right"/>
              <w:textAlignment w:val="bottom"/>
            </w:pPr>
            <w:r>
              <w:rPr>
                <w:rFonts w:ascii="Times New Roman" w:eastAsia="宋体" w:hAnsi="Times New Roman"/>
                <w:color w:val="000000"/>
                <w:sz w:val="20"/>
                <w:szCs w:val="20"/>
              </w:rPr>
              <w:t>(203)</w:t>
            </w:r>
          </w:p>
        </w:tc>
        <w:tc>
          <w:tcPr>
            <w:tcW w:w="0" w:type="auto"/>
            <w:shd w:val="clear" w:color="auto" w:fill="CCEEFF"/>
            <w:tcMar>
              <w:top w:w="40" w:type="dxa"/>
              <w:left w:w="0" w:type="dxa"/>
              <w:bottom w:w="40" w:type="dxa"/>
              <w:right w:w="20" w:type="dxa"/>
            </w:tcMar>
            <w:vAlign w:val="bottom"/>
          </w:tcPr>
          <w:p w14:paraId="518B7DA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A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A8" w14:textId="77777777" w:rsidR="005C332D" w:rsidRDefault="00B93EAE">
            <w:pPr>
              <w:jc w:val="right"/>
              <w:textAlignment w:val="bottom"/>
            </w:pPr>
            <w:r>
              <w:rPr>
                <w:rFonts w:ascii="Times New Roman" w:eastAsia="宋体" w:hAnsi="Times New Roman"/>
                <w:color w:val="000000"/>
                <w:sz w:val="20"/>
                <w:szCs w:val="20"/>
              </w:rPr>
              <w:t>(374)</w:t>
            </w:r>
          </w:p>
        </w:tc>
        <w:tc>
          <w:tcPr>
            <w:tcW w:w="0" w:type="auto"/>
            <w:shd w:val="clear" w:color="auto" w:fill="CCEEFF"/>
            <w:tcMar>
              <w:top w:w="40" w:type="dxa"/>
              <w:left w:w="0" w:type="dxa"/>
              <w:bottom w:w="40" w:type="dxa"/>
              <w:right w:w="20" w:type="dxa"/>
            </w:tcMar>
            <w:vAlign w:val="bottom"/>
          </w:tcPr>
          <w:p w14:paraId="518B7DA9" w14:textId="77777777" w:rsidR="005C332D" w:rsidRDefault="005C332D">
            <w:pPr>
              <w:jc w:val="right"/>
              <w:rPr>
                <w:rFonts w:ascii="宋体"/>
              </w:rPr>
            </w:pPr>
          </w:p>
        </w:tc>
      </w:tr>
      <w:tr w:rsidR="005C332D" w14:paraId="518B7DB4" w14:textId="77777777">
        <w:tc>
          <w:tcPr>
            <w:tcW w:w="0" w:type="auto"/>
            <w:gridSpan w:val="3"/>
            <w:shd w:val="clear" w:color="auto" w:fill="FFFFFF"/>
            <w:tcMar>
              <w:top w:w="0" w:type="dxa"/>
              <w:left w:w="20" w:type="dxa"/>
              <w:bottom w:w="0" w:type="dxa"/>
              <w:right w:w="20" w:type="dxa"/>
            </w:tcMar>
            <w:vAlign w:val="bottom"/>
          </w:tcPr>
          <w:p w14:paraId="518B7DAB"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DAC" w14:textId="77777777" w:rsidR="005C332D" w:rsidRDefault="00B93EAE">
            <w:pPr>
              <w:jc w:val="right"/>
              <w:textAlignment w:val="bottom"/>
            </w:pPr>
            <w:r>
              <w:rPr>
                <w:rFonts w:ascii="Times New Roman" w:eastAsia="宋体" w:hAnsi="Times New Roman"/>
                <w:b/>
                <w:bCs/>
                <w:color w:val="000000"/>
                <w:sz w:val="20"/>
                <w:szCs w:val="20"/>
              </w:rPr>
              <w:t>2,027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DA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AE"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DAF" w14:textId="77777777" w:rsidR="005C332D" w:rsidRDefault="00B93EAE">
            <w:pPr>
              <w:jc w:val="right"/>
              <w:textAlignment w:val="bottom"/>
            </w:pPr>
            <w:r>
              <w:rPr>
                <w:rFonts w:ascii="Times New Roman" w:eastAsia="宋体" w:hAnsi="Times New Roman"/>
                <w:color w:val="000000"/>
                <w:sz w:val="20"/>
                <w:szCs w:val="20"/>
              </w:rPr>
              <w:t>1,756 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DB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B1"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DB2" w14:textId="77777777" w:rsidR="005C332D" w:rsidRDefault="00B93EAE">
            <w:pPr>
              <w:jc w:val="right"/>
              <w:textAlignment w:val="bottom"/>
            </w:pPr>
            <w:r>
              <w:rPr>
                <w:rFonts w:ascii="Times New Roman" w:eastAsia="宋体" w:hAnsi="Times New Roman"/>
                <w:color w:val="000000"/>
                <w:sz w:val="20"/>
                <w:szCs w:val="20"/>
              </w:rPr>
              <w:t>727 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DB3" w14:textId="77777777" w:rsidR="005C332D" w:rsidRDefault="005C332D">
            <w:pPr>
              <w:jc w:val="right"/>
              <w:rPr>
                <w:rFonts w:ascii="宋体"/>
              </w:rPr>
            </w:pPr>
          </w:p>
        </w:tc>
      </w:tr>
      <w:tr w:rsidR="005C332D" w14:paraId="518B7DBB" w14:textId="77777777">
        <w:tc>
          <w:tcPr>
            <w:tcW w:w="0" w:type="auto"/>
            <w:gridSpan w:val="3"/>
            <w:shd w:val="clear" w:color="auto" w:fill="CCEEFF"/>
            <w:tcMar>
              <w:top w:w="40" w:type="dxa"/>
              <w:left w:w="20" w:type="dxa"/>
              <w:bottom w:w="40" w:type="dxa"/>
              <w:right w:w="20" w:type="dxa"/>
            </w:tcMar>
          </w:tcPr>
          <w:p w14:paraId="518B7DB5" w14:textId="77777777" w:rsidR="005C332D" w:rsidRDefault="00B93EAE">
            <w:pPr>
              <w:textAlignment w:val="top"/>
            </w:pPr>
            <w:r>
              <w:rPr>
                <w:rFonts w:ascii="Times New Roman" w:eastAsia="宋体" w:hAnsi="Times New Roman"/>
                <w:color w:val="000000"/>
                <w:sz w:val="20"/>
                <w:szCs w:val="20"/>
              </w:rPr>
              <w:t>State: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DB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DB7"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DB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DB9"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DBA" w14:textId="77777777" w:rsidR="005C332D" w:rsidRDefault="005C332D">
            <w:pPr>
              <w:rPr>
                <w:rFonts w:ascii="宋体"/>
              </w:rPr>
            </w:pPr>
          </w:p>
        </w:tc>
      </w:tr>
      <w:tr w:rsidR="005C332D" w14:paraId="518B7DC5" w14:textId="77777777">
        <w:tc>
          <w:tcPr>
            <w:tcW w:w="0" w:type="auto"/>
            <w:gridSpan w:val="3"/>
            <w:shd w:val="clear" w:color="auto" w:fill="FFFFFF"/>
            <w:tcMar>
              <w:top w:w="40" w:type="dxa"/>
              <w:left w:w="380" w:type="dxa"/>
              <w:bottom w:w="40" w:type="dxa"/>
              <w:right w:w="20" w:type="dxa"/>
            </w:tcMar>
          </w:tcPr>
          <w:p w14:paraId="518B7DBC" w14:textId="77777777" w:rsidR="005C332D" w:rsidRDefault="00B93EAE">
            <w:pPr>
              <w:textAlignment w:val="top"/>
            </w:pPr>
            <w:r>
              <w:rPr>
                <w:rFonts w:ascii="Times New Roman" w:eastAsia="宋体" w:hAnsi="Times New Roman"/>
                <w:color w:val="000000"/>
                <w:sz w:val="20"/>
                <w:szCs w:val="20"/>
              </w:rPr>
              <w:t>Current</w:t>
            </w:r>
          </w:p>
        </w:tc>
        <w:tc>
          <w:tcPr>
            <w:tcW w:w="0" w:type="auto"/>
            <w:gridSpan w:val="2"/>
            <w:shd w:val="clear" w:color="auto" w:fill="FFFFFF"/>
            <w:tcMar>
              <w:top w:w="40" w:type="dxa"/>
              <w:left w:w="20" w:type="dxa"/>
              <w:bottom w:w="40" w:type="dxa"/>
              <w:right w:w="0" w:type="dxa"/>
            </w:tcMar>
            <w:vAlign w:val="bottom"/>
          </w:tcPr>
          <w:p w14:paraId="518B7DBD" w14:textId="77777777" w:rsidR="005C332D" w:rsidRDefault="00B93EAE">
            <w:pPr>
              <w:jc w:val="right"/>
              <w:textAlignment w:val="bottom"/>
            </w:pPr>
            <w:r>
              <w:rPr>
                <w:rFonts w:ascii="Times New Roman" w:eastAsia="宋体" w:hAnsi="Times New Roman"/>
                <w:b/>
                <w:bCs/>
                <w:color w:val="000000"/>
                <w:sz w:val="20"/>
                <w:szCs w:val="20"/>
              </w:rPr>
              <w:t>458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DB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B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C0" w14:textId="77777777" w:rsidR="005C332D" w:rsidRDefault="00B93EAE">
            <w:pPr>
              <w:jc w:val="right"/>
              <w:textAlignment w:val="bottom"/>
            </w:pPr>
            <w:r>
              <w:rPr>
                <w:rFonts w:ascii="Times New Roman" w:eastAsia="宋体" w:hAnsi="Times New Roman"/>
                <w:color w:val="000000"/>
                <w:sz w:val="20"/>
                <w:szCs w:val="20"/>
              </w:rPr>
              <w:t>513 </w:t>
            </w:r>
          </w:p>
        </w:tc>
        <w:tc>
          <w:tcPr>
            <w:tcW w:w="0" w:type="auto"/>
            <w:shd w:val="clear" w:color="auto" w:fill="FFFFFF"/>
            <w:tcMar>
              <w:top w:w="40" w:type="dxa"/>
              <w:left w:w="0" w:type="dxa"/>
              <w:bottom w:w="40" w:type="dxa"/>
              <w:right w:w="20" w:type="dxa"/>
            </w:tcMar>
            <w:vAlign w:val="bottom"/>
          </w:tcPr>
          <w:p w14:paraId="518B7DC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C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C3" w14:textId="77777777" w:rsidR="005C332D" w:rsidRDefault="00B93EAE">
            <w:pPr>
              <w:jc w:val="right"/>
              <w:textAlignment w:val="bottom"/>
            </w:pPr>
            <w:r>
              <w:rPr>
                <w:rFonts w:ascii="Times New Roman" w:eastAsia="宋体" w:hAnsi="Times New Roman"/>
                <w:color w:val="000000"/>
                <w:sz w:val="20"/>
                <w:szCs w:val="20"/>
              </w:rPr>
              <w:t>264 </w:t>
            </w:r>
          </w:p>
        </w:tc>
        <w:tc>
          <w:tcPr>
            <w:tcW w:w="0" w:type="auto"/>
            <w:shd w:val="clear" w:color="auto" w:fill="FFFFFF"/>
            <w:tcMar>
              <w:top w:w="40" w:type="dxa"/>
              <w:left w:w="0" w:type="dxa"/>
              <w:bottom w:w="40" w:type="dxa"/>
              <w:right w:w="20" w:type="dxa"/>
            </w:tcMar>
            <w:vAlign w:val="bottom"/>
          </w:tcPr>
          <w:p w14:paraId="518B7DC4" w14:textId="77777777" w:rsidR="005C332D" w:rsidRDefault="005C332D">
            <w:pPr>
              <w:jc w:val="right"/>
              <w:rPr>
                <w:rFonts w:ascii="宋体"/>
              </w:rPr>
            </w:pPr>
          </w:p>
        </w:tc>
      </w:tr>
      <w:tr w:rsidR="005C332D" w14:paraId="518B7DCF" w14:textId="77777777">
        <w:tc>
          <w:tcPr>
            <w:tcW w:w="0" w:type="auto"/>
            <w:gridSpan w:val="3"/>
            <w:shd w:val="clear" w:color="auto" w:fill="CCEEFF"/>
            <w:tcMar>
              <w:top w:w="40" w:type="dxa"/>
              <w:left w:w="380" w:type="dxa"/>
              <w:bottom w:w="40" w:type="dxa"/>
              <w:right w:w="20" w:type="dxa"/>
            </w:tcMar>
          </w:tcPr>
          <w:p w14:paraId="518B7DC6" w14:textId="77777777" w:rsidR="005C332D" w:rsidRDefault="00B93EAE">
            <w:pPr>
              <w:textAlignment w:val="top"/>
            </w:pPr>
            <w:r>
              <w:rPr>
                <w:rFonts w:ascii="Times New Roman" w:eastAsia="宋体" w:hAnsi="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14:paraId="518B7DC7" w14:textId="77777777" w:rsidR="005C332D" w:rsidRDefault="00B93EAE">
            <w:pPr>
              <w:jc w:val="right"/>
              <w:textAlignment w:val="bottom"/>
            </w:pPr>
            <w:r>
              <w:rPr>
                <w:rFonts w:ascii="Times New Roman" w:eastAsia="宋体" w:hAnsi="Times New Roman"/>
                <w:b/>
                <w:bCs/>
                <w:color w:val="000000"/>
                <w:sz w:val="20"/>
                <w:szCs w:val="20"/>
              </w:rPr>
              <w:t>(156)</w:t>
            </w:r>
          </w:p>
        </w:tc>
        <w:tc>
          <w:tcPr>
            <w:tcW w:w="0" w:type="auto"/>
            <w:shd w:val="clear" w:color="auto" w:fill="CCEEFF"/>
            <w:tcMar>
              <w:top w:w="40" w:type="dxa"/>
              <w:left w:w="0" w:type="dxa"/>
              <w:bottom w:w="40" w:type="dxa"/>
              <w:right w:w="20" w:type="dxa"/>
            </w:tcMar>
            <w:vAlign w:val="bottom"/>
          </w:tcPr>
          <w:p w14:paraId="518B7DC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C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CA" w14:textId="77777777" w:rsidR="005C332D" w:rsidRDefault="00B93EAE">
            <w:pPr>
              <w:jc w:val="right"/>
              <w:textAlignment w:val="bottom"/>
            </w:pPr>
            <w:r>
              <w:rPr>
                <w:rFonts w:ascii="Times New Roman" w:eastAsia="宋体" w:hAnsi="Times New Roman"/>
                <w:color w:val="000000"/>
                <w:sz w:val="20"/>
                <w:szCs w:val="20"/>
              </w:rPr>
              <w:t>(46)</w:t>
            </w:r>
          </w:p>
        </w:tc>
        <w:tc>
          <w:tcPr>
            <w:tcW w:w="0" w:type="auto"/>
            <w:shd w:val="clear" w:color="auto" w:fill="CCEEFF"/>
            <w:tcMar>
              <w:top w:w="40" w:type="dxa"/>
              <w:left w:w="0" w:type="dxa"/>
              <w:bottom w:w="40" w:type="dxa"/>
              <w:right w:w="20" w:type="dxa"/>
            </w:tcMar>
            <w:vAlign w:val="bottom"/>
          </w:tcPr>
          <w:p w14:paraId="518B7DC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C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CD" w14:textId="77777777" w:rsidR="005C332D" w:rsidRDefault="00B93EAE">
            <w:pPr>
              <w:jc w:val="right"/>
              <w:textAlignment w:val="bottom"/>
            </w:pPr>
            <w:r>
              <w:rPr>
                <w:rFonts w:ascii="Times New Roman" w:eastAsia="宋体" w:hAnsi="Times New Roman"/>
                <w:color w:val="000000"/>
                <w:sz w:val="20"/>
                <w:szCs w:val="20"/>
              </w:rPr>
              <w:t>287 </w:t>
            </w:r>
          </w:p>
        </w:tc>
        <w:tc>
          <w:tcPr>
            <w:tcW w:w="0" w:type="auto"/>
            <w:shd w:val="clear" w:color="auto" w:fill="CCEEFF"/>
            <w:tcMar>
              <w:top w:w="40" w:type="dxa"/>
              <w:left w:w="0" w:type="dxa"/>
              <w:bottom w:w="40" w:type="dxa"/>
              <w:right w:w="20" w:type="dxa"/>
            </w:tcMar>
            <w:vAlign w:val="bottom"/>
          </w:tcPr>
          <w:p w14:paraId="518B7DCE" w14:textId="77777777" w:rsidR="005C332D" w:rsidRDefault="005C332D">
            <w:pPr>
              <w:jc w:val="right"/>
              <w:rPr>
                <w:rFonts w:ascii="宋体"/>
              </w:rPr>
            </w:pPr>
          </w:p>
        </w:tc>
      </w:tr>
      <w:tr w:rsidR="005C332D" w14:paraId="518B7DD9" w14:textId="77777777">
        <w:tc>
          <w:tcPr>
            <w:tcW w:w="0" w:type="auto"/>
            <w:gridSpan w:val="3"/>
            <w:shd w:val="clear" w:color="auto" w:fill="FFFFFF"/>
            <w:tcMar>
              <w:top w:w="0" w:type="dxa"/>
              <w:left w:w="20" w:type="dxa"/>
              <w:bottom w:w="0" w:type="dxa"/>
              <w:right w:w="20" w:type="dxa"/>
            </w:tcMar>
            <w:vAlign w:val="bottom"/>
          </w:tcPr>
          <w:p w14:paraId="518B7DD0"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DD1" w14:textId="77777777" w:rsidR="005C332D" w:rsidRDefault="00B93EAE">
            <w:pPr>
              <w:jc w:val="right"/>
              <w:textAlignment w:val="bottom"/>
            </w:pPr>
            <w:r>
              <w:rPr>
                <w:rFonts w:ascii="Times New Roman" w:eastAsia="宋体" w:hAnsi="Times New Roman"/>
                <w:b/>
                <w:bCs/>
                <w:color w:val="000000"/>
                <w:sz w:val="20"/>
                <w:szCs w:val="20"/>
              </w:rPr>
              <w:t>302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DD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D3"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DD4" w14:textId="77777777" w:rsidR="005C332D" w:rsidRDefault="00B93EAE">
            <w:pPr>
              <w:jc w:val="right"/>
              <w:textAlignment w:val="bottom"/>
            </w:pPr>
            <w:r>
              <w:rPr>
                <w:rFonts w:ascii="Times New Roman" w:eastAsia="宋体" w:hAnsi="Times New Roman"/>
                <w:color w:val="000000"/>
                <w:sz w:val="20"/>
                <w:szCs w:val="20"/>
              </w:rPr>
              <w:t>467 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DD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D6"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DD7" w14:textId="77777777" w:rsidR="005C332D" w:rsidRDefault="00B93EAE">
            <w:pPr>
              <w:jc w:val="right"/>
              <w:textAlignment w:val="bottom"/>
            </w:pPr>
            <w:r>
              <w:rPr>
                <w:rFonts w:ascii="Times New Roman" w:eastAsia="宋体" w:hAnsi="Times New Roman"/>
                <w:color w:val="000000"/>
                <w:sz w:val="20"/>
                <w:szCs w:val="20"/>
              </w:rPr>
              <w:t>551 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DD8" w14:textId="77777777" w:rsidR="005C332D" w:rsidRDefault="005C332D">
            <w:pPr>
              <w:jc w:val="right"/>
              <w:rPr>
                <w:rFonts w:ascii="宋体"/>
              </w:rPr>
            </w:pPr>
          </w:p>
        </w:tc>
      </w:tr>
      <w:tr w:rsidR="005C332D" w14:paraId="518B7DE0" w14:textId="77777777">
        <w:tc>
          <w:tcPr>
            <w:tcW w:w="0" w:type="auto"/>
            <w:gridSpan w:val="3"/>
            <w:shd w:val="clear" w:color="auto" w:fill="CCEEFF"/>
            <w:tcMar>
              <w:top w:w="40" w:type="dxa"/>
              <w:left w:w="20" w:type="dxa"/>
              <w:bottom w:w="40" w:type="dxa"/>
              <w:right w:w="20" w:type="dxa"/>
            </w:tcMar>
          </w:tcPr>
          <w:p w14:paraId="518B7DDA" w14:textId="77777777" w:rsidR="005C332D" w:rsidRDefault="00B93EAE">
            <w:pPr>
              <w:textAlignment w:val="top"/>
            </w:pPr>
            <w:r>
              <w:rPr>
                <w:rFonts w:ascii="Times New Roman" w:eastAsia="宋体" w:hAnsi="Times New Roman"/>
                <w:color w:val="000000"/>
                <w:sz w:val="20"/>
                <w:szCs w:val="20"/>
              </w:rPr>
              <w:t>Foreign:</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DD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DDC"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DD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DDE"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DDF" w14:textId="77777777" w:rsidR="005C332D" w:rsidRDefault="005C332D">
            <w:pPr>
              <w:rPr>
                <w:rFonts w:ascii="宋体"/>
              </w:rPr>
            </w:pPr>
          </w:p>
        </w:tc>
      </w:tr>
      <w:tr w:rsidR="005C332D" w14:paraId="518B7DEA" w14:textId="77777777">
        <w:tc>
          <w:tcPr>
            <w:tcW w:w="0" w:type="auto"/>
            <w:gridSpan w:val="3"/>
            <w:shd w:val="clear" w:color="auto" w:fill="FFFFFF"/>
            <w:tcMar>
              <w:top w:w="40" w:type="dxa"/>
              <w:left w:w="380" w:type="dxa"/>
              <w:bottom w:w="40" w:type="dxa"/>
              <w:right w:w="20" w:type="dxa"/>
            </w:tcMar>
          </w:tcPr>
          <w:p w14:paraId="518B7DE1" w14:textId="77777777" w:rsidR="005C332D" w:rsidRDefault="00B93EAE">
            <w:pPr>
              <w:textAlignment w:val="top"/>
            </w:pPr>
            <w:r>
              <w:rPr>
                <w:rFonts w:ascii="Times New Roman" w:eastAsia="宋体" w:hAnsi="Times New Roman"/>
                <w:color w:val="000000"/>
                <w:sz w:val="20"/>
                <w:szCs w:val="20"/>
              </w:rPr>
              <w:t>Current</w:t>
            </w:r>
          </w:p>
        </w:tc>
        <w:tc>
          <w:tcPr>
            <w:tcW w:w="0" w:type="auto"/>
            <w:gridSpan w:val="2"/>
            <w:shd w:val="clear" w:color="auto" w:fill="FFFFFF"/>
            <w:tcMar>
              <w:top w:w="40" w:type="dxa"/>
              <w:left w:w="20" w:type="dxa"/>
              <w:bottom w:w="40" w:type="dxa"/>
              <w:right w:w="0" w:type="dxa"/>
            </w:tcMar>
            <w:vAlign w:val="bottom"/>
          </w:tcPr>
          <w:p w14:paraId="518B7DE2" w14:textId="77777777" w:rsidR="005C332D" w:rsidRDefault="00B93EAE">
            <w:pPr>
              <w:jc w:val="right"/>
              <w:textAlignment w:val="bottom"/>
            </w:pPr>
            <w:r>
              <w:rPr>
                <w:rFonts w:ascii="Times New Roman" w:eastAsia="宋体" w:hAnsi="Times New Roman"/>
                <w:b/>
                <w:bCs/>
                <w:color w:val="000000"/>
                <w:sz w:val="20"/>
                <w:szCs w:val="20"/>
              </w:rPr>
              <w:t>313</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DE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E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E5" w14:textId="77777777" w:rsidR="005C332D" w:rsidRDefault="00B93EAE">
            <w:pPr>
              <w:jc w:val="right"/>
              <w:textAlignment w:val="bottom"/>
            </w:pPr>
            <w:r>
              <w:rPr>
                <w:rFonts w:ascii="Times New Roman" w:eastAsia="宋体" w:hAnsi="Times New Roman"/>
                <w:color w:val="000000"/>
                <w:sz w:val="20"/>
                <w:szCs w:val="20"/>
              </w:rPr>
              <w:t>583 </w:t>
            </w:r>
          </w:p>
        </w:tc>
        <w:tc>
          <w:tcPr>
            <w:tcW w:w="0" w:type="auto"/>
            <w:shd w:val="clear" w:color="auto" w:fill="FFFFFF"/>
            <w:tcMar>
              <w:top w:w="40" w:type="dxa"/>
              <w:left w:w="0" w:type="dxa"/>
              <w:bottom w:w="40" w:type="dxa"/>
              <w:right w:w="20" w:type="dxa"/>
            </w:tcMar>
            <w:vAlign w:val="bottom"/>
          </w:tcPr>
          <w:p w14:paraId="518B7DE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E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DE8" w14:textId="77777777" w:rsidR="005C332D" w:rsidRDefault="00B93EAE">
            <w:pPr>
              <w:jc w:val="right"/>
              <w:textAlignment w:val="bottom"/>
            </w:pPr>
            <w:r>
              <w:rPr>
                <w:rFonts w:ascii="Times New Roman" w:eastAsia="宋体" w:hAnsi="Times New Roman"/>
                <w:color w:val="000000"/>
                <w:sz w:val="20"/>
                <w:szCs w:val="20"/>
              </w:rPr>
              <w:t>1,429 </w:t>
            </w:r>
          </w:p>
        </w:tc>
        <w:tc>
          <w:tcPr>
            <w:tcW w:w="0" w:type="auto"/>
            <w:shd w:val="clear" w:color="auto" w:fill="FFFFFF"/>
            <w:tcMar>
              <w:top w:w="40" w:type="dxa"/>
              <w:left w:w="0" w:type="dxa"/>
              <w:bottom w:w="40" w:type="dxa"/>
              <w:right w:w="20" w:type="dxa"/>
            </w:tcMar>
            <w:vAlign w:val="bottom"/>
          </w:tcPr>
          <w:p w14:paraId="518B7DE9" w14:textId="77777777" w:rsidR="005C332D" w:rsidRDefault="005C332D">
            <w:pPr>
              <w:jc w:val="right"/>
              <w:rPr>
                <w:rFonts w:ascii="宋体"/>
              </w:rPr>
            </w:pPr>
          </w:p>
        </w:tc>
      </w:tr>
      <w:tr w:rsidR="005C332D" w14:paraId="518B7DF4" w14:textId="77777777">
        <w:tc>
          <w:tcPr>
            <w:tcW w:w="0" w:type="auto"/>
            <w:gridSpan w:val="3"/>
            <w:shd w:val="clear" w:color="auto" w:fill="CCEEFF"/>
            <w:tcMar>
              <w:top w:w="40" w:type="dxa"/>
              <w:left w:w="380" w:type="dxa"/>
              <w:bottom w:w="40" w:type="dxa"/>
              <w:right w:w="20" w:type="dxa"/>
            </w:tcMar>
          </w:tcPr>
          <w:p w14:paraId="518B7DEB" w14:textId="77777777" w:rsidR="005C332D" w:rsidRDefault="00B93EAE">
            <w:pPr>
              <w:textAlignment w:val="top"/>
            </w:pPr>
            <w:r>
              <w:rPr>
                <w:rFonts w:ascii="Times New Roman" w:eastAsia="宋体" w:hAnsi="Times New Roman"/>
                <w:color w:val="000000"/>
                <w:sz w:val="20"/>
                <w:szCs w:val="20"/>
              </w:rPr>
              <w:t>Deferred</w:t>
            </w:r>
          </w:p>
        </w:tc>
        <w:tc>
          <w:tcPr>
            <w:tcW w:w="0" w:type="auto"/>
            <w:gridSpan w:val="2"/>
            <w:shd w:val="clear" w:color="auto" w:fill="CCEEFF"/>
            <w:tcMar>
              <w:top w:w="40" w:type="dxa"/>
              <w:left w:w="20" w:type="dxa"/>
              <w:bottom w:w="40" w:type="dxa"/>
              <w:right w:w="0" w:type="dxa"/>
            </w:tcMar>
            <w:vAlign w:val="bottom"/>
          </w:tcPr>
          <w:p w14:paraId="518B7DEC" w14:textId="77777777" w:rsidR="005C332D" w:rsidRDefault="00B93EAE">
            <w:pPr>
              <w:jc w:val="right"/>
              <w:textAlignment w:val="bottom"/>
            </w:pPr>
            <w:r>
              <w:rPr>
                <w:rFonts w:ascii="Times New Roman" w:eastAsia="宋体" w:hAnsi="Times New Roman"/>
                <w:b/>
                <w:bCs/>
                <w:color w:val="000000"/>
                <w:sz w:val="20"/>
                <w:szCs w:val="20"/>
              </w:rPr>
              <w:t>23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DE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E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EF" w14:textId="77777777" w:rsidR="005C332D" w:rsidRDefault="00B93EAE">
            <w:pPr>
              <w:jc w:val="right"/>
              <w:textAlignment w:val="bottom"/>
            </w:pPr>
            <w:r>
              <w:rPr>
                <w:rFonts w:ascii="Times New Roman" w:eastAsia="宋体" w:hAnsi="Times New Roman"/>
                <w:color w:val="000000"/>
                <w:sz w:val="20"/>
                <w:szCs w:val="20"/>
              </w:rPr>
              <w:t>(135)</w:t>
            </w:r>
          </w:p>
        </w:tc>
        <w:tc>
          <w:tcPr>
            <w:tcW w:w="0" w:type="auto"/>
            <w:shd w:val="clear" w:color="auto" w:fill="CCEEFF"/>
            <w:tcMar>
              <w:top w:w="40" w:type="dxa"/>
              <w:left w:w="0" w:type="dxa"/>
              <w:bottom w:w="40" w:type="dxa"/>
              <w:right w:w="20" w:type="dxa"/>
            </w:tcMar>
            <w:vAlign w:val="bottom"/>
          </w:tcPr>
          <w:p w14:paraId="518B7DF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DF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DF2" w14:textId="77777777" w:rsidR="005C332D" w:rsidRDefault="00B93EAE">
            <w:pPr>
              <w:jc w:val="right"/>
              <w:textAlignment w:val="bottom"/>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bottom"/>
          </w:tcPr>
          <w:p w14:paraId="518B7DF3" w14:textId="77777777" w:rsidR="005C332D" w:rsidRDefault="005C332D">
            <w:pPr>
              <w:jc w:val="right"/>
              <w:rPr>
                <w:rFonts w:ascii="宋体"/>
              </w:rPr>
            </w:pPr>
          </w:p>
        </w:tc>
      </w:tr>
      <w:tr w:rsidR="005C332D" w14:paraId="518B7DFE" w14:textId="77777777">
        <w:tc>
          <w:tcPr>
            <w:tcW w:w="0" w:type="auto"/>
            <w:gridSpan w:val="3"/>
            <w:shd w:val="clear" w:color="auto" w:fill="FFFFFF"/>
            <w:tcMar>
              <w:top w:w="0" w:type="dxa"/>
              <w:left w:w="20" w:type="dxa"/>
              <w:bottom w:w="0" w:type="dxa"/>
              <w:right w:w="20" w:type="dxa"/>
            </w:tcMar>
            <w:vAlign w:val="bottom"/>
          </w:tcPr>
          <w:p w14:paraId="518B7DF5"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DF6" w14:textId="77777777" w:rsidR="005C332D" w:rsidRDefault="00B93EAE">
            <w:pPr>
              <w:jc w:val="right"/>
              <w:textAlignment w:val="bottom"/>
            </w:pPr>
            <w:r>
              <w:rPr>
                <w:rFonts w:ascii="Times New Roman" w:eastAsia="宋体" w:hAnsi="Times New Roman"/>
                <w:b/>
                <w:bCs/>
                <w:color w:val="000000"/>
                <w:sz w:val="20"/>
                <w:szCs w:val="20"/>
              </w:rPr>
              <w:t>336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DF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F8"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DF9" w14:textId="77777777" w:rsidR="005C332D" w:rsidRDefault="00B93EAE">
            <w:pPr>
              <w:jc w:val="right"/>
              <w:textAlignment w:val="bottom"/>
            </w:pPr>
            <w:r>
              <w:rPr>
                <w:rFonts w:ascii="Times New Roman" w:eastAsia="宋体" w:hAnsi="Times New Roman"/>
                <w:color w:val="000000"/>
                <w:sz w:val="20"/>
                <w:szCs w:val="20"/>
              </w:rPr>
              <w:t>448 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DF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DFB"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7DFC" w14:textId="77777777" w:rsidR="005C332D" w:rsidRDefault="00B93EAE">
            <w:pPr>
              <w:jc w:val="right"/>
              <w:textAlignment w:val="bottom"/>
            </w:pPr>
            <w:r>
              <w:rPr>
                <w:rFonts w:ascii="Times New Roman" w:eastAsia="宋体" w:hAnsi="Times New Roman"/>
                <w:color w:val="000000"/>
                <w:sz w:val="20"/>
                <w:szCs w:val="20"/>
              </w:rPr>
              <w:t>1,478 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7DFD" w14:textId="77777777" w:rsidR="005C332D" w:rsidRDefault="005C332D">
            <w:pPr>
              <w:jc w:val="right"/>
              <w:rPr>
                <w:rFonts w:ascii="宋体"/>
              </w:rPr>
            </w:pPr>
          </w:p>
        </w:tc>
      </w:tr>
      <w:tr w:rsidR="005C332D" w14:paraId="518B7E0B" w14:textId="77777777">
        <w:tc>
          <w:tcPr>
            <w:tcW w:w="0" w:type="auto"/>
            <w:gridSpan w:val="3"/>
            <w:shd w:val="clear" w:color="auto" w:fill="CCEEFF"/>
            <w:tcMar>
              <w:top w:w="40" w:type="dxa"/>
              <w:left w:w="740" w:type="dxa"/>
              <w:bottom w:w="40" w:type="dxa"/>
              <w:right w:w="20" w:type="dxa"/>
            </w:tcMar>
          </w:tcPr>
          <w:p w14:paraId="518B7DFF"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E0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E01" w14:textId="77777777" w:rsidR="005C332D" w:rsidRDefault="00B93EAE">
            <w:pPr>
              <w:jc w:val="right"/>
              <w:textAlignment w:val="bottom"/>
            </w:pPr>
            <w:r>
              <w:rPr>
                <w:rFonts w:ascii="Times New Roman" w:eastAsia="宋体" w:hAnsi="Times New Roman"/>
                <w:b/>
                <w:bCs/>
                <w:color w:val="000000"/>
                <w:sz w:val="20"/>
                <w:szCs w:val="20"/>
              </w:rPr>
              <w:t>2,665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E0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03"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E0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E05" w14:textId="77777777" w:rsidR="005C332D" w:rsidRDefault="00B93EAE">
            <w:pPr>
              <w:jc w:val="right"/>
              <w:textAlignment w:val="bottom"/>
            </w:pPr>
            <w:r>
              <w:rPr>
                <w:rFonts w:ascii="Times New Roman" w:eastAsia="宋体" w:hAnsi="Times New Roman"/>
                <w:color w:val="000000"/>
                <w:sz w:val="20"/>
                <w:szCs w:val="20"/>
              </w:rPr>
              <w:t>2,671 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E0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07"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E0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E09" w14:textId="77777777" w:rsidR="005C332D" w:rsidRDefault="00B93EAE">
            <w:pPr>
              <w:jc w:val="right"/>
              <w:textAlignment w:val="bottom"/>
            </w:pPr>
            <w:r>
              <w:rPr>
                <w:rFonts w:ascii="Times New Roman" w:eastAsia="宋体" w:hAnsi="Times New Roman"/>
                <w:color w:val="000000"/>
                <w:sz w:val="20"/>
                <w:szCs w:val="20"/>
              </w:rPr>
              <w:t>2,756 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E0A" w14:textId="77777777" w:rsidR="005C332D" w:rsidRDefault="005C332D">
            <w:pPr>
              <w:jc w:val="right"/>
              <w:rPr>
                <w:rFonts w:ascii="宋体"/>
              </w:rPr>
            </w:pPr>
          </w:p>
        </w:tc>
      </w:tr>
    </w:tbl>
    <w:p w14:paraId="518B7E0C" w14:textId="77777777" w:rsidR="005C332D" w:rsidRDefault="00B93EAE">
      <w:pPr>
        <w:spacing w:before="120"/>
      </w:pPr>
      <w:r>
        <w:rPr>
          <w:rFonts w:ascii="Times New Roman" w:eastAsia="宋体" w:hAnsi="Times New Roman"/>
          <w:color w:val="000000"/>
          <w:sz w:val="20"/>
          <w:szCs w:val="20"/>
        </w:rPr>
        <w:t>Income before provision for income taxes consists of the following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391"/>
        <w:gridCol w:w="38"/>
        <w:gridCol w:w="120"/>
        <w:gridCol w:w="1079"/>
        <w:gridCol w:w="36"/>
        <w:gridCol w:w="36"/>
        <w:gridCol w:w="36"/>
        <w:gridCol w:w="36"/>
        <w:gridCol w:w="120"/>
        <w:gridCol w:w="1040"/>
        <w:gridCol w:w="36"/>
        <w:gridCol w:w="36"/>
        <w:gridCol w:w="36"/>
        <w:gridCol w:w="36"/>
        <w:gridCol w:w="120"/>
        <w:gridCol w:w="1040"/>
        <w:gridCol w:w="36"/>
      </w:tblGrid>
      <w:tr w:rsidR="005C332D" w14:paraId="518B7E1F" w14:textId="77777777">
        <w:tc>
          <w:tcPr>
            <w:tcW w:w="50" w:type="pct"/>
            <w:shd w:val="clear" w:color="auto" w:fill="auto"/>
            <w:vAlign w:val="bottom"/>
          </w:tcPr>
          <w:p w14:paraId="518B7E0D" w14:textId="77777777" w:rsidR="005C332D" w:rsidRDefault="005C332D">
            <w:pPr>
              <w:rPr>
                <w:rFonts w:ascii="宋体"/>
              </w:rPr>
            </w:pPr>
          </w:p>
        </w:tc>
        <w:tc>
          <w:tcPr>
            <w:tcW w:w="2672" w:type="pct"/>
            <w:shd w:val="clear" w:color="auto" w:fill="auto"/>
            <w:vAlign w:val="bottom"/>
          </w:tcPr>
          <w:p w14:paraId="518B7E0E" w14:textId="77777777" w:rsidR="005C332D" w:rsidRDefault="005C332D">
            <w:pPr>
              <w:rPr>
                <w:rFonts w:ascii="宋体"/>
              </w:rPr>
            </w:pPr>
          </w:p>
        </w:tc>
        <w:tc>
          <w:tcPr>
            <w:tcW w:w="5" w:type="pct"/>
            <w:shd w:val="clear" w:color="auto" w:fill="auto"/>
            <w:vAlign w:val="bottom"/>
          </w:tcPr>
          <w:p w14:paraId="518B7E0F" w14:textId="77777777" w:rsidR="005C332D" w:rsidRDefault="005C332D">
            <w:pPr>
              <w:rPr>
                <w:rFonts w:ascii="宋体"/>
              </w:rPr>
            </w:pPr>
          </w:p>
        </w:tc>
        <w:tc>
          <w:tcPr>
            <w:tcW w:w="50" w:type="pct"/>
            <w:shd w:val="clear" w:color="auto" w:fill="auto"/>
            <w:vAlign w:val="bottom"/>
          </w:tcPr>
          <w:p w14:paraId="518B7E10" w14:textId="77777777" w:rsidR="005C332D" w:rsidRDefault="005C332D">
            <w:pPr>
              <w:rPr>
                <w:rFonts w:ascii="宋体"/>
              </w:rPr>
            </w:pPr>
          </w:p>
        </w:tc>
        <w:tc>
          <w:tcPr>
            <w:tcW w:w="678" w:type="pct"/>
            <w:shd w:val="clear" w:color="auto" w:fill="auto"/>
            <w:vAlign w:val="bottom"/>
          </w:tcPr>
          <w:p w14:paraId="518B7E11" w14:textId="77777777" w:rsidR="005C332D" w:rsidRDefault="005C332D">
            <w:pPr>
              <w:rPr>
                <w:rFonts w:ascii="宋体"/>
              </w:rPr>
            </w:pPr>
          </w:p>
        </w:tc>
        <w:tc>
          <w:tcPr>
            <w:tcW w:w="5" w:type="pct"/>
            <w:shd w:val="clear" w:color="auto" w:fill="auto"/>
            <w:vAlign w:val="bottom"/>
          </w:tcPr>
          <w:p w14:paraId="518B7E12" w14:textId="77777777" w:rsidR="005C332D" w:rsidRDefault="005C332D">
            <w:pPr>
              <w:rPr>
                <w:rFonts w:ascii="宋体"/>
              </w:rPr>
            </w:pPr>
          </w:p>
        </w:tc>
        <w:tc>
          <w:tcPr>
            <w:tcW w:w="5" w:type="pct"/>
            <w:shd w:val="clear" w:color="auto" w:fill="auto"/>
            <w:vAlign w:val="bottom"/>
          </w:tcPr>
          <w:p w14:paraId="518B7E13" w14:textId="77777777" w:rsidR="005C332D" w:rsidRDefault="005C332D">
            <w:pPr>
              <w:rPr>
                <w:rFonts w:ascii="宋体"/>
              </w:rPr>
            </w:pPr>
          </w:p>
        </w:tc>
        <w:tc>
          <w:tcPr>
            <w:tcW w:w="26" w:type="pct"/>
            <w:shd w:val="clear" w:color="auto" w:fill="auto"/>
            <w:vAlign w:val="bottom"/>
          </w:tcPr>
          <w:p w14:paraId="518B7E14" w14:textId="77777777" w:rsidR="005C332D" w:rsidRDefault="005C332D">
            <w:pPr>
              <w:rPr>
                <w:rFonts w:ascii="宋体"/>
              </w:rPr>
            </w:pPr>
          </w:p>
        </w:tc>
        <w:tc>
          <w:tcPr>
            <w:tcW w:w="5" w:type="pct"/>
            <w:shd w:val="clear" w:color="auto" w:fill="auto"/>
            <w:vAlign w:val="bottom"/>
          </w:tcPr>
          <w:p w14:paraId="518B7E15" w14:textId="77777777" w:rsidR="005C332D" w:rsidRDefault="005C332D">
            <w:pPr>
              <w:rPr>
                <w:rFonts w:ascii="宋体"/>
              </w:rPr>
            </w:pPr>
          </w:p>
        </w:tc>
        <w:tc>
          <w:tcPr>
            <w:tcW w:w="50" w:type="pct"/>
            <w:shd w:val="clear" w:color="auto" w:fill="auto"/>
            <w:vAlign w:val="bottom"/>
          </w:tcPr>
          <w:p w14:paraId="518B7E16" w14:textId="77777777" w:rsidR="005C332D" w:rsidRDefault="005C332D">
            <w:pPr>
              <w:rPr>
                <w:rFonts w:ascii="宋体"/>
              </w:rPr>
            </w:pPr>
          </w:p>
        </w:tc>
        <w:tc>
          <w:tcPr>
            <w:tcW w:w="678" w:type="pct"/>
            <w:shd w:val="clear" w:color="auto" w:fill="auto"/>
            <w:vAlign w:val="bottom"/>
          </w:tcPr>
          <w:p w14:paraId="518B7E17" w14:textId="77777777" w:rsidR="005C332D" w:rsidRDefault="005C332D">
            <w:pPr>
              <w:rPr>
                <w:rFonts w:ascii="宋体"/>
              </w:rPr>
            </w:pPr>
          </w:p>
        </w:tc>
        <w:tc>
          <w:tcPr>
            <w:tcW w:w="5" w:type="pct"/>
            <w:shd w:val="clear" w:color="auto" w:fill="auto"/>
            <w:vAlign w:val="bottom"/>
          </w:tcPr>
          <w:p w14:paraId="518B7E18" w14:textId="77777777" w:rsidR="005C332D" w:rsidRDefault="005C332D">
            <w:pPr>
              <w:rPr>
                <w:rFonts w:ascii="宋体"/>
              </w:rPr>
            </w:pPr>
          </w:p>
        </w:tc>
        <w:tc>
          <w:tcPr>
            <w:tcW w:w="5" w:type="pct"/>
            <w:shd w:val="clear" w:color="auto" w:fill="auto"/>
            <w:vAlign w:val="bottom"/>
          </w:tcPr>
          <w:p w14:paraId="518B7E19" w14:textId="77777777" w:rsidR="005C332D" w:rsidRDefault="005C332D">
            <w:pPr>
              <w:rPr>
                <w:rFonts w:ascii="宋体"/>
              </w:rPr>
            </w:pPr>
          </w:p>
        </w:tc>
        <w:tc>
          <w:tcPr>
            <w:tcW w:w="26" w:type="pct"/>
            <w:shd w:val="clear" w:color="auto" w:fill="auto"/>
            <w:vAlign w:val="bottom"/>
          </w:tcPr>
          <w:p w14:paraId="518B7E1A" w14:textId="77777777" w:rsidR="005C332D" w:rsidRDefault="005C332D">
            <w:pPr>
              <w:rPr>
                <w:rFonts w:ascii="宋体"/>
              </w:rPr>
            </w:pPr>
          </w:p>
        </w:tc>
        <w:tc>
          <w:tcPr>
            <w:tcW w:w="5" w:type="pct"/>
            <w:shd w:val="clear" w:color="auto" w:fill="auto"/>
            <w:vAlign w:val="bottom"/>
          </w:tcPr>
          <w:p w14:paraId="518B7E1B" w14:textId="77777777" w:rsidR="005C332D" w:rsidRDefault="005C332D">
            <w:pPr>
              <w:rPr>
                <w:rFonts w:ascii="宋体"/>
              </w:rPr>
            </w:pPr>
          </w:p>
        </w:tc>
        <w:tc>
          <w:tcPr>
            <w:tcW w:w="50" w:type="pct"/>
            <w:shd w:val="clear" w:color="auto" w:fill="auto"/>
            <w:vAlign w:val="bottom"/>
          </w:tcPr>
          <w:p w14:paraId="518B7E1C" w14:textId="77777777" w:rsidR="005C332D" w:rsidRDefault="005C332D">
            <w:pPr>
              <w:rPr>
                <w:rFonts w:ascii="宋体"/>
              </w:rPr>
            </w:pPr>
          </w:p>
        </w:tc>
        <w:tc>
          <w:tcPr>
            <w:tcW w:w="678" w:type="pct"/>
            <w:shd w:val="clear" w:color="auto" w:fill="auto"/>
            <w:vAlign w:val="bottom"/>
          </w:tcPr>
          <w:p w14:paraId="518B7E1D" w14:textId="77777777" w:rsidR="005C332D" w:rsidRDefault="005C332D">
            <w:pPr>
              <w:rPr>
                <w:rFonts w:ascii="宋体"/>
              </w:rPr>
            </w:pPr>
          </w:p>
        </w:tc>
        <w:tc>
          <w:tcPr>
            <w:tcW w:w="5" w:type="pct"/>
            <w:shd w:val="clear" w:color="auto" w:fill="auto"/>
            <w:vAlign w:val="bottom"/>
          </w:tcPr>
          <w:p w14:paraId="518B7E1E" w14:textId="77777777" w:rsidR="005C332D" w:rsidRDefault="005C332D">
            <w:pPr>
              <w:rPr>
                <w:rFonts w:ascii="宋体"/>
              </w:rPr>
            </w:pPr>
          </w:p>
        </w:tc>
      </w:tr>
      <w:tr w:rsidR="005C332D" w14:paraId="518B7E26" w14:textId="77777777">
        <w:tc>
          <w:tcPr>
            <w:tcW w:w="0" w:type="auto"/>
            <w:gridSpan w:val="3"/>
            <w:shd w:val="clear" w:color="auto" w:fill="auto"/>
            <w:tcMar>
              <w:top w:w="40" w:type="dxa"/>
              <w:left w:w="20" w:type="dxa"/>
              <w:bottom w:w="40" w:type="dxa"/>
              <w:right w:w="20" w:type="dxa"/>
            </w:tcMar>
            <w:vAlign w:val="bottom"/>
          </w:tcPr>
          <w:p w14:paraId="518B7E20" w14:textId="77777777" w:rsidR="005C332D" w:rsidRDefault="00B93EAE">
            <w:pPr>
              <w:textAlignment w:val="bottom"/>
            </w:pPr>
            <w:r>
              <w:rPr>
                <w:rFonts w:ascii="Times New Roman" w:eastAsia="宋体" w:hAnsi="Times New Roman"/>
                <w:color w:val="000000"/>
                <w:sz w:val="16"/>
                <w:szCs w:val="16"/>
                <w:u w:val="single"/>
              </w:rPr>
              <w:t>Years Ended</w:t>
            </w:r>
          </w:p>
        </w:tc>
        <w:tc>
          <w:tcPr>
            <w:tcW w:w="0" w:type="auto"/>
            <w:gridSpan w:val="3"/>
            <w:shd w:val="clear" w:color="auto" w:fill="auto"/>
            <w:tcMar>
              <w:top w:w="40" w:type="dxa"/>
              <w:left w:w="20" w:type="dxa"/>
              <w:bottom w:w="40" w:type="dxa"/>
              <w:right w:w="20" w:type="dxa"/>
            </w:tcMar>
            <w:vAlign w:val="bottom"/>
          </w:tcPr>
          <w:p w14:paraId="518B7E21"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E22"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E23"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7E2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E25"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E33" w14:textId="77777777">
        <w:tc>
          <w:tcPr>
            <w:tcW w:w="0" w:type="auto"/>
            <w:gridSpan w:val="3"/>
            <w:shd w:val="clear" w:color="auto" w:fill="CCEEFF"/>
            <w:tcMar>
              <w:top w:w="40" w:type="dxa"/>
              <w:left w:w="20" w:type="dxa"/>
              <w:bottom w:w="40" w:type="dxa"/>
              <w:right w:w="20" w:type="dxa"/>
            </w:tcMar>
          </w:tcPr>
          <w:p w14:paraId="518B7E27" w14:textId="77777777" w:rsidR="005C332D" w:rsidRDefault="00B93EAE">
            <w:pPr>
              <w:textAlignment w:val="top"/>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E28"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E29" w14:textId="77777777" w:rsidR="005C332D" w:rsidRDefault="00B93EAE">
            <w:pPr>
              <w:jc w:val="right"/>
              <w:textAlignment w:val="bottom"/>
            </w:pPr>
            <w:r>
              <w:rPr>
                <w:rFonts w:ascii="Times New Roman" w:eastAsia="宋体" w:hAnsi="Times New Roman"/>
                <w:b/>
                <w:bCs/>
                <w:color w:val="000000"/>
                <w:sz w:val="20"/>
                <w:szCs w:val="20"/>
              </w:rPr>
              <w:t>13,550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E2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2B"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E2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E2D" w14:textId="77777777" w:rsidR="005C332D" w:rsidRDefault="00B93EAE">
            <w:pPr>
              <w:jc w:val="right"/>
              <w:textAlignment w:val="bottom"/>
            </w:pPr>
            <w:r>
              <w:rPr>
                <w:rFonts w:ascii="Times New Roman" w:eastAsia="宋体" w:hAnsi="Times New Roman"/>
                <w:color w:val="000000"/>
                <w:sz w:val="20"/>
                <w:szCs w:val="20"/>
              </w:rPr>
              <w:t>12,335 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E2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2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E3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E31" w14:textId="77777777" w:rsidR="005C332D" w:rsidRDefault="00B93EAE">
            <w:pPr>
              <w:jc w:val="right"/>
              <w:textAlignment w:val="bottom"/>
            </w:pPr>
            <w:r>
              <w:rPr>
                <w:rFonts w:ascii="Times New Roman" w:eastAsia="宋体" w:hAnsi="Times New Roman"/>
                <w:color w:val="000000"/>
                <w:sz w:val="20"/>
                <w:szCs w:val="20"/>
              </w:rPr>
              <w:t>7,534 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E32" w14:textId="77777777" w:rsidR="005C332D" w:rsidRDefault="005C332D">
            <w:pPr>
              <w:jc w:val="right"/>
              <w:rPr>
                <w:rFonts w:ascii="宋体"/>
              </w:rPr>
            </w:pPr>
          </w:p>
        </w:tc>
      </w:tr>
      <w:tr w:rsidR="005C332D" w14:paraId="518B7E3D" w14:textId="77777777">
        <w:tc>
          <w:tcPr>
            <w:tcW w:w="0" w:type="auto"/>
            <w:gridSpan w:val="3"/>
            <w:shd w:val="clear" w:color="auto" w:fill="FFFFFF"/>
            <w:tcMar>
              <w:top w:w="40" w:type="dxa"/>
              <w:left w:w="20" w:type="dxa"/>
              <w:bottom w:w="40" w:type="dxa"/>
              <w:right w:w="20" w:type="dxa"/>
            </w:tcMar>
          </w:tcPr>
          <w:p w14:paraId="518B7E34" w14:textId="77777777" w:rsidR="005C332D" w:rsidRDefault="00B93EAE">
            <w:pPr>
              <w:textAlignment w:val="top"/>
            </w:pPr>
            <w:r>
              <w:rPr>
                <w:rFonts w:ascii="Times New Roman" w:eastAsia="宋体" w:hAnsi="Times New Roman"/>
                <w:color w:val="000000"/>
                <w:sz w:val="20"/>
                <w:szCs w:val="20"/>
              </w:rPr>
              <w:t>International</w:t>
            </w:r>
          </w:p>
        </w:tc>
        <w:tc>
          <w:tcPr>
            <w:tcW w:w="0" w:type="auto"/>
            <w:gridSpan w:val="2"/>
            <w:shd w:val="clear" w:color="auto" w:fill="FFFFFF"/>
            <w:tcMar>
              <w:top w:w="40" w:type="dxa"/>
              <w:left w:w="20" w:type="dxa"/>
              <w:bottom w:w="40" w:type="dxa"/>
              <w:right w:w="0" w:type="dxa"/>
            </w:tcMar>
            <w:vAlign w:val="bottom"/>
          </w:tcPr>
          <w:p w14:paraId="518B7E35" w14:textId="77777777" w:rsidR="005C332D" w:rsidRDefault="00B93EAE">
            <w:pPr>
              <w:jc w:val="right"/>
              <w:textAlignment w:val="bottom"/>
            </w:pPr>
            <w:r>
              <w:rPr>
                <w:rFonts w:ascii="Times New Roman" w:eastAsia="宋体" w:hAnsi="Times New Roman"/>
                <w:b/>
                <w:bCs/>
                <w:color w:val="000000"/>
                <w:sz w:val="20"/>
                <w:szCs w:val="20"/>
              </w:rPr>
              <w:t>927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E3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E3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E38" w14:textId="77777777" w:rsidR="005C332D" w:rsidRDefault="00B93EAE">
            <w:pPr>
              <w:jc w:val="right"/>
              <w:textAlignment w:val="bottom"/>
            </w:pPr>
            <w:r>
              <w:rPr>
                <w:rFonts w:ascii="Times New Roman" w:eastAsia="宋体" w:hAnsi="Times New Roman"/>
                <w:color w:val="000000"/>
                <w:sz w:val="20"/>
                <w:szCs w:val="20"/>
              </w:rPr>
              <w:t>927 </w:t>
            </w:r>
          </w:p>
        </w:tc>
        <w:tc>
          <w:tcPr>
            <w:tcW w:w="0" w:type="auto"/>
            <w:shd w:val="clear" w:color="auto" w:fill="FFFFFF"/>
            <w:tcMar>
              <w:top w:w="40" w:type="dxa"/>
              <w:left w:w="0" w:type="dxa"/>
              <w:bottom w:w="40" w:type="dxa"/>
              <w:right w:w="20" w:type="dxa"/>
            </w:tcMar>
            <w:vAlign w:val="bottom"/>
          </w:tcPr>
          <w:p w14:paraId="518B7E3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E3A"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E3B" w14:textId="77777777" w:rsidR="005C332D" w:rsidRDefault="00B93EAE">
            <w:pPr>
              <w:jc w:val="right"/>
              <w:textAlignment w:val="bottom"/>
            </w:pPr>
            <w:r>
              <w:rPr>
                <w:rFonts w:ascii="Times New Roman" w:eastAsia="宋体" w:hAnsi="Times New Roman"/>
                <w:color w:val="000000"/>
                <w:sz w:val="20"/>
                <w:szCs w:val="20"/>
              </w:rPr>
              <w:t>6,436 </w:t>
            </w:r>
          </w:p>
        </w:tc>
        <w:tc>
          <w:tcPr>
            <w:tcW w:w="0" w:type="auto"/>
            <w:shd w:val="clear" w:color="auto" w:fill="FFFFFF"/>
            <w:tcMar>
              <w:top w:w="40" w:type="dxa"/>
              <w:left w:w="0" w:type="dxa"/>
              <w:bottom w:w="40" w:type="dxa"/>
              <w:right w:w="20" w:type="dxa"/>
            </w:tcMar>
            <w:vAlign w:val="bottom"/>
          </w:tcPr>
          <w:p w14:paraId="518B7E3C" w14:textId="77777777" w:rsidR="005C332D" w:rsidRDefault="005C332D">
            <w:pPr>
              <w:jc w:val="right"/>
              <w:rPr>
                <w:rFonts w:ascii="宋体"/>
              </w:rPr>
            </w:pPr>
          </w:p>
        </w:tc>
      </w:tr>
      <w:tr w:rsidR="005C332D" w14:paraId="518B7E4A" w14:textId="77777777">
        <w:tc>
          <w:tcPr>
            <w:tcW w:w="0" w:type="auto"/>
            <w:gridSpan w:val="3"/>
            <w:shd w:val="clear" w:color="auto" w:fill="CCEEFF"/>
            <w:tcMar>
              <w:top w:w="40" w:type="dxa"/>
              <w:left w:w="380" w:type="dxa"/>
              <w:bottom w:w="40" w:type="dxa"/>
              <w:right w:w="20" w:type="dxa"/>
            </w:tcMar>
          </w:tcPr>
          <w:p w14:paraId="518B7E3E"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E3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E40" w14:textId="77777777" w:rsidR="005C332D" w:rsidRDefault="00B93EAE">
            <w:pPr>
              <w:jc w:val="right"/>
              <w:textAlignment w:val="bottom"/>
            </w:pPr>
            <w:r>
              <w:rPr>
                <w:rFonts w:ascii="Times New Roman" w:eastAsia="宋体" w:hAnsi="Times New Roman"/>
                <w:b/>
                <w:bCs/>
                <w:color w:val="000000"/>
                <w:sz w:val="20"/>
                <w:szCs w:val="20"/>
              </w:rPr>
              <w:t>14,477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E4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42"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E4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E44" w14:textId="77777777" w:rsidR="005C332D" w:rsidRDefault="00B93EAE">
            <w:pPr>
              <w:jc w:val="right"/>
              <w:textAlignment w:val="bottom"/>
            </w:pPr>
            <w:r>
              <w:rPr>
                <w:rFonts w:ascii="Times New Roman" w:eastAsia="宋体" w:hAnsi="Times New Roman"/>
                <w:color w:val="000000"/>
                <w:sz w:val="20"/>
                <w:szCs w:val="20"/>
              </w:rPr>
              <w:t>13,262 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E4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46"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E4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E48" w14:textId="77777777" w:rsidR="005C332D" w:rsidRDefault="00B93EAE">
            <w:pPr>
              <w:jc w:val="right"/>
              <w:textAlignment w:val="bottom"/>
            </w:pPr>
            <w:r>
              <w:rPr>
                <w:rFonts w:ascii="Times New Roman" w:eastAsia="宋体" w:hAnsi="Times New Roman"/>
                <w:color w:val="000000"/>
                <w:sz w:val="20"/>
                <w:szCs w:val="20"/>
              </w:rPr>
              <w:t>13,970 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E49" w14:textId="77777777" w:rsidR="005C332D" w:rsidRDefault="005C332D">
            <w:pPr>
              <w:jc w:val="right"/>
              <w:rPr>
                <w:rFonts w:ascii="宋体"/>
              </w:rPr>
            </w:pPr>
          </w:p>
        </w:tc>
      </w:tr>
    </w:tbl>
    <w:p w14:paraId="518B7E4B" w14:textId="77777777" w:rsidR="005C332D" w:rsidRDefault="00B93EAE">
      <w:pPr>
        <w:spacing w:before="120"/>
        <w:jc w:val="both"/>
      </w:pPr>
      <w:r>
        <w:rPr>
          <w:rFonts w:ascii="Times New Roman" w:eastAsia="宋体" w:hAnsi="Times New Roman"/>
          <w:color w:val="000000"/>
          <w:sz w:val="20"/>
          <w:szCs w:val="20"/>
        </w:rPr>
        <w:t>The items accounting for the difference between income taxes computed at the federal statutory rate and the provision for income taxes consist of the following:</w:t>
      </w:r>
    </w:p>
    <w:tbl>
      <w:tblPr>
        <w:tblW w:w="4985" w:type="pct"/>
        <w:tblCellMar>
          <w:top w:w="15" w:type="dxa"/>
          <w:left w:w="15" w:type="dxa"/>
          <w:bottom w:w="15" w:type="dxa"/>
          <w:right w:w="15" w:type="dxa"/>
        </w:tblCellMar>
        <w:tblLook w:val="04A0" w:firstRow="1" w:lastRow="0" w:firstColumn="1" w:lastColumn="0" w:noHBand="0" w:noVBand="1"/>
      </w:tblPr>
      <w:tblGrid>
        <w:gridCol w:w="41"/>
        <w:gridCol w:w="4343"/>
        <w:gridCol w:w="40"/>
        <w:gridCol w:w="38"/>
        <w:gridCol w:w="1030"/>
        <w:gridCol w:w="220"/>
        <w:gridCol w:w="36"/>
        <w:gridCol w:w="36"/>
        <w:gridCol w:w="36"/>
        <w:gridCol w:w="38"/>
        <w:gridCol w:w="966"/>
        <w:gridCol w:w="187"/>
        <w:gridCol w:w="36"/>
        <w:gridCol w:w="36"/>
        <w:gridCol w:w="36"/>
        <w:gridCol w:w="38"/>
        <w:gridCol w:w="967"/>
        <w:gridCol w:w="187"/>
      </w:tblGrid>
      <w:tr w:rsidR="005C332D" w14:paraId="518B7E5E" w14:textId="77777777">
        <w:tc>
          <w:tcPr>
            <w:tcW w:w="50" w:type="pct"/>
            <w:shd w:val="clear" w:color="auto" w:fill="auto"/>
            <w:vAlign w:val="bottom"/>
          </w:tcPr>
          <w:p w14:paraId="518B7E4C" w14:textId="77777777" w:rsidR="005C332D" w:rsidRDefault="005C332D">
            <w:pPr>
              <w:rPr>
                <w:rFonts w:ascii="宋体"/>
              </w:rPr>
            </w:pPr>
          </w:p>
        </w:tc>
        <w:tc>
          <w:tcPr>
            <w:tcW w:w="2672" w:type="pct"/>
            <w:shd w:val="clear" w:color="auto" w:fill="auto"/>
            <w:vAlign w:val="bottom"/>
          </w:tcPr>
          <w:p w14:paraId="518B7E4D" w14:textId="77777777" w:rsidR="005C332D" w:rsidRDefault="005C332D">
            <w:pPr>
              <w:rPr>
                <w:rFonts w:ascii="宋体"/>
              </w:rPr>
            </w:pPr>
          </w:p>
        </w:tc>
        <w:tc>
          <w:tcPr>
            <w:tcW w:w="5" w:type="pct"/>
            <w:shd w:val="clear" w:color="auto" w:fill="auto"/>
            <w:vAlign w:val="bottom"/>
          </w:tcPr>
          <w:p w14:paraId="518B7E4E" w14:textId="77777777" w:rsidR="005C332D" w:rsidRDefault="005C332D">
            <w:pPr>
              <w:rPr>
                <w:rFonts w:ascii="宋体"/>
              </w:rPr>
            </w:pPr>
          </w:p>
        </w:tc>
        <w:tc>
          <w:tcPr>
            <w:tcW w:w="50" w:type="pct"/>
            <w:shd w:val="clear" w:color="auto" w:fill="auto"/>
            <w:vAlign w:val="bottom"/>
          </w:tcPr>
          <w:p w14:paraId="518B7E4F" w14:textId="77777777" w:rsidR="005C332D" w:rsidRDefault="005C332D">
            <w:pPr>
              <w:rPr>
                <w:rFonts w:ascii="宋体"/>
              </w:rPr>
            </w:pPr>
          </w:p>
        </w:tc>
        <w:tc>
          <w:tcPr>
            <w:tcW w:w="678" w:type="pct"/>
            <w:shd w:val="clear" w:color="auto" w:fill="auto"/>
            <w:vAlign w:val="bottom"/>
          </w:tcPr>
          <w:p w14:paraId="518B7E50" w14:textId="77777777" w:rsidR="005C332D" w:rsidRDefault="005C332D">
            <w:pPr>
              <w:rPr>
                <w:rFonts w:ascii="宋体"/>
              </w:rPr>
            </w:pPr>
          </w:p>
        </w:tc>
        <w:tc>
          <w:tcPr>
            <w:tcW w:w="5" w:type="pct"/>
            <w:shd w:val="clear" w:color="auto" w:fill="auto"/>
            <w:vAlign w:val="bottom"/>
          </w:tcPr>
          <w:p w14:paraId="518B7E51" w14:textId="77777777" w:rsidR="005C332D" w:rsidRDefault="005C332D">
            <w:pPr>
              <w:rPr>
                <w:rFonts w:ascii="宋体"/>
              </w:rPr>
            </w:pPr>
          </w:p>
        </w:tc>
        <w:tc>
          <w:tcPr>
            <w:tcW w:w="5" w:type="pct"/>
            <w:shd w:val="clear" w:color="auto" w:fill="auto"/>
            <w:vAlign w:val="bottom"/>
          </w:tcPr>
          <w:p w14:paraId="518B7E52" w14:textId="77777777" w:rsidR="005C332D" w:rsidRDefault="005C332D">
            <w:pPr>
              <w:rPr>
                <w:rFonts w:ascii="宋体"/>
              </w:rPr>
            </w:pPr>
          </w:p>
        </w:tc>
        <w:tc>
          <w:tcPr>
            <w:tcW w:w="26" w:type="pct"/>
            <w:shd w:val="clear" w:color="auto" w:fill="auto"/>
            <w:vAlign w:val="bottom"/>
          </w:tcPr>
          <w:p w14:paraId="518B7E53" w14:textId="77777777" w:rsidR="005C332D" w:rsidRDefault="005C332D">
            <w:pPr>
              <w:rPr>
                <w:rFonts w:ascii="宋体"/>
              </w:rPr>
            </w:pPr>
          </w:p>
        </w:tc>
        <w:tc>
          <w:tcPr>
            <w:tcW w:w="5" w:type="pct"/>
            <w:shd w:val="clear" w:color="auto" w:fill="auto"/>
            <w:vAlign w:val="bottom"/>
          </w:tcPr>
          <w:p w14:paraId="518B7E54" w14:textId="77777777" w:rsidR="005C332D" w:rsidRDefault="005C332D">
            <w:pPr>
              <w:rPr>
                <w:rFonts w:ascii="宋体"/>
              </w:rPr>
            </w:pPr>
          </w:p>
        </w:tc>
        <w:tc>
          <w:tcPr>
            <w:tcW w:w="50" w:type="pct"/>
            <w:shd w:val="clear" w:color="auto" w:fill="auto"/>
            <w:vAlign w:val="bottom"/>
          </w:tcPr>
          <w:p w14:paraId="518B7E55" w14:textId="77777777" w:rsidR="005C332D" w:rsidRDefault="005C332D">
            <w:pPr>
              <w:rPr>
                <w:rFonts w:ascii="宋体"/>
              </w:rPr>
            </w:pPr>
          </w:p>
        </w:tc>
        <w:tc>
          <w:tcPr>
            <w:tcW w:w="678" w:type="pct"/>
            <w:shd w:val="clear" w:color="auto" w:fill="auto"/>
            <w:vAlign w:val="bottom"/>
          </w:tcPr>
          <w:p w14:paraId="518B7E56" w14:textId="77777777" w:rsidR="005C332D" w:rsidRDefault="005C332D">
            <w:pPr>
              <w:rPr>
                <w:rFonts w:ascii="宋体"/>
              </w:rPr>
            </w:pPr>
          </w:p>
        </w:tc>
        <w:tc>
          <w:tcPr>
            <w:tcW w:w="5" w:type="pct"/>
            <w:shd w:val="clear" w:color="auto" w:fill="auto"/>
            <w:vAlign w:val="bottom"/>
          </w:tcPr>
          <w:p w14:paraId="518B7E57" w14:textId="77777777" w:rsidR="005C332D" w:rsidRDefault="005C332D">
            <w:pPr>
              <w:rPr>
                <w:rFonts w:ascii="宋体"/>
              </w:rPr>
            </w:pPr>
          </w:p>
        </w:tc>
        <w:tc>
          <w:tcPr>
            <w:tcW w:w="5" w:type="pct"/>
            <w:shd w:val="clear" w:color="auto" w:fill="auto"/>
            <w:vAlign w:val="bottom"/>
          </w:tcPr>
          <w:p w14:paraId="518B7E58" w14:textId="77777777" w:rsidR="005C332D" w:rsidRDefault="005C332D">
            <w:pPr>
              <w:rPr>
                <w:rFonts w:ascii="宋体"/>
              </w:rPr>
            </w:pPr>
          </w:p>
        </w:tc>
        <w:tc>
          <w:tcPr>
            <w:tcW w:w="26" w:type="pct"/>
            <w:shd w:val="clear" w:color="auto" w:fill="auto"/>
            <w:vAlign w:val="bottom"/>
          </w:tcPr>
          <w:p w14:paraId="518B7E59" w14:textId="77777777" w:rsidR="005C332D" w:rsidRDefault="005C332D">
            <w:pPr>
              <w:rPr>
                <w:rFonts w:ascii="宋体"/>
              </w:rPr>
            </w:pPr>
          </w:p>
        </w:tc>
        <w:tc>
          <w:tcPr>
            <w:tcW w:w="5" w:type="pct"/>
            <w:shd w:val="clear" w:color="auto" w:fill="auto"/>
            <w:vAlign w:val="bottom"/>
          </w:tcPr>
          <w:p w14:paraId="518B7E5A" w14:textId="77777777" w:rsidR="005C332D" w:rsidRDefault="005C332D">
            <w:pPr>
              <w:rPr>
                <w:rFonts w:ascii="宋体"/>
              </w:rPr>
            </w:pPr>
          </w:p>
        </w:tc>
        <w:tc>
          <w:tcPr>
            <w:tcW w:w="50" w:type="pct"/>
            <w:shd w:val="clear" w:color="auto" w:fill="auto"/>
            <w:vAlign w:val="bottom"/>
          </w:tcPr>
          <w:p w14:paraId="518B7E5B" w14:textId="77777777" w:rsidR="005C332D" w:rsidRDefault="005C332D">
            <w:pPr>
              <w:rPr>
                <w:rFonts w:ascii="宋体"/>
              </w:rPr>
            </w:pPr>
          </w:p>
        </w:tc>
        <w:tc>
          <w:tcPr>
            <w:tcW w:w="678" w:type="pct"/>
            <w:shd w:val="clear" w:color="auto" w:fill="auto"/>
            <w:vAlign w:val="bottom"/>
          </w:tcPr>
          <w:p w14:paraId="518B7E5C" w14:textId="77777777" w:rsidR="005C332D" w:rsidRDefault="005C332D">
            <w:pPr>
              <w:rPr>
                <w:rFonts w:ascii="宋体"/>
              </w:rPr>
            </w:pPr>
          </w:p>
        </w:tc>
        <w:tc>
          <w:tcPr>
            <w:tcW w:w="5" w:type="pct"/>
            <w:shd w:val="clear" w:color="auto" w:fill="auto"/>
            <w:vAlign w:val="bottom"/>
          </w:tcPr>
          <w:p w14:paraId="518B7E5D" w14:textId="77777777" w:rsidR="005C332D" w:rsidRDefault="005C332D">
            <w:pPr>
              <w:rPr>
                <w:rFonts w:ascii="宋体"/>
              </w:rPr>
            </w:pPr>
          </w:p>
        </w:tc>
      </w:tr>
      <w:tr w:rsidR="005C332D" w14:paraId="518B7E65" w14:textId="77777777">
        <w:tc>
          <w:tcPr>
            <w:tcW w:w="0" w:type="auto"/>
            <w:gridSpan w:val="3"/>
            <w:shd w:val="clear" w:color="auto" w:fill="auto"/>
            <w:tcMar>
              <w:top w:w="40" w:type="dxa"/>
              <w:left w:w="20" w:type="dxa"/>
              <w:bottom w:w="40" w:type="dxa"/>
              <w:right w:w="20" w:type="dxa"/>
            </w:tcMar>
            <w:vAlign w:val="bottom"/>
          </w:tcPr>
          <w:p w14:paraId="518B7E5F" w14:textId="77777777" w:rsidR="005C332D" w:rsidRDefault="00B93EAE">
            <w:pPr>
              <w:textAlignment w:val="bottom"/>
            </w:pPr>
            <w:r>
              <w:rPr>
                <w:rFonts w:ascii="Times New Roman" w:eastAsia="宋体" w:hAnsi="Times New Roman"/>
                <w:color w:val="000000"/>
                <w:sz w:val="16"/>
                <w:szCs w:val="16"/>
                <w:u w:val="single"/>
              </w:rPr>
              <w:t>Years Ended</w:t>
            </w:r>
          </w:p>
        </w:tc>
        <w:tc>
          <w:tcPr>
            <w:tcW w:w="0" w:type="auto"/>
            <w:gridSpan w:val="3"/>
            <w:shd w:val="clear" w:color="auto" w:fill="auto"/>
            <w:tcMar>
              <w:top w:w="40" w:type="dxa"/>
              <w:left w:w="20" w:type="dxa"/>
              <w:bottom w:w="40" w:type="dxa"/>
              <w:right w:w="20" w:type="dxa"/>
            </w:tcMar>
            <w:vAlign w:val="bottom"/>
          </w:tcPr>
          <w:p w14:paraId="518B7E60"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E61"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E62"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7E6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E64"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E6F" w14:textId="77777777">
        <w:tc>
          <w:tcPr>
            <w:tcW w:w="0" w:type="auto"/>
            <w:gridSpan w:val="3"/>
            <w:shd w:val="clear" w:color="auto" w:fill="CCEEFF"/>
            <w:tcMar>
              <w:top w:w="40" w:type="dxa"/>
              <w:left w:w="20" w:type="dxa"/>
              <w:bottom w:w="40" w:type="dxa"/>
              <w:right w:w="20" w:type="dxa"/>
            </w:tcMar>
          </w:tcPr>
          <w:p w14:paraId="518B7E66" w14:textId="77777777" w:rsidR="005C332D" w:rsidRDefault="00B93EAE">
            <w:pPr>
              <w:textAlignment w:val="top"/>
            </w:pPr>
            <w:r>
              <w:rPr>
                <w:rFonts w:ascii="Times New Roman" w:eastAsia="宋体" w:hAnsi="Times New Roman"/>
                <w:color w:val="000000"/>
                <w:sz w:val="20"/>
                <w:szCs w:val="20"/>
              </w:rPr>
              <w:t>Federal statutory rate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E67" w14:textId="77777777" w:rsidR="005C332D" w:rsidRDefault="00B93EAE">
            <w:pPr>
              <w:jc w:val="right"/>
              <w:textAlignment w:val="bottom"/>
            </w:pPr>
            <w:r>
              <w:rPr>
                <w:rFonts w:ascii="Times New Roman" w:eastAsia="宋体" w:hAnsi="Times New Roman"/>
                <w:b/>
                <w:bCs/>
                <w:color w:val="000000"/>
                <w:sz w:val="20"/>
                <w:szCs w:val="20"/>
              </w:rPr>
              <w:t>21.0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E68"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7E69"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E6A" w14:textId="77777777" w:rsidR="005C332D" w:rsidRDefault="00B93EAE">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E6B"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7E6C"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E6D" w14:textId="77777777" w:rsidR="005C332D" w:rsidRDefault="00B93EAE">
            <w:pPr>
              <w:jc w:val="right"/>
              <w:textAlignment w:val="bottom"/>
            </w:pPr>
            <w:r>
              <w:rPr>
                <w:rFonts w:ascii="Times New Roman" w:eastAsia="宋体" w:hAnsi="Times New Roman"/>
                <w:color w:val="000000"/>
                <w:sz w:val="20"/>
                <w:szCs w:val="20"/>
              </w:rPr>
              <w:t>21.0 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E6E" w14:textId="77777777" w:rsidR="005C332D" w:rsidRDefault="00B93EAE">
            <w:pPr>
              <w:jc w:val="right"/>
              <w:textAlignment w:val="bottom"/>
            </w:pPr>
            <w:r>
              <w:rPr>
                <w:rFonts w:ascii="Times New Roman" w:eastAsia="宋体" w:hAnsi="Times New Roman"/>
                <w:color w:val="000000"/>
                <w:sz w:val="20"/>
                <w:szCs w:val="20"/>
              </w:rPr>
              <w:t>%</w:t>
            </w:r>
          </w:p>
        </w:tc>
      </w:tr>
      <w:tr w:rsidR="005C332D" w14:paraId="518B7E76" w14:textId="77777777">
        <w:tc>
          <w:tcPr>
            <w:tcW w:w="0" w:type="auto"/>
            <w:gridSpan w:val="3"/>
            <w:shd w:val="clear" w:color="auto" w:fill="FFFFFF"/>
            <w:tcMar>
              <w:top w:w="40" w:type="dxa"/>
              <w:left w:w="20" w:type="dxa"/>
              <w:bottom w:w="40" w:type="dxa"/>
              <w:right w:w="20" w:type="dxa"/>
            </w:tcMar>
          </w:tcPr>
          <w:p w14:paraId="518B7E70" w14:textId="77777777" w:rsidR="005C332D" w:rsidRDefault="00B93EAE">
            <w:pPr>
              <w:textAlignment w:val="top"/>
            </w:pPr>
            <w:r>
              <w:rPr>
                <w:rFonts w:ascii="Times New Roman" w:eastAsia="宋体" w:hAnsi="Times New Roman"/>
                <w:color w:val="000000"/>
                <w:sz w:val="20"/>
                <w:szCs w:val="20"/>
              </w:rPr>
              <w:t>Effect of:</w:t>
            </w:r>
          </w:p>
        </w:tc>
        <w:tc>
          <w:tcPr>
            <w:tcW w:w="0" w:type="auto"/>
            <w:gridSpan w:val="3"/>
            <w:shd w:val="clear" w:color="auto" w:fill="FFFFFF"/>
            <w:tcMar>
              <w:top w:w="0" w:type="dxa"/>
              <w:left w:w="20" w:type="dxa"/>
              <w:bottom w:w="0" w:type="dxa"/>
              <w:right w:w="20" w:type="dxa"/>
            </w:tcMar>
            <w:vAlign w:val="bottom"/>
          </w:tcPr>
          <w:p w14:paraId="518B7E7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E7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E7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E7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E75" w14:textId="77777777" w:rsidR="005C332D" w:rsidRDefault="005C332D">
            <w:pPr>
              <w:rPr>
                <w:rFonts w:ascii="宋体"/>
              </w:rPr>
            </w:pPr>
          </w:p>
        </w:tc>
      </w:tr>
      <w:tr w:rsidR="005C332D" w14:paraId="518B7E80" w14:textId="77777777">
        <w:tc>
          <w:tcPr>
            <w:tcW w:w="0" w:type="auto"/>
            <w:gridSpan w:val="3"/>
            <w:shd w:val="clear" w:color="auto" w:fill="CCEEFF"/>
            <w:tcMar>
              <w:top w:w="40" w:type="dxa"/>
              <w:left w:w="380" w:type="dxa"/>
              <w:bottom w:w="40" w:type="dxa"/>
              <w:right w:w="20" w:type="dxa"/>
            </w:tcMar>
          </w:tcPr>
          <w:p w14:paraId="518B7E77" w14:textId="77777777" w:rsidR="005C332D" w:rsidRDefault="00B93EAE">
            <w:pPr>
              <w:textAlignment w:val="top"/>
            </w:pPr>
            <w:r>
              <w:rPr>
                <w:rFonts w:ascii="Times New Roman" w:eastAsia="宋体" w:hAnsi="Times New Roman"/>
                <w:color w:val="000000"/>
                <w:sz w:val="20"/>
                <w:szCs w:val="20"/>
              </w:rPr>
              <w:t>State taxes, net of federal tax benefit</w:t>
            </w:r>
          </w:p>
        </w:tc>
        <w:tc>
          <w:tcPr>
            <w:tcW w:w="0" w:type="auto"/>
            <w:gridSpan w:val="2"/>
            <w:shd w:val="clear" w:color="auto" w:fill="CCEEFF"/>
            <w:tcMar>
              <w:top w:w="40" w:type="dxa"/>
              <w:left w:w="20" w:type="dxa"/>
              <w:bottom w:w="40" w:type="dxa"/>
              <w:right w:w="0" w:type="dxa"/>
            </w:tcMar>
            <w:vAlign w:val="bottom"/>
          </w:tcPr>
          <w:p w14:paraId="518B7E78" w14:textId="77777777" w:rsidR="005C332D" w:rsidRDefault="00B93EAE">
            <w:pPr>
              <w:jc w:val="right"/>
              <w:textAlignment w:val="bottom"/>
            </w:pPr>
            <w:r>
              <w:rPr>
                <w:rFonts w:ascii="Times New Roman" w:eastAsia="宋体" w:hAnsi="Times New Roman"/>
                <w:b/>
                <w:bCs/>
                <w:color w:val="000000"/>
                <w:sz w:val="20"/>
                <w:szCs w:val="20"/>
              </w:rPr>
              <w:t>1.7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E7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7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E7B" w14:textId="77777777" w:rsidR="005C332D" w:rsidRDefault="00B93EAE">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518B7E7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7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E7E" w14:textId="77777777" w:rsidR="005C332D" w:rsidRDefault="00B93EAE">
            <w:pPr>
              <w:jc w:val="right"/>
              <w:textAlignment w:val="bottom"/>
            </w:pPr>
            <w:r>
              <w:rPr>
                <w:rFonts w:ascii="Times New Roman" w:eastAsia="宋体" w:hAnsi="Times New Roman"/>
                <w:color w:val="000000"/>
                <w:sz w:val="20"/>
                <w:szCs w:val="20"/>
              </w:rPr>
              <w:t>3.5 </w:t>
            </w:r>
          </w:p>
        </w:tc>
        <w:tc>
          <w:tcPr>
            <w:tcW w:w="0" w:type="auto"/>
            <w:shd w:val="clear" w:color="auto" w:fill="CCEEFF"/>
            <w:tcMar>
              <w:top w:w="40" w:type="dxa"/>
              <w:left w:w="0" w:type="dxa"/>
              <w:bottom w:w="40" w:type="dxa"/>
              <w:right w:w="20" w:type="dxa"/>
            </w:tcMar>
            <w:vAlign w:val="bottom"/>
          </w:tcPr>
          <w:p w14:paraId="518B7E7F" w14:textId="77777777" w:rsidR="005C332D" w:rsidRDefault="005C332D">
            <w:pPr>
              <w:jc w:val="right"/>
              <w:rPr>
                <w:rFonts w:ascii="宋体"/>
              </w:rPr>
            </w:pPr>
          </w:p>
        </w:tc>
      </w:tr>
      <w:tr w:rsidR="005C332D" w14:paraId="518B7E8A" w14:textId="77777777">
        <w:tc>
          <w:tcPr>
            <w:tcW w:w="0" w:type="auto"/>
            <w:gridSpan w:val="3"/>
            <w:shd w:val="clear" w:color="auto" w:fill="FFFFFF"/>
            <w:tcMar>
              <w:top w:w="40" w:type="dxa"/>
              <w:left w:w="380" w:type="dxa"/>
              <w:bottom w:w="40" w:type="dxa"/>
              <w:right w:w="20" w:type="dxa"/>
            </w:tcMar>
          </w:tcPr>
          <w:p w14:paraId="518B7E81" w14:textId="77777777" w:rsidR="005C332D" w:rsidRDefault="00B93EAE">
            <w:pPr>
              <w:textAlignment w:val="top"/>
            </w:pPr>
            <w:r>
              <w:rPr>
                <w:rFonts w:ascii="Times New Roman" w:eastAsia="宋体" w:hAnsi="Times New Roman"/>
                <w:color w:val="000000"/>
                <w:sz w:val="20"/>
                <w:szCs w:val="20"/>
              </w:rPr>
              <w:t>Foreign income at other than U.S. rates</w:t>
            </w:r>
          </w:p>
        </w:tc>
        <w:tc>
          <w:tcPr>
            <w:tcW w:w="0" w:type="auto"/>
            <w:gridSpan w:val="2"/>
            <w:shd w:val="clear" w:color="auto" w:fill="FFFFFF"/>
            <w:tcMar>
              <w:top w:w="40" w:type="dxa"/>
              <w:left w:w="20" w:type="dxa"/>
              <w:bottom w:w="40" w:type="dxa"/>
              <w:right w:w="0" w:type="dxa"/>
            </w:tcMar>
            <w:vAlign w:val="bottom"/>
          </w:tcPr>
          <w:p w14:paraId="518B7E82" w14:textId="77777777" w:rsidR="005C332D" w:rsidRDefault="00B93EAE">
            <w:pPr>
              <w:jc w:val="right"/>
              <w:textAlignment w:val="bottom"/>
            </w:pPr>
            <w:r>
              <w:rPr>
                <w:rFonts w:ascii="Times New Roman" w:eastAsia="宋体" w:hAnsi="Times New Roman"/>
                <w:b/>
                <w:bCs/>
                <w:color w:val="000000"/>
                <w:sz w:val="20"/>
                <w:szCs w:val="20"/>
              </w:rPr>
              <w:t>0.8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E8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E8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E85" w14:textId="77777777" w:rsidR="005C332D" w:rsidRDefault="00B93EAE">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518B7E8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E87"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E88" w14:textId="77777777" w:rsidR="005C332D" w:rsidRDefault="00B93EAE">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518B7E89" w14:textId="77777777" w:rsidR="005C332D" w:rsidRDefault="005C332D">
            <w:pPr>
              <w:jc w:val="right"/>
              <w:rPr>
                <w:rFonts w:ascii="宋体"/>
              </w:rPr>
            </w:pPr>
          </w:p>
        </w:tc>
      </w:tr>
      <w:tr w:rsidR="005C332D" w14:paraId="518B7E94" w14:textId="77777777">
        <w:tc>
          <w:tcPr>
            <w:tcW w:w="0" w:type="auto"/>
            <w:gridSpan w:val="3"/>
            <w:shd w:val="clear" w:color="auto" w:fill="CCEEFF"/>
            <w:tcMar>
              <w:top w:w="40" w:type="dxa"/>
              <w:left w:w="380" w:type="dxa"/>
              <w:bottom w:w="40" w:type="dxa"/>
              <w:right w:w="20" w:type="dxa"/>
            </w:tcMar>
          </w:tcPr>
          <w:p w14:paraId="518B7E8B" w14:textId="77777777" w:rsidR="005C332D" w:rsidRDefault="00B93EAE">
            <w:pPr>
              <w:textAlignment w:val="top"/>
            </w:pPr>
            <w:r>
              <w:rPr>
                <w:rFonts w:ascii="Times New Roman" w:eastAsia="宋体" w:hAnsi="Times New Roman"/>
                <w:color w:val="000000"/>
                <w:sz w:val="20"/>
                <w:szCs w:val="20"/>
              </w:rPr>
              <w:t>Tax credits</w:t>
            </w:r>
          </w:p>
        </w:tc>
        <w:tc>
          <w:tcPr>
            <w:tcW w:w="0" w:type="auto"/>
            <w:gridSpan w:val="2"/>
            <w:shd w:val="clear" w:color="auto" w:fill="CCEEFF"/>
            <w:tcMar>
              <w:top w:w="40" w:type="dxa"/>
              <w:left w:w="20" w:type="dxa"/>
              <w:bottom w:w="40" w:type="dxa"/>
              <w:right w:w="0" w:type="dxa"/>
            </w:tcMar>
            <w:vAlign w:val="bottom"/>
          </w:tcPr>
          <w:p w14:paraId="518B7E8C" w14:textId="77777777" w:rsidR="005C332D" w:rsidRDefault="00B93EAE">
            <w:pPr>
              <w:jc w:val="right"/>
              <w:textAlignment w:val="bottom"/>
            </w:pPr>
            <w:r>
              <w:rPr>
                <w:rFonts w:ascii="Times New Roman" w:eastAsia="宋体" w:hAnsi="Times New Roman"/>
                <w:b/>
                <w:bCs/>
                <w:color w:val="000000"/>
                <w:sz w:val="20"/>
                <w:szCs w:val="20"/>
              </w:rPr>
              <w:t>(1.6)</w:t>
            </w:r>
          </w:p>
        </w:tc>
        <w:tc>
          <w:tcPr>
            <w:tcW w:w="0" w:type="auto"/>
            <w:shd w:val="clear" w:color="auto" w:fill="CCEEFF"/>
            <w:tcMar>
              <w:top w:w="40" w:type="dxa"/>
              <w:left w:w="0" w:type="dxa"/>
              <w:bottom w:w="40" w:type="dxa"/>
              <w:right w:w="20" w:type="dxa"/>
            </w:tcMar>
            <w:vAlign w:val="bottom"/>
          </w:tcPr>
          <w:p w14:paraId="518B7E8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8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E8F" w14:textId="77777777" w:rsidR="005C332D" w:rsidRDefault="00B93EAE">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518B7E9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9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E92" w14:textId="77777777" w:rsidR="005C332D" w:rsidRDefault="00B93EAE">
            <w:pPr>
              <w:jc w:val="right"/>
              <w:textAlignment w:val="bottom"/>
            </w:pPr>
            <w:r>
              <w:rPr>
                <w:rFonts w:ascii="Times New Roman" w:eastAsia="宋体" w:hAnsi="Times New Roman"/>
                <w:color w:val="000000"/>
                <w:sz w:val="20"/>
                <w:szCs w:val="20"/>
              </w:rPr>
              <w:t>(0.9)</w:t>
            </w:r>
          </w:p>
        </w:tc>
        <w:tc>
          <w:tcPr>
            <w:tcW w:w="0" w:type="auto"/>
            <w:shd w:val="clear" w:color="auto" w:fill="CCEEFF"/>
            <w:tcMar>
              <w:top w:w="40" w:type="dxa"/>
              <w:left w:w="0" w:type="dxa"/>
              <w:bottom w:w="40" w:type="dxa"/>
              <w:right w:w="20" w:type="dxa"/>
            </w:tcMar>
            <w:vAlign w:val="bottom"/>
          </w:tcPr>
          <w:p w14:paraId="518B7E93" w14:textId="77777777" w:rsidR="005C332D" w:rsidRDefault="005C332D">
            <w:pPr>
              <w:jc w:val="right"/>
              <w:rPr>
                <w:rFonts w:ascii="宋体"/>
              </w:rPr>
            </w:pPr>
          </w:p>
        </w:tc>
      </w:tr>
      <w:tr w:rsidR="005C332D" w14:paraId="518B7E9E" w14:textId="77777777">
        <w:tc>
          <w:tcPr>
            <w:tcW w:w="0" w:type="auto"/>
            <w:gridSpan w:val="3"/>
            <w:shd w:val="clear" w:color="auto" w:fill="FFFFFF"/>
            <w:tcMar>
              <w:top w:w="40" w:type="dxa"/>
              <w:left w:w="380" w:type="dxa"/>
              <w:bottom w:w="40" w:type="dxa"/>
              <w:right w:w="20" w:type="dxa"/>
            </w:tcMar>
          </w:tcPr>
          <w:p w14:paraId="518B7E95" w14:textId="77777777" w:rsidR="005C332D" w:rsidRDefault="00B93EAE">
            <w:pPr>
              <w:textAlignment w:val="top"/>
            </w:pPr>
            <w:r>
              <w:rPr>
                <w:rFonts w:ascii="Times New Roman" w:eastAsia="宋体" w:hAnsi="Times New Roman"/>
                <w:color w:val="000000"/>
                <w:sz w:val="20"/>
                <w:szCs w:val="20"/>
              </w:rPr>
              <w:t>Foreign-derived intangible income deduction</w:t>
            </w:r>
          </w:p>
        </w:tc>
        <w:tc>
          <w:tcPr>
            <w:tcW w:w="0" w:type="auto"/>
            <w:gridSpan w:val="2"/>
            <w:shd w:val="clear" w:color="auto" w:fill="FFFFFF"/>
            <w:tcMar>
              <w:top w:w="40" w:type="dxa"/>
              <w:left w:w="20" w:type="dxa"/>
              <w:bottom w:w="40" w:type="dxa"/>
              <w:right w:w="0" w:type="dxa"/>
            </w:tcMar>
            <w:vAlign w:val="bottom"/>
          </w:tcPr>
          <w:p w14:paraId="518B7E96" w14:textId="77777777" w:rsidR="005C332D" w:rsidRDefault="00B93EAE">
            <w:pPr>
              <w:jc w:val="right"/>
              <w:textAlignment w:val="bottom"/>
            </w:pPr>
            <w:r>
              <w:rPr>
                <w:rFonts w:ascii="Times New Roman" w:eastAsia="宋体" w:hAnsi="Times New Roman"/>
                <w:b/>
                <w:bCs/>
                <w:color w:val="000000"/>
                <w:sz w:val="20"/>
                <w:szCs w:val="20"/>
              </w:rPr>
              <w:t>(3.9)</w:t>
            </w:r>
          </w:p>
        </w:tc>
        <w:tc>
          <w:tcPr>
            <w:tcW w:w="0" w:type="auto"/>
            <w:shd w:val="clear" w:color="auto" w:fill="FFFFFF"/>
            <w:tcMar>
              <w:top w:w="40" w:type="dxa"/>
              <w:left w:w="0" w:type="dxa"/>
              <w:bottom w:w="40" w:type="dxa"/>
              <w:right w:w="20" w:type="dxa"/>
            </w:tcMar>
            <w:vAlign w:val="bottom"/>
          </w:tcPr>
          <w:p w14:paraId="518B7E9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E98"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E99" w14:textId="77777777" w:rsidR="005C332D" w:rsidRDefault="00B93EAE">
            <w:pPr>
              <w:jc w:val="right"/>
              <w:textAlignment w:val="bottom"/>
            </w:pPr>
            <w:r>
              <w:rPr>
                <w:rFonts w:ascii="Times New Roman" w:eastAsia="宋体" w:hAnsi="Times New Roman"/>
                <w:color w:val="000000"/>
                <w:sz w:val="20"/>
                <w:szCs w:val="20"/>
              </w:rPr>
              <w:t>(4.2)</w:t>
            </w:r>
          </w:p>
        </w:tc>
        <w:tc>
          <w:tcPr>
            <w:tcW w:w="0" w:type="auto"/>
            <w:shd w:val="clear" w:color="auto" w:fill="FFFFFF"/>
            <w:tcMar>
              <w:top w:w="40" w:type="dxa"/>
              <w:left w:w="0" w:type="dxa"/>
              <w:bottom w:w="40" w:type="dxa"/>
              <w:right w:w="20" w:type="dxa"/>
            </w:tcMar>
            <w:vAlign w:val="bottom"/>
          </w:tcPr>
          <w:p w14:paraId="518B7E9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E9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E9C" w14:textId="77777777" w:rsidR="005C332D" w:rsidRDefault="00B93EAE">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left w:w="0" w:type="dxa"/>
              <w:bottom w:w="40" w:type="dxa"/>
              <w:right w:w="20" w:type="dxa"/>
            </w:tcMar>
            <w:vAlign w:val="bottom"/>
          </w:tcPr>
          <w:p w14:paraId="518B7E9D" w14:textId="77777777" w:rsidR="005C332D" w:rsidRDefault="005C332D">
            <w:pPr>
              <w:jc w:val="right"/>
              <w:rPr>
                <w:rFonts w:ascii="宋体"/>
              </w:rPr>
            </w:pPr>
          </w:p>
        </w:tc>
      </w:tr>
      <w:tr w:rsidR="005C332D" w14:paraId="518B7EA8" w14:textId="77777777">
        <w:tc>
          <w:tcPr>
            <w:tcW w:w="0" w:type="auto"/>
            <w:gridSpan w:val="3"/>
            <w:shd w:val="clear" w:color="auto" w:fill="CCEEFF"/>
            <w:tcMar>
              <w:top w:w="40" w:type="dxa"/>
              <w:left w:w="380" w:type="dxa"/>
              <w:bottom w:w="40" w:type="dxa"/>
              <w:right w:w="20" w:type="dxa"/>
            </w:tcMar>
          </w:tcPr>
          <w:p w14:paraId="518B7E9F" w14:textId="77777777" w:rsidR="005C332D" w:rsidRDefault="00B93EAE">
            <w:pPr>
              <w:textAlignment w:val="top"/>
            </w:pPr>
            <w:r>
              <w:rPr>
                <w:rFonts w:ascii="Times New Roman" w:eastAsia="宋体" w:hAnsi="Times New Roman"/>
                <w:color w:val="000000"/>
                <w:sz w:val="20"/>
                <w:szCs w:val="20"/>
              </w:rPr>
              <w:t>Stock-based compensation</w:t>
            </w:r>
          </w:p>
        </w:tc>
        <w:tc>
          <w:tcPr>
            <w:tcW w:w="0" w:type="auto"/>
            <w:gridSpan w:val="2"/>
            <w:shd w:val="clear" w:color="auto" w:fill="CCEEFF"/>
            <w:tcMar>
              <w:top w:w="40" w:type="dxa"/>
              <w:left w:w="20" w:type="dxa"/>
              <w:bottom w:w="40" w:type="dxa"/>
              <w:right w:w="0" w:type="dxa"/>
            </w:tcMar>
            <w:vAlign w:val="bottom"/>
          </w:tcPr>
          <w:p w14:paraId="518B7EA0" w14:textId="77777777" w:rsidR="005C332D" w:rsidRDefault="00B93EAE">
            <w:pPr>
              <w:jc w:val="right"/>
              <w:textAlignment w:val="bottom"/>
            </w:pPr>
            <w:r>
              <w:rPr>
                <w:rFonts w:ascii="Times New Roman" w:eastAsia="宋体" w:hAnsi="Times New Roman"/>
                <w:b/>
                <w:bCs/>
                <w:color w:val="000000"/>
                <w:sz w:val="20"/>
                <w:szCs w:val="20"/>
              </w:rPr>
              <w:t>0.3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EA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A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EA3" w14:textId="77777777" w:rsidR="005C332D" w:rsidRDefault="00B93EAE">
            <w:pPr>
              <w:jc w:val="right"/>
              <w:textAlignment w:val="bottom"/>
            </w:pPr>
            <w:r>
              <w:rPr>
                <w:rFonts w:ascii="Times New Roman" w:eastAsia="宋体" w:hAnsi="Times New Roman"/>
                <w:color w:val="000000"/>
                <w:sz w:val="20"/>
                <w:szCs w:val="20"/>
              </w:rPr>
              <w:t>0.6 </w:t>
            </w:r>
          </w:p>
        </w:tc>
        <w:tc>
          <w:tcPr>
            <w:tcW w:w="0" w:type="auto"/>
            <w:shd w:val="clear" w:color="auto" w:fill="CCEEFF"/>
            <w:tcMar>
              <w:top w:w="40" w:type="dxa"/>
              <w:left w:w="0" w:type="dxa"/>
              <w:bottom w:w="40" w:type="dxa"/>
              <w:right w:w="20" w:type="dxa"/>
            </w:tcMar>
            <w:vAlign w:val="bottom"/>
          </w:tcPr>
          <w:p w14:paraId="518B7EA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A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EA6" w14:textId="77777777" w:rsidR="005C332D" w:rsidRDefault="00B93EAE">
            <w:pPr>
              <w:jc w:val="right"/>
              <w:textAlignment w:val="bottom"/>
            </w:pPr>
            <w:r>
              <w:rPr>
                <w:rFonts w:ascii="Times New Roman" w:eastAsia="宋体" w:hAnsi="Times New Roman"/>
                <w:color w:val="000000"/>
                <w:sz w:val="20"/>
                <w:szCs w:val="20"/>
              </w:rPr>
              <w:t>(0.1)</w:t>
            </w:r>
          </w:p>
        </w:tc>
        <w:tc>
          <w:tcPr>
            <w:tcW w:w="0" w:type="auto"/>
            <w:shd w:val="clear" w:color="auto" w:fill="CCEEFF"/>
            <w:tcMar>
              <w:top w:w="40" w:type="dxa"/>
              <w:left w:w="0" w:type="dxa"/>
              <w:bottom w:w="40" w:type="dxa"/>
              <w:right w:w="20" w:type="dxa"/>
            </w:tcMar>
            <w:vAlign w:val="bottom"/>
          </w:tcPr>
          <w:p w14:paraId="518B7EA7" w14:textId="77777777" w:rsidR="005C332D" w:rsidRDefault="005C332D">
            <w:pPr>
              <w:jc w:val="right"/>
              <w:rPr>
                <w:rFonts w:ascii="宋体"/>
              </w:rPr>
            </w:pPr>
          </w:p>
        </w:tc>
      </w:tr>
      <w:tr w:rsidR="005C332D" w14:paraId="518B7EB2" w14:textId="77777777">
        <w:tc>
          <w:tcPr>
            <w:tcW w:w="0" w:type="auto"/>
            <w:gridSpan w:val="3"/>
            <w:shd w:val="clear" w:color="auto" w:fill="FFFFFF"/>
            <w:tcMar>
              <w:top w:w="40" w:type="dxa"/>
              <w:left w:w="380" w:type="dxa"/>
              <w:bottom w:w="40" w:type="dxa"/>
              <w:right w:w="20" w:type="dxa"/>
            </w:tcMar>
          </w:tcPr>
          <w:p w14:paraId="518B7EA9" w14:textId="77777777" w:rsidR="005C332D" w:rsidRDefault="00B93EAE">
            <w:pPr>
              <w:textAlignment w:val="top"/>
            </w:pPr>
            <w:r>
              <w:rPr>
                <w:rFonts w:ascii="Times New Roman" w:eastAsia="宋体" w:hAnsi="Times New Roman"/>
                <w:color w:val="000000"/>
                <w:sz w:val="20"/>
                <w:szCs w:val="20"/>
              </w:rPr>
              <w:t>Other, net</w:t>
            </w:r>
          </w:p>
        </w:tc>
        <w:tc>
          <w:tcPr>
            <w:tcW w:w="0" w:type="auto"/>
            <w:gridSpan w:val="2"/>
            <w:shd w:val="clear" w:color="auto" w:fill="FFFFFF"/>
            <w:tcMar>
              <w:top w:w="40" w:type="dxa"/>
              <w:left w:w="20" w:type="dxa"/>
              <w:bottom w:w="40" w:type="dxa"/>
              <w:right w:w="0" w:type="dxa"/>
            </w:tcMar>
            <w:vAlign w:val="bottom"/>
          </w:tcPr>
          <w:p w14:paraId="518B7EAA" w14:textId="77777777" w:rsidR="005C332D" w:rsidRDefault="00B93EAE">
            <w:pPr>
              <w:jc w:val="right"/>
              <w:textAlignment w:val="bottom"/>
            </w:pPr>
            <w:r>
              <w:rPr>
                <w:rFonts w:ascii="Times New Roman" w:eastAsia="宋体" w:hAnsi="Times New Roman"/>
                <w:b/>
                <w:bCs/>
                <w:color w:val="000000"/>
                <w:sz w:val="20"/>
                <w:szCs w:val="20"/>
              </w:rPr>
              <w:t>0.1</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EA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EA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EAD" w14:textId="77777777" w:rsidR="005C332D" w:rsidRDefault="00B93EAE">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518B7EA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EA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EB0" w14:textId="77777777" w:rsidR="005C332D" w:rsidRDefault="00B93EAE">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518B7EB1" w14:textId="77777777" w:rsidR="005C332D" w:rsidRDefault="005C332D">
            <w:pPr>
              <w:jc w:val="right"/>
              <w:rPr>
                <w:rFonts w:ascii="宋体"/>
              </w:rPr>
            </w:pPr>
          </w:p>
        </w:tc>
      </w:tr>
      <w:tr w:rsidR="005C332D" w14:paraId="518B7EBC" w14:textId="77777777">
        <w:tc>
          <w:tcPr>
            <w:tcW w:w="0" w:type="auto"/>
            <w:gridSpan w:val="3"/>
            <w:shd w:val="clear" w:color="auto" w:fill="CCEEFF"/>
            <w:tcMar>
              <w:top w:w="40" w:type="dxa"/>
              <w:left w:w="740" w:type="dxa"/>
              <w:bottom w:w="40" w:type="dxa"/>
              <w:right w:w="20" w:type="dxa"/>
            </w:tcMar>
          </w:tcPr>
          <w:p w14:paraId="518B7EB3" w14:textId="77777777" w:rsidR="005C332D" w:rsidRDefault="00B93EAE">
            <w:pPr>
              <w:textAlignment w:val="top"/>
            </w:pPr>
            <w:r>
              <w:rPr>
                <w:rFonts w:ascii="Times New Roman" w:eastAsia="宋体" w:hAnsi="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EB4" w14:textId="77777777" w:rsidR="005C332D" w:rsidRDefault="00B93EAE">
            <w:pPr>
              <w:jc w:val="right"/>
              <w:textAlignment w:val="bottom"/>
            </w:pPr>
            <w:r>
              <w:rPr>
                <w:rFonts w:ascii="Times New Roman" w:eastAsia="宋体" w:hAnsi="Times New Roman"/>
                <w:b/>
                <w:bCs/>
                <w:color w:val="000000"/>
                <w:sz w:val="20"/>
                <w:szCs w:val="20"/>
              </w:rPr>
              <w:t>18.4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EB5" w14:textId="77777777" w:rsidR="005C332D" w:rsidRDefault="00B93EAE">
            <w:pPr>
              <w:jc w:val="right"/>
              <w:textAlignment w:val="bottom"/>
            </w:pPr>
            <w:r>
              <w:rPr>
                <w:rFonts w:ascii="Times New Roman" w:eastAsia="宋体" w:hAnsi="Times New Roman"/>
                <w:b/>
                <w:bCs/>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7EB6" w14:textId="77777777" w:rsidR="005C332D" w:rsidRDefault="005C332D">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EB7" w14:textId="77777777" w:rsidR="005C332D" w:rsidRDefault="00B93EAE">
            <w:pPr>
              <w:jc w:val="right"/>
              <w:textAlignment w:val="bottom"/>
            </w:pPr>
            <w:r>
              <w:rPr>
                <w:rFonts w:ascii="Times New Roman" w:eastAsia="宋体" w:hAnsi="Times New Roman"/>
                <w:color w:val="000000"/>
                <w:sz w:val="20"/>
                <w:szCs w:val="20"/>
              </w:rPr>
              <w:t>20.1 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EB8" w14:textId="77777777" w:rsidR="005C332D" w:rsidRDefault="00B93EA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518B7EB9" w14:textId="77777777" w:rsidR="005C332D" w:rsidRDefault="005C332D">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EBA" w14:textId="77777777" w:rsidR="005C332D" w:rsidRDefault="00B93EAE">
            <w:pPr>
              <w:jc w:val="right"/>
              <w:textAlignment w:val="bottom"/>
            </w:pPr>
            <w:r>
              <w:rPr>
                <w:rFonts w:ascii="Times New Roman" w:eastAsia="宋体" w:hAnsi="Times New Roman"/>
                <w:color w:val="000000"/>
                <w:sz w:val="20"/>
                <w:szCs w:val="20"/>
              </w:rPr>
              <w:t>19.7 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EBB" w14:textId="77777777" w:rsidR="005C332D" w:rsidRDefault="00B93EAE">
            <w:pPr>
              <w:jc w:val="right"/>
              <w:textAlignment w:val="bottom"/>
            </w:pPr>
            <w:r>
              <w:rPr>
                <w:rFonts w:ascii="Times New Roman" w:eastAsia="宋体" w:hAnsi="Times New Roman"/>
                <w:color w:val="000000"/>
                <w:sz w:val="20"/>
                <w:szCs w:val="20"/>
              </w:rPr>
              <w:t>%</w:t>
            </w:r>
          </w:p>
        </w:tc>
      </w:tr>
    </w:tbl>
    <w:p w14:paraId="518B7EBD" w14:textId="77777777" w:rsidR="005C332D" w:rsidRDefault="00B93EAE">
      <w:pPr>
        <w:spacing w:before="120"/>
        <w:jc w:val="both"/>
      </w:pPr>
      <w:r>
        <w:rPr>
          <w:rFonts w:ascii="Times New Roman" w:eastAsia="宋体" w:hAnsi="Times New Roman"/>
          <w:color w:val="000000"/>
          <w:sz w:val="20"/>
          <w:szCs w:val="20"/>
        </w:rPr>
        <w:t xml:space="preserve">During fiscal 2020, the IRS and Cisco settled all outstanding items related to the audit of our federal income tax returns for the fiscal year ended July 30, 2011 through July 27, 2013. As a result of the settlement, we recognized a net benefit to </w:t>
      </w:r>
      <w:r>
        <w:rPr>
          <w:rFonts w:ascii="Times New Roman" w:eastAsia="宋体" w:hAnsi="Times New Roman"/>
          <w:color w:val="000000"/>
          <w:sz w:val="20"/>
          <w:szCs w:val="20"/>
        </w:rPr>
        <w:t xml:space="preserve">the provision for income taxes of $102 million, net of a reduction in interest expense of $4 million. </w:t>
      </w:r>
    </w:p>
    <w:p w14:paraId="518B7EBE" w14:textId="77777777" w:rsidR="005C332D" w:rsidRDefault="00B93EAE">
      <w:pPr>
        <w:spacing w:before="120"/>
        <w:jc w:val="both"/>
      </w:pPr>
      <w:r>
        <w:rPr>
          <w:rFonts w:ascii="Times New Roman" w:eastAsia="宋体" w:hAnsi="Times New Roman"/>
          <w:color w:val="000000"/>
          <w:sz w:val="20"/>
          <w:szCs w:val="20"/>
        </w:rPr>
        <w:t>Foreign taxes associated with the repatriation of earnings of foreign subsidiaries were not provided on a cumulative total of $6.5 billion of undistribut</w:t>
      </w:r>
      <w:r>
        <w:rPr>
          <w:rFonts w:ascii="Times New Roman" w:eastAsia="宋体" w:hAnsi="Times New Roman"/>
          <w:color w:val="000000"/>
          <w:sz w:val="20"/>
          <w:szCs w:val="20"/>
        </w:rPr>
        <w:t>ed earnings for certain foreign subsidiaries as of the end of fiscal 2022. We intend to reinvest these earnings indefinitely in such foreign subsidiaries. If these earnings were distributed in the form of dividends or otherwise, or if the shares of the rel</w:t>
      </w:r>
      <w:r>
        <w:rPr>
          <w:rFonts w:ascii="Times New Roman" w:eastAsia="宋体" w:hAnsi="Times New Roman"/>
          <w:color w:val="000000"/>
          <w:sz w:val="20"/>
          <w:szCs w:val="20"/>
        </w:rPr>
        <w:t>evant foreign subsidiaries were sold or otherwise transferred, we could be subject to additional income and withholding taxes. The amount of potential unrecognized deferred income tax liability related to these earnings is approximately $681 million.</w:t>
      </w:r>
    </w:p>
    <w:p w14:paraId="518B7EBF" w14:textId="77777777" w:rsidR="005C332D" w:rsidRDefault="00B93EAE">
      <w:pPr>
        <w:jc w:val="center"/>
      </w:pPr>
      <w:r>
        <w:rPr>
          <w:rFonts w:ascii="Times New Roman" w:eastAsia="宋体" w:hAnsi="Times New Roman"/>
          <w:color w:val="000000"/>
          <w:sz w:val="20"/>
          <w:szCs w:val="20"/>
        </w:rPr>
        <w:t>98</w:t>
      </w:r>
    </w:p>
    <w:p w14:paraId="518B7EC0" w14:textId="77777777" w:rsidR="005C332D" w:rsidRDefault="00B93EAE">
      <w:r>
        <w:pict w14:anchorId="518B8777">
          <v:rect id="_x0000_i1124" style="width:415.3pt;height:1.5pt" o:hralign="center" o:hrstd="t" o:hr="t" fillcolor="#a0a0a0" stroked="f"/>
        </w:pict>
      </w:r>
    </w:p>
    <w:p w14:paraId="518B7EC1" w14:textId="77777777" w:rsidR="005C332D" w:rsidRDefault="005C332D"/>
    <w:p w14:paraId="518B7EC2" w14:textId="77777777" w:rsidR="005C332D" w:rsidRDefault="00B93EAE">
      <w:pPr>
        <w:spacing w:before="120"/>
        <w:jc w:val="both"/>
      </w:pPr>
      <w:r>
        <w:rPr>
          <w:rFonts w:ascii="Times New Roman" w:eastAsia="宋体" w:hAnsi="Times New Roman"/>
          <w:color w:val="000000"/>
          <w:sz w:val="20"/>
          <w:szCs w:val="20"/>
          <w:u w:val="single"/>
        </w:rPr>
        <w:t>Unrecognized Tax Benefits</w:t>
      </w:r>
      <w:r>
        <w:rPr>
          <w:rFonts w:ascii="Times New Roman" w:eastAsia="宋体" w:hAnsi="Times New Roman"/>
          <w:color w:val="000000"/>
          <w:sz w:val="20"/>
          <w:szCs w:val="20"/>
        </w:rPr>
        <w:t xml:space="preserve"> </w:t>
      </w:r>
    </w:p>
    <w:p w14:paraId="518B7EC3" w14:textId="77777777" w:rsidR="005C332D" w:rsidRDefault="00B93EAE">
      <w:pPr>
        <w:spacing w:before="120"/>
        <w:jc w:val="both"/>
      </w:pPr>
      <w:r>
        <w:rPr>
          <w:rFonts w:ascii="Times New Roman" w:eastAsia="宋体" w:hAnsi="Times New Roman"/>
          <w:color w:val="000000"/>
          <w:sz w:val="20"/>
          <w:szCs w:val="20"/>
        </w:rPr>
        <w:t>The aggregate changes in the balance of gross unrecognized tax benefits were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539"/>
        <w:gridCol w:w="37"/>
        <w:gridCol w:w="120"/>
        <w:gridCol w:w="1031"/>
        <w:gridCol w:w="36"/>
        <w:gridCol w:w="36"/>
        <w:gridCol w:w="36"/>
        <w:gridCol w:w="36"/>
        <w:gridCol w:w="120"/>
        <w:gridCol w:w="990"/>
        <w:gridCol w:w="36"/>
        <w:gridCol w:w="36"/>
        <w:gridCol w:w="36"/>
        <w:gridCol w:w="36"/>
        <w:gridCol w:w="120"/>
        <w:gridCol w:w="991"/>
        <w:gridCol w:w="36"/>
      </w:tblGrid>
      <w:tr w:rsidR="005C332D" w14:paraId="518B7ED6" w14:textId="77777777">
        <w:tc>
          <w:tcPr>
            <w:tcW w:w="50" w:type="pct"/>
            <w:shd w:val="clear" w:color="auto" w:fill="auto"/>
            <w:vAlign w:val="bottom"/>
          </w:tcPr>
          <w:p w14:paraId="518B7EC4" w14:textId="77777777" w:rsidR="005C332D" w:rsidRDefault="005C332D">
            <w:pPr>
              <w:rPr>
                <w:rFonts w:ascii="宋体"/>
              </w:rPr>
            </w:pPr>
          </w:p>
        </w:tc>
        <w:tc>
          <w:tcPr>
            <w:tcW w:w="2760" w:type="pct"/>
            <w:shd w:val="clear" w:color="auto" w:fill="auto"/>
            <w:vAlign w:val="bottom"/>
          </w:tcPr>
          <w:p w14:paraId="518B7EC5" w14:textId="77777777" w:rsidR="005C332D" w:rsidRDefault="005C332D">
            <w:pPr>
              <w:rPr>
                <w:rFonts w:ascii="宋体"/>
              </w:rPr>
            </w:pPr>
          </w:p>
        </w:tc>
        <w:tc>
          <w:tcPr>
            <w:tcW w:w="5" w:type="pct"/>
            <w:shd w:val="clear" w:color="auto" w:fill="auto"/>
            <w:vAlign w:val="bottom"/>
          </w:tcPr>
          <w:p w14:paraId="518B7EC6" w14:textId="77777777" w:rsidR="005C332D" w:rsidRDefault="005C332D">
            <w:pPr>
              <w:rPr>
                <w:rFonts w:ascii="宋体"/>
              </w:rPr>
            </w:pPr>
          </w:p>
        </w:tc>
        <w:tc>
          <w:tcPr>
            <w:tcW w:w="50" w:type="pct"/>
            <w:shd w:val="clear" w:color="auto" w:fill="auto"/>
            <w:vAlign w:val="bottom"/>
          </w:tcPr>
          <w:p w14:paraId="518B7EC7" w14:textId="77777777" w:rsidR="005C332D" w:rsidRDefault="005C332D">
            <w:pPr>
              <w:rPr>
                <w:rFonts w:ascii="宋体"/>
              </w:rPr>
            </w:pPr>
          </w:p>
        </w:tc>
        <w:tc>
          <w:tcPr>
            <w:tcW w:w="648" w:type="pct"/>
            <w:shd w:val="clear" w:color="auto" w:fill="auto"/>
            <w:vAlign w:val="bottom"/>
          </w:tcPr>
          <w:p w14:paraId="518B7EC8" w14:textId="77777777" w:rsidR="005C332D" w:rsidRDefault="005C332D">
            <w:pPr>
              <w:rPr>
                <w:rFonts w:ascii="宋体"/>
              </w:rPr>
            </w:pPr>
          </w:p>
        </w:tc>
        <w:tc>
          <w:tcPr>
            <w:tcW w:w="5" w:type="pct"/>
            <w:shd w:val="clear" w:color="auto" w:fill="auto"/>
            <w:vAlign w:val="bottom"/>
          </w:tcPr>
          <w:p w14:paraId="518B7EC9" w14:textId="77777777" w:rsidR="005C332D" w:rsidRDefault="005C332D">
            <w:pPr>
              <w:rPr>
                <w:rFonts w:ascii="宋体"/>
              </w:rPr>
            </w:pPr>
          </w:p>
        </w:tc>
        <w:tc>
          <w:tcPr>
            <w:tcW w:w="5" w:type="pct"/>
            <w:shd w:val="clear" w:color="auto" w:fill="auto"/>
            <w:vAlign w:val="bottom"/>
          </w:tcPr>
          <w:p w14:paraId="518B7ECA" w14:textId="77777777" w:rsidR="005C332D" w:rsidRDefault="005C332D">
            <w:pPr>
              <w:rPr>
                <w:rFonts w:ascii="宋体"/>
              </w:rPr>
            </w:pPr>
          </w:p>
        </w:tc>
        <w:tc>
          <w:tcPr>
            <w:tcW w:w="26" w:type="pct"/>
            <w:shd w:val="clear" w:color="auto" w:fill="auto"/>
            <w:vAlign w:val="bottom"/>
          </w:tcPr>
          <w:p w14:paraId="518B7ECB" w14:textId="77777777" w:rsidR="005C332D" w:rsidRDefault="005C332D">
            <w:pPr>
              <w:rPr>
                <w:rFonts w:ascii="宋体"/>
              </w:rPr>
            </w:pPr>
          </w:p>
        </w:tc>
        <w:tc>
          <w:tcPr>
            <w:tcW w:w="5" w:type="pct"/>
            <w:shd w:val="clear" w:color="auto" w:fill="auto"/>
            <w:vAlign w:val="bottom"/>
          </w:tcPr>
          <w:p w14:paraId="518B7ECC" w14:textId="77777777" w:rsidR="005C332D" w:rsidRDefault="005C332D">
            <w:pPr>
              <w:rPr>
                <w:rFonts w:ascii="宋体"/>
              </w:rPr>
            </w:pPr>
          </w:p>
        </w:tc>
        <w:tc>
          <w:tcPr>
            <w:tcW w:w="50" w:type="pct"/>
            <w:shd w:val="clear" w:color="auto" w:fill="auto"/>
            <w:vAlign w:val="bottom"/>
          </w:tcPr>
          <w:p w14:paraId="518B7ECD" w14:textId="77777777" w:rsidR="005C332D" w:rsidRDefault="005C332D">
            <w:pPr>
              <w:rPr>
                <w:rFonts w:ascii="宋体"/>
              </w:rPr>
            </w:pPr>
          </w:p>
        </w:tc>
        <w:tc>
          <w:tcPr>
            <w:tcW w:w="648" w:type="pct"/>
            <w:shd w:val="clear" w:color="auto" w:fill="auto"/>
            <w:vAlign w:val="bottom"/>
          </w:tcPr>
          <w:p w14:paraId="518B7ECE" w14:textId="77777777" w:rsidR="005C332D" w:rsidRDefault="005C332D">
            <w:pPr>
              <w:rPr>
                <w:rFonts w:ascii="宋体"/>
              </w:rPr>
            </w:pPr>
          </w:p>
        </w:tc>
        <w:tc>
          <w:tcPr>
            <w:tcW w:w="5" w:type="pct"/>
            <w:shd w:val="clear" w:color="auto" w:fill="auto"/>
            <w:vAlign w:val="bottom"/>
          </w:tcPr>
          <w:p w14:paraId="518B7ECF" w14:textId="77777777" w:rsidR="005C332D" w:rsidRDefault="005C332D">
            <w:pPr>
              <w:rPr>
                <w:rFonts w:ascii="宋体"/>
              </w:rPr>
            </w:pPr>
          </w:p>
        </w:tc>
        <w:tc>
          <w:tcPr>
            <w:tcW w:w="5" w:type="pct"/>
            <w:shd w:val="clear" w:color="auto" w:fill="auto"/>
            <w:vAlign w:val="bottom"/>
          </w:tcPr>
          <w:p w14:paraId="518B7ED0" w14:textId="77777777" w:rsidR="005C332D" w:rsidRDefault="005C332D">
            <w:pPr>
              <w:rPr>
                <w:rFonts w:ascii="宋体"/>
              </w:rPr>
            </w:pPr>
          </w:p>
        </w:tc>
        <w:tc>
          <w:tcPr>
            <w:tcW w:w="26" w:type="pct"/>
            <w:shd w:val="clear" w:color="auto" w:fill="auto"/>
            <w:vAlign w:val="bottom"/>
          </w:tcPr>
          <w:p w14:paraId="518B7ED1" w14:textId="77777777" w:rsidR="005C332D" w:rsidRDefault="005C332D">
            <w:pPr>
              <w:rPr>
                <w:rFonts w:ascii="宋体"/>
              </w:rPr>
            </w:pPr>
          </w:p>
        </w:tc>
        <w:tc>
          <w:tcPr>
            <w:tcW w:w="5" w:type="pct"/>
            <w:shd w:val="clear" w:color="auto" w:fill="auto"/>
            <w:vAlign w:val="bottom"/>
          </w:tcPr>
          <w:p w14:paraId="518B7ED2" w14:textId="77777777" w:rsidR="005C332D" w:rsidRDefault="005C332D">
            <w:pPr>
              <w:rPr>
                <w:rFonts w:ascii="宋体"/>
              </w:rPr>
            </w:pPr>
          </w:p>
        </w:tc>
        <w:tc>
          <w:tcPr>
            <w:tcW w:w="50" w:type="pct"/>
            <w:shd w:val="clear" w:color="auto" w:fill="auto"/>
            <w:vAlign w:val="bottom"/>
          </w:tcPr>
          <w:p w14:paraId="518B7ED3" w14:textId="77777777" w:rsidR="005C332D" w:rsidRDefault="005C332D">
            <w:pPr>
              <w:rPr>
                <w:rFonts w:ascii="宋体"/>
              </w:rPr>
            </w:pPr>
          </w:p>
        </w:tc>
        <w:tc>
          <w:tcPr>
            <w:tcW w:w="648" w:type="pct"/>
            <w:shd w:val="clear" w:color="auto" w:fill="auto"/>
            <w:vAlign w:val="bottom"/>
          </w:tcPr>
          <w:p w14:paraId="518B7ED4" w14:textId="77777777" w:rsidR="005C332D" w:rsidRDefault="005C332D">
            <w:pPr>
              <w:rPr>
                <w:rFonts w:ascii="宋体"/>
              </w:rPr>
            </w:pPr>
          </w:p>
        </w:tc>
        <w:tc>
          <w:tcPr>
            <w:tcW w:w="5" w:type="pct"/>
            <w:shd w:val="clear" w:color="auto" w:fill="auto"/>
            <w:vAlign w:val="bottom"/>
          </w:tcPr>
          <w:p w14:paraId="518B7ED5" w14:textId="77777777" w:rsidR="005C332D" w:rsidRDefault="005C332D">
            <w:pPr>
              <w:rPr>
                <w:rFonts w:ascii="宋体"/>
              </w:rPr>
            </w:pPr>
          </w:p>
        </w:tc>
      </w:tr>
      <w:tr w:rsidR="005C332D" w14:paraId="518B7EDD" w14:textId="77777777">
        <w:tc>
          <w:tcPr>
            <w:tcW w:w="0" w:type="auto"/>
            <w:gridSpan w:val="3"/>
            <w:shd w:val="clear" w:color="auto" w:fill="auto"/>
            <w:tcMar>
              <w:top w:w="40" w:type="dxa"/>
              <w:left w:w="20" w:type="dxa"/>
              <w:bottom w:w="40" w:type="dxa"/>
              <w:right w:w="20" w:type="dxa"/>
            </w:tcMar>
            <w:vAlign w:val="bottom"/>
          </w:tcPr>
          <w:p w14:paraId="518B7ED7" w14:textId="77777777" w:rsidR="005C332D" w:rsidRDefault="00B93EAE">
            <w:pPr>
              <w:textAlignment w:val="bottom"/>
            </w:pPr>
            <w:r>
              <w:rPr>
                <w:rFonts w:ascii="Times New Roman" w:eastAsia="宋体" w:hAnsi="Times New Roman"/>
                <w:color w:val="000000"/>
                <w:sz w:val="16"/>
                <w:szCs w:val="16"/>
                <w:u w:val="single"/>
              </w:rPr>
              <w:t>Years Ended</w:t>
            </w:r>
          </w:p>
        </w:tc>
        <w:tc>
          <w:tcPr>
            <w:tcW w:w="0" w:type="auto"/>
            <w:gridSpan w:val="3"/>
            <w:shd w:val="clear" w:color="auto" w:fill="auto"/>
            <w:tcMar>
              <w:top w:w="40" w:type="dxa"/>
              <w:left w:w="20" w:type="dxa"/>
              <w:bottom w:w="40" w:type="dxa"/>
              <w:right w:w="20" w:type="dxa"/>
            </w:tcMar>
            <w:vAlign w:val="bottom"/>
          </w:tcPr>
          <w:p w14:paraId="518B7ED8"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ED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EDA"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7ED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EDC"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7EEA" w14:textId="77777777">
        <w:tc>
          <w:tcPr>
            <w:tcW w:w="0" w:type="auto"/>
            <w:gridSpan w:val="3"/>
            <w:shd w:val="clear" w:color="auto" w:fill="CCEEFF"/>
            <w:tcMar>
              <w:top w:w="40" w:type="dxa"/>
              <w:left w:w="20" w:type="dxa"/>
              <w:bottom w:w="40" w:type="dxa"/>
              <w:right w:w="20" w:type="dxa"/>
            </w:tcMar>
          </w:tcPr>
          <w:p w14:paraId="518B7EDE" w14:textId="77777777" w:rsidR="005C332D" w:rsidRDefault="00B93EAE">
            <w:pPr>
              <w:textAlignment w:val="top"/>
            </w:pPr>
            <w:r>
              <w:rPr>
                <w:rFonts w:ascii="Times New Roman" w:eastAsia="宋体" w:hAnsi="Times New Roman"/>
                <w:color w:val="000000"/>
                <w:sz w:val="20"/>
                <w:szCs w:val="20"/>
              </w:rPr>
              <w:t>Beginning 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ED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EE0" w14:textId="77777777" w:rsidR="005C332D" w:rsidRDefault="00B93EAE">
            <w:pPr>
              <w:jc w:val="right"/>
              <w:textAlignment w:val="bottom"/>
            </w:pPr>
            <w:r>
              <w:rPr>
                <w:rFonts w:ascii="Times New Roman" w:eastAsia="宋体" w:hAnsi="Times New Roman"/>
                <w:b/>
                <w:bCs/>
                <w:color w:val="000000"/>
                <w:sz w:val="20"/>
                <w:szCs w:val="20"/>
              </w:rPr>
              <w:t>3,106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EE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E2"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EE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EE4" w14:textId="77777777" w:rsidR="005C332D" w:rsidRDefault="00B93EAE">
            <w:pPr>
              <w:jc w:val="right"/>
              <w:textAlignment w:val="bottom"/>
            </w:pPr>
            <w:r>
              <w:rPr>
                <w:rFonts w:ascii="Times New Roman" w:eastAsia="宋体" w:hAnsi="Times New Roman"/>
                <w:color w:val="000000"/>
                <w:sz w:val="20"/>
                <w:szCs w:val="20"/>
              </w:rPr>
              <w:t>2,518 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EE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E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EE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EE8" w14:textId="77777777" w:rsidR="005C332D" w:rsidRDefault="00B93EAE">
            <w:pPr>
              <w:jc w:val="right"/>
              <w:textAlignment w:val="bottom"/>
            </w:pPr>
            <w:r>
              <w:rPr>
                <w:rFonts w:ascii="Times New Roman" w:eastAsia="宋体" w:hAnsi="Times New Roman"/>
                <w:color w:val="000000"/>
                <w:sz w:val="20"/>
                <w:szCs w:val="20"/>
              </w:rPr>
              <w:t>1,925 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EE9" w14:textId="77777777" w:rsidR="005C332D" w:rsidRDefault="005C332D">
            <w:pPr>
              <w:jc w:val="right"/>
              <w:rPr>
                <w:rFonts w:ascii="宋体"/>
              </w:rPr>
            </w:pPr>
          </w:p>
        </w:tc>
      </w:tr>
      <w:tr w:rsidR="005C332D" w14:paraId="518B7EF4" w14:textId="77777777">
        <w:tc>
          <w:tcPr>
            <w:tcW w:w="0" w:type="auto"/>
            <w:gridSpan w:val="3"/>
            <w:shd w:val="clear" w:color="auto" w:fill="auto"/>
            <w:tcMar>
              <w:top w:w="40" w:type="dxa"/>
              <w:left w:w="20" w:type="dxa"/>
              <w:bottom w:w="40" w:type="dxa"/>
              <w:right w:w="20" w:type="dxa"/>
            </w:tcMar>
          </w:tcPr>
          <w:p w14:paraId="518B7EEB" w14:textId="77777777" w:rsidR="005C332D" w:rsidRDefault="00B93EAE">
            <w:pPr>
              <w:textAlignment w:val="top"/>
            </w:pPr>
            <w:r>
              <w:rPr>
                <w:rFonts w:ascii="Times New Roman" w:eastAsia="宋体" w:hAnsi="Times New Roman"/>
                <w:color w:val="000000"/>
                <w:sz w:val="20"/>
                <w:szCs w:val="20"/>
              </w:rPr>
              <w:t>Additions based on tax positions related to the current year</w:t>
            </w:r>
          </w:p>
        </w:tc>
        <w:tc>
          <w:tcPr>
            <w:tcW w:w="0" w:type="auto"/>
            <w:gridSpan w:val="2"/>
            <w:shd w:val="clear" w:color="auto" w:fill="auto"/>
            <w:tcMar>
              <w:top w:w="40" w:type="dxa"/>
              <w:left w:w="20" w:type="dxa"/>
              <w:bottom w:w="40" w:type="dxa"/>
              <w:right w:w="0" w:type="dxa"/>
            </w:tcMar>
            <w:vAlign w:val="bottom"/>
          </w:tcPr>
          <w:p w14:paraId="518B7EEC" w14:textId="77777777" w:rsidR="005C332D" w:rsidRDefault="00B93EAE">
            <w:pPr>
              <w:jc w:val="right"/>
              <w:textAlignment w:val="bottom"/>
            </w:pPr>
            <w:r>
              <w:rPr>
                <w:rFonts w:ascii="Times New Roman" w:eastAsia="宋体" w:hAnsi="Times New Roman"/>
                <w:b/>
                <w:bCs/>
                <w:color w:val="000000"/>
                <w:sz w:val="20"/>
                <w:szCs w:val="20"/>
              </w:rPr>
              <w:t>157</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EED"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EEE"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EEF" w14:textId="77777777" w:rsidR="005C332D" w:rsidRDefault="00B93EAE">
            <w:pPr>
              <w:jc w:val="right"/>
              <w:textAlignment w:val="bottom"/>
            </w:pPr>
            <w:r>
              <w:rPr>
                <w:rFonts w:ascii="Times New Roman" w:eastAsia="宋体" w:hAnsi="Times New Roman"/>
                <w:color w:val="000000"/>
                <w:sz w:val="20"/>
                <w:szCs w:val="20"/>
              </w:rPr>
              <w:t>224 </w:t>
            </w:r>
          </w:p>
        </w:tc>
        <w:tc>
          <w:tcPr>
            <w:tcW w:w="0" w:type="auto"/>
            <w:shd w:val="clear" w:color="auto" w:fill="auto"/>
            <w:tcMar>
              <w:top w:w="40" w:type="dxa"/>
              <w:left w:w="0" w:type="dxa"/>
              <w:bottom w:w="40" w:type="dxa"/>
              <w:right w:w="20" w:type="dxa"/>
            </w:tcMar>
            <w:vAlign w:val="bottom"/>
          </w:tcPr>
          <w:p w14:paraId="518B7EF0"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EF1"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EF2" w14:textId="77777777" w:rsidR="005C332D" w:rsidRDefault="00B93EAE">
            <w:pPr>
              <w:jc w:val="right"/>
              <w:textAlignment w:val="bottom"/>
            </w:pPr>
            <w:r>
              <w:rPr>
                <w:rFonts w:ascii="Times New Roman" w:eastAsia="宋体" w:hAnsi="Times New Roman"/>
                <w:color w:val="000000"/>
                <w:sz w:val="20"/>
                <w:szCs w:val="20"/>
              </w:rPr>
              <w:t>188 </w:t>
            </w:r>
          </w:p>
        </w:tc>
        <w:tc>
          <w:tcPr>
            <w:tcW w:w="0" w:type="auto"/>
            <w:shd w:val="clear" w:color="auto" w:fill="auto"/>
            <w:tcMar>
              <w:top w:w="40" w:type="dxa"/>
              <w:left w:w="0" w:type="dxa"/>
              <w:bottom w:w="40" w:type="dxa"/>
              <w:right w:w="20" w:type="dxa"/>
            </w:tcMar>
            <w:vAlign w:val="bottom"/>
          </w:tcPr>
          <w:p w14:paraId="518B7EF3" w14:textId="77777777" w:rsidR="005C332D" w:rsidRDefault="005C332D">
            <w:pPr>
              <w:jc w:val="right"/>
              <w:rPr>
                <w:rFonts w:ascii="宋体"/>
              </w:rPr>
            </w:pPr>
          </w:p>
        </w:tc>
      </w:tr>
      <w:tr w:rsidR="005C332D" w14:paraId="518B7EFE" w14:textId="77777777">
        <w:tc>
          <w:tcPr>
            <w:tcW w:w="0" w:type="auto"/>
            <w:gridSpan w:val="3"/>
            <w:shd w:val="clear" w:color="auto" w:fill="CCEEFF"/>
            <w:tcMar>
              <w:top w:w="40" w:type="dxa"/>
              <w:left w:w="20" w:type="dxa"/>
              <w:bottom w:w="40" w:type="dxa"/>
              <w:right w:w="20" w:type="dxa"/>
            </w:tcMar>
          </w:tcPr>
          <w:p w14:paraId="518B7EF5" w14:textId="77777777" w:rsidR="005C332D" w:rsidRDefault="00B93EAE">
            <w:pPr>
              <w:textAlignment w:val="top"/>
            </w:pPr>
            <w:r>
              <w:rPr>
                <w:rFonts w:ascii="Times New Roman" w:eastAsia="宋体" w:hAnsi="Times New Roman"/>
                <w:color w:val="000000"/>
                <w:sz w:val="20"/>
                <w:szCs w:val="20"/>
              </w:rPr>
              <w:t>Additions for tax positions of prior years</w:t>
            </w:r>
          </w:p>
        </w:tc>
        <w:tc>
          <w:tcPr>
            <w:tcW w:w="0" w:type="auto"/>
            <w:gridSpan w:val="2"/>
            <w:shd w:val="clear" w:color="auto" w:fill="CCEEFF"/>
            <w:tcMar>
              <w:top w:w="40" w:type="dxa"/>
              <w:left w:w="20" w:type="dxa"/>
              <w:bottom w:w="40" w:type="dxa"/>
              <w:right w:w="0" w:type="dxa"/>
            </w:tcMar>
            <w:vAlign w:val="bottom"/>
          </w:tcPr>
          <w:p w14:paraId="518B7EF6" w14:textId="77777777" w:rsidR="005C332D" w:rsidRDefault="00B93EAE">
            <w:pPr>
              <w:jc w:val="right"/>
              <w:textAlignment w:val="bottom"/>
            </w:pPr>
            <w:r>
              <w:rPr>
                <w:rFonts w:ascii="Times New Roman" w:eastAsia="宋体" w:hAnsi="Times New Roman"/>
                <w:b/>
                <w:bCs/>
                <w:color w:val="000000"/>
                <w:sz w:val="20"/>
                <w:szCs w:val="20"/>
              </w:rPr>
              <w:t>74</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EF7"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F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EF9" w14:textId="77777777" w:rsidR="005C332D" w:rsidRDefault="00B93EAE">
            <w:pPr>
              <w:jc w:val="right"/>
              <w:textAlignment w:val="bottom"/>
            </w:pPr>
            <w:r>
              <w:rPr>
                <w:rFonts w:ascii="Times New Roman" w:eastAsia="宋体" w:hAnsi="Times New Roman"/>
                <w:color w:val="000000"/>
                <w:sz w:val="20"/>
                <w:szCs w:val="20"/>
              </w:rPr>
              <w:t>618 </w:t>
            </w:r>
          </w:p>
        </w:tc>
        <w:tc>
          <w:tcPr>
            <w:tcW w:w="0" w:type="auto"/>
            <w:shd w:val="clear" w:color="auto" w:fill="CCEEFF"/>
            <w:tcMar>
              <w:top w:w="40" w:type="dxa"/>
              <w:left w:w="0" w:type="dxa"/>
              <w:bottom w:w="40" w:type="dxa"/>
              <w:right w:w="20" w:type="dxa"/>
            </w:tcMar>
            <w:vAlign w:val="bottom"/>
          </w:tcPr>
          <w:p w14:paraId="518B7EF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EF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EFC" w14:textId="77777777" w:rsidR="005C332D" w:rsidRDefault="00B93EAE">
            <w:pPr>
              <w:jc w:val="right"/>
              <w:textAlignment w:val="bottom"/>
            </w:pPr>
            <w:r>
              <w:rPr>
                <w:rFonts w:ascii="Times New Roman" w:eastAsia="宋体" w:hAnsi="Times New Roman"/>
                <w:color w:val="000000"/>
                <w:sz w:val="20"/>
                <w:szCs w:val="20"/>
              </w:rPr>
              <w:t>554 </w:t>
            </w:r>
          </w:p>
        </w:tc>
        <w:tc>
          <w:tcPr>
            <w:tcW w:w="0" w:type="auto"/>
            <w:shd w:val="clear" w:color="auto" w:fill="CCEEFF"/>
            <w:tcMar>
              <w:top w:w="40" w:type="dxa"/>
              <w:left w:w="0" w:type="dxa"/>
              <w:bottom w:w="40" w:type="dxa"/>
              <w:right w:w="20" w:type="dxa"/>
            </w:tcMar>
            <w:vAlign w:val="bottom"/>
          </w:tcPr>
          <w:p w14:paraId="518B7EFD" w14:textId="77777777" w:rsidR="005C332D" w:rsidRDefault="005C332D">
            <w:pPr>
              <w:jc w:val="right"/>
              <w:rPr>
                <w:rFonts w:ascii="宋体"/>
              </w:rPr>
            </w:pPr>
          </w:p>
        </w:tc>
      </w:tr>
      <w:tr w:rsidR="005C332D" w14:paraId="518B7F08" w14:textId="77777777">
        <w:tc>
          <w:tcPr>
            <w:tcW w:w="0" w:type="auto"/>
            <w:gridSpan w:val="3"/>
            <w:shd w:val="clear" w:color="auto" w:fill="auto"/>
            <w:tcMar>
              <w:top w:w="40" w:type="dxa"/>
              <w:left w:w="20" w:type="dxa"/>
              <w:bottom w:w="40" w:type="dxa"/>
              <w:right w:w="20" w:type="dxa"/>
            </w:tcMar>
          </w:tcPr>
          <w:p w14:paraId="518B7EFF" w14:textId="77777777" w:rsidR="005C332D" w:rsidRDefault="00B93EAE">
            <w:pPr>
              <w:textAlignment w:val="top"/>
            </w:pPr>
            <w:r>
              <w:rPr>
                <w:rFonts w:ascii="Times New Roman" w:eastAsia="宋体" w:hAnsi="Times New Roman"/>
                <w:color w:val="000000"/>
                <w:sz w:val="20"/>
                <w:szCs w:val="20"/>
              </w:rPr>
              <w:t>Reductions for tax positions of prior years</w:t>
            </w:r>
          </w:p>
        </w:tc>
        <w:tc>
          <w:tcPr>
            <w:tcW w:w="0" w:type="auto"/>
            <w:gridSpan w:val="2"/>
            <w:shd w:val="clear" w:color="auto" w:fill="auto"/>
            <w:tcMar>
              <w:top w:w="40" w:type="dxa"/>
              <w:left w:w="20" w:type="dxa"/>
              <w:bottom w:w="40" w:type="dxa"/>
              <w:right w:w="0" w:type="dxa"/>
            </w:tcMar>
            <w:vAlign w:val="bottom"/>
          </w:tcPr>
          <w:p w14:paraId="518B7F00" w14:textId="77777777" w:rsidR="005C332D" w:rsidRDefault="00B93EAE">
            <w:pPr>
              <w:jc w:val="right"/>
              <w:textAlignment w:val="bottom"/>
            </w:pPr>
            <w:r>
              <w:rPr>
                <w:rFonts w:ascii="Times New Roman" w:eastAsia="宋体" w:hAnsi="Times New Roman"/>
                <w:b/>
                <w:bCs/>
                <w:color w:val="000000"/>
                <w:sz w:val="20"/>
                <w:szCs w:val="20"/>
              </w:rPr>
              <w:t>(81)</w:t>
            </w:r>
          </w:p>
        </w:tc>
        <w:tc>
          <w:tcPr>
            <w:tcW w:w="0" w:type="auto"/>
            <w:shd w:val="clear" w:color="auto" w:fill="auto"/>
            <w:tcMar>
              <w:top w:w="40" w:type="dxa"/>
              <w:left w:w="0" w:type="dxa"/>
              <w:bottom w:w="40" w:type="dxa"/>
              <w:right w:w="20" w:type="dxa"/>
            </w:tcMar>
            <w:vAlign w:val="bottom"/>
          </w:tcPr>
          <w:p w14:paraId="518B7F01"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F02"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F03" w14:textId="77777777" w:rsidR="005C332D" w:rsidRDefault="00B93EAE">
            <w:pPr>
              <w:jc w:val="right"/>
              <w:textAlignment w:val="bottom"/>
            </w:pPr>
            <w:r>
              <w:rPr>
                <w:rFonts w:ascii="Times New Roman" w:eastAsia="宋体" w:hAnsi="Times New Roman"/>
                <w:color w:val="000000"/>
                <w:sz w:val="20"/>
                <w:szCs w:val="20"/>
              </w:rPr>
              <w:t>(122)</w:t>
            </w:r>
          </w:p>
        </w:tc>
        <w:tc>
          <w:tcPr>
            <w:tcW w:w="0" w:type="auto"/>
            <w:shd w:val="clear" w:color="auto" w:fill="auto"/>
            <w:tcMar>
              <w:top w:w="40" w:type="dxa"/>
              <w:left w:w="0" w:type="dxa"/>
              <w:bottom w:w="40" w:type="dxa"/>
              <w:right w:w="20" w:type="dxa"/>
            </w:tcMar>
            <w:vAlign w:val="bottom"/>
          </w:tcPr>
          <w:p w14:paraId="518B7F04"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F05"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F06" w14:textId="77777777" w:rsidR="005C332D" w:rsidRDefault="00B93EAE">
            <w:pPr>
              <w:jc w:val="right"/>
              <w:textAlignment w:val="bottom"/>
            </w:pPr>
            <w:r>
              <w:rPr>
                <w:rFonts w:ascii="Times New Roman" w:eastAsia="宋体" w:hAnsi="Times New Roman"/>
                <w:color w:val="000000"/>
                <w:sz w:val="20"/>
                <w:szCs w:val="20"/>
              </w:rPr>
              <w:t>(136)</w:t>
            </w:r>
          </w:p>
        </w:tc>
        <w:tc>
          <w:tcPr>
            <w:tcW w:w="0" w:type="auto"/>
            <w:shd w:val="clear" w:color="auto" w:fill="auto"/>
            <w:tcMar>
              <w:top w:w="40" w:type="dxa"/>
              <w:left w:w="0" w:type="dxa"/>
              <w:bottom w:w="40" w:type="dxa"/>
              <w:right w:w="20" w:type="dxa"/>
            </w:tcMar>
            <w:vAlign w:val="bottom"/>
          </w:tcPr>
          <w:p w14:paraId="518B7F07" w14:textId="77777777" w:rsidR="005C332D" w:rsidRDefault="005C332D">
            <w:pPr>
              <w:jc w:val="right"/>
              <w:rPr>
                <w:rFonts w:ascii="宋体"/>
              </w:rPr>
            </w:pPr>
          </w:p>
        </w:tc>
      </w:tr>
      <w:tr w:rsidR="005C332D" w14:paraId="518B7F12" w14:textId="77777777">
        <w:tc>
          <w:tcPr>
            <w:tcW w:w="0" w:type="auto"/>
            <w:gridSpan w:val="3"/>
            <w:shd w:val="clear" w:color="auto" w:fill="CCEEFF"/>
            <w:tcMar>
              <w:top w:w="40" w:type="dxa"/>
              <w:left w:w="20" w:type="dxa"/>
              <w:bottom w:w="40" w:type="dxa"/>
              <w:right w:w="20" w:type="dxa"/>
            </w:tcMar>
          </w:tcPr>
          <w:p w14:paraId="518B7F09" w14:textId="77777777" w:rsidR="005C332D" w:rsidRDefault="00B93EAE">
            <w:pPr>
              <w:textAlignment w:val="top"/>
            </w:pPr>
            <w:r>
              <w:rPr>
                <w:rFonts w:ascii="Times New Roman" w:eastAsia="宋体" w:hAnsi="Times New Roman"/>
                <w:color w:val="000000"/>
                <w:sz w:val="20"/>
                <w:szCs w:val="20"/>
              </w:rPr>
              <w:t>Settlements</w:t>
            </w:r>
          </w:p>
        </w:tc>
        <w:tc>
          <w:tcPr>
            <w:tcW w:w="0" w:type="auto"/>
            <w:gridSpan w:val="2"/>
            <w:shd w:val="clear" w:color="auto" w:fill="CCEEFF"/>
            <w:tcMar>
              <w:top w:w="40" w:type="dxa"/>
              <w:left w:w="20" w:type="dxa"/>
              <w:bottom w:w="40" w:type="dxa"/>
              <w:right w:w="0" w:type="dxa"/>
            </w:tcMar>
            <w:vAlign w:val="bottom"/>
          </w:tcPr>
          <w:p w14:paraId="518B7F0A" w14:textId="77777777" w:rsidR="005C332D" w:rsidRDefault="00B93EAE">
            <w:pPr>
              <w:jc w:val="right"/>
              <w:textAlignment w:val="bottom"/>
            </w:pPr>
            <w:r>
              <w:rPr>
                <w:rFonts w:ascii="Times New Roman" w:eastAsia="宋体" w:hAnsi="Times New Roman"/>
                <w:b/>
                <w:bCs/>
                <w:color w:val="000000"/>
                <w:sz w:val="20"/>
                <w:szCs w:val="20"/>
              </w:rPr>
              <w:t>(69)</w:t>
            </w:r>
          </w:p>
        </w:tc>
        <w:tc>
          <w:tcPr>
            <w:tcW w:w="0" w:type="auto"/>
            <w:shd w:val="clear" w:color="auto" w:fill="CCEEFF"/>
            <w:tcMar>
              <w:top w:w="40" w:type="dxa"/>
              <w:left w:w="0" w:type="dxa"/>
              <w:bottom w:w="40" w:type="dxa"/>
              <w:right w:w="20" w:type="dxa"/>
            </w:tcMar>
            <w:vAlign w:val="bottom"/>
          </w:tcPr>
          <w:p w14:paraId="518B7F0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0C"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F0D" w14:textId="77777777" w:rsidR="005C332D" w:rsidRDefault="00B93EAE">
            <w:pPr>
              <w:jc w:val="right"/>
              <w:textAlignment w:val="bottom"/>
            </w:pPr>
            <w:r>
              <w:rPr>
                <w:rFonts w:ascii="Times New Roman" w:eastAsia="宋体" w:hAnsi="Times New Roman"/>
                <w:color w:val="000000"/>
                <w:sz w:val="20"/>
                <w:szCs w:val="20"/>
              </w:rPr>
              <w:t>(93)</w:t>
            </w:r>
          </w:p>
        </w:tc>
        <w:tc>
          <w:tcPr>
            <w:tcW w:w="0" w:type="auto"/>
            <w:shd w:val="clear" w:color="auto" w:fill="CCEEFF"/>
            <w:tcMar>
              <w:top w:w="40" w:type="dxa"/>
              <w:left w:w="0" w:type="dxa"/>
              <w:bottom w:w="40" w:type="dxa"/>
              <w:right w:w="20" w:type="dxa"/>
            </w:tcMar>
            <w:vAlign w:val="bottom"/>
          </w:tcPr>
          <w:p w14:paraId="518B7F0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0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F10" w14:textId="77777777" w:rsidR="005C332D" w:rsidRDefault="00B93EAE">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518B7F11" w14:textId="77777777" w:rsidR="005C332D" w:rsidRDefault="005C332D">
            <w:pPr>
              <w:jc w:val="right"/>
              <w:rPr>
                <w:rFonts w:ascii="宋体"/>
              </w:rPr>
            </w:pPr>
          </w:p>
        </w:tc>
      </w:tr>
      <w:tr w:rsidR="005C332D" w14:paraId="518B7F1C" w14:textId="77777777">
        <w:tc>
          <w:tcPr>
            <w:tcW w:w="0" w:type="auto"/>
            <w:gridSpan w:val="3"/>
            <w:shd w:val="clear" w:color="auto" w:fill="auto"/>
            <w:tcMar>
              <w:top w:w="40" w:type="dxa"/>
              <w:left w:w="20" w:type="dxa"/>
              <w:bottom w:w="40" w:type="dxa"/>
              <w:right w:w="20" w:type="dxa"/>
            </w:tcMar>
          </w:tcPr>
          <w:p w14:paraId="518B7F13" w14:textId="77777777" w:rsidR="005C332D" w:rsidRDefault="00B93EAE">
            <w:pPr>
              <w:textAlignment w:val="top"/>
            </w:pPr>
            <w:r>
              <w:rPr>
                <w:rFonts w:ascii="Times New Roman" w:eastAsia="宋体" w:hAnsi="Times New Roman"/>
                <w:color w:val="000000"/>
                <w:sz w:val="20"/>
                <w:szCs w:val="20"/>
              </w:rPr>
              <w:t>Lapse of statute of limitations</w:t>
            </w:r>
          </w:p>
        </w:tc>
        <w:tc>
          <w:tcPr>
            <w:tcW w:w="0" w:type="auto"/>
            <w:gridSpan w:val="2"/>
            <w:shd w:val="clear" w:color="auto" w:fill="auto"/>
            <w:tcMar>
              <w:top w:w="40" w:type="dxa"/>
              <w:left w:w="20" w:type="dxa"/>
              <w:bottom w:w="40" w:type="dxa"/>
              <w:right w:w="0" w:type="dxa"/>
            </w:tcMar>
            <w:vAlign w:val="bottom"/>
          </w:tcPr>
          <w:p w14:paraId="518B7F14" w14:textId="77777777" w:rsidR="005C332D" w:rsidRDefault="00B93EAE">
            <w:pPr>
              <w:jc w:val="right"/>
              <w:textAlignment w:val="bottom"/>
            </w:pPr>
            <w:r>
              <w:rPr>
                <w:rFonts w:ascii="Times New Roman" w:eastAsia="宋体" w:hAnsi="Times New Roman"/>
                <w:b/>
                <w:bCs/>
                <w:color w:val="000000"/>
                <w:sz w:val="20"/>
                <w:szCs w:val="20"/>
              </w:rPr>
              <w:t>(86)</w:t>
            </w:r>
          </w:p>
        </w:tc>
        <w:tc>
          <w:tcPr>
            <w:tcW w:w="0" w:type="auto"/>
            <w:shd w:val="clear" w:color="auto" w:fill="auto"/>
            <w:tcMar>
              <w:top w:w="40" w:type="dxa"/>
              <w:left w:w="0" w:type="dxa"/>
              <w:bottom w:w="40" w:type="dxa"/>
              <w:right w:w="20" w:type="dxa"/>
            </w:tcMar>
            <w:vAlign w:val="bottom"/>
          </w:tcPr>
          <w:p w14:paraId="518B7F15"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F16"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F17" w14:textId="77777777" w:rsidR="005C332D" w:rsidRDefault="00B93EAE">
            <w:pPr>
              <w:jc w:val="right"/>
              <w:textAlignment w:val="bottom"/>
            </w:pPr>
            <w:r>
              <w:rPr>
                <w:rFonts w:ascii="Times New Roman" w:eastAsia="宋体" w:hAnsi="Times New Roman"/>
                <w:color w:val="000000"/>
                <w:sz w:val="20"/>
                <w:szCs w:val="20"/>
              </w:rPr>
              <w:t>(39)</w:t>
            </w:r>
          </w:p>
        </w:tc>
        <w:tc>
          <w:tcPr>
            <w:tcW w:w="0" w:type="auto"/>
            <w:shd w:val="clear" w:color="auto" w:fill="auto"/>
            <w:tcMar>
              <w:top w:w="40" w:type="dxa"/>
              <w:left w:w="0" w:type="dxa"/>
              <w:bottom w:w="40" w:type="dxa"/>
              <w:right w:w="20" w:type="dxa"/>
            </w:tcMar>
            <w:vAlign w:val="bottom"/>
          </w:tcPr>
          <w:p w14:paraId="518B7F18"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F19"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F1A" w14:textId="77777777" w:rsidR="005C332D" w:rsidRDefault="00B93EAE">
            <w:pPr>
              <w:jc w:val="right"/>
              <w:textAlignment w:val="bottom"/>
            </w:pPr>
            <w:r>
              <w:rPr>
                <w:rFonts w:ascii="Times New Roman" w:eastAsia="宋体" w:hAnsi="Times New Roman"/>
                <w:color w:val="000000"/>
                <w:sz w:val="20"/>
                <w:szCs w:val="20"/>
              </w:rPr>
              <w:t>(9)</w:t>
            </w:r>
          </w:p>
        </w:tc>
        <w:tc>
          <w:tcPr>
            <w:tcW w:w="0" w:type="auto"/>
            <w:shd w:val="clear" w:color="auto" w:fill="auto"/>
            <w:tcMar>
              <w:top w:w="40" w:type="dxa"/>
              <w:left w:w="0" w:type="dxa"/>
              <w:bottom w:w="40" w:type="dxa"/>
              <w:right w:w="20" w:type="dxa"/>
            </w:tcMar>
            <w:vAlign w:val="bottom"/>
          </w:tcPr>
          <w:p w14:paraId="518B7F1B" w14:textId="77777777" w:rsidR="005C332D" w:rsidRDefault="005C332D">
            <w:pPr>
              <w:jc w:val="right"/>
              <w:rPr>
                <w:rFonts w:ascii="宋体"/>
              </w:rPr>
            </w:pPr>
          </w:p>
        </w:tc>
      </w:tr>
      <w:tr w:rsidR="005C332D" w14:paraId="518B7F29" w14:textId="77777777">
        <w:tc>
          <w:tcPr>
            <w:tcW w:w="0" w:type="auto"/>
            <w:gridSpan w:val="3"/>
            <w:shd w:val="clear" w:color="auto" w:fill="CCEEFF"/>
            <w:tcMar>
              <w:top w:w="40" w:type="dxa"/>
              <w:left w:w="20" w:type="dxa"/>
              <w:bottom w:w="40" w:type="dxa"/>
              <w:right w:w="20" w:type="dxa"/>
            </w:tcMar>
          </w:tcPr>
          <w:p w14:paraId="518B7F1D" w14:textId="77777777" w:rsidR="005C332D" w:rsidRDefault="00B93EAE">
            <w:pPr>
              <w:textAlignment w:val="top"/>
            </w:pPr>
            <w:r>
              <w:rPr>
                <w:rFonts w:ascii="Times New Roman" w:eastAsia="宋体" w:hAnsi="Times New Roman"/>
                <w:color w:val="000000"/>
                <w:sz w:val="20"/>
                <w:szCs w:val="20"/>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F1E"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F1F" w14:textId="77777777" w:rsidR="005C332D" w:rsidRDefault="00B93EAE">
            <w:pPr>
              <w:jc w:val="right"/>
              <w:textAlignment w:val="bottom"/>
            </w:pPr>
            <w:r>
              <w:rPr>
                <w:rFonts w:ascii="Times New Roman" w:eastAsia="宋体" w:hAnsi="Times New Roman"/>
                <w:b/>
                <w:bCs/>
                <w:color w:val="000000"/>
                <w:sz w:val="20"/>
                <w:szCs w:val="20"/>
              </w:rPr>
              <w:t>3,101</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F2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21"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F2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F23" w14:textId="77777777" w:rsidR="005C332D" w:rsidRDefault="00B93EAE">
            <w:pPr>
              <w:jc w:val="right"/>
              <w:textAlignment w:val="bottom"/>
            </w:pPr>
            <w:r>
              <w:rPr>
                <w:rFonts w:ascii="Times New Roman" w:eastAsia="宋体" w:hAnsi="Times New Roman"/>
                <w:color w:val="000000"/>
                <w:sz w:val="20"/>
                <w:szCs w:val="20"/>
              </w:rPr>
              <w:t>3,106 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F2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25"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F26"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F27" w14:textId="77777777" w:rsidR="005C332D" w:rsidRDefault="00B93EAE">
            <w:pPr>
              <w:jc w:val="right"/>
              <w:textAlignment w:val="bottom"/>
            </w:pPr>
            <w:r>
              <w:rPr>
                <w:rFonts w:ascii="Times New Roman" w:eastAsia="宋体" w:hAnsi="Times New Roman"/>
                <w:color w:val="000000"/>
                <w:sz w:val="20"/>
                <w:szCs w:val="20"/>
              </w:rPr>
              <w:t>2,518 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F28" w14:textId="77777777" w:rsidR="005C332D" w:rsidRDefault="005C332D">
            <w:pPr>
              <w:jc w:val="right"/>
              <w:rPr>
                <w:rFonts w:ascii="宋体"/>
              </w:rPr>
            </w:pPr>
          </w:p>
        </w:tc>
      </w:tr>
    </w:tbl>
    <w:p w14:paraId="518B7F2A" w14:textId="77777777" w:rsidR="005C332D" w:rsidRDefault="00B93EAE">
      <w:pPr>
        <w:spacing w:before="120"/>
        <w:jc w:val="both"/>
      </w:pPr>
      <w:r>
        <w:rPr>
          <w:rFonts w:ascii="Times New Roman" w:eastAsia="宋体" w:hAnsi="Times New Roman"/>
          <w:color w:val="000000"/>
          <w:sz w:val="20"/>
          <w:szCs w:val="20"/>
        </w:rPr>
        <w:t>As of July 30, 2022, $2.2 billion of the unrecognized tax benefits would affect the effective tax rate if realized. We recognized net interest expense of $33 million, $74 million and $104 million during</w:t>
      </w:r>
      <w:r>
        <w:rPr>
          <w:rFonts w:ascii="Times New Roman" w:eastAsia="宋体" w:hAnsi="Times New Roman"/>
          <w:color w:val="000000"/>
          <w:sz w:val="20"/>
          <w:szCs w:val="20"/>
        </w:rPr>
        <w:t xml:space="preserve"> fiscal 2022, 2021, and 2020, respectively. Our net penalty expense for fiscal 2022, 2021, and 2020 was not material. Our total accrual for interest and penalties was $486 million, $444 million, and $340 million as of the end of fiscal 2022, 2021, and 2020</w:t>
      </w:r>
      <w:r>
        <w:rPr>
          <w:rFonts w:ascii="Times New Roman" w:eastAsia="宋体" w:hAnsi="Times New Roman"/>
          <w:color w:val="000000"/>
          <w:sz w:val="20"/>
          <w:szCs w:val="20"/>
        </w:rPr>
        <w:t>, respectively. We are no longer subject to U.S. federal income tax audit for returns covering tax years through fiscal 2013. We are no longer subject to foreign or state income tax audits for returns covering tax years through fiscal 2003 and fiscal 2008,</w:t>
      </w:r>
      <w:r>
        <w:rPr>
          <w:rFonts w:ascii="Times New Roman" w:eastAsia="宋体" w:hAnsi="Times New Roman"/>
          <w:color w:val="000000"/>
          <w:sz w:val="20"/>
          <w:szCs w:val="20"/>
        </w:rPr>
        <w:t xml:space="preserve"> respectively.</w:t>
      </w:r>
    </w:p>
    <w:p w14:paraId="518B7F2B" w14:textId="77777777" w:rsidR="005C332D" w:rsidRDefault="00B93EAE">
      <w:pPr>
        <w:spacing w:before="120"/>
        <w:jc w:val="both"/>
      </w:pPr>
      <w:r>
        <w:rPr>
          <w:rFonts w:ascii="Times New Roman" w:eastAsia="宋体" w:hAnsi="Times New Roman"/>
          <w:color w:val="000000"/>
          <w:sz w:val="20"/>
          <w:szCs w:val="20"/>
        </w:rPr>
        <w:t>We regularly engage in discussions and negotiations with tax authorities regarding tax matters in various jurisdictions. We believe it is reasonably possible that certain federal, foreign, and state tax matters may be concluded in the next 1</w:t>
      </w:r>
      <w:r>
        <w:rPr>
          <w:rFonts w:ascii="Times New Roman" w:eastAsia="宋体" w:hAnsi="Times New Roman"/>
          <w:color w:val="000000"/>
          <w:sz w:val="20"/>
          <w:szCs w:val="20"/>
        </w:rPr>
        <w:t>2 months. Specific positions that may be resolved include issues involving transfer pricing and various other matters. We estimate that the unrecognized tax benefits at July 30, 2022 could be reduced by $1 billion in the next 12 months.</w:t>
      </w:r>
    </w:p>
    <w:p w14:paraId="518B7F2C" w14:textId="77777777" w:rsidR="005C332D" w:rsidRDefault="00B93EAE">
      <w:pPr>
        <w:spacing w:before="120"/>
        <w:ind w:hanging="360"/>
        <w:jc w:val="both"/>
      </w:pPr>
      <w:r>
        <w:rPr>
          <w:rFonts w:ascii="Times New Roman" w:eastAsia="宋体" w:hAnsi="Times New Roman"/>
          <w:b/>
          <w:bCs/>
          <w:color w:val="000000"/>
          <w:sz w:val="20"/>
          <w:szCs w:val="20"/>
        </w:rPr>
        <w:t>(b)Deferred Tax Ass</w:t>
      </w:r>
      <w:r>
        <w:rPr>
          <w:rFonts w:ascii="Times New Roman" w:eastAsia="宋体" w:hAnsi="Times New Roman"/>
          <w:b/>
          <w:bCs/>
          <w:color w:val="000000"/>
          <w:sz w:val="20"/>
          <w:szCs w:val="20"/>
        </w:rPr>
        <w:t>ets and Liabilities</w:t>
      </w:r>
    </w:p>
    <w:p w14:paraId="518B7F2D" w14:textId="77777777" w:rsidR="005C332D" w:rsidRDefault="00B93EAE">
      <w:pPr>
        <w:spacing w:before="120"/>
        <w:jc w:val="both"/>
      </w:pPr>
      <w:r>
        <w:rPr>
          <w:rFonts w:ascii="Times New Roman" w:eastAsia="宋体" w:hAnsi="Times New Roman"/>
          <w:color w:val="000000"/>
          <w:sz w:val="20"/>
          <w:szCs w:val="20"/>
        </w:rPr>
        <w:t>The following table presents the breakdown for net deferred tax assets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5C332D" w14:paraId="518B7F3A" w14:textId="77777777">
        <w:tc>
          <w:tcPr>
            <w:tcW w:w="50" w:type="pct"/>
            <w:shd w:val="clear" w:color="auto" w:fill="auto"/>
            <w:vAlign w:val="bottom"/>
          </w:tcPr>
          <w:p w14:paraId="518B7F2E" w14:textId="77777777" w:rsidR="005C332D" w:rsidRDefault="005C332D">
            <w:pPr>
              <w:rPr>
                <w:rFonts w:ascii="宋体"/>
              </w:rPr>
            </w:pPr>
          </w:p>
        </w:tc>
        <w:tc>
          <w:tcPr>
            <w:tcW w:w="3442" w:type="pct"/>
            <w:shd w:val="clear" w:color="auto" w:fill="auto"/>
            <w:vAlign w:val="bottom"/>
          </w:tcPr>
          <w:p w14:paraId="518B7F2F" w14:textId="77777777" w:rsidR="005C332D" w:rsidRDefault="005C332D">
            <w:pPr>
              <w:rPr>
                <w:rFonts w:ascii="宋体"/>
              </w:rPr>
            </w:pPr>
          </w:p>
        </w:tc>
        <w:tc>
          <w:tcPr>
            <w:tcW w:w="5" w:type="pct"/>
            <w:shd w:val="clear" w:color="auto" w:fill="auto"/>
            <w:vAlign w:val="bottom"/>
          </w:tcPr>
          <w:p w14:paraId="518B7F30" w14:textId="77777777" w:rsidR="005C332D" w:rsidRDefault="005C332D">
            <w:pPr>
              <w:rPr>
                <w:rFonts w:ascii="宋体"/>
              </w:rPr>
            </w:pPr>
          </w:p>
        </w:tc>
        <w:tc>
          <w:tcPr>
            <w:tcW w:w="50" w:type="pct"/>
            <w:shd w:val="clear" w:color="auto" w:fill="auto"/>
            <w:vAlign w:val="bottom"/>
          </w:tcPr>
          <w:p w14:paraId="518B7F31" w14:textId="77777777" w:rsidR="005C332D" w:rsidRDefault="005C332D">
            <w:pPr>
              <w:rPr>
                <w:rFonts w:ascii="宋体"/>
              </w:rPr>
            </w:pPr>
          </w:p>
        </w:tc>
        <w:tc>
          <w:tcPr>
            <w:tcW w:w="678" w:type="pct"/>
            <w:shd w:val="clear" w:color="auto" w:fill="auto"/>
            <w:vAlign w:val="bottom"/>
          </w:tcPr>
          <w:p w14:paraId="518B7F32" w14:textId="77777777" w:rsidR="005C332D" w:rsidRDefault="005C332D">
            <w:pPr>
              <w:rPr>
                <w:rFonts w:ascii="宋体"/>
              </w:rPr>
            </w:pPr>
          </w:p>
        </w:tc>
        <w:tc>
          <w:tcPr>
            <w:tcW w:w="5" w:type="pct"/>
            <w:shd w:val="clear" w:color="auto" w:fill="auto"/>
            <w:vAlign w:val="bottom"/>
          </w:tcPr>
          <w:p w14:paraId="518B7F33" w14:textId="77777777" w:rsidR="005C332D" w:rsidRDefault="005C332D">
            <w:pPr>
              <w:rPr>
                <w:rFonts w:ascii="宋体"/>
              </w:rPr>
            </w:pPr>
          </w:p>
        </w:tc>
        <w:tc>
          <w:tcPr>
            <w:tcW w:w="5" w:type="pct"/>
            <w:shd w:val="clear" w:color="auto" w:fill="auto"/>
            <w:vAlign w:val="bottom"/>
          </w:tcPr>
          <w:p w14:paraId="518B7F34" w14:textId="77777777" w:rsidR="005C332D" w:rsidRDefault="005C332D">
            <w:pPr>
              <w:rPr>
                <w:rFonts w:ascii="宋体"/>
              </w:rPr>
            </w:pPr>
          </w:p>
        </w:tc>
        <w:tc>
          <w:tcPr>
            <w:tcW w:w="26" w:type="pct"/>
            <w:shd w:val="clear" w:color="auto" w:fill="auto"/>
            <w:vAlign w:val="bottom"/>
          </w:tcPr>
          <w:p w14:paraId="518B7F35" w14:textId="77777777" w:rsidR="005C332D" w:rsidRDefault="005C332D">
            <w:pPr>
              <w:rPr>
                <w:rFonts w:ascii="宋体"/>
              </w:rPr>
            </w:pPr>
          </w:p>
        </w:tc>
        <w:tc>
          <w:tcPr>
            <w:tcW w:w="5" w:type="pct"/>
            <w:shd w:val="clear" w:color="auto" w:fill="auto"/>
            <w:vAlign w:val="bottom"/>
          </w:tcPr>
          <w:p w14:paraId="518B7F36" w14:textId="77777777" w:rsidR="005C332D" w:rsidRDefault="005C332D">
            <w:pPr>
              <w:rPr>
                <w:rFonts w:ascii="宋体"/>
              </w:rPr>
            </w:pPr>
          </w:p>
        </w:tc>
        <w:tc>
          <w:tcPr>
            <w:tcW w:w="50" w:type="pct"/>
            <w:shd w:val="clear" w:color="auto" w:fill="auto"/>
            <w:vAlign w:val="bottom"/>
          </w:tcPr>
          <w:p w14:paraId="518B7F37" w14:textId="77777777" w:rsidR="005C332D" w:rsidRDefault="005C332D">
            <w:pPr>
              <w:rPr>
                <w:rFonts w:ascii="宋体"/>
              </w:rPr>
            </w:pPr>
          </w:p>
        </w:tc>
        <w:tc>
          <w:tcPr>
            <w:tcW w:w="678" w:type="pct"/>
            <w:shd w:val="clear" w:color="auto" w:fill="auto"/>
            <w:vAlign w:val="bottom"/>
          </w:tcPr>
          <w:p w14:paraId="518B7F38" w14:textId="77777777" w:rsidR="005C332D" w:rsidRDefault="005C332D">
            <w:pPr>
              <w:rPr>
                <w:rFonts w:ascii="宋体"/>
              </w:rPr>
            </w:pPr>
          </w:p>
        </w:tc>
        <w:tc>
          <w:tcPr>
            <w:tcW w:w="5" w:type="pct"/>
            <w:shd w:val="clear" w:color="auto" w:fill="auto"/>
            <w:vAlign w:val="bottom"/>
          </w:tcPr>
          <w:p w14:paraId="518B7F39" w14:textId="77777777" w:rsidR="005C332D" w:rsidRDefault="005C332D">
            <w:pPr>
              <w:rPr>
                <w:rFonts w:ascii="宋体"/>
              </w:rPr>
            </w:pPr>
          </w:p>
        </w:tc>
      </w:tr>
      <w:tr w:rsidR="005C332D" w14:paraId="518B7F3F" w14:textId="77777777">
        <w:tc>
          <w:tcPr>
            <w:tcW w:w="0" w:type="auto"/>
            <w:gridSpan w:val="3"/>
            <w:shd w:val="clear" w:color="auto" w:fill="auto"/>
            <w:tcMar>
              <w:top w:w="0" w:type="dxa"/>
              <w:left w:w="20" w:type="dxa"/>
              <w:bottom w:w="0" w:type="dxa"/>
              <w:right w:w="20" w:type="dxa"/>
            </w:tcMar>
            <w:vAlign w:val="bottom"/>
          </w:tcPr>
          <w:p w14:paraId="518B7F3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F3C"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F3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F3E"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7F48" w14:textId="77777777">
        <w:tc>
          <w:tcPr>
            <w:tcW w:w="0" w:type="auto"/>
            <w:gridSpan w:val="3"/>
            <w:shd w:val="clear" w:color="auto" w:fill="CCEEFF"/>
            <w:tcMar>
              <w:top w:w="40" w:type="dxa"/>
              <w:left w:w="20" w:type="dxa"/>
              <w:bottom w:w="40" w:type="dxa"/>
              <w:right w:w="20" w:type="dxa"/>
            </w:tcMar>
          </w:tcPr>
          <w:p w14:paraId="518B7F40" w14:textId="77777777" w:rsidR="005C332D" w:rsidRDefault="00B93EAE">
            <w:pPr>
              <w:textAlignment w:val="top"/>
            </w:pPr>
            <w:r>
              <w:rPr>
                <w:rFonts w:ascii="Times New Roman" w:eastAsia="宋体" w:hAnsi="Times New Roman"/>
                <w:color w:val="000000"/>
                <w:sz w:val="20"/>
                <w:szCs w:val="20"/>
              </w:rPr>
              <w:t>Deferred tax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7F4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F42" w14:textId="77777777" w:rsidR="005C332D" w:rsidRDefault="00B93EAE">
            <w:pPr>
              <w:jc w:val="right"/>
              <w:textAlignment w:val="bottom"/>
            </w:pPr>
            <w:r>
              <w:rPr>
                <w:rFonts w:ascii="Times New Roman" w:eastAsia="宋体" w:hAnsi="Times New Roman"/>
                <w:b/>
                <w:bCs/>
                <w:color w:val="000000"/>
                <w:sz w:val="20"/>
                <w:szCs w:val="20"/>
              </w:rPr>
              <w:t>4,449</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F4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44"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7F4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7F46" w14:textId="77777777" w:rsidR="005C332D" w:rsidRDefault="00B93EAE">
            <w:pPr>
              <w:jc w:val="right"/>
              <w:textAlignment w:val="bottom"/>
            </w:pPr>
            <w:r>
              <w:rPr>
                <w:rFonts w:ascii="Times New Roman" w:eastAsia="宋体" w:hAnsi="Times New Roman"/>
                <w:color w:val="000000"/>
                <w:sz w:val="20"/>
                <w:szCs w:val="20"/>
              </w:rPr>
              <w:t>4,360 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F47" w14:textId="77777777" w:rsidR="005C332D" w:rsidRDefault="005C332D">
            <w:pPr>
              <w:jc w:val="right"/>
              <w:rPr>
                <w:rFonts w:ascii="宋体"/>
              </w:rPr>
            </w:pPr>
          </w:p>
        </w:tc>
      </w:tr>
      <w:tr w:rsidR="005C332D" w14:paraId="518B7F4F" w14:textId="77777777">
        <w:tc>
          <w:tcPr>
            <w:tcW w:w="0" w:type="auto"/>
            <w:gridSpan w:val="3"/>
            <w:shd w:val="clear" w:color="auto" w:fill="FFFFFF"/>
            <w:tcMar>
              <w:top w:w="40" w:type="dxa"/>
              <w:left w:w="20" w:type="dxa"/>
              <w:bottom w:w="40" w:type="dxa"/>
              <w:right w:w="20" w:type="dxa"/>
            </w:tcMar>
          </w:tcPr>
          <w:p w14:paraId="518B7F49" w14:textId="77777777" w:rsidR="005C332D" w:rsidRDefault="00B93EAE">
            <w:pPr>
              <w:textAlignment w:val="top"/>
            </w:pPr>
            <w:r>
              <w:rPr>
                <w:rFonts w:ascii="Times New Roman" w:eastAsia="宋体" w:hAnsi="Times New Roman"/>
                <w:color w:val="000000"/>
                <w:sz w:val="20"/>
                <w:szCs w:val="20"/>
              </w:rPr>
              <w:t>Deferred tax liabilities</w:t>
            </w:r>
          </w:p>
        </w:tc>
        <w:tc>
          <w:tcPr>
            <w:tcW w:w="0" w:type="auto"/>
            <w:gridSpan w:val="2"/>
            <w:shd w:val="clear" w:color="auto" w:fill="FFFFFF"/>
            <w:tcMar>
              <w:top w:w="40" w:type="dxa"/>
              <w:left w:w="20" w:type="dxa"/>
              <w:bottom w:w="40" w:type="dxa"/>
              <w:right w:w="0" w:type="dxa"/>
            </w:tcMar>
            <w:vAlign w:val="bottom"/>
          </w:tcPr>
          <w:p w14:paraId="518B7F4A" w14:textId="77777777" w:rsidR="005C332D" w:rsidRDefault="00B93EAE">
            <w:pPr>
              <w:jc w:val="right"/>
              <w:textAlignment w:val="bottom"/>
            </w:pPr>
            <w:r>
              <w:rPr>
                <w:rFonts w:ascii="Times New Roman" w:eastAsia="宋体" w:hAnsi="Times New Roman"/>
                <w:b/>
                <w:bCs/>
                <w:color w:val="000000"/>
                <w:sz w:val="20"/>
                <w:szCs w:val="20"/>
              </w:rPr>
              <w:t>(55)</w:t>
            </w:r>
          </w:p>
        </w:tc>
        <w:tc>
          <w:tcPr>
            <w:tcW w:w="0" w:type="auto"/>
            <w:shd w:val="clear" w:color="auto" w:fill="FFFFFF"/>
            <w:tcMar>
              <w:top w:w="40" w:type="dxa"/>
              <w:left w:w="0" w:type="dxa"/>
              <w:bottom w:w="40" w:type="dxa"/>
              <w:right w:w="20" w:type="dxa"/>
            </w:tcMar>
            <w:vAlign w:val="bottom"/>
          </w:tcPr>
          <w:p w14:paraId="518B7F4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F4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F4D" w14:textId="77777777" w:rsidR="005C332D" w:rsidRDefault="00B93EAE">
            <w:pPr>
              <w:jc w:val="right"/>
              <w:textAlignment w:val="bottom"/>
            </w:pPr>
            <w:r>
              <w:rPr>
                <w:rFonts w:ascii="Times New Roman" w:eastAsia="宋体" w:hAnsi="Times New Roman"/>
                <w:color w:val="000000"/>
                <w:sz w:val="20"/>
                <w:szCs w:val="20"/>
              </w:rPr>
              <w:t>(134)</w:t>
            </w:r>
          </w:p>
        </w:tc>
        <w:tc>
          <w:tcPr>
            <w:tcW w:w="0" w:type="auto"/>
            <w:shd w:val="clear" w:color="auto" w:fill="FFFFFF"/>
            <w:tcMar>
              <w:top w:w="40" w:type="dxa"/>
              <w:left w:w="0" w:type="dxa"/>
              <w:bottom w:w="40" w:type="dxa"/>
              <w:right w:w="20" w:type="dxa"/>
            </w:tcMar>
            <w:vAlign w:val="bottom"/>
          </w:tcPr>
          <w:p w14:paraId="518B7F4E" w14:textId="77777777" w:rsidR="005C332D" w:rsidRDefault="005C332D">
            <w:pPr>
              <w:jc w:val="right"/>
              <w:rPr>
                <w:rFonts w:ascii="宋体"/>
              </w:rPr>
            </w:pPr>
          </w:p>
        </w:tc>
      </w:tr>
      <w:tr w:rsidR="005C332D" w14:paraId="518B7F58" w14:textId="77777777">
        <w:tc>
          <w:tcPr>
            <w:tcW w:w="0" w:type="auto"/>
            <w:gridSpan w:val="3"/>
            <w:shd w:val="clear" w:color="auto" w:fill="CCEEFF"/>
            <w:tcMar>
              <w:top w:w="40" w:type="dxa"/>
              <w:left w:w="380" w:type="dxa"/>
              <w:bottom w:w="40" w:type="dxa"/>
              <w:right w:w="20" w:type="dxa"/>
            </w:tcMar>
          </w:tcPr>
          <w:p w14:paraId="518B7F50" w14:textId="77777777" w:rsidR="005C332D" w:rsidRDefault="00B93EAE">
            <w:pPr>
              <w:textAlignment w:val="top"/>
            </w:pPr>
            <w:r>
              <w:rPr>
                <w:rFonts w:ascii="Times New Roman" w:eastAsia="宋体" w:hAnsi="Times New Roman"/>
                <w:color w:val="000000"/>
                <w:sz w:val="20"/>
                <w:szCs w:val="20"/>
              </w:rPr>
              <w:t xml:space="preserve">Total net </w:t>
            </w:r>
            <w:r>
              <w:rPr>
                <w:rFonts w:ascii="Times New Roman" w:eastAsia="宋体" w:hAnsi="Times New Roman"/>
                <w:color w:val="000000"/>
                <w:sz w:val="20"/>
                <w:szCs w:val="20"/>
              </w:rPr>
              <w:t>deferred tax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F5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F52" w14:textId="77777777" w:rsidR="005C332D" w:rsidRDefault="00B93EAE">
            <w:pPr>
              <w:jc w:val="right"/>
              <w:textAlignment w:val="bottom"/>
            </w:pPr>
            <w:r>
              <w:rPr>
                <w:rFonts w:ascii="Times New Roman" w:eastAsia="宋体" w:hAnsi="Times New Roman"/>
                <w:b/>
                <w:bCs/>
                <w:color w:val="000000"/>
                <w:sz w:val="20"/>
                <w:szCs w:val="20"/>
              </w:rPr>
              <w:t>4,394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F5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54"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7F5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7F56" w14:textId="77777777" w:rsidR="005C332D" w:rsidRDefault="00B93EAE">
            <w:pPr>
              <w:jc w:val="right"/>
              <w:textAlignment w:val="bottom"/>
            </w:pPr>
            <w:r>
              <w:rPr>
                <w:rFonts w:ascii="Times New Roman" w:eastAsia="宋体" w:hAnsi="Times New Roman"/>
                <w:color w:val="000000"/>
                <w:sz w:val="20"/>
                <w:szCs w:val="20"/>
              </w:rPr>
              <w:t>4,226 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7F57" w14:textId="77777777" w:rsidR="005C332D" w:rsidRDefault="005C332D">
            <w:pPr>
              <w:jc w:val="right"/>
              <w:rPr>
                <w:rFonts w:ascii="宋体"/>
              </w:rPr>
            </w:pPr>
          </w:p>
        </w:tc>
      </w:tr>
    </w:tbl>
    <w:p w14:paraId="518B7F59" w14:textId="77777777" w:rsidR="005C332D" w:rsidRDefault="005C332D"/>
    <w:p w14:paraId="518B7F5A" w14:textId="77777777" w:rsidR="005C332D" w:rsidRDefault="00B93EAE">
      <w:pPr>
        <w:jc w:val="center"/>
      </w:pPr>
      <w:r>
        <w:rPr>
          <w:rFonts w:ascii="Times New Roman" w:eastAsia="宋体" w:hAnsi="Times New Roman"/>
          <w:color w:val="000000"/>
          <w:sz w:val="20"/>
          <w:szCs w:val="20"/>
        </w:rPr>
        <w:t>99</w:t>
      </w:r>
    </w:p>
    <w:p w14:paraId="518B7F5B" w14:textId="77777777" w:rsidR="005C332D" w:rsidRDefault="00B93EAE">
      <w:r>
        <w:pict w14:anchorId="518B8778">
          <v:rect id="_x0000_i1125" style="width:415.3pt;height:1.5pt" o:hralign="center" o:hrstd="t" o:hr="t" fillcolor="#a0a0a0" stroked="f"/>
        </w:pict>
      </w:r>
    </w:p>
    <w:p w14:paraId="518B7F5C" w14:textId="77777777" w:rsidR="005C332D" w:rsidRDefault="005C332D"/>
    <w:p w14:paraId="518B7F5D" w14:textId="77777777" w:rsidR="005C332D" w:rsidRDefault="00B93EAE">
      <w:pPr>
        <w:spacing w:before="120"/>
        <w:jc w:val="both"/>
      </w:pPr>
      <w:r>
        <w:rPr>
          <w:rFonts w:ascii="Times New Roman" w:eastAsia="宋体" w:hAnsi="Times New Roman"/>
          <w:color w:val="000000"/>
          <w:sz w:val="20"/>
          <w:szCs w:val="20"/>
        </w:rPr>
        <w:t>The following table presents the components of the deferred tax assets and liabilities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8"/>
        <w:gridCol w:w="120"/>
        <w:gridCol w:w="1084"/>
        <w:gridCol w:w="36"/>
        <w:gridCol w:w="36"/>
        <w:gridCol w:w="36"/>
        <w:gridCol w:w="36"/>
        <w:gridCol w:w="120"/>
        <w:gridCol w:w="1049"/>
        <w:gridCol w:w="36"/>
      </w:tblGrid>
      <w:tr w:rsidR="005C332D" w14:paraId="518B7F6A" w14:textId="77777777">
        <w:tc>
          <w:tcPr>
            <w:tcW w:w="50" w:type="pct"/>
            <w:shd w:val="clear" w:color="auto" w:fill="auto"/>
            <w:vAlign w:val="bottom"/>
          </w:tcPr>
          <w:p w14:paraId="518B7F5E" w14:textId="77777777" w:rsidR="005C332D" w:rsidRDefault="005C332D">
            <w:pPr>
              <w:rPr>
                <w:rFonts w:ascii="宋体"/>
              </w:rPr>
            </w:pPr>
          </w:p>
        </w:tc>
        <w:tc>
          <w:tcPr>
            <w:tcW w:w="3442" w:type="pct"/>
            <w:shd w:val="clear" w:color="auto" w:fill="auto"/>
            <w:vAlign w:val="bottom"/>
          </w:tcPr>
          <w:p w14:paraId="518B7F5F" w14:textId="77777777" w:rsidR="005C332D" w:rsidRDefault="005C332D">
            <w:pPr>
              <w:rPr>
                <w:rFonts w:ascii="宋体"/>
              </w:rPr>
            </w:pPr>
          </w:p>
        </w:tc>
        <w:tc>
          <w:tcPr>
            <w:tcW w:w="5" w:type="pct"/>
            <w:shd w:val="clear" w:color="auto" w:fill="auto"/>
            <w:vAlign w:val="bottom"/>
          </w:tcPr>
          <w:p w14:paraId="518B7F60" w14:textId="77777777" w:rsidR="005C332D" w:rsidRDefault="005C332D">
            <w:pPr>
              <w:rPr>
                <w:rFonts w:ascii="宋体"/>
              </w:rPr>
            </w:pPr>
          </w:p>
        </w:tc>
        <w:tc>
          <w:tcPr>
            <w:tcW w:w="50" w:type="pct"/>
            <w:shd w:val="clear" w:color="auto" w:fill="auto"/>
            <w:vAlign w:val="bottom"/>
          </w:tcPr>
          <w:p w14:paraId="518B7F61" w14:textId="77777777" w:rsidR="005C332D" w:rsidRDefault="005C332D">
            <w:pPr>
              <w:rPr>
                <w:rFonts w:ascii="宋体"/>
              </w:rPr>
            </w:pPr>
          </w:p>
        </w:tc>
        <w:tc>
          <w:tcPr>
            <w:tcW w:w="678" w:type="pct"/>
            <w:shd w:val="clear" w:color="auto" w:fill="auto"/>
            <w:vAlign w:val="bottom"/>
          </w:tcPr>
          <w:p w14:paraId="518B7F62" w14:textId="77777777" w:rsidR="005C332D" w:rsidRDefault="005C332D">
            <w:pPr>
              <w:rPr>
                <w:rFonts w:ascii="宋体"/>
              </w:rPr>
            </w:pPr>
          </w:p>
        </w:tc>
        <w:tc>
          <w:tcPr>
            <w:tcW w:w="5" w:type="pct"/>
            <w:shd w:val="clear" w:color="auto" w:fill="auto"/>
            <w:vAlign w:val="bottom"/>
          </w:tcPr>
          <w:p w14:paraId="518B7F63" w14:textId="77777777" w:rsidR="005C332D" w:rsidRDefault="005C332D">
            <w:pPr>
              <w:rPr>
                <w:rFonts w:ascii="宋体"/>
              </w:rPr>
            </w:pPr>
          </w:p>
        </w:tc>
        <w:tc>
          <w:tcPr>
            <w:tcW w:w="5" w:type="pct"/>
            <w:shd w:val="clear" w:color="auto" w:fill="auto"/>
            <w:vAlign w:val="bottom"/>
          </w:tcPr>
          <w:p w14:paraId="518B7F64" w14:textId="77777777" w:rsidR="005C332D" w:rsidRDefault="005C332D">
            <w:pPr>
              <w:rPr>
                <w:rFonts w:ascii="宋体"/>
              </w:rPr>
            </w:pPr>
          </w:p>
        </w:tc>
        <w:tc>
          <w:tcPr>
            <w:tcW w:w="26" w:type="pct"/>
            <w:shd w:val="clear" w:color="auto" w:fill="auto"/>
            <w:vAlign w:val="bottom"/>
          </w:tcPr>
          <w:p w14:paraId="518B7F65" w14:textId="77777777" w:rsidR="005C332D" w:rsidRDefault="005C332D">
            <w:pPr>
              <w:rPr>
                <w:rFonts w:ascii="宋体"/>
              </w:rPr>
            </w:pPr>
          </w:p>
        </w:tc>
        <w:tc>
          <w:tcPr>
            <w:tcW w:w="5" w:type="pct"/>
            <w:shd w:val="clear" w:color="auto" w:fill="auto"/>
            <w:vAlign w:val="bottom"/>
          </w:tcPr>
          <w:p w14:paraId="518B7F66" w14:textId="77777777" w:rsidR="005C332D" w:rsidRDefault="005C332D">
            <w:pPr>
              <w:rPr>
                <w:rFonts w:ascii="宋体"/>
              </w:rPr>
            </w:pPr>
          </w:p>
        </w:tc>
        <w:tc>
          <w:tcPr>
            <w:tcW w:w="50" w:type="pct"/>
            <w:shd w:val="clear" w:color="auto" w:fill="auto"/>
            <w:vAlign w:val="bottom"/>
          </w:tcPr>
          <w:p w14:paraId="518B7F67" w14:textId="77777777" w:rsidR="005C332D" w:rsidRDefault="005C332D">
            <w:pPr>
              <w:rPr>
                <w:rFonts w:ascii="宋体"/>
              </w:rPr>
            </w:pPr>
          </w:p>
        </w:tc>
        <w:tc>
          <w:tcPr>
            <w:tcW w:w="678" w:type="pct"/>
            <w:shd w:val="clear" w:color="auto" w:fill="auto"/>
            <w:vAlign w:val="bottom"/>
          </w:tcPr>
          <w:p w14:paraId="518B7F68" w14:textId="77777777" w:rsidR="005C332D" w:rsidRDefault="005C332D">
            <w:pPr>
              <w:rPr>
                <w:rFonts w:ascii="宋体"/>
              </w:rPr>
            </w:pPr>
          </w:p>
        </w:tc>
        <w:tc>
          <w:tcPr>
            <w:tcW w:w="5" w:type="pct"/>
            <w:shd w:val="clear" w:color="auto" w:fill="auto"/>
            <w:vAlign w:val="bottom"/>
          </w:tcPr>
          <w:p w14:paraId="518B7F69" w14:textId="77777777" w:rsidR="005C332D" w:rsidRDefault="005C332D">
            <w:pPr>
              <w:rPr>
                <w:rFonts w:ascii="宋体"/>
              </w:rPr>
            </w:pPr>
          </w:p>
        </w:tc>
      </w:tr>
      <w:tr w:rsidR="005C332D" w14:paraId="518B7F6F" w14:textId="77777777">
        <w:tc>
          <w:tcPr>
            <w:tcW w:w="0" w:type="auto"/>
            <w:gridSpan w:val="3"/>
            <w:shd w:val="clear" w:color="auto" w:fill="auto"/>
            <w:tcMar>
              <w:top w:w="0" w:type="dxa"/>
              <w:left w:w="20" w:type="dxa"/>
              <w:bottom w:w="0" w:type="dxa"/>
              <w:right w:w="20" w:type="dxa"/>
            </w:tcMar>
            <w:vAlign w:val="bottom"/>
          </w:tcPr>
          <w:p w14:paraId="518B7F6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F6C"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7F6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7F6E" w14:textId="77777777" w:rsidR="005C332D" w:rsidRDefault="00B93EAE">
            <w:pPr>
              <w:jc w:val="center"/>
              <w:textAlignment w:val="bottom"/>
            </w:pPr>
            <w:r>
              <w:rPr>
                <w:rFonts w:ascii="Times New Roman" w:eastAsia="宋体" w:hAnsi="Times New Roman"/>
                <w:color w:val="000000"/>
                <w:sz w:val="18"/>
                <w:szCs w:val="18"/>
              </w:rPr>
              <w:t>July 31, 2021</w:t>
            </w:r>
          </w:p>
        </w:tc>
      </w:tr>
      <w:tr w:rsidR="005C332D" w14:paraId="518B7F74" w14:textId="77777777">
        <w:tc>
          <w:tcPr>
            <w:tcW w:w="0" w:type="auto"/>
            <w:gridSpan w:val="3"/>
            <w:shd w:val="clear" w:color="auto" w:fill="CCEEFF"/>
            <w:tcMar>
              <w:top w:w="40" w:type="dxa"/>
              <w:left w:w="20" w:type="dxa"/>
              <w:bottom w:w="40" w:type="dxa"/>
              <w:right w:w="20" w:type="dxa"/>
            </w:tcMar>
          </w:tcPr>
          <w:p w14:paraId="518B7F70" w14:textId="77777777" w:rsidR="005C332D" w:rsidRDefault="00B93EAE">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F7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7F72"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7F73" w14:textId="77777777" w:rsidR="005C332D" w:rsidRDefault="005C332D">
            <w:pPr>
              <w:rPr>
                <w:rFonts w:ascii="宋体"/>
              </w:rPr>
            </w:pPr>
          </w:p>
        </w:tc>
      </w:tr>
      <w:tr w:rsidR="005C332D" w14:paraId="518B7F7D" w14:textId="77777777">
        <w:tc>
          <w:tcPr>
            <w:tcW w:w="0" w:type="auto"/>
            <w:gridSpan w:val="3"/>
            <w:shd w:val="clear" w:color="auto" w:fill="auto"/>
            <w:tcMar>
              <w:top w:w="40" w:type="dxa"/>
              <w:left w:w="20" w:type="dxa"/>
              <w:bottom w:w="40" w:type="dxa"/>
              <w:right w:w="20" w:type="dxa"/>
            </w:tcMar>
          </w:tcPr>
          <w:p w14:paraId="518B7F75" w14:textId="77777777" w:rsidR="005C332D" w:rsidRDefault="00B93EAE">
            <w:pPr>
              <w:textAlignment w:val="top"/>
            </w:pPr>
            <w:r>
              <w:rPr>
                <w:rFonts w:ascii="Times New Roman" w:eastAsia="宋体" w:hAnsi="Times New Roman"/>
                <w:color w:val="000000"/>
                <w:sz w:val="20"/>
                <w:szCs w:val="20"/>
              </w:rPr>
              <w:t xml:space="preserve">Allowance for accounts receivable and </w:t>
            </w:r>
            <w:r>
              <w:rPr>
                <w:rFonts w:ascii="Times New Roman" w:eastAsia="宋体" w:hAnsi="Times New Roman"/>
                <w:color w:val="000000"/>
                <w:sz w:val="20"/>
                <w:szCs w:val="20"/>
              </w:rPr>
              <w:t>returns</w:t>
            </w:r>
          </w:p>
        </w:tc>
        <w:tc>
          <w:tcPr>
            <w:tcW w:w="0" w:type="auto"/>
            <w:shd w:val="clear" w:color="auto" w:fill="auto"/>
            <w:tcMar>
              <w:top w:w="40" w:type="dxa"/>
              <w:left w:w="20" w:type="dxa"/>
              <w:bottom w:w="40" w:type="dxa"/>
              <w:right w:w="0" w:type="dxa"/>
            </w:tcMar>
            <w:vAlign w:val="bottom"/>
          </w:tcPr>
          <w:p w14:paraId="518B7F76"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auto"/>
            <w:tcMar>
              <w:top w:w="40" w:type="dxa"/>
              <w:left w:w="0" w:type="dxa"/>
              <w:bottom w:w="40" w:type="dxa"/>
              <w:right w:w="0" w:type="dxa"/>
            </w:tcMar>
            <w:vAlign w:val="bottom"/>
          </w:tcPr>
          <w:p w14:paraId="518B7F77" w14:textId="77777777" w:rsidR="005C332D" w:rsidRDefault="00B93EAE">
            <w:pPr>
              <w:jc w:val="right"/>
              <w:textAlignment w:val="bottom"/>
            </w:pPr>
            <w:r>
              <w:rPr>
                <w:rFonts w:ascii="Times New Roman" w:eastAsia="宋体" w:hAnsi="Times New Roman"/>
                <w:b/>
                <w:bCs/>
                <w:color w:val="000000"/>
                <w:sz w:val="20"/>
                <w:szCs w:val="20"/>
              </w:rPr>
              <w:t>90</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F78"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F79"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7F7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7F7B" w14:textId="77777777" w:rsidR="005C332D" w:rsidRDefault="00B93EAE">
            <w:pPr>
              <w:jc w:val="right"/>
              <w:textAlignment w:val="bottom"/>
            </w:pPr>
            <w:r>
              <w:rPr>
                <w:rFonts w:ascii="Times New Roman" w:eastAsia="宋体" w:hAnsi="Times New Roman"/>
                <w:color w:val="000000"/>
                <w:sz w:val="20"/>
                <w:szCs w:val="20"/>
              </w:rPr>
              <w:t>68 </w:t>
            </w:r>
          </w:p>
        </w:tc>
        <w:tc>
          <w:tcPr>
            <w:tcW w:w="0" w:type="auto"/>
            <w:shd w:val="clear" w:color="auto" w:fill="auto"/>
            <w:tcMar>
              <w:top w:w="40" w:type="dxa"/>
              <w:left w:w="0" w:type="dxa"/>
              <w:bottom w:w="40" w:type="dxa"/>
              <w:right w:w="20" w:type="dxa"/>
            </w:tcMar>
            <w:vAlign w:val="bottom"/>
          </w:tcPr>
          <w:p w14:paraId="518B7F7C" w14:textId="77777777" w:rsidR="005C332D" w:rsidRDefault="005C332D">
            <w:pPr>
              <w:jc w:val="right"/>
              <w:rPr>
                <w:rFonts w:ascii="宋体"/>
              </w:rPr>
            </w:pPr>
          </w:p>
        </w:tc>
      </w:tr>
      <w:tr w:rsidR="005C332D" w14:paraId="518B7F84" w14:textId="77777777">
        <w:tc>
          <w:tcPr>
            <w:tcW w:w="0" w:type="auto"/>
            <w:gridSpan w:val="3"/>
            <w:shd w:val="clear" w:color="auto" w:fill="CCEEFF"/>
            <w:tcMar>
              <w:top w:w="40" w:type="dxa"/>
              <w:left w:w="20" w:type="dxa"/>
              <w:bottom w:w="40" w:type="dxa"/>
              <w:right w:w="20" w:type="dxa"/>
            </w:tcMar>
          </w:tcPr>
          <w:p w14:paraId="518B7F7E" w14:textId="77777777" w:rsidR="005C332D" w:rsidRDefault="00B93EAE">
            <w:pPr>
              <w:textAlignment w:val="top"/>
            </w:pPr>
            <w:r>
              <w:rPr>
                <w:rFonts w:ascii="Times New Roman" w:eastAsia="宋体" w:hAnsi="Times New Roman"/>
                <w:color w:val="000000"/>
                <w:sz w:val="20"/>
                <w:szCs w:val="20"/>
              </w:rPr>
              <w:t>Sales-type and direct-financing leases</w:t>
            </w:r>
          </w:p>
        </w:tc>
        <w:tc>
          <w:tcPr>
            <w:tcW w:w="0" w:type="auto"/>
            <w:gridSpan w:val="2"/>
            <w:shd w:val="clear" w:color="auto" w:fill="CCEEFF"/>
            <w:tcMar>
              <w:top w:w="40" w:type="dxa"/>
              <w:left w:w="20" w:type="dxa"/>
              <w:bottom w:w="40" w:type="dxa"/>
              <w:right w:w="0" w:type="dxa"/>
            </w:tcMar>
            <w:vAlign w:val="bottom"/>
          </w:tcPr>
          <w:p w14:paraId="518B7F7F" w14:textId="77777777" w:rsidR="005C332D" w:rsidRDefault="00B93EAE">
            <w:pPr>
              <w:jc w:val="right"/>
              <w:textAlignment w:val="bottom"/>
            </w:pPr>
            <w:r>
              <w:rPr>
                <w:rFonts w:ascii="Times New Roman" w:eastAsia="宋体" w:hAnsi="Times New Roman"/>
                <w:b/>
                <w:bCs/>
                <w:color w:val="000000"/>
                <w:sz w:val="20"/>
                <w:szCs w:val="20"/>
              </w:rPr>
              <w:t>29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F8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8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F82" w14:textId="77777777" w:rsidR="005C332D" w:rsidRDefault="00B93EAE">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518B7F83" w14:textId="77777777" w:rsidR="005C332D" w:rsidRDefault="005C332D">
            <w:pPr>
              <w:jc w:val="right"/>
              <w:rPr>
                <w:rFonts w:ascii="宋体"/>
              </w:rPr>
            </w:pPr>
          </w:p>
        </w:tc>
      </w:tr>
      <w:tr w:rsidR="005C332D" w14:paraId="518B7F8B" w14:textId="77777777">
        <w:tc>
          <w:tcPr>
            <w:tcW w:w="0" w:type="auto"/>
            <w:gridSpan w:val="3"/>
            <w:shd w:val="clear" w:color="auto" w:fill="auto"/>
            <w:tcMar>
              <w:top w:w="40" w:type="dxa"/>
              <w:left w:w="20" w:type="dxa"/>
              <w:bottom w:w="40" w:type="dxa"/>
              <w:right w:w="20" w:type="dxa"/>
            </w:tcMar>
          </w:tcPr>
          <w:p w14:paraId="518B7F85" w14:textId="77777777" w:rsidR="005C332D" w:rsidRDefault="00B93EAE">
            <w:pPr>
              <w:textAlignment w:val="top"/>
            </w:pPr>
            <w:r>
              <w:rPr>
                <w:rFonts w:ascii="Times New Roman" w:eastAsia="宋体" w:hAnsi="Times New Roman"/>
                <w:color w:val="000000"/>
                <w:sz w:val="20"/>
                <w:szCs w:val="20"/>
              </w:rPr>
              <w:t>Inventory write-downs and capitalization</w:t>
            </w:r>
          </w:p>
        </w:tc>
        <w:tc>
          <w:tcPr>
            <w:tcW w:w="0" w:type="auto"/>
            <w:gridSpan w:val="2"/>
            <w:shd w:val="clear" w:color="auto" w:fill="auto"/>
            <w:tcMar>
              <w:top w:w="40" w:type="dxa"/>
              <w:left w:w="20" w:type="dxa"/>
              <w:bottom w:w="40" w:type="dxa"/>
              <w:right w:w="0" w:type="dxa"/>
            </w:tcMar>
            <w:vAlign w:val="bottom"/>
          </w:tcPr>
          <w:p w14:paraId="518B7F86" w14:textId="77777777" w:rsidR="005C332D" w:rsidRDefault="00B93EAE">
            <w:pPr>
              <w:jc w:val="right"/>
              <w:textAlignment w:val="bottom"/>
            </w:pPr>
            <w:r>
              <w:rPr>
                <w:rFonts w:ascii="Times New Roman" w:eastAsia="宋体" w:hAnsi="Times New Roman"/>
                <w:b/>
                <w:bCs/>
                <w:color w:val="000000"/>
                <w:sz w:val="20"/>
                <w:szCs w:val="20"/>
              </w:rPr>
              <w:t>430</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F87"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F88"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F89" w14:textId="77777777" w:rsidR="005C332D" w:rsidRDefault="00B93EAE">
            <w:pPr>
              <w:jc w:val="right"/>
              <w:textAlignment w:val="bottom"/>
            </w:pPr>
            <w:r>
              <w:rPr>
                <w:rFonts w:ascii="Times New Roman" w:eastAsia="宋体" w:hAnsi="Times New Roman"/>
                <w:color w:val="000000"/>
                <w:sz w:val="20"/>
                <w:szCs w:val="20"/>
              </w:rPr>
              <w:t>392 </w:t>
            </w:r>
          </w:p>
        </w:tc>
        <w:tc>
          <w:tcPr>
            <w:tcW w:w="0" w:type="auto"/>
            <w:shd w:val="clear" w:color="auto" w:fill="auto"/>
            <w:tcMar>
              <w:top w:w="40" w:type="dxa"/>
              <w:left w:w="0" w:type="dxa"/>
              <w:bottom w:w="40" w:type="dxa"/>
              <w:right w:w="20" w:type="dxa"/>
            </w:tcMar>
            <w:vAlign w:val="bottom"/>
          </w:tcPr>
          <w:p w14:paraId="518B7F8A" w14:textId="77777777" w:rsidR="005C332D" w:rsidRDefault="005C332D">
            <w:pPr>
              <w:jc w:val="right"/>
              <w:rPr>
                <w:rFonts w:ascii="宋体"/>
              </w:rPr>
            </w:pPr>
          </w:p>
        </w:tc>
      </w:tr>
      <w:tr w:rsidR="005C332D" w14:paraId="518B7F92" w14:textId="77777777">
        <w:tc>
          <w:tcPr>
            <w:tcW w:w="0" w:type="auto"/>
            <w:gridSpan w:val="3"/>
            <w:shd w:val="clear" w:color="auto" w:fill="CCEEFF"/>
            <w:tcMar>
              <w:top w:w="40" w:type="dxa"/>
              <w:left w:w="20" w:type="dxa"/>
              <w:bottom w:w="40" w:type="dxa"/>
              <w:right w:w="20" w:type="dxa"/>
            </w:tcMar>
          </w:tcPr>
          <w:p w14:paraId="518B7F8C" w14:textId="77777777" w:rsidR="005C332D" w:rsidRDefault="00B93EAE">
            <w:pPr>
              <w:textAlignment w:val="top"/>
            </w:pPr>
            <w:r>
              <w:rPr>
                <w:rFonts w:ascii="Times New Roman" w:eastAsia="宋体" w:hAnsi="Times New Roman"/>
                <w:color w:val="000000"/>
                <w:sz w:val="20"/>
                <w:szCs w:val="20"/>
              </w:rPr>
              <w:t>Deferred foreign income</w:t>
            </w:r>
          </w:p>
        </w:tc>
        <w:tc>
          <w:tcPr>
            <w:tcW w:w="0" w:type="auto"/>
            <w:gridSpan w:val="2"/>
            <w:shd w:val="clear" w:color="auto" w:fill="CCEEFF"/>
            <w:tcMar>
              <w:top w:w="40" w:type="dxa"/>
              <w:left w:w="20" w:type="dxa"/>
              <w:bottom w:w="40" w:type="dxa"/>
              <w:right w:w="0" w:type="dxa"/>
            </w:tcMar>
            <w:vAlign w:val="bottom"/>
          </w:tcPr>
          <w:p w14:paraId="518B7F8D" w14:textId="77777777" w:rsidR="005C332D" w:rsidRDefault="00B93EAE">
            <w:pPr>
              <w:jc w:val="right"/>
              <w:textAlignment w:val="bottom"/>
            </w:pPr>
            <w:r>
              <w:rPr>
                <w:rFonts w:ascii="Times New Roman" w:eastAsia="宋体" w:hAnsi="Times New Roman"/>
                <w:b/>
                <w:bCs/>
                <w:color w:val="000000"/>
                <w:sz w:val="20"/>
                <w:szCs w:val="20"/>
              </w:rPr>
              <w:t>210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F8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8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F90" w14:textId="77777777" w:rsidR="005C332D" w:rsidRDefault="00B93EAE">
            <w:pPr>
              <w:jc w:val="right"/>
              <w:textAlignment w:val="bottom"/>
            </w:pPr>
            <w:r>
              <w:rPr>
                <w:rFonts w:ascii="Times New Roman" w:eastAsia="宋体" w:hAnsi="Times New Roman"/>
                <w:color w:val="000000"/>
                <w:sz w:val="20"/>
                <w:szCs w:val="20"/>
              </w:rPr>
              <w:t>164 </w:t>
            </w:r>
          </w:p>
        </w:tc>
        <w:tc>
          <w:tcPr>
            <w:tcW w:w="0" w:type="auto"/>
            <w:shd w:val="clear" w:color="auto" w:fill="CCEEFF"/>
            <w:tcMar>
              <w:top w:w="40" w:type="dxa"/>
              <w:left w:w="0" w:type="dxa"/>
              <w:bottom w:w="40" w:type="dxa"/>
              <w:right w:w="20" w:type="dxa"/>
            </w:tcMar>
            <w:vAlign w:val="bottom"/>
          </w:tcPr>
          <w:p w14:paraId="518B7F91" w14:textId="77777777" w:rsidR="005C332D" w:rsidRDefault="005C332D">
            <w:pPr>
              <w:jc w:val="right"/>
              <w:rPr>
                <w:rFonts w:ascii="宋体"/>
              </w:rPr>
            </w:pPr>
          </w:p>
        </w:tc>
      </w:tr>
      <w:tr w:rsidR="005C332D" w14:paraId="518B7F99" w14:textId="77777777">
        <w:tc>
          <w:tcPr>
            <w:tcW w:w="0" w:type="auto"/>
            <w:gridSpan w:val="3"/>
            <w:shd w:val="clear" w:color="auto" w:fill="auto"/>
            <w:tcMar>
              <w:top w:w="40" w:type="dxa"/>
              <w:left w:w="20" w:type="dxa"/>
              <w:bottom w:w="40" w:type="dxa"/>
              <w:right w:w="20" w:type="dxa"/>
            </w:tcMar>
          </w:tcPr>
          <w:p w14:paraId="518B7F93" w14:textId="77777777" w:rsidR="005C332D" w:rsidRDefault="00B93EAE">
            <w:pPr>
              <w:textAlignment w:val="top"/>
            </w:pPr>
            <w:r>
              <w:rPr>
                <w:rFonts w:ascii="Times New Roman" w:eastAsia="宋体" w:hAnsi="Times New Roman"/>
                <w:color w:val="000000"/>
                <w:sz w:val="20"/>
                <w:szCs w:val="20"/>
              </w:rPr>
              <w:t>IPR&amp;D and purchased intangible assets</w:t>
            </w:r>
          </w:p>
        </w:tc>
        <w:tc>
          <w:tcPr>
            <w:tcW w:w="0" w:type="auto"/>
            <w:gridSpan w:val="2"/>
            <w:shd w:val="clear" w:color="auto" w:fill="auto"/>
            <w:tcMar>
              <w:top w:w="40" w:type="dxa"/>
              <w:left w:w="20" w:type="dxa"/>
              <w:bottom w:w="40" w:type="dxa"/>
              <w:right w:w="0" w:type="dxa"/>
            </w:tcMar>
            <w:vAlign w:val="bottom"/>
          </w:tcPr>
          <w:p w14:paraId="518B7F94" w14:textId="77777777" w:rsidR="005C332D" w:rsidRDefault="00B93EAE">
            <w:pPr>
              <w:jc w:val="right"/>
              <w:textAlignment w:val="bottom"/>
            </w:pPr>
            <w:r>
              <w:rPr>
                <w:rFonts w:ascii="Times New Roman" w:eastAsia="宋体" w:hAnsi="Times New Roman"/>
                <w:b/>
                <w:bCs/>
                <w:color w:val="000000"/>
                <w:sz w:val="20"/>
                <w:szCs w:val="20"/>
              </w:rPr>
              <w:t>1,184</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7F95"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7F96" w14:textId="77777777" w:rsidR="005C332D" w:rsidRDefault="005C332D">
            <w:pPr>
              <w:rPr>
                <w:rFonts w:ascii="宋体"/>
              </w:rPr>
            </w:pPr>
          </w:p>
        </w:tc>
        <w:tc>
          <w:tcPr>
            <w:tcW w:w="0" w:type="auto"/>
            <w:gridSpan w:val="2"/>
            <w:shd w:val="clear" w:color="auto" w:fill="auto"/>
            <w:tcMar>
              <w:top w:w="40" w:type="dxa"/>
              <w:left w:w="20" w:type="dxa"/>
              <w:bottom w:w="40" w:type="dxa"/>
              <w:right w:w="0" w:type="dxa"/>
            </w:tcMar>
            <w:vAlign w:val="bottom"/>
          </w:tcPr>
          <w:p w14:paraId="518B7F97" w14:textId="77777777" w:rsidR="005C332D" w:rsidRDefault="00B93EAE">
            <w:pPr>
              <w:jc w:val="right"/>
              <w:textAlignment w:val="bottom"/>
            </w:pPr>
            <w:r>
              <w:rPr>
                <w:rFonts w:ascii="Times New Roman" w:eastAsia="宋体" w:hAnsi="Times New Roman"/>
                <w:color w:val="000000"/>
                <w:sz w:val="20"/>
                <w:szCs w:val="20"/>
              </w:rPr>
              <w:t>1,195 </w:t>
            </w:r>
          </w:p>
        </w:tc>
        <w:tc>
          <w:tcPr>
            <w:tcW w:w="0" w:type="auto"/>
            <w:shd w:val="clear" w:color="auto" w:fill="auto"/>
            <w:tcMar>
              <w:top w:w="40" w:type="dxa"/>
              <w:left w:w="0" w:type="dxa"/>
              <w:bottom w:w="40" w:type="dxa"/>
              <w:right w:w="20" w:type="dxa"/>
            </w:tcMar>
            <w:vAlign w:val="bottom"/>
          </w:tcPr>
          <w:p w14:paraId="518B7F98" w14:textId="77777777" w:rsidR="005C332D" w:rsidRDefault="005C332D">
            <w:pPr>
              <w:jc w:val="right"/>
              <w:rPr>
                <w:rFonts w:ascii="宋体"/>
              </w:rPr>
            </w:pPr>
          </w:p>
        </w:tc>
      </w:tr>
      <w:tr w:rsidR="005C332D" w14:paraId="518B7FA0" w14:textId="77777777">
        <w:tc>
          <w:tcPr>
            <w:tcW w:w="0" w:type="auto"/>
            <w:gridSpan w:val="3"/>
            <w:shd w:val="clear" w:color="auto" w:fill="CCEEFF"/>
            <w:tcMar>
              <w:top w:w="40" w:type="dxa"/>
              <w:left w:w="20" w:type="dxa"/>
              <w:bottom w:w="40" w:type="dxa"/>
              <w:right w:w="20" w:type="dxa"/>
            </w:tcMar>
          </w:tcPr>
          <w:p w14:paraId="518B7F9A" w14:textId="77777777" w:rsidR="005C332D" w:rsidRDefault="00B93EAE">
            <w:pPr>
              <w:textAlignment w:val="top"/>
            </w:pPr>
            <w:r>
              <w:rPr>
                <w:rFonts w:ascii="Times New Roman" w:eastAsia="宋体" w:hAnsi="Times New Roman"/>
                <w:color w:val="000000"/>
                <w:sz w:val="20"/>
                <w:szCs w:val="20"/>
              </w:rPr>
              <w:t>Depreciation</w:t>
            </w:r>
          </w:p>
        </w:tc>
        <w:tc>
          <w:tcPr>
            <w:tcW w:w="0" w:type="auto"/>
            <w:gridSpan w:val="2"/>
            <w:shd w:val="clear" w:color="auto" w:fill="CCEEFF"/>
            <w:tcMar>
              <w:top w:w="40" w:type="dxa"/>
              <w:left w:w="20" w:type="dxa"/>
              <w:bottom w:w="40" w:type="dxa"/>
              <w:right w:w="0" w:type="dxa"/>
            </w:tcMar>
            <w:vAlign w:val="bottom"/>
          </w:tcPr>
          <w:p w14:paraId="518B7F9B" w14:textId="77777777" w:rsidR="005C332D" w:rsidRDefault="00B93EAE">
            <w:pPr>
              <w:jc w:val="right"/>
              <w:textAlignment w:val="bottom"/>
            </w:pPr>
            <w:r>
              <w:rPr>
                <w:rFonts w:ascii="Times New Roman" w:eastAsia="宋体" w:hAnsi="Times New Roman"/>
                <w:b/>
                <w:bCs/>
                <w:color w:val="000000"/>
                <w:sz w:val="20"/>
                <w:szCs w:val="20"/>
              </w:rPr>
              <w:t>10</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F9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9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F9E"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F9F" w14:textId="77777777" w:rsidR="005C332D" w:rsidRDefault="005C332D">
            <w:pPr>
              <w:jc w:val="right"/>
              <w:rPr>
                <w:rFonts w:ascii="宋体"/>
              </w:rPr>
            </w:pPr>
          </w:p>
        </w:tc>
      </w:tr>
      <w:tr w:rsidR="005C332D" w14:paraId="518B7FA7" w14:textId="77777777">
        <w:tc>
          <w:tcPr>
            <w:tcW w:w="0" w:type="auto"/>
            <w:gridSpan w:val="3"/>
            <w:shd w:val="clear" w:color="auto" w:fill="FFFFFF"/>
            <w:tcMar>
              <w:top w:w="40" w:type="dxa"/>
              <w:left w:w="20" w:type="dxa"/>
              <w:bottom w:w="40" w:type="dxa"/>
              <w:right w:w="20" w:type="dxa"/>
            </w:tcMar>
          </w:tcPr>
          <w:p w14:paraId="518B7FA1" w14:textId="77777777" w:rsidR="005C332D" w:rsidRDefault="00B93EAE">
            <w:pPr>
              <w:textAlignment w:val="top"/>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518B7FA2" w14:textId="77777777" w:rsidR="005C332D" w:rsidRDefault="00B93EAE">
            <w:pPr>
              <w:jc w:val="right"/>
              <w:textAlignment w:val="bottom"/>
            </w:pPr>
            <w:r>
              <w:rPr>
                <w:rFonts w:ascii="Times New Roman" w:eastAsia="宋体" w:hAnsi="Times New Roman"/>
                <w:b/>
                <w:bCs/>
                <w:color w:val="000000"/>
                <w:sz w:val="20"/>
                <w:szCs w:val="20"/>
              </w:rPr>
              <w:t>1,744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FA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FA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FA5" w14:textId="77777777" w:rsidR="005C332D" w:rsidRDefault="00B93EAE">
            <w:pPr>
              <w:jc w:val="right"/>
              <w:textAlignment w:val="bottom"/>
            </w:pPr>
            <w:r>
              <w:rPr>
                <w:rFonts w:ascii="Times New Roman" w:eastAsia="宋体" w:hAnsi="Times New Roman"/>
                <w:color w:val="000000"/>
                <w:sz w:val="20"/>
                <w:szCs w:val="20"/>
              </w:rPr>
              <w:t>1,526 </w:t>
            </w:r>
          </w:p>
        </w:tc>
        <w:tc>
          <w:tcPr>
            <w:tcW w:w="0" w:type="auto"/>
            <w:shd w:val="clear" w:color="auto" w:fill="FFFFFF"/>
            <w:tcMar>
              <w:top w:w="40" w:type="dxa"/>
              <w:left w:w="0" w:type="dxa"/>
              <w:bottom w:w="40" w:type="dxa"/>
              <w:right w:w="20" w:type="dxa"/>
            </w:tcMar>
            <w:vAlign w:val="bottom"/>
          </w:tcPr>
          <w:p w14:paraId="518B7FA6" w14:textId="77777777" w:rsidR="005C332D" w:rsidRDefault="005C332D">
            <w:pPr>
              <w:jc w:val="right"/>
              <w:rPr>
                <w:rFonts w:ascii="宋体"/>
              </w:rPr>
            </w:pPr>
          </w:p>
        </w:tc>
      </w:tr>
      <w:tr w:rsidR="005C332D" w14:paraId="518B7FAE" w14:textId="77777777">
        <w:tc>
          <w:tcPr>
            <w:tcW w:w="0" w:type="auto"/>
            <w:gridSpan w:val="3"/>
            <w:shd w:val="clear" w:color="auto" w:fill="CCEEFF"/>
            <w:tcMar>
              <w:top w:w="40" w:type="dxa"/>
              <w:left w:w="20" w:type="dxa"/>
              <w:bottom w:w="40" w:type="dxa"/>
              <w:right w:w="20" w:type="dxa"/>
            </w:tcMar>
          </w:tcPr>
          <w:p w14:paraId="518B7FA8" w14:textId="77777777" w:rsidR="005C332D" w:rsidRDefault="00B93EAE">
            <w:pPr>
              <w:textAlignment w:val="top"/>
            </w:pPr>
            <w:r>
              <w:rPr>
                <w:rFonts w:ascii="Times New Roman" w:eastAsia="宋体" w:hAnsi="Times New Roman"/>
                <w:color w:val="000000"/>
                <w:sz w:val="20"/>
                <w:szCs w:val="20"/>
              </w:rPr>
              <w:t>Credits and net operating loss carryforwards</w:t>
            </w:r>
          </w:p>
        </w:tc>
        <w:tc>
          <w:tcPr>
            <w:tcW w:w="0" w:type="auto"/>
            <w:gridSpan w:val="2"/>
            <w:shd w:val="clear" w:color="auto" w:fill="CCEEFF"/>
            <w:tcMar>
              <w:top w:w="40" w:type="dxa"/>
              <w:left w:w="20" w:type="dxa"/>
              <w:bottom w:w="40" w:type="dxa"/>
              <w:right w:w="0" w:type="dxa"/>
            </w:tcMar>
            <w:vAlign w:val="bottom"/>
          </w:tcPr>
          <w:p w14:paraId="518B7FA9" w14:textId="77777777" w:rsidR="005C332D" w:rsidRDefault="00B93EAE">
            <w:pPr>
              <w:jc w:val="right"/>
              <w:textAlignment w:val="bottom"/>
            </w:pPr>
            <w:r>
              <w:rPr>
                <w:rFonts w:ascii="Times New Roman" w:eastAsia="宋体" w:hAnsi="Times New Roman"/>
                <w:b/>
                <w:bCs/>
                <w:color w:val="000000"/>
                <w:sz w:val="20"/>
                <w:szCs w:val="20"/>
              </w:rPr>
              <w:t>1,336</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FA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A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FAC" w14:textId="77777777" w:rsidR="005C332D" w:rsidRDefault="00B93EAE">
            <w:pPr>
              <w:jc w:val="right"/>
              <w:textAlignment w:val="bottom"/>
            </w:pPr>
            <w:r>
              <w:rPr>
                <w:rFonts w:ascii="Times New Roman" w:eastAsia="宋体" w:hAnsi="Times New Roman"/>
                <w:color w:val="000000"/>
                <w:sz w:val="20"/>
                <w:szCs w:val="20"/>
              </w:rPr>
              <w:t>1,264 </w:t>
            </w:r>
          </w:p>
        </w:tc>
        <w:tc>
          <w:tcPr>
            <w:tcW w:w="0" w:type="auto"/>
            <w:shd w:val="clear" w:color="auto" w:fill="CCEEFF"/>
            <w:tcMar>
              <w:top w:w="40" w:type="dxa"/>
              <w:left w:w="0" w:type="dxa"/>
              <w:bottom w:w="40" w:type="dxa"/>
              <w:right w:w="20" w:type="dxa"/>
            </w:tcMar>
            <w:vAlign w:val="bottom"/>
          </w:tcPr>
          <w:p w14:paraId="518B7FAD" w14:textId="77777777" w:rsidR="005C332D" w:rsidRDefault="005C332D">
            <w:pPr>
              <w:jc w:val="right"/>
              <w:rPr>
                <w:rFonts w:ascii="宋体"/>
              </w:rPr>
            </w:pPr>
          </w:p>
        </w:tc>
      </w:tr>
      <w:tr w:rsidR="005C332D" w14:paraId="518B7FB5" w14:textId="77777777">
        <w:tc>
          <w:tcPr>
            <w:tcW w:w="0" w:type="auto"/>
            <w:gridSpan w:val="3"/>
            <w:shd w:val="clear" w:color="auto" w:fill="FFFFFF"/>
            <w:tcMar>
              <w:top w:w="40" w:type="dxa"/>
              <w:left w:w="20" w:type="dxa"/>
              <w:bottom w:w="40" w:type="dxa"/>
              <w:right w:w="20" w:type="dxa"/>
            </w:tcMar>
          </w:tcPr>
          <w:p w14:paraId="518B7FAF" w14:textId="77777777" w:rsidR="005C332D" w:rsidRDefault="00B93EAE">
            <w:pPr>
              <w:textAlignment w:val="top"/>
            </w:pPr>
            <w:r>
              <w:rPr>
                <w:rFonts w:ascii="Times New Roman" w:eastAsia="宋体" w:hAnsi="Times New Roman"/>
                <w:color w:val="000000"/>
                <w:sz w:val="20"/>
                <w:szCs w:val="20"/>
              </w:rPr>
              <w:t>Share-based compensation expense</w:t>
            </w:r>
          </w:p>
        </w:tc>
        <w:tc>
          <w:tcPr>
            <w:tcW w:w="0" w:type="auto"/>
            <w:gridSpan w:val="2"/>
            <w:shd w:val="clear" w:color="auto" w:fill="FFFFFF"/>
            <w:tcMar>
              <w:top w:w="40" w:type="dxa"/>
              <w:left w:w="20" w:type="dxa"/>
              <w:bottom w:w="40" w:type="dxa"/>
              <w:right w:w="0" w:type="dxa"/>
            </w:tcMar>
            <w:vAlign w:val="bottom"/>
          </w:tcPr>
          <w:p w14:paraId="518B7FB0" w14:textId="77777777" w:rsidR="005C332D" w:rsidRDefault="00B93EAE">
            <w:pPr>
              <w:jc w:val="right"/>
              <w:textAlignment w:val="bottom"/>
            </w:pPr>
            <w:r>
              <w:rPr>
                <w:rFonts w:ascii="Times New Roman" w:eastAsia="宋体" w:hAnsi="Times New Roman"/>
                <w:b/>
                <w:bCs/>
                <w:color w:val="000000"/>
                <w:sz w:val="20"/>
                <w:szCs w:val="20"/>
              </w:rPr>
              <w:t>138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FB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FB2"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FB3" w14:textId="77777777" w:rsidR="005C332D" w:rsidRDefault="00B93EAE">
            <w:pPr>
              <w:jc w:val="right"/>
              <w:textAlignment w:val="bottom"/>
            </w:pPr>
            <w:r>
              <w:rPr>
                <w:rFonts w:ascii="Times New Roman" w:eastAsia="宋体" w:hAnsi="Times New Roman"/>
                <w:color w:val="000000"/>
                <w:sz w:val="20"/>
                <w:szCs w:val="20"/>
              </w:rPr>
              <w:t>123 </w:t>
            </w:r>
          </w:p>
        </w:tc>
        <w:tc>
          <w:tcPr>
            <w:tcW w:w="0" w:type="auto"/>
            <w:shd w:val="clear" w:color="auto" w:fill="FFFFFF"/>
            <w:tcMar>
              <w:top w:w="40" w:type="dxa"/>
              <w:left w:w="0" w:type="dxa"/>
              <w:bottom w:w="40" w:type="dxa"/>
              <w:right w:w="20" w:type="dxa"/>
            </w:tcMar>
            <w:vAlign w:val="bottom"/>
          </w:tcPr>
          <w:p w14:paraId="518B7FB4" w14:textId="77777777" w:rsidR="005C332D" w:rsidRDefault="005C332D">
            <w:pPr>
              <w:jc w:val="right"/>
              <w:rPr>
                <w:rFonts w:ascii="宋体"/>
              </w:rPr>
            </w:pPr>
          </w:p>
        </w:tc>
      </w:tr>
      <w:tr w:rsidR="005C332D" w14:paraId="518B7FBC" w14:textId="77777777">
        <w:tc>
          <w:tcPr>
            <w:tcW w:w="0" w:type="auto"/>
            <w:gridSpan w:val="3"/>
            <w:shd w:val="clear" w:color="auto" w:fill="CCEEFF"/>
            <w:tcMar>
              <w:top w:w="40" w:type="dxa"/>
              <w:left w:w="20" w:type="dxa"/>
              <w:bottom w:w="40" w:type="dxa"/>
              <w:right w:w="20" w:type="dxa"/>
            </w:tcMar>
          </w:tcPr>
          <w:p w14:paraId="518B7FB6" w14:textId="77777777" w:rsidR="005C332D" w:rsidRDefault="00B93EAE">
            <w:pPr>
              <w:textAlignment w:val="top"/>
            </w:pPr>
            <w:r>
              <w:rPr>
                <w:rFonts w:ascii="Times New Roman" w:eastAsia="宋体" w:hAnsi="Times New Roman"/>
                <w:color w:val="000000"/>
                <w:sz w:val="20"/>
                <w:szCs w:val="20"/>
              </w:rPr>
              <w:t>Accrued compensation</w:t>
            </w:r>
          </w:p>
        </w:tc>
        <w:tc>
          <w:tcPr>
            <w:tcW w:w="0" w:type="auto"/>
            <w:gridSpan w:val="2"/>
            <w:shd w:val="clear" w:color="auto" w:fill="CCEEFF"/>
            <w:tcMar>
              <w:top w:w="40" w:type="dxa"/>
              <w:left w:w="20" w:type="dxa"/>
              <w:bottom w:w="40" w:type="dxa"/>
              <w:right w:w="0" w:type="dxa"/>
            </w:tcMar>
            <w:vAlign w:val="bottom"/>
          </w:tcPr>
          <w:p w14:paraId="518B7FB7" w14:textId="77777777" w:rsidR="005C332D" w:rsidRDefault="00B93EAE">
            <w:pPr>
              <w:jc w:val="right"/>
              <w:textAlignment w:val="bottom"/>
            </w:pPr>
            <w:r>
              <w:rPr>
                <w:rFonts w:ascii="Times New Roman" w:eastAsia="宋体" w:hAnsi="Times New Roman"/>
                <w:b/>
                <w:bCs/>
                <w:color w:val="000000"/>
                <w:sz w:val="20"/>
                <w:szCs w:val="20"/>
              </w:rPr>
              <w:t>333</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FB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B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FBA" w14:textId="77777777" w:rsidR="005C332D" w:rsidRDefault="00B93EAE">
            <w:pPr>
              <w:jc w:val="right"/>
              <w:textAlignment w:val="bottom"/>
            </w:pPr>
            <w:r>
              <w:rPr>
                <w:rFonts w:ascii="Times New Roman" w:eastAsia="宋体" w:hAnsi="Times New Roman"/>
                <w:color w:val="000000"/>
                <w:sz w:val="20"/>
                <w:szCs w:val="20"/>
              </w:rPr>
              <w:t>333 </w:t>
            </w:r>
          </w:p>
        </w:tc>
        <w:tc>
          <w:tcPr>
            <w:tcW w:w="0" w:type="auto"/>
            <w:shd w:val="clear" w:color="auto" w:fill="CCEEFF"/>
            <w:tcMar>
              <w:top w:w="40" w:type="dxa"/>
              <w:left w:w="0" w:type="dxa"/>
              <w:bottom w:w="40" w:type="dxa"/>
              <w:right w:w="20" w:type="dxa"/>
            </w:tcMar>
            <w:vAlign w:val="bottom"/>
          </w:tcPr>
          <w:p w14:paraId="518B7FBB" w14:textId="77777777" w:rsidR="005C332D" w:rsidRDefault="005C332D">
            <w:pPr>
              <w:jc w:val="right"/>
              <w:rPr>
                <w:rFonts w:ascii="宋体"/>
              </w:rPr>
            </w:pPr>
          </w:p>
        </w:tc>
      </w:tr>
      <w:tr w:rsidR="005C332D" w14:paraId="518B7FC3" w14:textId="77777777">
        <w:tc>
          <w:tcPr>
            <w:tcW w:w="0" w:type="auto"/>
            <w:gridSpan w:val="3"/>
            <w:shd w:val="clear" w:color="auto" w:fill="FFFFFF"/>
            <w:tcMar>
              <w:top w:w="40" w:type="dxa"/>
              <w:left w:w="20" w:type="dxa"/>
              <w:bottom w:w="40" w:type="dxa"/>
              <w:right w:w="20" w:type="dxa"/>
            </w:tcMar>
          </w:tcPr>
          <w:p w14:paraId="518B7FBD" w14:textId="77777777" w:rsidR="005C332D" w:rsidRDefault="00B93EAE">
            <w:pPr>
              <w:textAlignment w:val="top"/>
            </w:pPr>
            <w:r>
              <w:rPr>
                <w:rFonts w:ascii="Times New Roman" w:eastAsia="宋体" w:hAnsi="Times New Roman"/>
                <w:color w:val="000000"/>
                <w:sz w:val="20"/>
                <w:szCs w:val="20"/>
              </w:rPr>
              <w:t>Lease liabilities</w:t>
            </w:r>
          </w:p>
        </w:tc>
        <w:tc>
          <w:tcPr>
            <w:tcW w:w="0" w:type="auto"/>
            <w:gridSpan w:val="2"/>
            <w:shd w:val="clear" w:color="auto" w:fill="FFFFFF"/>
            <w:tcMar>
              <w:top w:w="40" w:type="dxa"/>
              <w:left w:w="20" w:type="dxa"/>
              <w:bottom w:w="40" w:type="dxa"/>
              <w:right w:w="0" w:type="dxa"/>
            </w:tcMar>
            <w:vAlign w:val="bottom"/>
          </w:tcPr>
          <w:p w14:paraId="518B7FBE" w14:textId="77777777" w:rsidR="005C332D" w:rsidRDefault="00B93EAE">
            <w:pPr>
              <w:jc w:val="right"/>
              <w:textAlignment w:val="bottom"/>
            </w:pPr>
            <w:r>
              <w:rPr>
                <w:rFonts w:ascii="Times New Roman" w:eastAsia="宋体" w:hAnsi="Times New Roman"/>
                <w:b/>
                <w:bCs/>
                <w:color w:val="000000"/>
                <w:sz w:val="20"/>
                <w:szCs w:val="20"/>
              </w:rPr>
              <w:t>248</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FB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FC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FC1" w14:textId="77777777" w:rsidR="005C332D" w:rsidRDefault="00B93EAE">
            <w:pPr>
              <w:jc w:val="right"/>
              <w:textAlignment w:val="bottom"/>
            </w:pPr>
            <w:r>
              <w:rPr>
                <w:rFonts w:ascii="Times New Roman" w:eastAsia="宋体" w:hAnsi="Times New Roman"/>
                <w:color w:val="000000"/>
                <w:sz w:val="20"/>
                <w:szCs w:val="20"/>
              </w:rPr>
              <w:t>277 </w:t>
            </w:r>
          </w:p>
        </w:tc>
        <w:tc>
          <w:tcPr>
            <w:tcW w:w="0" w:type="auto"/>
            <w:shd w:val="clear" w:color="auto" w:fill="FFFFFF"/>
            <w:tcMar>
              <w:top w:w="40" w:type="dxa"/>
              <w:left w:w="0" w:type="dxa"/>
              <w:bottom w:w="40" w:type="dxa"/>
              <w:right w:w="20" w:type="dxa"/>
            </w:tcMar>
            <w:vAlign w:val="bottom"/>
          </w:tcPr>
          <w:p w14:paraId="518B7FC2" w14:textId="77777777" w:rsidR="005C332D" w:rsidRDefault="005C332D">
            <w:pPr>
              <w:jc w:val="right"/>
              <w:rPr>
                <w:rFonts w:ascii="宋体"/>
              </w:rPr>
            </w:pPr>
          </w:p>
        </w:tc>
      </w:tr>
      <w:tr w:rsidR="005C332D" w14:paraId="518B7FCA" w14:textId="77777777">
        <w:tc>
          <w:tcPr>
            <w:tcW w:w="0" w:type="auto"/>
            <w:gridSpan w:val="3"/>
            <w:shd w:val="clear" w:color="auto" w:fill="CCEEFF"/>
            <w:tcMar>
              <w:top w:w="40" w:type="dxa"/>
              <w:left w:w="20" w:type="dxa"/>
              <w:bottom w:w="40" w:type="dxa"/>
              <w:right w:w="20" w:type="dxa"/>
            </w:tcMar>
          </w:tcPr>
          <w:p w14:paraId="518B7FC4" w14:textId="77777777" w:rsidR="005C332D" w:rsidRDefault="00B93EAE">
            <w:pPr>
              <w:textAlignment w:val="top"/>
            </w:pPr>
            <w:r>
              <w:rPr>
                <w:rFonts w:ascii="Times New Roman" w:eastAsia="宋体" w:hAnsi="Times New Roman"/>
                <w:color w:val="000000"/>
                <w:sz w:val="20"/>
                <w:szCs w:val="20"/>
              </w:rPr>
              <w:t xml:space="preserve">Capitalized research </w:t>
            </w:r>
            <w:r>
              <w:rPr>
                <w:rFonts w:ascii="Times New Roman" w:eastAsia="宋体" w:hAnsi="Times New Roman"/>
                <w:color w:val="000000"/>
                <w:sz w:val="20"/>
                <w:szCs w:val="20"/>
              </w:rPr>
              <w:t>expenditures</w:t>
            </w:r>
          </w:p>
        </w:tc>
        <w:tc>
          <w:tcPr>
            <w:tcW w:w="0" w:type="auto"/>
            <w:gridSpan w:val="2"/>
            <w:shd w:val="clear" w:color="auto" w:fill="CCEEFF"/>
            <w:tcMar>
              <w:top w:w="40" w:type="dxa"/>
              <w:left w:w="20" w:type="dxa"/>
              <w:bottom w:w="40" w:type="dxa"/>
              <w:right w:w="0" w:type="dxa"/>
            </w:tcMar>
            <w:vAlign w:val="bottom"/>
          </w:tcPr>
          <w:p w14:paraId="518B7FC5" w14:textId="77777777" w:rsidR="005C332D" w:rsidRDefault="00B93EAE">
            <w:pPr>
              <w:jc w:val="right"/>
              <w:textAlignment w:val="bottom"/>
            </w:pPr>
            <w:r>
              <w:rPr>
                <w:rFonts w:ascii="Times New Roman" w:eastAsia="宋体" w:hAnsi="Times New Roman"/>
                <w:b/>
                <w:bCs/>
                <w:color w:val="000000"/>
                <w:sz w:val="20"/>
                <w:szCs w:val="20"/>
              </w:rPr>
              <w:t>149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7FC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C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FC8" w14:textId="77777777" w:rsidR="005C332D" w:rsidRDefault="00B93EAE">
            <w:pPr>
              <w:jc w:val="right"/>
              <w:textAlignment w:val="bottom"/>
            </w:pPr>
            <w:r>
              <w:rPr>
                <w:rFonts w:ascii="Times New Roman" w:eastAsia="宋体" w:hAnsi="Times New Roman"/>
                <w:color w:val="000000"/>
                <w:sz w:val="20"/>
                <w:szCs w:val="20"/>
              </w:rPr>
              <w:t>303 </w:t>
            </w:r>
          </w:p>
        </w:tc>
        <w:tc>
          <w:tcPr>
            <w:tcW w:w="0" w:type="auto"/>
            <w:shd w:val="clear" w:color="auto" w:fill="CCEEFF"/>
            <w:tcMar>
              <w:top w:w="40" w:type="dxa"/>
              <w:left w:w="0" w:type="dxa"/>
              <w:bottom w:w="40" w:type="dxa"/>
              <w:right w:w="20" w:type="dxa"/>
            </w:tcMar>
            <w:vAlign w:val="bottom"/>
          </w:tcPr>
          <w:p w14:paraId="518B7FC9" w14:textId="77777777" w:rsidR="005C332D" w:rsidRDefault="005C332D">
            <w:pPr>
              <w:jc w:val="right"/>
              <w:rPr>
                <w:rFonts w:ascii="宋体"/>
              </w:rPr>
            </w:pPr>
          </w:p>
        </w:tc>
      </w:tr>
      <w:tr w:rsidR="005C332D" w14:paraId="518B7FD1" w14:textId="77777777">
        <w:tc>
          <w:tcPr>
            <w:tcW w:w="0" w:type="auto"/>
            <w:gridSpan w:val="3"/>
            <w:shd w:val="clear" w:color="auto" w:fill="FFFFFF"/>
            <w:tcMar>
              <w:top w:w="40" w:type="dxa"/>
              <w:left w:w="20" w:type="dxa"/>
              <w:bottom w:w="40" w:type="dxa"/>
              <w:right w:w="20" w:type="dxa"/>
            </w:tcMar>
          </w:tcPr>
          <w:p w14:paraId="518B7FCB" w14:textId="77777777" w:rsidR="005C332D" w:rsidRDefault="00B93EAE">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518B7FCC" w14:textId="77777777" w:rsidR="005C332D" w:rsidRDefault="00B93EAE">
            <w:pPr>
              <w:jc w:val="right"/>
              <w:textAlignment w:val="bottom"/>
            </w:pPr>
            <w:r>
              <w:rPr>
                <w:rFonts w:ascii="Times New Roman" w:eastAsia="宋体" w:hAnsi="Times New Roman"/>
                <w:b/>
                <w:bCs/>
                <w:color w:val="000000"/>
                <w:sz w:val="20"/>
                <w:szCs w:val="20"/>
              </w:rPr>
              <w:t>439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FC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FC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FCF" w14:textId="77777777" w:rsidR="005C332D" w:rsidRDefault="00B93EAE">
            <w:pPr>
              <w:jc w:val="right"/>
              <w:textAlignment w:val="bottom"/>
            </w:pPr>
            <w:r>
              <w:rPr>
                <w:rFonts w:ascii="Times New Roman" w:eastAsia="宋体" w:hAnsi="Times New Roman"/>
                <w:color w:val="000000"/>
                <w:sz w:val="20"/>
                <w:szCs w:val="20"/>
              </w:rPr>
              <w:t>454 </w:t>
            </w:r>
          </w:p>
        </w:tc>
        <w:tc>
          <w:tcPr>
            <w:tcW w:w="0" w:type="auto"/>
            <w:shd w:val="clear" w:color="auto" w:fill="FFFFFF"/>
            <w:tcMar>
              <w:top w:w="40" w:type="dxa"/>
              <w:left w:w="0" w:type="dxa"/>
              <w:bottom w:w="40" w:type="dxa"/>
              <w:right w:w="20" w:type="dxa"/>
            </w:tcMar>
            <w:vAlign w:val="bottom"/>
          </w:tcPr>
          <w:p w14:paraId="518B7FD0" w14:textId="77777777" w:rsidR="005C332D" w:rsidRDefault="005C332D">
            <w:pPr>
              <w:jc w:val="right"/>
              <w:rPr>
                <w:rFonts w:ascii="宋体"/>
              </w:rPr>
            </w:pPr>
          </w:p>
        </w:tc>
      </w:tr>
      <w:tr w:rsidR="005C332D" w14:paraId="518B7FD8" w14:textId="77777777">
        <w:tc>
          <w:tcPr>
            <w:tcW w:w="0" w:type="auto"/>
            <w:gridSpan w:val="3"/>
            <w:shd w:val="clear" w:color="auto" w:fill="CCEEFF"/>
            <w:tcMar>
              <w:top w:w="40" w:type="dxa"/>
              <w:left w:w="380" w:type="dxa"/>
              <w:bottom w:w="40" w:type="dxa"/>
              <w:right w:w="20" w:type="dxa"/>
            </w:tcMar>
          </w:tcPr>
          <w:p w14:paraId="518B7FD2" w14:textId="77777777" w:rsidR="005C332D" w:rsidRDefault="00B93EAE">
            <w:pPr>
              <w:textAlignment w:val="top"/>
            </w:pPr>
            <w:r>
              <w:rPr>
                <w:rFonts w:ascii="Times New Roman" w:eastAsia="宋体" w:hAnsi="Times New Roman"/>
                <w:color w:val="000000"/>
                <w:sz w:val="20"/>
                <w:szCs w:val="20"/>
              </w:rPr>
              <w:t>Gross deferred tax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FD3" w14:textId="77777777" w:rsidR="005C332D" w:rsidRDefault="00B93EAE">
            <w:pPr>
              <w:jc w:val="right"/>
              <w:textAlignment w:val="bottom"/>
            </w:pPr>
            <w:r>
              <w:rPr>
                <w:rFonts w:ascii="Times New Roman" w:eastAsia="宋体" w:hAnsi="Times New Roman"/>
                <w:b/>
                <w:bCs/>
                <w:color w:val="000000"/>
                <w:sz w:val="20"/>
                <w:szCs w:val="20"/>
              </w:rPr>
              <w:t>6,340</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FD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D5"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FD6" w14:textId="77777777" w:rsidR="005C332D" w:rsidRDefault="00B93EAE">
            <w:pPr>
              <w:jc w:val="right"/>
              <w:textAlignment w:val="bottom"/>
            </w:pPr>
            <w:r>
              <w:rPr>
                <w:rFonts w:ascii="Times New Roman" w:eastAsia="宋体" w:hAnsi="Times New Roman"/>
                <w:color w:val="000000"/>
                <w:sz w:val="20"/>
                <w:szCs w:val="20"/>
              </w:rPr>
              <w:t>6,138 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FD7" w14:textId="77777777" w:rsidR="005C332D" w:rsidRDefault="005C332D">
            <w:pPr>
              <w:jc w:val="right"/>
              <w:rPr>
                <w:rFonts w:ascii="宋体"/>
              </w:rPr>
            </w:pPr>
          </w:p>
        </w:tc>
      </w:tr>
      <w:tr w:rsidR="005C332D" w14:paraId="518B7FDF" w14:textId="77777777">
        <w:tc>
          <w:tcPr>
            <w:tcW w:w="0" w:type="auto"/>
            <w:gridSpan w:val="3"/>
            <w:shd w:val="clear" w:color="auto" w:fill="FFFFFF"/>
            <w:tcMar>
              <w:top w:w="40" w:type="dxa"/>
              <w:left w:w="380" w:type="dxa"/>
              <w:bottom w:w="40" w:type="dxa"/>
              <w:right w:w="20" w:type="dxa"/>
            </w:tcMar>
          </w:tcPr>
          <w:p w14:paraId="518B7FD9" w14:textId="77777777" w:rsidR="005C332D" w:rsidRDefault="00B93EAE">
            <w:pPr>
              <w:textAlignment w:val="top"/>
            </w:pPr>
            <w:r>
              <w:rPr>
                <w:rFonts w:ascii="Times New Roman" w:eastAsia="宋体" w:hAnsi="Times New Roman"/>
                <w:color w:val="000000"/>
                <w:sz w:val="20"/>
                <w:szCs w:val="20"/>
              </w:rPr>
              <w:t>Valuation allowance</w:t>
            </w:r>
          </w:p>
        </w:tc>
        <w:tc>
          <w:tcPr>
            <w:tcW w:w="0" w:type="auto"/>
            <w:gridSpan w:val="2"/>
            <w:shd w:val="clear" w:color="auto" w:fill="FFFFFF"/>
            <w:tcMar>
              <w:top w:w="40" w:type="dxa"/>
              <w:left w:w="20" w:type="dxa"/>
              <w:bottom w:w="40" w:type="dxa"/>
              <w:right w:w="0" w:type="dxa"/>
            </w:tcMar>
            <w:vAlign w:val="bottom"/>
          </w:tcPr>
          <w:p w14:paraId="518B7FDA" w14:textId="77777777" w:rsidR="005C332D" w:rsidRDefault="00B93EAE">
            <w:pPr>
              <w:jc w:val="right"/>
              <w:textAlignment w:val="bottom"/>
            </w:pPr>
            <w:r>
              <w:rPr>
                <w:rFonts w:ascii="Times New Roman" w:eastAsia="宋体" w:hAnsi="Times New Roman"/>
                <w:b/>
                <w:bCs/>
                <w:color w:val="000000"/>
                <w:sz w:val="20"/>
                <w:szCs w:val="20"/>
              </w:rPr>
              <w:t>(834)</w:t>
            </w:r>
          </w:p>
        </w:tc>
        <w:tc>
          <w:tcPr>
            <w:tcW w:w="0" w:type="auto"/>
            <w:shd w:val="clear" w:color="auto" w:fill="FFFFFF"/>
            <w:tcMar>
              <w:top w:w="40" w:type="dxa"/>
              <w:left w:w="0" w:type="dxa"/>
              <w:bottom w:w="40" w:type="dxa"/>
              <w:right w:w="20" w:type="dxa"/>
            </w:tcMar>
            <w:vAlign w:val="bottom"/>
          </w:tcPr>
          <w:p w14:paraId="518B7FD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FD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FDD" w14:textId="77777777" w:rsidR="005C332D" w:rsidRDefault="00B93EAE">
            <w:pPr>
              <w:jc w:val="right"/>
              <w:textAlignment w:val="bottom"/>
            </w:pPr>
            <w:r>
              <w:rPr>
                <w:rFonts w:ascii="Times New Roman" w:eastAsia="宋体" w:hAnsi="Times New Roman"/>
                <w:color w:val="000000"/>
                <w:sz w:val="20"/>
                <w:szCs w:val="20"/>
              </w:rPr>
              <w:t>(771)</w:t>
            </w:r>
          </w:p>
        </w:tc>
        <w:tc>
          <w:tcPr>
            <w:tcW w:w="0" w:type="auto"/>
            <w:shd w:val="clear" w:color="auto" w:fill="FFFFFF"/>
            <w:tcMar>
              <w:top w:w="40" w:type="dxa"/>
              <w:left w:w="0" w:type="dxa"/>
              <w:bottom w:w="40" w:type="dxa"/>
              <w:right w:w="20" w:type="dxa"/>
            </w:tcMar>
            <w:vAlign w:val="bottom"/>
          </w:tcPr>
          <w:p w14:paraId="518B7FDE" w14:textId="77777777" w:rsidR="005C332D" w:rsidRDefault="005C332D">
            <w:pPr>
              <w:jc w:val="right"/>
              <w:rPr>
                <w:rFonts w:ascii="宋体"/>
              </w:rPr>
            </w:pPr>
          </w:p>
        </w:tc>
      </w:tr>
      <w:tr w:rsidR="005C332D" w14:paraId="518B7FE6" w14:textId="77777777">
        <w:tc>
          <w:tcPr>
            <w:tcW w:w="0" w:type="auto"/>
            <w:gridSpan w:val="3"/>
            <w:shd w:val="clear" w:color="auto" w:fill="CCEEFF"/>
            <w:tcMar>
              <w:top w:w="40" w:type="dxa"/>
              <w:left w:w="380" w:type="dxa"/>
              <w:bottom w:w="40" w:type="dxa"/>
              <w:right w:w="20" w:type="dxa"/>
            </w:tcMar>
          </w:tcPr>
          <w:p w14:paraId="518B7FE0" w14:textId="77777777" w:rsidR="005C332D" w:rsidRDefault="00B93EAE">
            <w:pPr>
              <w:textAlignment w:val="top"/>
            </w:pPr>
            <w:r>
              <w:rPr>
                <w:rFonts w:ascii="Times New Roman" w:eastAsia="宋体" w:hAnsi="Times New Roman"/>
                <w:color w:val="000000"/>
                <w:sz w:val="20"/>
                <w:szCs w:val="20"/>
              </w:rPr>
              <w:t>Total deferred tax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FE1" w14:textId="77777777" w:rsidR="005C332D" w:rsidRDefault="00B93EAE">
            <w:pPr>
              <w:jc w:val="right"/>
              <w:textAlignment w:val="bottom"/>
            </w:pPr>
            <w:r>
              <w:rPr>
                <w:rFonts w:ascii="Times New Roman" w:eastAsia="宋体" w:hAnsi="Times New Roman"/>
                <w:b/>
                <w:bCs/>
                <w:color w:val="000000"/>
                <w:sz w:val="20"/>
                <w:szCs w:val="20"/>
              </w:rPr>
              <w:t>5,506</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FE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E3"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7FE4" w14:textId="77777777" w:rsidR="005C332D" w:rsidRDefault="00B93EAE">
            <w:pPr>
              <w:jc w:val="right"/>
              <w:textAlignment w:val="bottom"/>
            </w:pPr>
            <w:r>
              <w:rPr>
                <w:rFonts w:ascii="Times New Roman" w:eastAsia="宋体" w:hAnsi="Times New Roman"/>
                <w:color w:val="000000"/>
                <w:sz w:val="20"/>
                <w:szCs w:val="20"/>
              </w:rPr>
              <w:t>5,367 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7FE5" w14:textId="77777777" w:rsidR="005C332D" w:rsidRDefault="005C332D">
            <w:pPr>
              <w:jc w:val="right"/>
              <w:rPr>
                <w:rFonts w:ascii="宋体"/>
              </w:rPr>
            </w:pPr>
          </w:p>
        </w:tc>
      </w:tr>
      <w:tr w:rsidR="005C332D" w14:paraId="518B7FEB" w14:textId="77777777">
        <w:tc>
          <w:tcPr>
            <w:tcW w:w="0" w:type="auto"/>
            <w:gridSpan w:val="3"/>
            <w:shd w:val="clear" w:color="auto" w:fill="FFFFFF"/>
            <w:tcMar>
              <w:top w:w="40" w:type="dxa"/>
              <w:left w:w="20" w:type="dxa"/>
              <w:bottom w:w="40" w:type="dxa"/>
              <w:right w:w="20" w:type="dxa"/>
            </w:tcMar>
          </w:tcPr>
          <w:p w14:paraId="518B7FE7" w14:textId="77777777" w:rsidR="005C332D" w:rsidRDefault="00B93EAE">
            <w:pPr>
              <w:textAlignment w:val="top"/>
            </w:pPr>
            <w:r>
              <w:rPr>
                <w:rFonts w:ascii="Times New Roman" w:eastAsia="宋体" w:hAnsi="Times New Roman"/>
                <w:b/>
                <w:bCs/>
                <w:color w:val="000000"/>
                <w:sz w:val="20"/>
                <w:szCs w:val="20"/>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7FE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7FE9"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7FEA" w14:textId="77777777" w:rsidR="005C332D" w:rsidRDefault="005C332D">
            <w:pPr>
              <w:rPr>
                <w:rFonts w:ascii="宋体"/>
              </w:rPr>
            </w:pPr>
          </w:p>
        </w:tc>
      </w:tr>
      <w:tr w:rsidR="005C332D" w14:paraId="518B7FF2" w14:textId="77777777">
        <w:tc>
          <w:tcPr>
            <w:tcW w:w="0" w:type="auto"/>
            <w:gridSpan w:val="3"/>
            <w:shd w:val="clear" w:color="auto" w:fill="CCEEFF"/>
            <w:tcMar>
              <w:top w:w="40" w:type="dxa"/>
              <w:left w:w="20" w:type="dxa"/>
              <w:bottom w:w="40" w:type="dxa"/>
              <w:right w:w="20" w:type="dxa"/>
            </w:tcMar>
          </w:tcPr>
          <w:p w14:paraId="518B7FEC" w14:textId="77777777" w:rsidR="005C332D" w:rsidRDefault="00B93EAE">
            <w:pPr>
              <w:textAlignment w:val="top"/>
            </w:pPr>
            <w:r>
              <w:rPr>
                <w:rFonts w:ascii="Times New Roman" w:eastAsia="宋体" w:hAnsi="Times New Roman"/>
                <w:color w:val="000000"/>
                <w:sz w:val="20"/>
                <w:szCs w:val="20"/>
              </w:rPr>
              <w:t>Goodwill and purchased intangible assets</w:t>
            </w:r>
          </w:p>
        </w:tc>
        <w:tc>
          <w:tcPr>
            <w:tcW w:w="0" w:type="auto"/>
            <w:gridSpan w:val="2"/>
            <w:shd w:val="clear" w:color="auto" w:fill="CCEEFF"/>
            <w:tcMar>
              <w:top w:w="40" w:type="dxa"/>
              <w:left w:w="20" w:type="dxa"/>
              <w:bottom w:w="40" w:type="dxa"/>
              <w:right w:w="0" w:type="dxa"/>
            </w:tcMar>
            <w:vAlign w:val="bottom"/>
          </w:tcPr>
          <w:p w14:paraId="518B7FED" w14:textId="77777777" w:rsidR="005C332D" w:rsidRDefault="00B93EAE">
            <w:pPr>
              <w:jc w:val="right"/>
              <w:textAlignment w:val="bottom"/>
            </w:pPr>
            <w:r>
              <w:rPr>
                <w:rFonts w:ascii="Times New Roman" w:eastAsia="宋体" w:hAnsi="Times New Roman"/>
                <w:b/>
                <w:bCs/>
                <w:color w:val="000000"/>
                <w:sz w:val="20"/>
                <w:szCs w:val="20"/>
              </w:rPr>
              <w:t>(767)</w:t>
            </w:r>
          </w:p>
        </w:tc>
        <w:tc>
          <w:tcPr>
            <w:tcW w:w="0" w:type="auto"/>
            <w:shd w:val="clear" w:color="auto" w:fill="CCEEFF"/>
            <w:tcMar>
              <w:top w:w="40" w:type="dxa"/>
              <w:left w:w="0" w:type="dxa"/>
              <w:bottom w:w="40" w:type="dxa"/>
              <w:right w:w="20" w:type="dxa"/>
            </w:tcMar>
            <w:vAlign w:val="bottom"/>
          </w:tcPr>
          <w:p w14:paraId="518B7FEE"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EF"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FF0" w14:textId="77777777" w:rsidR="005C332D" w:rsidRDefault="00B93EAE">
            <w:pPr>
              <w:jc w:val="right"/>
              <w:textAlignment w:val="bottom"/>
            </w:pPr>
            <w:r>
              <w:rPr>
                <w:rFonts w:ascii="Times New Roman" w:eastAsia="宋体" w:hAnsi="Times New Roman"/>
                <w:color w:val="000000"/>
                <w:sz w:val="20"/>
                <w:szCs w:val="20"/>
              </w:rPr>
              <w:t>(686)</w:t>
            </w:r>
          </w:p>
        </w:tc>
        <w:tc>
          <w:tcPr>
            <w:tcW w:w="0" w:type="auto"/>
            <w:shd w:val="clear" w:color="auto" w:fill="CCEEFF"/>
            <w:tcMar>
              <w:top w:w="40" w:type="dxa"/>
              <w:left w:w="0" w:type="dxa"/>
              <w:bottom w:w="40" w:type="dxa"/>
              <w:right w:w="20" w:type="dxa"/>
            </w:tcMar>
            <w:vAlign w:val="bottom"/>
          </w:tcPr>
          <w:p w14:paraId="518B7FF1" w14:textId="77777777" w:rsidR="005C332D" w:rsidRDefault="005C332D">
            <w:pPr>
              <w:jc w:val="right"/>
              <w:rPr>
                <w:rFonts w:ascii="宋体"/>
              </w:rPr>
            </w:pPr>
          </w:p>
        </w:tc>
      </w:tr>
      <w:tr w:rsidR="005C332D" w14:paraId="518B7FF9" w14:textId="77777777">
        <w:tc>
          <w:tcPr>
            <w:tcW w:w="0" w:type="auto"/>
            <w:gridSpan w:val="3"/>
            <w:shd w:val="clear" w:color="auto" w:fill="FFFFFF"/>
            <w:tcMar>
              <w:top w:w="40" w:type="dxa"/>
              <w:left w:w="20" w:type="dxa"/>
              <w:bottom w:w="40" w:type="dxa"/>
              <w:right w:w="20" w:type="dxa"/>
            </w:tcMar>
          </w:tcPr>
          <w:p w14:paraId="518B7FF3" w14:textId="77777777" w:rsidR="005C332D" w:rsidRDefault="00B93EAE">
            <w:pPr>
              <w:textAlignment w:val="top"/>
            </w:pPr>
            <w:r>
              <w:rPr>
                <w:rFonts w:ascii="Times New Roman" w:eastAsia="宋体" w:hAnsi="Times New Roman"/>
                <w:color w:val="000000"/>
                <w:sz w:val="20"/>
                <w:szCs w:val="20"/>
              </w:rPr>
              <w:t>Depreciation</w:t>
            </w:r>
          </w:p>
        </w:tc>
        <w:tc>
          <w:tcPr>
            <w:tcW w:w="0" w:type="auto"/>
            <w:gridSpan w:val="2"/>
            <w:shd w:val="clear" w:color="auto" w:fill="FFFFFF"/>
            <w:tcMar>
              <w:top w:w="40" w:type="dxa"/>
              <w:left w:w="20" w:type="dxa"/>
              <w:bottom w:w="40" w:type="dxa"/>
              <w:right w:w="0" w:type="dxa"/>
            </w:tcMar>
            <w:vAlign w:val="bottom"/>
          </w:tcPr>
          <w:p w14:paraId="518B7FF4" w14:textId="77777777" w:rsidR="005C332D" w:rsidRDefault="00B93EAE">
            <w:pPr>
              <w:jc w:val="right"/>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7FF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7FF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7FF7" w14:textId="77777777" w:rsidR="005C332D" w:rsidRDefault="00B93EAE">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left w:w="0" w:type="dxa"/>
              <w:bottom w:w="40" w:type="dxa"/>
              <w:right w:w="20" w:type="dxa"/>
            </w:tcMar>
            <w:vAlign w:val="bottom"/>
          </w:tcPr>
          <w:p w14:paraId="518B7FF8" w14:textId="77777777" w:rsidR="005C332D" w:rsidRDefault="005C332D">
            <w:pPr>
              <w:jc w:val="right"/>
              <w:rPr>
                <w:rFonts w:ascii="宋体"/>
              </w:rPr>
            </w:pPr>
          </w:p>
        </w:tc>
      </w:tr>
      <w:tr w:rsidR="005C332D" w14:paraId="518B8000" w14:textId="77777777">
        <w:tc>
          <w:tcPr>
            <w:tcW w:w="0" w:type="auto"/>
            <w:gridSpan w:val="3"/>
            <w:shd w:val="clear" w:color="auto" w:fill="CCEEFF"/>
            <w:tcMar>
              <w:top w:w="40" w:type="dxa"/>
              <w:left w:w="20" w:type="dxa"/>
              <w:bottom w:w="40" w:type="dxa"/>
              <w:right w:w="20" w:type="dxa"/>
            </w:tcMar>
          </w:tcPr>
          <w:p w14:paraId="518B7FFA" w14:textId="77777777" w:rsidR="005C332D" w:rsidRDefault="00B93EAE">
            <w:pPr>
              <w:textAlignment w:val="top"/>
            </w:pPr>
            <w:r>
              <w:rPr>
                <w:rFonts w:ascii="Times New Roman" w:eastAsia="宋体" w:hAnsi="Times New Roman"/>
                <w:color w:val="000000"/>
                <w:sz w:val="20"/>
                <w:szCs w:val="20"/>
              </w:rPr>
              <w:t>Unrealized gains on investments</w:t>
            </w:r>
          </w:p>
        </w:tc>
        <w:tc>
          <w:tcPr>
            <w:tcW w:w="0" w:type="auto"/>
            <w:gridSpan w:val="2"/>
            <w:shd w:val="clear" w:color="auto" w:fill="CCEEFF"/>
            <w:tcMar>
              <w:top w:w="40" w:type="dxa"/>
              <w:left w:w="20" w:type="dxa"/>
              <w:bottom w:w="40" w:type="dxa"/>
              <w:right w:w="0" w:type="dxa"/>
            </w:tcMar>
            <w:vAlign w:val="bottom"/>
          </w:tcPr>
          <w:p w14:paraId="518B7FFB" w14:textId="77777777" w:rsidR="005C332D" w:rsidRDefault="00B93EAE">
            <w:pPr>
              <w:jc w:val="right"/>
              <w:textAlignment w:val="bottom"/>
            </w:pPr>
            <w:r>
              <w:rPr>
                <w:rFonts w:ascii="Times New Roman" w:eastAsia="宋体" w:hAnsi="Times New Roman"/>
                <w:b/>
                <w:bCs/>
                <w:color w:val="000000"/>
                <w:sz w:val="20"/>
                <w:szCs w:val="20"/>
              </w:rPr>
              <w:t>(26)</w:t>
            </w:r>
          </w:p>
        </w:tc>
        <w:tc>
          <w:tcPr>
            <w:tcW w:w="0" w:type="auto"/>
            <w:shd w:val="clear" w:color="auto" w:fill="CCEEFF"/>
            <w:tcMar>
              <w:top w:w="40" w:type="dxa"/>
              <w:left w:w="0" w:type="dxa"/>
              <w:bottom w:w="40" w:type="dxa"/>
              <w:right w:w="20" w:type="dxa"/>
            </w:tcMar>
            <w:vAlign w:val="bottom"/>
          </w:tcPr>
          <w:p w14:paraId="518B7FF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7FF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7FFE" w14:textId="77777777" w:rsidR="005C332D" w:rsidRDefault="00B93EAE">
            <w:pPr>
              <w:jc w:val="right"/>
              <w:textAlignment w:val="bottom"/>
            </w:pPr>
            <w:r>
              <w:rPr>
                <w:rFonts w:ascii="Times New Roman" w:eastAsia="宋体" w:hAnsi="Times New Roman"/>
                <w:color w:val="000000"/>
                <w:sz w:val="20"/>
                <w:szCs w:val="20"/>
              </w:rPr>
              <w:t>(112)</w:t>
            </w:r>
          </w:p>
        </w:tc>
        <w:tc>
          <w:tcPr>
            <w:tcW w:w="0" w:type="auto"/>
            <w:shd w:val="clear" w:color="auto" w:fill="CCEEFF"/>
            <w:tcMar>
              <w:top w:w="40" w:type="dxa"/>
              <w:left w:w="0" w:type="dxa"/>
              <w:bottom w:w="40" w:type="dxa"/>
              <w:right w:w="20" w:type="dxa"/>
            </w:tcMar>
            <w:vAlign w:val="bottom"/>
          </w:tcPr>
          <w:p w14:paraId="518B7FFF" w14:textId="77777777" w:rsidR="005C332D" w:rsidRDefault="005C332D">
            <w:pPr>
              <w:jc w:val="right"/>
              <w:rPr>
                <w:rFonts w:ascii="宋体"/>
              </w:rPr>
            </w:pPr>
          </w:p>
        </w:tc>
      </w:tr>
      <w:tr w:rsidR="005C332D" w14:paraId="518B8007" w14:textId="77777777">
        <w:tc>
          <w:tcPr>
            <w:tcW w:w="0" w:type="auto"/>
            <w:gridSpan w:val="3"/>
            <w:shd w:val="clear" w:color="auto" w:fill="FFFFFF"/>
            <w:tcMar>
              <w:top w:w="40" w:type="dxa"/>
              <w:left w:w="20" w:type="dxa"/>
              <w:bottom w:w="40" w:type="dxa"/>
              <w:right w:w="20" w:type="dxa"/>
            </w:tcMar>
          </w:tcPr>
          <w:p w14:paraId="518B8001" w14:textId="77777777" w:rsidR="005C332D" w:rsidRDefault="00B93EAE">
            <w:pPr>
              <w:textAlignment w:val="top"/>
            </w:pPr>
            <w:r>
              <w:rPr>
                <w:rFonts w:ascii="Times New Roman" w:eastAsia="宋体" w:hAnsi="Times New Roman"/>
                <w:color w:val="000000"/>
                <w:sz w:val="20"/>
                <w:szCs w:val="20"/>
              </w:rPr>
              <w:t>ROU lease assets</w:t>
            </w:r>
          </w:p>
        </w:tc>
        <w:tc>
          <w:tcPr>
            <w:tcW w:w="0" w:type="auto"/>
            <w:gridSpan w:val="2"/>
            <w:shd w:val="clear" w:color="auto" w:fill="FFFFFF"/>
            <w:tcMar>
              <w:top w:w="40" w:type="dxa"/>
              <w:left w:w="20" w:type="dxa"/>
              <w:bottom w:w="40" w:type="dxa"/>
              <w:right w:w="0" w:type="dxa"/>
            </w:tcMar>
            <w:vAlign w:val="bottom"/>
          </w:tcPr>
          <w:p w14:paraId="518B8002" w14:textId="77777777" w:rsidR="005C332D" w:rsidRDefault="00B93EAE">
            <w:pPr>
              <w:jc w:val="right"/>
              <w:textAlignment w:val="bottom"/>
            </w:pPr>
            <w:r>
              <w:rPr>
                <w:rFonts w:ascii="Times New Roman" w:eastAsia="宋体" w:hAnsi="Times New Roman"/>
                <w:b/>
                <w:bCs/>
                <w:color w:val="000000"/>
                <w:sz w:val="20"/>
                <w:szCs w:val="20"/>
              </w:rPr>
              <w:t>(237)</w:t>
            </w:r>
          </w:p>
        </w:tc>
        <w:tc>
          <w:tcPr>
            <w:tcW w:w="0" w:type="auto"/>
            <w:shd w:val="clear" w:color="auto" w:fill="FFFFFF"/>
            <w:tcMar>
              <w:top w:w="40" w:type="dxa"/>
              <w:left w:w="0" w:type="dxa"/>
              <w:bottom w:w="40" w:type="dxa"/>
              <w:right w:w="20" w:type="dxa"/>
            </w:tcMar>
            <w:vAlign w:val="bottom"/>
          </w:tcPr>
          <w:p w14:paraId="518B800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04"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05" w14:textId="77777777" w:rsidR="005C332D" w:rsidRDefault="00B93EAE">
            <w:pPr>
              <w:jc w:val="right"/>
              <w:textAlignment w:val="bottom"/>
            </w:pPr>
            <w:r>
              <w:rPr>
                <w:rFonts w:ascii="Times New Roman" w:eastAsia="宋体" w:hAnsi="Times New Roman"/>
                <w:color w:val="000000"/>
                <w:sz w:val="20"/>
                <w:szCs w:val="20"/>
              </w:rPr>
              <w:t>(260)</w:t>
            </w:r>
          </w:p>
        </w:tc>
        <w:tc>
          <w:tcPr>
            <w:tcW w:w="0" w:type="auto"/>
            <w:shd w:val="clear" w:color="auto" w:fill="FFFFFF"/>
            <w:tcMar>
              <w:top w:w="40" w:type="dxa"/>
              <w:left w:w="0" w:type="dxa"/>
              <w:bottom w:w="40" w:type="dxa"/>
              <w:right w:w="20" w:type="dxa"/>
            </w:tcMar>
            <w:vAlign w:val="bottom"/>
          </w:tcPr>
          <w:p w14:paraId="518B8006" w14:textId="77777777" w:rsidR="005C332D" w:rsidRDefault="005C332D">
            <w:pPr>
              <w:jc w:val="right"/>
              <w:rPr>
                <w:rFonts w:ascii="宋体"/>
              </w:rPr>
            </w:pPr>
          </w:p>
        </w:tc>
      </w:tr>
      <w:tr w:rsidR="005C332D" w14:paraId="518B800E" w14:textId="77777777">
        <w:tc>
          <w:tcPr>
            <w:tcW w:w="0" w:type="auto"/>
            <w:gridSpan w:val="3"/>
            <w:shd w:val="clear" w:color="auto" w:fill="CCEEFF"/>
            <w:tcMar>
              <w:top w:w="40" w:type="dxa"/>
              <w:left w:w="20" w:type="dxa"/>
              <w:bottom w:w="40" w:type="dxa"/>
              <w:right w:w="20" w:type="dxa"/>
            </w:tcMar>
          </w:tcPr>
          <w:p w14:paraId="518B8008" w14:textId="77777777" w:rsidR="005C332D" w:rsidRDefault="00B93EAE">
            <w:pPr>
              <w:textAlignment w:val="top"/>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518B8009" w14:textId="77777777" w:rsidR="005C332D" w:rsidRDefault="00B93EAE">
            <w:pPr>
              <w:jc w:val="right"/>
              <w:textAlignment w:val="bottom"/>
            </w:pPr>
            <w:r>
              <w:rPr>
                <w:rFonts w:ascii="Times New Roman" w:eastAsia="宋体" w:hAnsi="Times New Roman"/>
                <w:b/>
                <w:bCs/>
                <w:color w:val="000000"/>
                <w:sz w:val="20"/>
                <w:szCs w:val="20"/>
              </w:rPr>
              <w:t>(82)</w:t>
            </w:r>
          </w:p>
        </w:tc>
        <w:tc>
          <w:tcPr>
            <w:tcW w:w="0" w:type="auto"/>
            <w:shd w:val="clear" w:color="auto" w:fill="CCEEFF"/>
            <w:tcMar>
              <w:top w:w="40" w:type="dxa"/>
              <w:left w:w="0" w:type="dxa"/>
              <w:bottom w:w="40" w:type="dxa"/>
              <w:right w:w="20" w:type="dxa"/>
            </w:tcMar>
            <w:vAlign w:val="bottom"/>
          </w:tcPr>
          <w:p w14:paraId="518B800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0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00C" w14:textId="77777777" w:rsidR="005C332D" w:rsidRDefault="00B93EAE">
            <w:pPr>
              <w:jc w:val="right"/>
              <w:textAlignment w:val="bottom"/>
            </w:pPr>
            <w:r>
              <w:rPr>
                <w:rFonts w:ascii="Times New Roman" w:eastAsia="宋体" w:hAnsi="Times New Roman"/>
                <w:color w:val="000000"/>
                <w:sz w:val="20"/>
                <w:szCs w:val="20"/>
              </w:rPr>
              <w:t>(37)</w:t>
            </w:r>
          </w:p>
        </w:tc>
        <w:tc>
          <w:tcPr>
            <w:tcW w:w="0" w:type="auto"/>
            <w:shd w:val="clear" w:color="auto" w:fill="CCEEFF"/>
            <w:tcMar>
              <w:top w:w="40" w:type="dxa"/>
              <w:left w:w="0" w:type="dxa"/>
              <w:bottom w:w="40" w:type="dxa"/>
              <w:right w:w="20" w:type="dxa"/>
            </w:tcMar>
            <w:vAlign w:val="bottom"/>
          </w:tcPr>
          <w:p w14:paraId="518B800D" w14:textId="77777777" w:rsidR="005C332D" w:rsidRDefault="005C332D">
            <w:pPr>
              <w:jc w:val="right"/>
              <w:rPr>
                <w:rFonts w:ascii="宋体"/>
              </w:rPr>
            </w:pPr>
          </w:p>
        </w:tc>
      </w:tr>
      <w:tr w:rsidR="005C332D" w14:paraId="518B8015" w14:textId="77777777">
        <w:tc>
          <w:tcPr>
            <w:tcW w:w="0" w:type="auto"/>
            <w:gridSpan w:val="3"/>
            <w:shd w:val="clear" w:color="auto" w:fill="FFFFFF"/>
            <w:tcMar>
              <w:top w:w="40" w:type="dxa"/>
              <w:left w:w="380" w:type="dxa"/>
              <w:bottom w:w="40" w:type="dxa"/>
              <w:right w:w="20" w:type="dxa"/>
            </w:tcMar>
          </w:tcPr>
          <w:p w14:paraId="518B800F" w14:textId="77777777" w:rsidR="005C332D" w:rsidRDefault="00B93EAE">
            <w:pPr>
              <w:textAlignment w:val="top"/>
            </w:pPr>
            <w:r>
              <w:rPr>
                <w:rFonts w:ascii="Times New Roman" w:eastAsia="宋体" w:hAnsi="Times New Roman"/>
                <w:color w:val="000000"/>
                <w:sz w:val="20"/>
                <w:szCs w:val="20"/>
              </w:rPr>
              <w:t>Total deferred tax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010" w14:textId="77777777" w:rsidR="005C332D" w:rsidRDefault="00B93EAE">
            <w:pPr>
              <w:jc w:val="right"/>
              <w:textAlignment w:val="bottom"/>
            </w:pPr>
            <w:r>
              <w:rPr>
                <w:rFonts w:ascii="Times New Roman" w:eastAsia="宋体" w:hAnsi="Times New Roman"/>
                <w:b/>
                <w:bCs/>
                <w:color w:val="000000"/>
                <w:sz w:val="20"/>
                <w:szCs w:val="20"/>
              </w:rPr>
              <w:t>(1,112)</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011"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12"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013" w14:textId="77777777" w:rsidR="005C332D" w:rsidRDefault="00B93EAE">
            <w:pPr>
              <w:jc w:val="right"/>
              <w:textAlignment w:val="bottom"/>
            </w:pPr>
            <w:r>
              <w:rPr>
                <w:rFonts w:ascii="Times New Roman" w:eastAsia="宋体" w:hAnsi="Times New Roman"/>
                <w:color w:val="000000"/>
                <w:sz w:val="20"/>
                <w:szCs w:val="20"/>
              </w:rPr>
              <w:t>(1,141)</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014" w14:textId="77777777" w:rsidR="005C332D" w:rsidRDefault="005C332D">
            <w:pPr>
              <w:jc w:val="right"/>
              <w:rPr>
                <w:rFonts w:ascii="宋体"/>
              </w:rPr>
            </w:pPr>
          </w:p>
        </w:tc>
      </w:tr>
      <w:tr w:rsidR="005C332D" w14:paraId="518B801E" w14:textId="77777777">
        <w:tc>
          <w:tcPr>
            <w:tcW w:w="0" w:type="auto"/>
            <w:gridSpan w:val="3"/>
            <w:shd w:val="clear" w:color="auto" w:fill="CCEEFF"/>
            <w:tcMar>
              <w:top w:w="40" w:type="dxa"/>
              <w:left w:w="740" w:type="dxa"/>
              <w:bottom w:w="40" w:type="dxa"/>
              <w:right w:w="20" w:type="dxa"/>
            </w:tcMar>
          </w:tcPr>
          <w:p w14:paraId="518B8016" w14:textId="77777777" w:rsidR="005C332D" w:rsidRDefault="00B93EAE">
            <w:pPr>
              <w:textAlignment w:val="top"/>
            </w:pPr>
            <w:r>
              <w:rPr>
                <w:rFonts w:ascii="Times New Roman" w:eastAsia="宋体" w:hAnsi="Times New Roman"/>
                <w:color w:val="000000"/>
                <w:sz w:val="20"/>
                <w:szCs w:val="20"/>
              </w:rPr>
              <w:t>Total net deferred tax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8017"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8018" w14:textId="77777777" w:rsidR="005C332D" w:rsidRDefault="00B93EAE">
            <w:pPr>
              <w:jc w:val="right"/>
              <w:textAlignment w:val="bottom"/>
            </w:pPr>
            <w:r>
              <w:rPr>
                <w:rFonts w:ascii="Times New Roman" w:eastAsia="宋体" w:hAnsi="Times New Roman"/>
                <w:b/>
                <w:bCs/>
                <w:color w:val="000000"/>
                <w:sz w:val="20"/>
                <w:szCs w:val="20"/>
              </w:rPr>
              <w:t>4,394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801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1A" w14:textId="77777777" w:rsidR="005C332D" w:rsidRDefault="005C332D">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518B801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518B801C" w14:textId="77777777" w:rsidR="005C332D" w:rsidRDefault="00B93EAE">
            <w:pPr>
              <w:jc w:val="right"/>
              <w:textAlignment w:val="bottom"/>
            </w:pPr>
            <w:r>
              <w:rPr>
                <w:rFonts w:ascii="Times New Roman" w:eastAsia="宋体" w:hAnsi="Times New Roman"/>
                <w:color w:val="000000"/>
                <w:sz w:val="20"/>
                <w:szCs w:val="20"/>
              </w:rPr>
              <w:t>4,226 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518B801D" w14:textId="77777777" w:rsidR="005C332D" w:rsidRDefault="005C332D">
            <w:pPr>
              <w:jc w:val="right"/>
              <w:rPr>
                <w:rFonts w:ascii="宋体"/>
              </w:rPr>
            </w:pPr>
          </w:p>
        </w:tc>
      </w:tr>
    </w:tbl>
    <w:p w14:paraId="518B801F" w14:textId="77777777" w:rsidR="005C332D" w:rsidRDefault="00B93EAE">
      <w:pPr>
        <w:spacing w:before="120"/>
        <w:jc w:val="both"/>
      </w:pPr>
      <w:r>
        <w:rPr>
          <w:rFonts w:ascii="Times New Roman" w:eastAsia="宋体" w:hAnsi="Times New Roman"/>
          <w:color w:val="000000"/>
          <w:sz w:val="20"/>
          <w:szCs w:val="20"/>
        </w:rPr>
        <w:t xml:space="preserve">The changes in the </w:t>
      </w:r>
      <w:r>
        <w:rPr>
          <w:rFonts w:ascii="Times New Roman" w:eastAsia="宋体" w:hAnsi="Times New Roman"/>
          <w:color w:val="000000"/>
          <w:sz w:val="20"/>
          <w:szCs w:val="20"/>
        </w:rPr>
        <w:t>valuation allowance for deferred tax assets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330"/>
        <w:gridCol w:w="37"/>
        <w:gridCol w:w="36"/>
        <w:gridCol w:w="36"/>
        <w:gridCol w:w="36"/>
        <w:gridCol w:w="120"/>
        <w:gridCol w:w="1045"/>
        <w:gridCol w:w="36"/>
        <w:gridCol w:w="36"/>
        <w:gridCol w:w="36"/>
        <w:gridCol w:w="36"/>
        <w:gridCol w:w="120"/>
        <w:gridCol w:w="1046"/>
        <w:gridCol w:w="36"/>
        <w:gridCol w:w="36"/>
        <w:gridCol w:w="36"/>
        <w:gridCol w:w="36"/>
        <w:gridCol w:w="120"/>
        <w:gridCol w:w="1048"/>
        <w:gridCol w:w="36"/>
      </w:tblGrid>
      <w:tr w:rsidR="005C332D" w14:paraId="518B8035" w14:textId="77777777">
        <w:tc>
          <w:tcPr>
            <w:tcW w:w="50" w:type="pct"/>
            <w:shd w:val="clear" w:color="auto" w:fill="auto"/>
            <w:vAlign w:val="bottom"/>
          </w:tcPr>
          <w:p w14:paraId="518B8020" w14:textId="77777777" w:rsidR="005C332D" w:rsidRDefault="005C332D">
            <w:pPr>
              <w:rPr>
                <w:rFonts w:ascii="宋体"/>
              </w:rPr>
            </w:pPr>
          </w:p>
        </w:tc>
        <w:tc>
          <w:tcPr>
            <w:tcW w:w="2664" w:type="pct"/>
            <w:shd w:val="clear" w:color="auto" w:fill="auto"/>
            <w:vAlign w:val="bottom"/>
          </w:tcPr>
          <w:p w14:paraId="518B8021" w14:textId="77777777" w:rsidR="005C332D" w:rsidRDefault="005C332D">
            <w:pPr>
              <w:rPr>
                <w:rFonts w:ascii="宋体"/>
              </w:rPr>
            </w:pPr>
          </w:p>
        </w:tc>
        <w:tc>
          <w:tcPr>
            <w:tcW w:w="5" w:type="pct"/>
            <w:shd w:val="clear" w:color="auto" w:fill="auto"/>
            <w:vAlign w:val="bottom"/>
          </w:tcPr>
          <w:p w14:paraId="518B8022" w14:textId="77777777" w:rsidR="005C332D" w:rsidRDefault="005C332D">
            <w:pPr>
              <w:rPr>
                <w:rFonts w:ascii="宋体"/>
              </w:rPr>
            </w:pPr>
          </w:p>
        </w:tc>
        <w:tc>
          <w:tcPr>
            <w:tcW w:w="5" w:type="pct"/>
            <w:shd w:val="clear" w:color="auto" w:fill="auto"/>
            <w:vAlign w:val="bottom"/>
          </w:tcPr>
          <w:p w14:paraId="518B8023" w14:textId="77777777" w:rsidR="005C332D" w:rsidRDefault="005C332D">
            <w:pPr>
              <w:rPr>
                <w:rFonts w:ascii="宋体"/>
              </w:rPr>
            </w:pPr>
          </w:p>
        </w:tc>
        <w:tc>
          <w:tcPr>
            <w:tcW w:w="19" w:type="pct"/>
            <w:shd w:val="clear" w:color="auto" w:fill="auto"/>
            <w:vAlign w:val="bottom"/>
          </w:tcPr>
          <w:p w14:paraId="518B8024" w14:textId="77777777" w:rsidR="005C332D" w:rsidRDefault="005C332D">
            <w:pPr>
              <w:rPr>
                <w:rFonts w:ascii="宋体"/>
              </w:rPr>
            </w:pPr>
          </w:p>
        </w:tc>
        <w:tc>
          <w:tcPr>
            <w:tcW w:w="5" w:type="pct"/>
            <w:shd w:val="clear" w:color="auto" w:fill="auto"/>
            <w:vAlign w:val="bottom"/>
          </w:tcPr>
          <w:p w14:paraId="518B8025" w14:textId="77777777" w:rsidR="005C332D" w:rsidRDefault="005C332D">
            <w:pPr>
              <w:rPr>
                <w:rFonts w:ascii="宋体"/>
              </w:rPr>
            </w:pPr>
          </w:p>
        </w:tc>
        <w:tc>
          <w:tcPr>
            <w:tcW w:w="50" w:type="pct"/>
            <w:shd w:val="clear" w:color="auto" w:fill="auto"/>
            <w:vAlign w:val="bottom"/>
          </w:tcPr>
          <w:p w14:paraId="518B8026" w14:textId="77777777" w:rsidR="005C332D" w:rsidRDefault="005C332D">
            <w:pPr>
              <w:rPr>
                <w:rFonts w:ascii="宋体"/>
              </w:rPr>
            </w:pPr>
          </w:p>
        </w:tc>
        <w:tc>
          <w:tcPr>
            <w:tcW w:w="675" w:type="pct"/>
            <w:shd w:val="clear" w:color="auto" w:fill="auto"/>
            <w:vAlign w:val="bottom"/>
          </w:tcPr>
          <w:p w14:paraId="518B8027" w14:textId="77777777" w:rsidR="005C332D" w:rsidRDefault="005C332D">
            <w:pPr>
              <w:rPr>
                <w:rFonts w:ascii="宋体"/>
              </w:rPr>
            </w:pPr>
          </w:p>
        </w:tc>
        <w:tc>
          <w:tcPr>
            <w:tcW w:w="5" w:type="pct"/>
            <w:shd w:val="clear" w:color="auto" w:fill="auto"/>
            <w:vAlign w:val="bottom"/>
          </w:tcPr>
          <w:p w14:paraId="518B8028" w14:textId="77777777" w:rsidR="005C332D" w:rsidRDefault="005C332D">
            <w:pPr>
              <w:rPr>
                <w:rFonts w:ascii="宋体"/>
              </w:rPr>
            </w:pPr>
          </w:p>
        </w:tc>
        <w:tc>
          <w:tcPr>
            <w:tcW w:w="5" w:type="pct"/>
            <w:shd w:val="clear" w:color="auto" w:fill="auto"/>
            <w:vAlign w:val="bottom"/>
          </w:tcPr>
          <w:p w14:paraId="518B8029" w14:textId="77777777" w:rsidR="005C332D" w:rsidRDefault="005C332D">
            <w:pPr>
              <w:rPr>
                <w:rFonts w:ascii="宋体"/>
              </w:rPr>
            </w:pPr>
          </w:p>
        </w:tc>
        <w:tc>
          <w:tcPr>
            <w:tcW w:w="19" w:type="pct"/>
            <w:shd w:val="clear" w:color="auto" w:fill="auto"/>
            <w:vAlign w:val="bottom"/>
          </w:tcPr>
          <w:p w14:paraId="518B802A" w14:textId="77777777" w:rsidR="005C332D" w:rsidRDefault="005C332D">
            <w:pPr>
              <w:rPr>
                <w:rFonts w:ascii="宋体"/>
              </w:rPr>
            </w:pPr>
          </w:p>
        </w:tc>
        <w:tc>
          <w:tcPr>
            <w:tcW w:w="5" w:type="pct"/>
            <w:shd w:val="clear" w:color="auto" w:fill="auto"/>
            <w:vAlign w:val="bottom"/>
          </w:tcPr>
          <w:p w14:paraId="518B802B" w14:textId="77777777" w:rsidR="005C332D" w:rsidRDefault="005C332D">
            <w:pPr>
              <w:rPr>
                <w:rFonts w:ascii="宋体"/>
              </w:rPr>
            </w:pPr>
          </w:p>
        </w:tc>
        <w:tc>
          <w:tcPr>
            <w:tcW w:w="50" w:type="pct"/>
            <w:shd w:val="clear" w:color="auto" w:fill="auto"/>
            <w:vAlign w:val="bottom"/>
          </w:tcPr>
          <w:p w14:paraId="518B802C" w14:textId="77777777" w:rsidR="005C332D" w:rsidRDefault="005C332D">
            <w:pPr>
              <w:rPr>
                <w:rFonts w:ascii="宋体"/>
              </w:rPr>
            </w:pPr>
          </w:p>
        </w:tc>
        <w:tc>
          <w:tcPr>
            <w:tcW w:w="675" w:type="pct"/>
            <w:shd w:val="clear" w:color="auto" w:fill="auto"/>
            <w:vAlign w:val="bottom"/>
          </w:tcPr>
          <w:p w14:paraId="518B802D" w14:textId="77777777" w:rsidR="005C332D" w:rsidRDefault="005C332D">
            <w:pPr>
              <w:rPr>
                <w:rFonts w:ascii="宋体"/>
              </w:rPr>
            </w:pPr>
          </w:p>
        </w:tc>
        <w:tc>
          <w:tcPr>
            <w:tcW w:w="5" w:type="pct"/>
            <w:shd w:val="clear" w:color="auto" w:fill="auto"/>
            <w:vAlign w:val="bottom"/>
          </w:tcPr>
          <w:p w14:paraId="518B802E" w14:textId="77777777" w:rsidR="005C332D" w:rsidRDefault="005C332D">
            <w:pPr>
              <w:rPr>
                <w:rFonts w:ascii="宋体"/>
              </w:rPr>
            </w:pPr>
          </w:p>
        </w:tc>
        <w:tc>
          <w:tcPr>
            <w:tcW w:w="5" w:type="pct"/>
            <w:shd w:val="clear" w:color="auto" w:fill="auto"/>
            <w:vAlign w:val="bottom"/>
          </w:tcPr>
          <w:p w14:paraId="518B802F" w14:textId="77777777" w:rsidR="005C332D" w:rsidRDefault="005C332D">
            <w:pPr>
              <w:rPr>
                <w:rFonts w:ascii="宋体"/>
              </w:rPr>
            </w:pPr>
          </w:p>
        </w:tc>
        <w:tc>
          <w:tcPr>
            <w:tcW w:w="19" w:type="pct"/>
            <w:shd w:val="clear" w:color="auto" w:fill="auto"/>
            <w:vAlign w:val="bottom"/>
          </w:tcPr>
          <w:p w14:paraId="518B8030" w14:textId="77777777" w:rsidR="005C332D" w:rsidRDefault="005C332D">
            <w:pPr>
              <w:rPr>
                <w:rFonts w:ascii="宋体"/>
              </w:rPr>
            </w:pPr>
          </w:p>
        </w:tc>
        <w:tc>
          <w:tcPr>
            <w:tcW w:w="5" w:type="pct"/>
            <w:shd w:val="clear" w:color="auto" w:fill="auto"/>
            <w:vAlign w:val="bottom"/>
          </w:tcPr>
          <w:p w14:paraId="518B8031" w14:textId="77777777" w:rsidR="005C332D" w:rsidRDefault="005C332D">
            <w:pPr>
              <w:rPr>
                <w:rFonts w:ascii="宋体"/>
              </w:rPr>
            </w:pPr>
          </w:p>
        </w:tc>
        <w:tc>
          <w:tcPr>
            <w:tcW w:w="50" w:type="pct"/>
            <w:shd w:val="clear" w:color="auto" w:fill="auto"/>
            <w:vAlign w:val="bottom"/>
          </w:tcPr>
          <w:p w14:paraId="518B8032" w14:textId="77777777" w:rsidR="005C332D" w:rsidRDefault="005C332D">
            <w:pPr>
              <w:rPr>
                <w:rFonts w:ascii="宋体"/>
              </w:rPr>
            </w:pPr>
          </w:p>
        </w:tc>
        <w:tc>
          <w:tcPr>
            <w:tcW w:w="676" w:type="pct"/>
            <w:shd w:val="clear" w:color="auto" w:fill="auto"/>
            <w:vAlign w:val="bottom"/>
          </w:tcPr>
          <w:p w14:paraId="518B8033" w14:textId="77777777" w:rsidR="005C332D" w:rsidRDefault="005C332D">
            <w:pPr>
              <w:rPr>
                <w:rFonts w:ascii="宋体"/>
              </w:rPr>
            </w:pPr>
          </w:p>
        </w:tc>
        <w:tc>
          <w:tcPr>
            <w:tcW w:w="5" w:type="pct"/>
            <w:shd w:val="clear" w:color="auto" w:fill="auto"/>
            <w:vAlign w:val="bottom"/>
          </w:tcPr>
          <w:p w14:paraId="518B8034" w14:textId="77777777" w:rsidR="005C332D" w:rsidRDefault="005C332D">
            <w:pPr>
              <w:rPr>
                <w:rFonts w:ascii="宋体"/>
              </w:rPr>
            </w:pPr>
          </w:p>
        </w:tc>
      </w:tr>
      <w:tr w:rsidR="005C332D" w14:paraId="518B803D" w14:textId="77777777">
        <w:tc>
          <w:tcPr>
            <w:tcW w:w="0" w:type="auto"/>
            <w:gridSpan w:val="3"/>
            <w:shd w:val="clear" w:color="auto" w:fill="auto"/>
            <w:tcMar>
              <w:top w:w="0" w:type="dxa"/>
              <w:left w:w="20" w:type="dxa"/>
              <w:bottom w:w="0" w:type="dxa"/>
              <w:right w:w="20" w:type="dxa"/>
            </w:tcMar>
            <w:vAlign w:val="bottom"/>
          </w:tcPr>
          <w:p w14:paraId="518B8036"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03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038" w14:textId="77777777" w:rsidR="005C332D" w:rsidRDefault="00B93EAE">
            <w:pPr>
              <w:jc w:val="center"/>
              <w:textAlignment w:val="bottom"/>
            </w:pPr>
            <w:r>
              <w:rPr>
                <w:rFonts w:ascii="Times New Roman" w:eastAsia="宋体" w:hAnsi="Times New Roman"/>
                <w:b/>
                <w:bCs/>
                <w:color w:val="000000"/>
                <w:sz w:val="18"/>
                <w:szCs w:val="18"/>
              </w:rPr>
              <w:t xml:space="preserve">July </w:t>
            </w:r>
            <w:r>
              <w:rPr>
                <w:rFonts w:ascii="Times New Roman" w:eastAsia="宋体" w:hAnsi="Times New Roman"/>
                <w:b/>
                <w:bCs/>
                <w:color w:val="000000"/>
                <w:sz w:val="18"/>
                <w:szCs w:val="18"/>
              </w:rPr>
              <w:t>30, 2022</w:t>
            </w:r>
          </w:p>
        </w:tc>
        <w:tc>
          <w:tcPr>
            <w:tcW w:w="0" w:type="auto"/>
            <w:gridSpan w:val="3"/>
            <w:shd w:val="clear" w:color="auto" w:fill="auto"/>
            <w:tcMar>
              <w:top w:w="0" w:type="dxa"/>
              <w:left w:w="20" w:type="dxa"/>
              <w:bottom w:w="0" w:type="dxa"/>
              <w:right w:w="20" w:type="dxa"/>
            </w:tcMar>
            <w:vAlign w:val="bottom"/>
          </w:tcPr>
          <w:p w14:paraId="518B803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03A"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803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03C"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804B" w14:textId="77777777">
        <w:tc>
          <w:tcPr>
            <w:tcW w:w="0" w:type="auto"/>
            <w:gridSpan w:val="3"/>
            <w:shd w:val="clear" w:color="auto" w:fill="CCEEFF"/>
            <w:tcMar>
              <w:top w:w="40" w:type="dxa"/>
              <w:left w:w="20" w:type="dxa"/>
              <w:bottom w:w="40" w:type="dxa"/>
              <w:right w:w="20" w:type="dxa"/>
            </w:tcMar>
            <w:vAlign w:val="bottom"/>
          </w:tcPr>
          <w:p w14:paraId="518B803E" w14:textId="77777777" w:rsidR="005C332D" w:rsidRDefault="00B93EAE">
            <w:pPr>
              <w:textAlignment w:val="bottom"/>
            </w:pPr>
            <w:r>
              <w:rPr>
                <w:rFonts w:ascii="Times New Roman" w:eastAsia="宋体" w:hAnsi="Times New Roman"/>
                <w:color w:val="000000"/>
                <w:sz w:val="20"/>
                <w:szCs w:val="20"/>
              </w:rPr>
              <w:t>Balance at beginning of fiscal year</w:t>
            </w:r>
          </w:p>
        </w:tc>
        <w:tc>
          <w:tcPr>
            <w:tcW w:w="0" w:type="auto"/>
            <w:gridSpan w:val="3"/>
            <w:shd w:val="clear" w:color="auto" w:fill="CCEEFF"/>
            <w:tcMar>
              <w:top w:w="0" w:type="dxa"/>
              <w:left w:w="20" w:type="dxa"/>
              <w:bottom w:w="0" w:type="dxa"/>
              <w:right w:w="20" w:type="dxa"/>
            </w:tcMar>
            <w:vAlign w:val="bottom"/>
          </w:tcPr>
          <w:p w14:paraId="518B803F"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8040"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8041" w14:textId="77777777" w:rsidR="005C332D" w:rsidRDefault="00B93EAE">
            <w:pPr>
              <w:jc w:val="right"/>
              <w:textAlignment w:val="bottom"/>
            </w:pPr>
            <w:r>
              <w:rPr>
                <w:rFonts w:ascii="Times New Roman" w:eastAsia="宋体" w:hAnsi="Times New Roman"/>
                <w:b/>
                <w:bCs/>
                <w:color w:val="000000"/>
                <w:sz w:val="20"/>
                <w:szCs w:val="20"/>
              </w:rPr>
              <w:t>771</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04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43"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804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8045" w14:textId="77777777" w:rsidR="005C332D" w:rsidRDefault="00B93EAE">
            <w:pPr>
              <w:jc w:val="right"/>
              <w:textAlignment w:val="bottom"/>
            </w:pPr>
            <w:r>
              <w:rPr>
                <w:rFonts w:ascii="Times New Roman" w:eastAsia="宋体" w:hAnsi="Times New Roman"/>
                <w:color w:val="000000"/>
                <w:sz w:val="20"/>
                <w:szCs w:val="20"/>
              </w:rPr>
              <w:t>700 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04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47"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804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8049" w14:textId="77777777" w:rsidR="005C332D" w:rsidRDefault="00B93EAE">
            <w:pPr>
              <w:jc w:val="right"/>
              <w:textAlignment w:val="bottom"/>
            </w:pPr>
            <w:r>
              <w:rPr>
                <w:rFonts w:ascii="Times New Roman" w:eastAsia="宋体" w:hAnsi="Times New Roman"/>
                <w:color w:val="000000"/>
                <w:sz w:val="20"/>
                <w:szCs w:val="20"/>
              </w:rPr>
              <w:t>457 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04A" w14:textId="77777777" w:rsidR="005C332D" w:rsidRDefault="005C332D">
            <w:pPr>
              <w:jc w:val="right"/>
              <w:rPr>
                <w:rFonts w:ascii="宋体"/>
              </w:rPr>
            </w:pPr>
          </w:p>
        </w:tc>
      </w:tr>
      <w:tr w:rsidR="005C332D" w14:paraId="518B8056" w14:textId="77777777">
        <w:tc>
          <w:tcPr>
            <w:tcW w:w="0" w:type="auto"/>
            <w:gridSpan w:val="3"/>
            <w:shd w:val="clear" w:color="auto" w:fill="FFFFFF"/>
            <w:tcMar>
              <w:top w:w="40" w:type="dxa"/>
              <w:left w:w="20" w:type="dxa"/>
              <w:bottom w:w="40" w:type="dxa"/>
              <w:right w:w="20" w:type="dxa"/>
            </w:tcMar>
            <w:vAlign w:val="bottom"/>
          </w:tcPr>
          <w:p w14:paraId="518B804C" w14:textId="77777777" w:rsidR="005C332D" w:rsidRDefault="00B93EAE">
            <w:pPr>
              <w:textAlignment w:val="bottom"/>
            </w:pPr>
            <w:r>
              <w:rPr>
                <w:rFonts w:ascii="Times New Roman" w:eastAsia="宋体" w:hAnsi="Times New Roman"/>
                <w:color w:val="000000"/>
                <w:sz w:val="20"/>
                <w:szCs w:val="20"/>
              </w:rPr>
              <w:t>Additions</w:t>
            </w:r>
          </w:p>
        </w:tc>
        <w:tc>
          <w:tcPr>
            <w:tcW w:w="0" w:type="auto"/>
            <w:gridSpan w:val="3"/>
            <w:shd w:val="clear" w:color="auto" w:fill="FFFFFF"/>
            <w:tcMar>
              <w:top w:w="0" w:type="dxa"/>
              <w:left w:w="20" w:type="dxa"/>
              <w:bottom w:w="0" w:type="dxa"/>
              <w:right w:w="20" w:type="dxa"/>
            </w:tcMar>
            <w:vAlign w:val="bottom"/>
          </w:tcPr>
          <w:p w14:paraId="518B804D"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4E" w14:textId="77777777" w:rsidR="005C332D" w:rsidRDefault="00B93EAE">
            <w:pPr>
              <w:jc w:val="right"/>
              <w:textAlignment w:val="bottom"/>
            </w:pPr>
            <w:r>
              <w:rPr>
                <w:rFonts w:ascii="Times New Roman" w:eastAsia="宋体" w:hAnsi="Times New Roman"/>
                <w:b/>
                <w:bCs/>
                <w:color w:val="000000"/>
                <w:sz w:val="20"/>
                <w:szCs w:val="20"/>
              </w:rPr>
              <w:t>84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804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5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51" w14:textId="77777777" w:rsidR="005C332D" w:rsidRDefault="00B93EAE">
            <w:pPr>
              <w:jc w:val="right"/>
              <w:textAlignment w:val="bottom"/>
            </w:pPr>
            <w:r>
              <w:rPr>
                <w:rFonts w:ascii="Times New Roman" w:eastAsia="宋体" w:hAnsi="Times New Roman"/>
                <w:color w:val="000000"/>
                <w:sz w:val="20"/>
                <w:szCs w:val="20"/>
              </w:rPr>
              <w:t>91 </w:t>
            </w:r>
          </w:p>
        </w:tc>
        <w:tc>
          <w:tcPr>
            <w:tcW w:w="0" w:type="auto"/>
            <w:shd w:val="clear" w:color="auto" w:fill="FFFFFF"/>
            <w:tcMar>
              <w:top w:w="40" w:type="dxa"/>
              <w:left w:w="0" w:type="dxa"/>
              <w:bottom w:w="40" w:type="dxa"/>
              <w:right w:w="20" w:type="dxa"/>
            </w:tcMar>
            <w:vAlign w:val="bottom"/>
          </w:tcPr>
          <w:p w14:paraId="518B805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5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54" w14:textId="77777777" w:rsidR="005C332D" w:rsidRDefault="00B93EAE">
            <w:pPr>
              <w:jc w:val="right"/>
              <w:textAlignment w:val="bottom"/>
            </w:pPr>
            <w:r>
              <w:rPr>
                <w:rFonts w:ascii="Times New Roman" w:eastAsia="宋体" w:hAnsi="Times New Roman"/>
                <w:color w:val="000000"/>
                <w:sz w:val="20"/>
                <w:szCs w:val="20"/>
              </w:rPr>
              <w:t>279 </w:t>
            </w:r>
          </w:p>
        </w:tc>
        <w:tc>
          <w:tcPr>
            <w:tcW w:w="0" w:type="auto"/>
            <w:shd w:val="clear" w:color="auto" w:fill="FFFFFF"/>
            <w:tcMar>
              <w:top w:w="40" w:type="dxa"/>
              <w:left w:w="0" w:type="dxa"/>
              <w:bottom w:w="40" w:type="dxa"/>
              <w:right w:w="20" w:type="dxa"/>
            </w:tcMar>
            <w:vAlign w:val="bottom"/>
          </w:tcPr>
          <w:p w14:paraId="518B8055" w14:textId="77777777" w:rsidR="005C332D" w:rsidRDefault="005C332D">
            <w:pPr>
              <w:jc w:val="right"/>
              <w:rPr>
                <w:rFonts w:ascii="宋体"/>
              </w:rPr>
            </w:pPr>
          </w:p>
        </w:tc>
      </w:tr>
      <w:tr w:rsidR="005C332D" w14:paraId="518B8061" w14:textId="77777777">
        <w:tc>
          <w:tcPr>
            <w:tcW w:w="0" w:type="auto"/>
            <w:gridSpan w:val="3"/>
            <w:shd w:val="clear" w:color="auto" w:fill="CCEEFF"/>
            <w:tcMar>
              <w:top w:w="40" w:type="dxa"/>
              <w:left w:w="20" w:type="dxa"/>
              <w:bottom w:w="40" w:type="dxa"/>
              <w:right w:w="20" w:type="dxa"/>
            </w:tcMar>
            <w:vAlign w:val="bottom"/>
          </w:tcPr>
          <w:p w14:paraId="518B8057" w14:textId="77777777" w:rsidR="005C332D" w:rsidRDefault="00B93EAE">
            <w:pPr>
              <w:textAlignment w:val="bottom"/>
            </w:pPr>
            <w:r>
              <w:rPr>
                <w:rFonts w:ascii="Times New Roman" w:eastAsia="宋体" w:hAnsi="Times New Roman"/>
                <w:color w:val="000000"/>
                <w:sz w:val="20"/>
                <w:szCs w:val="20"/>
              </w:rPr>
              <w:t>Deductions</w:t>
            </w:r>
          </w:p>
        </w:tc>
        <w:tc>
          <w:tcPr>
            <w:tcW w:w="0" w:type="auto"/>
            <w:gridSpan w:val="3"/>
            <w:shd w:val="clear" w:color="auto" w:fill="CCEEFF"/>
            <w:tcMar>
              <w:top w:w="0" w:type="dxa"/>
              <w:left w:w="20" w:type="dxa"/>
              <w:bottom w:w="0" w:type="dxa"/>
              <w:right w:w="20" w:type="dxa"/>
            </w:tcMar>
            <w:vAlign w:val="bottom"/>
          </w:tcPr>
          <w:p w14:paraId="518B8058"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059" w14:textId="77777777" w:rsidR="005C332D" w:rsidRDefault="00B93EAE">
            <w:pPr>
              <w:jc w:val="right"/>
              <w:textAlignment w:val="bottom"/>
            </w:pPr>
            <w:r>
              <w:rPr>
                <w:rFonts w:ascii="Times New Roman" w:eastAsia="宋体" w:hAnsi="Times New Roman"/>
                <w:b/>
                <w:bCs/>
                <w:color w:val="000000"/>
                <w:sz w:val="20"/>
                <w:szCs w:val="20"/>
              </w:rPr>
              <w:t>(10)</w:t>
            </w:r>
          </w:p>
        </w:tc>
        <w:tc>
          <w:tcPr>
            <w:tcW w:w="0" w:type="auto"/>
            <w:shd w:val="clear" w:color="auto" w:fill="CCEEFF"/>
            <w:tcMar>
              <w:top w:w="40" w:type="dxa"/>
              <w:left w:w="0" w:type="dxa"/>
              <w:bottom w:w="40" w:type="dxa"/>
              <w:right w:w="20" w:type="dxa"/>
            </w:tcMar>
            <w:vAlign w:val="bottom"/>
          </w:tcPr>
          <w:p w14:paraId="518B805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5B"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05C" w14:textId="77777777" w:rsidR="005C332D" w:rsidRDefault="00B93EAE">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518B805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5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05F" w14:textId="77777777" w:rsidR="005C332D" w:rsidRDefault="00B93EAE">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518B8060" w14:textId="77777777" w:rsidR="005C332D" w:rsidRDefault="005C332D">
            <w:pPr>
              <w:jc w:val="right"/>
              <w:rPr>
                <w:rFonts w:ascii="宋体"/>
              </w:rPr>
            </w:pPr>
          </w:p>
        </w:tc>
      </w:tr>
      <w:tr w:rsidR="005C332D" w14:paraId="518B806C" w14:textId="77777777">
        <w:tc>
          <w:tcPr>
            <w:tcW w:w="0" w:type="auto"/>
            <w:gridSpan w:val="3"/>
            <w:shd w:val="clear" w:color="auto" w:fill="FFFFFF"/>
            <w:tcMar>
              <w:top w:w="40" w:type="dxa"/>
              <w:left w:w="20" w:type="dxa"/>
              <w:bottom w:w="40" w:type="dxa"/>
              <w:right w:w="20" w:type="dxa"/>
            </w:tcMar>
            <w:vAlign w:val="bottom"/>
          </w:tcPr>
          <w:p w14:paraId="518B8062" w14:textId="77777777" w:rsidR="005C332D" w:rsidRDefault="00B93EAE">
            <w:pPr>
              <w:textAlignment w:val="bottom"/>
            </w:pPr>
            <w:r>
              <w:rPr>
                <w:rFonts w:ascii="Times New Roman" w:eastAsia="宋体" w:hAnsi="Times New Roman"/>
                <w:color w:val="000000"/>
                <w:sz w:val="20"/>
                <w:szCs w:val="20"/>
              </w:rPr>
              <w:t>Write-offs</w:t>
            </w:r>
          </w:p>
        </w:tc>
        <w:tc>
          <w:tcPr>
            <w:tcW w:w="0" w:type="auto"/>
            <w:gridSpan w:val="3"/>
            <w:shd w:val="clear" w:color="auto" w:fill="FFFFFF"/>
            <w:tcMar>
              <w:top w:w="0" w:type="dxa"/>
              <w:left w:w="20" w:type="dxa"/>
              <w:bottom w:w="0" w:type="dxa"/>
              <w:right w:w="20" w:type="dxa"/>
            </w:tcMar>
            <w:vAlign w:val="bottom"/>
          </w:tcPr>
          <w:p w14:paraId="518B806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64" w14:textId="77777777" w:rsidR="005C332D" w:rsidRDefault="00B93EAE">
            <w:pPr>
              <w:jc w:val="right"/>
              <w:textAlignment w:val="bottom"/>
            </w:pPr>
            <w:r>
              <w:rPr>
                <w:rFonts w:ascii="Times New Roman" w:eastAsia="宋体" w:hAnsi="Times New Roman"/>
                <w:b/>
                <w:bCs/>
                <w:color w:val="000000"/>
                <w:sz w:val="20"/>
                <w:szCs w:val="20"/>
              </w:rPr>
              <w:t>(12)</w:t>
            </w:r>
          </w:p>
        </w:tc>
        <w:tc>
          <w:tcPr>
            <w:tcW w:w="0" w:type="auto"/>
            <w:shd w:val="clear" w:color="auto" w:fill="FFFFFF"/>
            <w:tcMar>
              <w:top w:w="40" w:type="dxa"/>
              <w:left w:w="0" w:type="dxa"/>
              <w:bottom w:w="40" w:type="dxa"/>
              <w:right w:w="20" w:type="dxa"/>
            </w:tcMar>
            <w:vAlign w:val="bottom"/>
          </w:tcPr>
          <w:p w14:paraId="518B806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6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67" w14:textId="77777777" w:rsidR="005C332D" w:rsidRDefault="00B93EAE">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518B806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6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6A" w14:textId="77777777" w:rsidR="005C332D" w:rsidRDefault="00B93EAE">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518B806B" w14:textId="77777777" w:rsidR="005C332D" w:rsidRDefault="005C332D">
            <w:pPr>
              <w:jc w:val="right"/>
              <w:rPr>
                <w:rFonts w:ascii="宋体"/>
              </w:rPr>
            </w:pPr>
          </w:p>
        </w:tc>
      </w:tr>
      <w:tr w:rsidR="005C332D" w14:paraId="518B8077" w14:textId="77777777">
        <w:tc>
          <w:tcPr>
            <w:tcW w:w="0" w:type="auto"/>
            <w:gridSpan w:val="3"/>
            <w:shd w:val="clear" w:color="auto" w:fill="CCEEFF"/>
            <w:tcMar>
              <w:top w:w="40" w:type="dxa"/>
              <w:left w:w="20" w:type="dxa"/>
              <w:bottom w:w="40" w:type="dxa"/>
              <w:right w:w="20" w:type="dxa"/>
            </w:tcMar>
            <w:vAlign w:val="bottom"/>
          </w:tcPr>
          <w:p w14:paraId="518B806D" w14:textId="77777777" w:rsidR="005C332D" w:rsidRDefault="00B93EAE">
            <w:pPr>
              <w:textAlignment w:val="bottom"/>
            </w:pPr>
            <w:r>
              <w:rPr>
                <w:rFonts w:ascii="Times New Roman" w:eastAsia="宋体" w:hAnsi="Times New Roman"/>
                <w:color w:val="000000"/>
                <w:sz w:val="20"/>
                <w:szCs w:val="20"/>
              </w:rPr>
              <w:t>Foreign exchange and other</w:t>
            </w:r>
          </w:p>
        </w:tc>
        <w:tc>
          <w:tcPr>
            <w:tcW w:w="0" w:type="auto"/>
            <w:gridSpan w:val="3"/>
            <w:shd w:val="clear" w:color="auto" w:fill="CCEEFF"/>
            <w:tcMar>
              <w:top w:w="0" w:type="dxa"/>
              <w:left w:w="20" w:type="dxa"/>
              <w:bottom w:w="0" w:type="dxa"/>
              <w:right w:w="20" w:type="dxa"/>
            </w:tcMar>
            <w:vAlign w:val="bottom"/>
          </w:tcPr>
          <w:p w14:paraId="518B806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06F" w14:textId="77777777" w:rsidR="005C332D" w:rsidRDefault="00B93EAE">
            <w:pPr>
              <w:jc w:val="right"/>
              <w:textAlignment w:val="bottom"/>
            </w:pPr>
            <w:r>
              <w:rPr>
                <w:rFonts w:ascii="Times New Roman" w:eastAsia="宋体" w:hAnsi="Times New Roman"/>
                <w:b/>
                <w:bCs/>
                <w:color w:val="000000"/>
                <w:sz w:val="20"/>
                <w:szCs w:val="20"/>
              </w:rPr>
              <w:t>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07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7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072" w14:textId="77777777" w:rsidR="005C332D" w:rsidRDefault="00B93EAE">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518B807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7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075" w14:textId="77777777" w:rsidR="005C332D" w:rsidRDefault="00B93EA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076" w14:textId="77777777" w:rsidR="005C332D" w:rsidRDefault="005C332D">
            <w:pPr>
              <w:jc w:val="right"/>
              <w:rPr>
                <w:rFonts w:ascii="宋体"/>
              </w:rPr>
            </w:pPr>
          </w:p>
        </w:tc>
      </w:tr>
      <w:tr w:rsidR="005C332D" w14:paraId="518B8085" w14:textId="77777777">
        <w:tc>
          <w:tcPr>
            <w:tcW w:w="0" w:type="auto"/>
            <w:gridSpan w:val="3"/>
            <w:shd w:val="clear" w:color="auto" w:fill="FFFFFF"/>
            <w:tcMar>
              <w:top w:w="40" w:type="dxa"/>
              <w:left w:w="20" w:type="dxa"/>
              <w:bottom w:w="40" w:type="dxa"/>
              <w:right w:w="20" w:type="dxa"/>
            </w:tcMar>
            <w:vAlign w:val="bottom"/>
          </w:tcPr>
          <w:p w14:paraId="518B8078" w14:textId="77777777" w:rsidR="005C332D" w:rsidRDefault="00B93EAE">
            <w:pPr>
              <w:textAlignment w:val="bottom"/>
            </w:pPr>
            <w:r>
              <w:rPr>
                <w:rFonts w:ascii="Times New Roman" w:eastAsia="宋体" w:hAnsi="Times New Roman"/>
                <w:color w:val="000000"/>
                <w:sz w:val="20"/>
                <w:szCs w:val="20"/>
              </w:rPr>
              <w:t>Balance at end of fiscal year</w:t>
            </w:r>
          </w:p>
        </w:tc>
        <w:tc>
          <w:tcPr>
            <w:tcW w:w="0" w:type="auto"/>
            <w:gridSpan w:val="3"/>
            <w:shd w:val="clear" w:color="auto" w:fill="FFFFFF"/>
            <w:tcMar>
              <w:top w:w="0" w:type="dxa"/>
              <w:left w:w="20" w:type="dxa"/>
              <w:bottom w:w="0" w:type="dxa"/>
              <w:right w:w="20" w:type="dxa"/>
            </w:tcMar>
            <w:vAlign w:val="bottom"/>
          </w:tcPr>
          <w:p w14:paraId="518B8079"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807A"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807B" w14:textId="77777777" w:rsidR="005C332D" w:rsidRDefault="00B93EAE">
            <w:pPr>
              <w:jc w:val="right"/>
              <w:textAlignment w:val="bottom"/>
            </w:pPr>
            <w:r>
              <w:rPr>
                <w:rFonts w:ascii="Times New Roman" w:eastAsia="宋体" w:hAnsi="Times New Roman"/>
                <w:b/>
                <w:bCs/>
                <w:color w:val="000000"/>
                <w:sz w:val="20"/>
                <w:szCs w:val="20"/>
              </w:rPr>
              <w:t>834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807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7D"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807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807F" w14:textId="77777777" w:rsidR="005C332D" w:rsidRDefault="00B93EAE">
            <w:pPr>
              <w:jc w:val="right"/>
              <w:textAlignment w:val="bottom"/>
            </w:pPr>
            <w:r>
              <w:rPr>
                <w:rFonts w:ascii="Times New Roman" w:eastAsia="宋体" w:hAnsi="Times New Roman"/>
                <w:color w:val="000000"/>
                <w:sz w:val="20"/>
                <w:szCs w:val="20"/>
              </w:rPr>
              <w:t>771 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8080"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81"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8082"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8083" w14:textId="77777777" w:rsidR="005C332D" w:rsidRDefault="00B93EAE">
            <w:pPr>
              <w:jc w:val="right"/>
              <w:textAlignment w:val="bottom"/>
            </w:pPr>
            <w:r>
              <w:rPr>
                <w:rFonts w:ascii="Times New Roman" w:eastAsia="宋体" w:hAnsi="Times New Roman"/>
                <w:color w:val="000000"/>
                <w:sz w:val="20"/>
                <w:szCs w:val="20"/>
              </w:rPr>
              <w:t>700 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8084" w14:textId="77777777" w:rsidR="005C332D" w:rsidRDefault="005C332D">
            <w:pPr>
              <w:jc w:val="right"/>
              <w:rPr>
                <w:rFonts w:ascii="宋体"/>
              </w:rPr>
            </w:pPr>
          </w:p>
        </w:tc>
      </w:tr>
    </w:tbl>
    <w:p w14:paraId="518B8086" w14:textId="77777777" w:rsidR="005C332D" w:rsidRDefault="00B93EAE">
      <w:pPr>
        <w:spacing w:before="120"/>
        <w:jc w:val="both"/>
      </w:pPr>
      <w:r>
        <w:rPr>
          <w:rFonts w:ascii="Times New Roman" w:eastAsia="宋体" w:hAnsi="Times New Roman"/>
          <w:color w:val="000000"/>
          <w:sz w:val="20"/>
          <w:szCs w:val="20"/>
        </w:rPr>
        <w:t>As of July 30, 2022, our federal, state, and foreign net operating loss carryforwards before valuation allowance for income tax purposes were $302 million, $1.1 billion, and $580 millio</w:t>
      </w:r>
      <w:r>
        <w:rPr>
          <w:rFonts w:ascii="Times New Roman" w:eastAsia="宋体" w:hAnsi="Times New Roman"/>
          <w:color w:val="000000"/>
          <w:sz w:val="20"/>
          <w:szCs w:val="20"/>
        </w:rPr>
        <w:t>n, respectively. A significant amount of the net operating loss carryforwards relates to acquisitions and, as a result, is limited in the amount that can be recognized in any one year. If not utilized, the federal, state, and foreign net operating loss car</w:t>
      </w:r>
      <w:r>
        <w:rPr>
          <w:rFonts w:ascii="Times New Roman" w:eastAsia="宋体" w:hAnsi="Times New Roman"/>
          <w:color w:val="000000"/>
          <w:sz w:val="20"/>
          <w:szCs w:val="20"/>
        </w:rPr>
        <w:t>ryforwards will begin to expire in fiscal 2023. We have provided a valuation allowance of $98 million and $10 million for deferred tax assets related to foreign and state net operating losses respectively that are not expected to be realized.</w:t>
      </w:r>
    </w:p>
    <w:p w14:paraId="518B8087" w14:textId="77777777" w:rsidR="005C332D" w:rsidRDefault="00B93EAE">
      <w:pPr>
        <w:spacing w:before="120"/>
        <w:jc w:val="both"/>
      </w:pPr>
      <w:r>
        <w:rPr>
          <w:rFonts w:ascii="Times New Roman" w:eastAsia="宋体" w:hAnsi="Times New Roman"/>
          <w:color w:val="000000"/>
          <w:sz w:val="20"/>
          <w:szCs w:val="20"/>
        </w:rPr>
        <w:t>As of July 30</w:t>
      </w:r>
      <w:r>
        <w:rPr>
          <w:rFonts w:ascii="Times New Roman" w:eastAsia="宋体" w:hAnsi="Times New Roman"/>
          <w:color w:val="000000"/>
          <w:sz w:val="20"/>
          <w:szCs w:val="20"/>
        </w:rPr>
        <w:t>, 2022, our federal, state, and foreign tax credit carryforwards for income tax purposes before valuation allowance were approximately $6 million, $1.6 billion, and $4 million, respectively. The federal tax credit carryforwards will begin to expire in fisc</w:t>
      </w:r>
      <w:r>
        <w:rPr>
          <w:rFonts w:ascii="Times New Roman" w:eastAsia="宋体" w:hAnsi="Times New Roman"/>
          <w:color w:val="000000"/>
          <w:sz w:val="20"/>
          <w:szCs w:val="20"/>
        </w:rPr>
        <w:t>al 2024. The majority of state and foreign tax credits can be carried forward indefinitely. We have provided a valuation allowance of $648 million for deferred tax assets related to state and foreign tax credits carryforwards that are not expected to be re</w:t>
      </w:r>
      <w:r>
        <w:rPr>
          <w:rFonts w:ascii="Times New Roman" w:eastAsia="宋体" w:hAnsi="Times New Roman"/>
          <w:color w:val="000000"/>
          <w:sz w:val="20"/>
          <w:szCs w:val="20"/>
        </w:rPr>
        <w:t xml:space="preserve">alized. </w:t>
      </w:r>
    </w:p>
    <w:p w14:paraId="518B8088" w14:textId="77777777" w:rsidR="005C332D" w:rsidRDefault="005C332D">
      <w:pPr>
        <w:jc w:val="both"/>
      </w:pPr>
    </w:p>
    <w:p w14:paraId="518B8089" w14:textId="77777777" w:rsidR="005C332D" w:rsidRDefault="00B93EAE">
      <w:pPr>
        <w:jc w:val="center"/>
      </w:pPr>
      <w:r>
        <w:rPr>
          <w:rFonts w:ascii="Times New Roman" w:eastAsia="宋体" w:hAnsi="Times New Roman"/>
          <w:color w:val="000000"/>
          <w:sz w:val="20"/>
          <w:szCs w:val="20"/>
        </w:rPr>
        <w:t>100</w:t>
      </w:r>
    </w:p>
    <w:p w14:paraId="518B808A" w14:textId="77777777" w:rsidR="005C332D" w:rsidRDefault="00B93EAE">
      <w:r>
        <w:pict w14:anchorId="518B8779">
          <v:rect id="_x0000_i1126" style="width:415.3pt;height:1.5pt" o:hralign="center" o:hrstd="t" o:hr="t" fillcolor="#a0a0a0" stroked="f"/>
        </w:pict>
      </w:r>
    </w:p>
    <w:p w14:paraId="518B808B" w14:textId="77777777" w:rsidR="005C332D" w:rsidRDefault="005C332D"/>
    <w:p w14:paraId="518B808C" w14:textId="77777777" w:rsidR="005C332D" w:rsidRDefault="00B93EAE">
      <w:pPr>
        <w:ind w:hanging="360"/>
      </w:pPr>
      <w:r>
        <w:rPr>
          <w:rFonts w:ascii="Times New Roman" w:eastAsia="宋体" w:hAnsi="Times New Roman"/>
          <w:b/>
          <w:bCs/>
          <w:color w:val="000000"/>
          <w:sz w:val="20"/>
          <w:szCs w:val="20"/>
        </w:rPr>
        <w:t xml:space="preserve">19.Segment Information and Major Customers </w:t>
      </w:r>
    </w:p>
    <w:p w14:paraId="518B808D" w14:textId="77777777" w:rsidR="005C332D" w:rsidRDefault="00B93EAE">
      <w:pPr>
        <w:spacing w:before="120"/>
        <w:ind w:hanging="360"/>
        <w:jc w:val="both"/>
      </w:pPr>
      <w:r>
        <w:rPr>
          <w:rFonts w:ascii="Times New Roman" w:eastAsia="宋体" w:hAnsi="Times New Roman"/>
          <w:b/>
          <w:bCs/>
          <w:color w:val="000000"/>
          <w:sz w:val="20"/>
          <w:szCs w:val="20"/>
        </w:rPr>
        <w:t>(a)Revenue and Gross Margin by Segment</w:t>
      </w:r>
    </w:p>
    <w:p w14:paraId="518B808E" w14:textId="77777777" w:rsidR="005C332D" w:rsidRDefault="00B93EAE">
      <w:pPr>
        <w:spacing w:before="120"/>
        <w:jc w:val="both"/>
      </w:pPr>
      <w:r>
        <w:rPr>
          <w:rFonts w:ascii="Times New Roman" w:eastAsia="宋体" w:hAnsi="Times New Roman"/>
          <w:color w:val="000000"/>
          <w:sz w:val="20"/>
          <w:szCs w:val="20"/>
        </w:rPr>
        <w:t>We conduct business globally and are primarily managed on a geographic basis consisting of three segments: the Americas, EMEA, and APJC. Our management makes financial decisions and allocates resources based on the information it receives from our internal</w:t>
      </w:r>
      <w:r>
        <w:rPr>
          <w:rFonts w:ascii="Times New Roman" w:eastAsia="宋体" w:hAnsi="Times New Roman"/>
          <w:color w:val="000000"/>
          <w:sz w:val="20"/>
          <w:szCs w:val="20"/>
        </w:rPr>
        <w:t xml:space="preserve"> management system. Sales are attributed to a segment based on the ordering location of the customer. We do not allocate research and development, sales and marketing, or general and administrative expenses to our segments in this internal management syste</w:t>
      </w:r>
      <w:r>
        <w:rPr>
          <w:rFonts w:ascii="Times New Roman" w:eastAsia="宋体" w:hAnsi="Times New Roman"/>
          <w:color w:val="000000"/>
          <w:sz w:val="20"/>
          <w:szCs w:val="20"/>
        </w:rPr>
        <w:t>m because management does not include the information in our measurement of the performance of the operating segments. In addition, we do not allocate amortization and impairment of acquisition-related intangible assets, share-based compensation expense, s</w:t>
      </w:r>
      <w:r>
        <w:rPr>
          <w:rFonts w:ascii="Times New Roman" w:eastAsia="宋体" w:hAnsi="Times New Roman"/>
          <w:color w:val="000000"/>
          <w:sz w:val="20"/>
          <w:szCs w:val="20"/>
        </w:rPr>
        <w:t>ignificant litigation settlements and other contingencies, charges related to asset impairments and restructurings, and certain other charges to the gross margin for each segment because management does not include this information in our measurement of th</w:t>
      </w:r>
      <w:r>
        <w:rPr>
          <w:rFonts w:ascii="Times New Roman" w:eastAsia="宋体" w:hAnsi="Times New Roman"/>
          <w:color w:val="000000"/>
          <w:sz w:val="20"/>
          <w:szCs w:val="20"/>
        </w:rPr>
        <w:t xml:space="preserve">e performance of the operating segments. </w:t>
      </w:r>
    </w:p>
    <w:p w14:paraId="518B808F" w14:textId="77777777" w:rsidR="005C332D" w:rsidRDefault="00B93EAE">
      <w:pPr>
        <w:spacing w:before="120"/>
      </w:pPr>
      <w:r>
        <w:rPr>
          <w:rFonts w:ascii="Times New Roman" w:eastAsia="宋体" w:hAnsi="Times New Roman"/>
          <w:color w:val="000000"/>
          <w:sz w:val="20"/>
          <w:szCs w:val="20"/>
        </w:rPr>
        <w:t>Summarized financial information by segment for fiscal 2022, 2021, and 2020, based on our internal management system and as utilized by our Chief Operating Decision Maker (CODM), is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4390"/>
        <w:gridCol w:w="37"/>
        <w:gridCol w:w="120"/>
        <w:gridCol w:w="1080"/>
        <w:gridCol w:w="36"/>
        <w:gridCol w:w="36"/>
        <w:gridCol w:w="36"/>
        <w:gridCol w:w="36"/>
        <w:gridCol w:w="120"/>
        <w:gridCol w:w="1040"/>
        <w:gridCol w:w="36"/>
        <w:gridCol w:w="36"/>
        <w:gridCol w:w="36"/>
        <w:gridCol w:w="36"/>
        <w:gridCol w:w="120"/>
        <w:gridCol w:w="1040"/>
        <w:gridCol w:w="36"/>
      </w:tblGrid>
      <w:tr w:rsidR="005C332D" w14:paraId="518B80A2" w14:textId="77777777">
        <w:tc>
          <w:tcPr>
            <w:tcW w:w="50" w:type="pct"/>
            <w:shd w:val="clear" w:color="auto" w:fill="auto"/>
            <w:vAlign w:val="bottom"/>
          </w:tcPr>
          <w:p w14:paraId="518B8090" w14:textId="77777777" w:rsidR="005C332D" w:rsidRDefault="005C332D">
            <w:pPr>
              <w:rPr>
                <w:rFonts w:ascii="宋体"/>
              </w:rPr>
            </w:pPr>
          </w:p>
        </w:tc>
        <w:tc>
          <w:tcPr>
            <w:tcW w:w="2672" w:type="pct"/>
            <w:shd w:val="clear" w:color="auto" w:fill="auto"/>
            <w:vAlign w:val="bottom"/>
          </w:tcPr>
          <w:p w14:paraId="518B8091" w14:textId="77777777" w:rsidR="005C332D" w:rsidRDefault="005C332D">
            <w:pPr>
              <w:rPr>
                <w:rFonts w:ascii="宋体"/>
              </w:rPr>
            </w:pPr>
          </w:p>
        </w:tc>
        <w:tc>
          <w:tcPr>
            <w:tcW w:w="5" w:type="pct"/>
            <w:shd w:val="clear" w:color="auto" w:fill="auto"/>
            <w:vAlign w:val="bottom"/>
          </w:tcPr>
          <w:p w14:paraId="518B8092" w14:textId="77777777" w:rsidR="005C332D" w:rsidRDefault="005C332D">
            <w:pPr>
              <w:rPr>
                <w:rFonts w:ascii="宋体"/>
              </w:rPr>
            </w:pPr>
          </w:p>
        </w:tc>
        <w:tc>
          <w:tcPr>
            <w:tcW w:w="50" w:type="pct"/>
            <w:shd w:val="clear" w:color="auto" w:fill="auto"/>
            <w:vAlign w:val="bottom"/>
          </w:tcPr>
          <w:p w14:paraId="518B8093" w14:textId="77777777" w:rsidR="005C332D" w:rsidRDefault="005C332D">
            <w:pPr>
              <w:rPr>
                <w:rFonts w:ascii="宋体"/>
              </w:rPr>
            </w:pPr>
          </w:p>
        </w:tc>
        <w:tc>
          <w:tcPr>
            <w:tcW w:w="678" w:type="pct"/>
            <w:shd w:val="clear" w:color="auto" w:fill="auto"/>
            <w:vAlign w:val="bottom"/>
          </w:tcPr>
          <w:p w14:paraId="518B8094" w14:textId="77777777" w:rsidR="005C332D" w:rsidRDefault="005C332D">
            <w:pPr>
              <w:rPr>
                <w:rFonts w:ascii="宋体"/>
              </w:rPr>
            </w:pPr>
          </w:p>
        </w:tc>
        <w:tc>
          <w:tcPr>
            <w:tcW w:w="5" w:type="pct"/>
            <w:shd w:val="clear" w:color="auto" w:fill="auto"/>
            <w:vAlign w:val="bottom"/>
          </w:tcPr>
          <w:p w14:paraId="518B8095" w14:textId="77777777" w:rsidR="005C332D" w:rsidRDefault="005C332D">
            <w:pPr>
              <w:rPr>
                <w:rFonts w:ascii="宋体"/>
              </w:rPr>
            </w:pPr>
          </w:p>
        </w:tc>
        <w:tc>
          <w:tcPr>
            <w:tcW w:w="5" w:type="pct"/>
            <w:shd w:val="clear" w:color="auto" w:fill="auto"/>
            <w:vAlign w:val="bottom"/>
          </w:tcPr>
          <w:p w14:paraId="518B8096" w14:textId="77777777" w:rsidR="005C332D" w:rsidRDefault="005C332D">
            <w:pPr>
              <w:rPr>
                <w:rFonts w:ascii="宋体"/>
              </w:rPr>
            </w:pPr>
          </w:p>
        </w:tc>
        <w:tc>
          <w:tcPr>
            <w:tcW w:w="26" w:type="pct"/>
            <w:shd w:val="clear" w:color="auto" w:fill="auto"/>
            <w:vAlign w:val="bottom"/>
          </w:tcPr>
          <w:p w14:paraId="518B8097" w14:textId="77777777" w:rsidR="005C332D" w:rsidRDefault="005C332D">
            <w:pPr>
              <w:rPr>
                <w:rFonts w:ascii="宋体"/>
              </w:rPr>
            </w:pPr>
          </w:p>
        </w:tc>
        <w:tc>
          <w:tcPr>
            <w:tcW w:w="5" w:type="pct"/>
            <w:shd w:val="clear" w:color="auto" w:fill="auto"/>
            <w:vAlign w:val="bottom"/>
          </w:tcPr>
          <w:p w14:paraId="518B8098" w14:textId="77777777" w:rsidR="005C332D" w:rsidRDefault="005C332D">
            <w:pPr>
              <w:rPr>
                <w:rFonts w:ascii="宋体"/>
              </w:rPr>
            </w:pPr>
          </w:p>
        </w:tc>
        <w:tc>
          <w:tcPr>
            <w:tcW w:w="50" w:type="pct"/>
            <w:shd w:val="clear" w:color="auto" w:fill="auto"/>
            <w:vAlign w:val="bottom"/>
          </w:tcPr>
          <w:p w14:paraId="518B8099" w14:textId="77777777" w:rsidR="005C332D" w:rsidRDefault="005C332D">
            <w:pPr>
              <w:rPr>
                <w:rFonts w:ascii="宋体"/>
              </w:rPr>
            </w:pPr>
          </w:p>
        </w:tc>
        <w:tc>
          <w:tcPr>
            <w:tcW w:w="678" w:type="pct"/>
            <w:shd w:val="clear" w:color="auto" w:fill="auto"/>
            <w:vAlign w:val="bottom"/>
          </w:tcPr>
          <w:p w14:paraId="518B809A" w14:textId="77777777" w:rsidR="005C332D" w:rsidRDefault="005C332D">
            <w:pPr>
              <w:rPr>
                <w:rFonts w:ascii="宋体"/>
              </w:rPr>
            </w:pPr>
          </w:p>
        </w:tc>
        <w:tc>
          <w:tcPr>
            <w:tcW w:w="5" w:type="pct"/>
            <w:shd w:val="clear" w:color="auto" w:fill="auto"/>
            <w:vAlign w:val="bottom"/>
          </w:tcPr>
          <w:p w14:paraId="518B809B" w14:textId="77777777" w:rsidR="005C332D" w:rsidRDefault="005C332D">
            <w:pPr>
              <w:rPr>
                <w:rFonts w:ascii="宋体"/>
              </w:rPr>
            </w:pPr>
          </w:p>
        </w:tc>
        <w:tc>
          <w:tcPr>
            <w:tcW w:w="5" w:type="pct"/>
            <w:shd w:val="clear" w:color="auto" w:fill="auto"/>
            <w:vAlign w:val="bottom"/>
          </w:tcPr>
          <w:p w14:paraId="518B809C" w14:textId="77777777" w:rsidR="005C332D" w:rsidRDefault="005C332D">
            <w:pPr>
              <w:rPr>
                <w:rFonts w:ascii="宋体"/>
              </w:rPr>
            </w:pPr>
          </w:p>
        </w:tc>
        <w:tc>
          <w:tcPr>
            <w:tcW w:w="26" w:type="pct"/>
            <w:shd w:val="clear" w:color="auto" w:fill="auto"/>
            <w:vAlign w:val="bottom"/>
          </w:tcPr>
          <w:p w14:paraId="518B809D" w14:textId="77777777" w:rsidR="005C332D" w:rsidRDefault="005C332D">
            <w:pPr>
              <w:rPr>
                <w:rFonts w:ascii="宋体"/>
              </w:rPr>
            </w:pPr>
          </w:p>
        </w:tc>
        <w:tc>
          <w:tcPr>
            <w:tcW w:w="5" w:type="pct"/>
            <w:shd w:val="clear" w:color="auto" w:fill="auto"/>
            <w:vAlign w:val="bottom"/>
          </w:tcPr>
          <w:p w14:paraId="518B809E" w14:textId="77777777" w:rsidR="005C332D" w:rsidRDefault="005C332D">
            <w:pPr>
              <w:rPr>
                <w:rFonts w:ascii="宋体"/>
              </w:rPr>
            </w:pPr>
          </w:p>
        </w:tc>
        <w:tc>
          <w:tcPr>
            <w:tcW w:w="50" w:type="pct"/>
            <w:shd w:val="clear" w:color="auto" w:fill="auto"/>
            <w:vAlign w:val="bottom"/>
          </w:tcPr>
          <w:p w14:paraId="518B809F" w14:textId="77777777" w:rsidR="005C332D" w:rsidRDefault="005C332D">
            <w:pPr>
              <w:rPr>
                <w:rFonts w:ascii="宋体"/>
              </w:rPr>
            </w:pPr>
          </w:p>
        </w:tc>
        <w:tc>
          <w:tcPr>
            <w:tcW w:w="678" w:type="pct"/>
            <w:shd w:val="clear" w:color="auto" w:fill="auto"/>
            <w:vAlign w:val="bottom"/>
          </w:tcPr>
          <w:p w14:paraId="518B80A0" w14:textId="77777777" w:rsidR="005C332D" w:rsidRDefault="005C332D">
            <w:pPr>
              <w:rPr>
                <w:rFonts w:ascii="宋体"/>
              </w:rPr>
            </w:pPr>
          </w:p>
        </w:tc>
        <w:tc>
          <w:tcPr>
            <w:tcW w:w="5" w:type="pct"/>
            <w:shd w:val="clear" w:color="auto" w:fill="auto"/>
            <w:vAlign w:val="bottom"/>
          </w:tcPr>
          <w:p w14:paraId="518B80A1" w14:textId="77777777" w:rsidR="005C332D" w:rsidRDefault="005C332D">
            <w:pPr>
              <w:rPr>
                <w:rFonts w:ascii="宋体"/>
              </w:rPr>
            </w:pPr>
          </w:p>
        </w:tc>
      </w:tr>
      <w:tr w:rsidR="005C332D" w14:paraId="518B80A9" w14:textId="77777777">
        <w:tc>
          <w:tcPr>
            <w:tcW w:w="0" w:type="auto"/>
            <w:gridSpan w:val="3"/>
            <w:shd w:val="clear" w:color="auto" w:fill="auto"/>
            <w:tcMar>
              <w:top w:w="40" w:type="dxa"/>
              <w:left w:w="20" w:type="dxa"/>
              <w:bottom w:w="40" w:type="dxa"/>
              <w:right w:w="20" w:type="dxa"/>
            </w:tcMar>
            <w:vAlign w:val="bottom"/>
          </w:tcPr>
          <w:p w14:paraId="518B80A3" w14:textId="77777777" w:rsidR="005C332D" w:rsidRDefault="00B93EAE">
            <w:pPr>
              <w:textAlignment w:val="bottom"/>
            </w:pPr>
            <w:r>
              <w:rPr>
                <w:rFonts w:ascii="Times New Roman" w:eastAsia="宋体" w:hAnsi="Times New Roman"/>
                <w:color w:val="000000"/>
                <w:sz w:val="16"/>
                <w:szCs w:val="16"/>
                <w:u w:val="single"/>
              </w:rPr>
              <w:t>Years Ended</w:t>
            </w:r>
          </w:p>
        </w:tc>
        <w:tc>
          <w:tcPr>
            <w:tcW w:w="0" w:type="auto"/>
            <w:gridSpan w:val="3"/>
            <w:shd w:val="clear" w:color="auto" w:fill="auto"/>
            <w:tcMar>
              <w:top w:w="40" w:type="dxa"/>
              <w:left w:w="20" w:type="dxa"/>
              <w:bottom w:w="40" w:type="dxa"/>
              <w:right w:w="20" w:type="dxa"/>
            </w:tcMar>
            <w:vAlign w:val="bottom"/>
          </w:tcPr>
          <w:p w14:paraId="518B80A4"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80A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0A6"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80A7"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0A8"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80B0" w14:textId="77777777">
        <w:tc>
          <w:tcPr>
            <w:tcW w:w="0" w:type="auto"/>
            <w:gridSpan w:val="3"/>
            <w:shd w:val="clear" w:color="auto" w:fill="CCEEFF"/>
            <w:tcMar>
              <w:top w:w="40" w:type="dxa"/>
              <w:left w:w="20" w:type="dxa"/>
              <w:bottom w:w="40" w:type="dxa"/>
              <w:right w:w="20" w:type="dxa"/>
            </w:tcMar>
          </w:tcPr>
          <w:p w14:paraId="518B80AA" w14:textId="77777777" w:rsidR="005C332D" w:rsidRDefault="00B93EAE">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80A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0AC"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80A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0AE"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80AF" w14:textId="77777777" w:rsidR="005C332D" w:rsidRDefault="005C332D">
            <w:pPr>
              <w:rPr>
                <w:rFonts w:ascii="宋体"/>
              </w:rPr>
            </w:pPr>
          </w:p>
        </w:tc>
      </w:tr>
      <w:tr w:rsidR="005C332D" w14:paraId="518B80BD" w14:textId="77777777">
        <w:tc>
          <w:tcPr>
            <w:tcW w:w="0" w:type="auto"/>
            <w:gridSpan w:val="3"/>
            <w:shd w:val="clear" w:color="auto" w:fill="FFFFFF"/>
            <w:tcMar>
              <w:top w:w="40" w:type="dxa"/>
              <w:left w:w="380" w:type="dxa"/>
              <w:bottom w:w="40" w:type="dxa"/>
              <w:right w:w="20" w:type="dxa"/>
            </w:tcMar>
          </w:tcPr>
          <w:p w14:paraId="518B80B1" w14:textId="77777777" w:rsidR="005C332D" w:rsidRDefault="00B93EAE">
            <w:pPr>
              <w:textAlignment w:val="top"/>
            </w:pPr>
            <w:r>
              <w:rPr>
                <w:rFonts w:ascii="Times New Roman" w:eastAsia="宋体" w:hAnsi="Times New Roman"/>
                <w:color w:val="000000"/>
                <w:sz w:val="20"/>
                <w:szCs w:val="20"/>
              </w:rPr>
              <w:t>Americas</w:t>
            </w:r>
          </w:p>
        </w:tc>
        <w:tc>
          <w:tcPr>
            <w:tcW w:w="0" w:type="auto"/>
            <w:shd w:val="clear" w:color="auto" w:fill="FFFFFF"/>
            <w:tcMar>
              <w:top w:w="40" w:type="dxa"/>
              <w:left w:w="20" w:type="dxa"/>
              <w:bottom w:w="40" w:type="dxa"/>
              <w:right w:w="0" w:type="dxa"/>
            </w:tcMar>
            <w:vAlign w:val="bottom"/>
          </w:tcPr>
          <w:p w14:paraId="518B80B2"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80B3" w14:textId="77777777" w:rsidR="005C332D" w:rsidRDefault="00B93EAE">
            <w:pPr>
              <w:jc w:val="right"/>
              <w:textAlignment w:val="bottom"/>
            </w:pPr>
            <w:r>
              <w:rPr>
                <w:rFonts w:ascii="Times New Roman" w:eastAsia="宋体" w:hAnsi="Times New Roman"/>
                <w:b/>
                <w:bCs/>
                <w:color w:val="000000"/>
                <w:sz w:val="20"/>
                <w:szCs w:val="20"/>
              </w:rPr>
              <w:t>29,814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80B4"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B5"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80B6"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80B7" w14:textId="77777777" w:rsidR="005C332D" w:rsidRDefault="00B93EAE">
            <w:pPr>
              <w:jc w:val="right"/>
              <w:textAlignment w:val="bottom"/>
            </w:pPr>
            <w:r>
              <w:rPr>
                <w:rFonts w:ascii="Times New Roman" w:eastAsia="宋体" w:hAnsi="Times New Roman"/>
                <w:color w:val="000000"/>
                <w:sz w:val="20"/>
                <w:szCs w:val="20"/>
              </w:rPr>
              <w:t>29,161 </w:t>
            </w:r>
          </w:p>
        </w:tc>
        <w:tc>
          <w:tcPr>
            <w:tcW w:w="0" w:type="auto"/>
            <w:shd w:val="clear" w:color="auto" w:fill="FFFFFF"/>
            <w:tcMar>
              <w:top w:w="40" w:type="dxa"/>
              <w:left w:w="0" w:type="dxa"/>
              <w:bottom w:w="40" w:type="dxa"/>
              <w:right w:w="20" w:type="dxa"/>
            </w:tcMar>
            <w:vAlign w:val="bottom"/>
          </w:tcPr>
          <w:p w14:paraId="518B80B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B9"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80BA"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80BB" w14:textId="77777777" w:rsidR="005C332D" w:rsidRDefault="00B93EAE">
            <w:pPr>
              <w:jc w:val="right"/>
              <w:textAlignment w:val="bottom"/>
            </w:pPr>
            <w:r>
              <w:rPr>
                <w:rFonts w:ascii="Times New Roman" w:eastAsia="宋体" w:hAnsi="Times New Roman"/>
                <w:color w:val="000000"/>
                <w:sz w:val="20"/>
                <w:szCs w:val="20"/>
              </w:rPr>
              <w:t>29,291 </w:t>
            </w:r>
          </w:p>
        </w:tc>
        <w:tc>
          <w:tcPr>
            <w:tcW w:w="0" w:type="auto"/>
            <w:shd w:val="clear" w:color="auto" w:fill="FFFFFF"/>
            <w:tcMar>
              <w:top w:w="40" w:type="dxa"/>
              <w:left w:w="0" w:type="dxa"/>
              <w:bottom w:w="40" w:type="dxa"/>
              <w:right w:w="20" w:type="dxa"/>
            </w:tcMar>
            <w:vAlign w:val="bottom"/>
          </w:tcPr>
          <w:p w14:paraId="518B80BC" w14:textId="77777777" w:rsidR="005C332D" w:rsidRDefault="005C332D">
            <w:pPr>
              <w:jc w:val="right"/>
              <w:rPr>
                <w:rFonts w:ascii="宋体"/>
              </w:rPr>
            </w:pPr>
          </w:p>
        </w:tc>
      </w:tr>
      <w:tr w:rsidR="005C332D" w14:paraId="518B80C7" w14:textId="77777777">
        <w:tc>
          <w:tcPr>
            <w:tcW w:w="0" w:type="auto"/>
            <w:gridSpan w:val="3"/>
            <w:shd w:val="clear" w:color="auto" w:fill="CCEEFF"/>
            <w:tcMar>
              <w:top w:w="40" w:type="dxa"/>
              <w:left w:w="380" w:type="dxa"/>
              <w:bottom w:w="40" w:type="dxa"/>
              <w:right w:w="20" w:type="dxa"/>
            </w:tcMar>
          </w:tcPr>
          <w:p w14:paraId="518B80BE" w14:textId="77777777" w:rsidR="005C332D" w:rsidRDefault="00B93EAE">
            <w:pPr>
              <w:textAlignment w:val="top"/>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518B80BF" w14:textId="77777777" w:rsidR="005C332D" w:rsidRDefault="00B93EAE">
            <w:pPr>
              <w:jc w:val="right"/>
              <w:textAlignment w:val="bottom"/>
            </w:pPr>
            <w:r>
              <w:rPr>
                <w:rFonts w:ascii="Times New Roman" w:eastAsia="宋体" w:hAnsi="Times New Roman"/>
                <w:b/>
                <w:bCs/>
                <w:color w:val="000000"/>
                <w:sz w:val="20"/>
                <w:szCs w:val="20"/>
              </w:rPr>
              <w:t>13,715</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0C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C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0C2" w14:textId="77777777" w:rsidR="005C332D" w:rsidRDefault="00B93EAE">
            <w:pPr>
              <w:jc w:val="right"/>
              <w:textAlignment w:val="bottom"/>
            </w:pPr>
            <w:r>
              <w:rPr>
                <w:rFonts w:ascii="Times New Roman" w:eastAsia="宋体" w:hAnsi="Times New Roman"/>
                <w:color w:val="000000"/>
                <w:sz w:val="20"/>
                <w:szCs w:val="20"/>
              </w:rPr>
              <w:t>12,951 </w:t>
            </w:r>
          </w:p>
        </w:tc>
        <w:tc>
          <w:tcPr>
            <w:tcW w:w="0" w:type="auto"/>
            <w:shd w:val="clear" w:color="auto" w:fill="CCEEFF"/>
            <w:tcMar>
              <w:top w:w="40" w:type="dxa"/>
              <w:left w:w="0" w:type="dxa"/>
              <w:bottom w:w="40" w:type="dxa"/>
              <w:right w:w="20" w:type="dxa"/>
            </w:tcMar>
            <w:vAlign w:val="bottom"/>
          </w:tcPr>
          <w:p w14:paraId="518B80C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C4"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0C5" w14:textId="77777777" w:rsidR="005C332D" w:rsidRDefault="00B93EAE">
            <w:pPr>
              <w:jc w:val="right"/>
              <w:textAlignment w:val="bottom"/>
            </w:pPr>
            <w:r>
              <w:rPr>
                <w:rFonts w:ascii="Times New Roman" w:eastAsia="宋体" w:hAnsi="Times New Roman"/>
                <w:color w:val="000000"/>
                <w:sz w:val="20"/>
                <w:szCs w:val="20"/>
              </w:rPr>
              <w:t>12,659 </w:t>
            </w:r>
          </w:p>
        </w:tc>
        <w:tc>
          <w:tcPr>
            <w:tcW w:w="0" w:type="auto"/>
            <w:shd w:val="clear" w:color="auto" w:fill="CCEEFF"/>
            <w:tcMar>
              <w:top w:w="40" w:type="dxa"/>
              <w:left w:w="0" w:type="dxa"/>
              <w:bottom w:w="40" w:type="dxa"/>
              <w:right w:w="20" w:type="dxa"/>
            </w:tcMar>
            <w:vAlign w:val="bottom"/>
          </w:tcPr>
          <w:p w14:paraId="518B80C6" w14:textId="77777777" w:rsidR="005C332D" w:rsidRDefault="005C332D">
            <w:pPr>
              <w:jc w:val="right"/>
              <w:rPr>
                <w:rFonts w:ascii="宋体"/>
              </w:rPr>
            </w:pPr>
          </w:p>
        </w:tc>
      </w:tr>
      <w:tr w:rsidR="005C332D" w14:paraId="518B80D1" w14:textId="77777777">
        <w:tc>
          <w:tcPr>
            <w:tcW w:w="0" w:type="auto"/>
            <w:gridSpan w:val="3"/>
            <w:shd w:val="clear" w:color="auto" w:fill="FFFFFF"/>
            <w:tcMar>
              <w:top w:w="40" w:type="dxa"/>
              <w:left w:w="380" w:type="dxa"/>
              <w:bottom w:w="40" w:type="dxa"/>
              <w:right w:w="20" w:type="dxa"/>
            </w:tcMar>
          </w:tcPr>
          <w:p w14:paraId="518B80C8" w14:textId="77777777" w:rsidR="005C332D" w:rsidRDefault="00B93EAE">
            <w:pPr>
              <w:textAlignment w:val="top"/>
            </w:pPr>
            <w:r>
              <w:rPr>
                <w:rFonts w:ascii="Times New Roman" w:eastAsia="宋体" w:hAnsi="Times New Roman"/>
                <w:color w:val="000000"/>
                <w:sz w:val="20"/>
                <w:szCs w:val="20"/>
              </w:rPr>
              <w:t>APJC</w:t>
            </w:r>
          </w:p>
        </w:tc>
        <w:tc>
          <w:tcPr>
            <w:tcW w:w="0" w:type="auto"/>
            <w:gridSpan w:val="2"/>
            <w:shd w:val="clear" w:color="auto" w:fill="FFFFFF"/>
            <w:tcMar>
              <w:top w:w="40" w:type="dxa"/>
              <w:left w:w="20" w:type="dxa"/>
              <w:bottom w:w="40" w:type="dxa"/>
              <w:right w:w="0" w:type="dxa"/>
            </w:tcMar>
            <w:vAlign w:val="bottom"/>
          </w:tcPr>
          <w:p w14:paraId="518B80C9" w14:textId="77777777" w:rsidR="005C332D" w:rsidRDefault="00B93EAE">
            <w:pPr>
              <w:jc w:val="right"/>
              <w:textAlignment w:val="bottom"/>
            </w:pPr>
            <w:r>
              <w:rPr>
                <w:rFonts w:ascii="Times New Roman" w:eastAsia="宋体" w:hAnsi="Times New Roman"/>
                <w:b/>
                <w:bCs/>
                <w:color w:val="000000"/>
                <w:sz w:val="20"/>
                <w:szCs w:val="20"/>
              </w:rPr>
              <w:t>8,027</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80C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CB"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CC" w14:textId="77777777" w:rsidR="005C332D" w:rsidRDefault="00B93EAE">
            <w:pPr>
              <w:jc w:val="right"/>
              <w:textAlignment w:val="bottom"/>
            </w:pPr>
            <w:r>
              <w:rPr>
                <w:rFonts w:ascii="Times New Roman" w:eastAsia="宋体" w:hAnsi="Times New Roman"/>
                <w:color w:val="000000"/>
                <w:sz w:val="20"/>
                <w:szCs w:val="20"/>
              </w:rPr>
              <w:t>7,706 </w:t>
            </w:r>
          </w:p>
        </w:tc>
        <w:tc>
          <w:tcPr>
            <w:tcW w:w="0" w:type="auto"/>
            <w:shd w:val="clear" w:color="auto" w:fill="FFFFFF"/>
            <w:tcMar>
              <w:top w:w="40" w:type="dxa"/>
              <w:left w:w="0" w:type="dxa"/>
              <w:bottom w:w="40" w:type="dxa"/>
              <w:right w:w="20" w:type="dxa"/>
            </w:tcMar>
            <w:vAlign w:val="bottom"/>
          </w:tcPr>
          <w:p w14:paraId="518B80CD"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CE"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CF" w14:textId="77777777" w:rsidR="005C332D" w:rsidRDefault="00B93EAE">
            <w:pPr>
              <w:jc w:val="right"/>
              <w:textAlignment w:val="bottom"/>
            </w:pPr>
            <w:r>
              <w:rPr>
                <w:rFonts w:ascii="Times New Roman" w:eastAsia="宋体" w:hAnsi="Times New Roman"/>
                <w:color w:val="000000"/>
                <w:sz w:val="20"/>
                <w:szCs w:val="20"/>
              </w:rPr>
              <w:t>7,352 </w:t>
            </w:r>
          </w:p>
        </w:tc>
        <w:tc>
          <w:tcPr>
            <w:tcW w:w="0" w:type="auto"/>
            <w:shd w:val="clear" w:color="auto" w:fill="FFFFFF"/>
            <w:tcMar>
              <w:top w:w="40" w:type="dxa"/>
              <w:left w:w="0" w:type="dxa"/>
              <w:bottom w:w="40" w:type="dxa"/>
              <w:right w:w="20" w:type="dxa"/>
            </w:tcMar>
            <w:vAlign w:val="bottom"/>
          </w:tcPr>
          <w:p w14:paraId="518B80D0" w14:textId="77777777" w:rsidR="005C332D" w:rsidRDefault="005C332D">
            <w:pPr>
              <w:jc w:val="right"/>
              <w:rPr>
                <w:rFonts w:ascii="宋体"/>
              </w:rPr>
            </w:pPr>
          </w:p>
        </w:tc>
      </w:tr>
      <w:tr w:rsidR="005C332D" w14:paraId="518B80DE" w14:textId="77777777">
        <w:tc>
          <w:tcPr>
            <w:tcW w:w="0" w:type="auto"/>
            <w:gridSpan w:val="3"/>
            <w:shd w:val="clear" w:color="auto" w:fill="CCEEFF"/>
            <w:tcMar>
              <w:top w:w="40" w:type="dxa"/>
              <w:left w:w="740" w:type="dxa"/>
              <w:bottom w:w="40" w:type="dxa"/>
              <w:right w:w="20" w:type="dxa"/>
            </w:tcMar>
          </w:tcPr>
          <w:p w14:paraId="518B80D2"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80D3"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80D4" w14:textId="77777777" w:rsidR="005C332D" w:rsidRDefault="00B93EAE">
            <w:pPr>
              <w:jc w:val="right"/>
              <w:textAlignment w:val="bottom"/>
            </w:pPr>
            <w:r>
              <w:rPr>
                <w:rFonts w:ascii="Times New Roman" w:eastAsia="宋体" w:hAnsi="Times New Roman"/>
                <w:b/>
                <w:bCs/>
                <w:color w:val="000000"/>
                <w:sz w:val="20"/>
                <w:szCs w:val="20"/>
              </w:rPr>
              <w:t>51,557</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0D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D6"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80D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80D8" w14:textId="77777777" w:rsidR="005C332D" w:rsidRDefault="00B93EAE">
            <w:pPr>
              <w:jc w:val="right"/>
              <w:textAlignment w:val="bottom"/>
            </w:pPr>
            <w:r>
              <w:rPr>
                <w:rFonts w:ascii="Times New Roman" w:eastAsia="宋体" w:hAnsi="Times New Roman"/>
                <w:color w:val="000000"/>
                <w:sz w:val="20"/>
                <w:szCs w:val="20"/>
              </w:rPr>
              <w:t>49,818 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0D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DA"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80DB"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80DC" w14:textId="77777777" w:rsidR="005C332D" w:rsidRDefault="00B93EAE">
            <w:pPr>
              <w:jc w:val="right"/>
              <w:textAlignment w:val="bottom"/>
            </w:pPr>
            <w:r>
              <w:rPr>
                <w:rFonts w:ascii="Times New Roman" w:eastAsia="宋体" w:hAnsi="Times New Roman"/>
                <w:color w:val="000000"/>
                <w:sz w:val="20"/>
                <w:szCs w:val="20"/>
              </w:rPr>
              <w:t>49,301 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0DD" w14:textId="77777777" w:rsidR="005C332D" w:rsidRDefault="005C332D">
            <w:pPr>
              <w:jc w:val="right"/>
              <w:rPr>
                <w:rFonts w:ascii="宋体"/>
              </w:rPr>
            </w:pPr>
          </w:p>
        </w:tc>
      </w:tr>
      <w:tr w:rsidR="005C332D" w14:paraId="518B80E5" w14:textId="77777777">
        <w:tc>
          <w:tcPr>
            <w:tcW w:w="0" w:type="auto"/>
            <w:gridSpan w:val="3"/>
            <w:shd w:val="clear" w:color="auto" w:fill="auto"/>
            <w:tcMar>
              <w:top w:w="40" w:type="dxa"/>
              <w:left w:w="20" w:type="dxa"/>
              <w:bottom w:w="40" w:type="dxa"/>
              <w:right w:w="20" w:type="dxa"/>
            </w:tcMar>
          </w:tcPr>
          <w:p w14:paraId="518B80DF" w14:textId="77777777" w:rsidR="005C332D" w:rsidRDefault="00B93EAE">
            <w:pPr>
              <w:textAlignment w:val="top"/>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80E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0E1"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80E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0E3" w14:textId="77777777" w:rsidR="005C332D" w:rsidRDefault="005C332D">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518B80E4" w14:textId="77777777" w:rsidR="005C332D" w:rsidRDefault="005C332D">
            <w:pPr>
              <w:rPr>
                <w:rFonts w:ascii="宋体"/>
              </w:rPr>
            </w:pPr>
          </w:p>
        </w:tc>
      </w:tr>
      <w:tr w:rsidR="005C332D" w14:paraId="518B80F2" w14:textId="77777777">
        <w:tc>
          <w:tcPr>
            <w:tcW w:w="0" w:type="auto"/>
            <w:gridSpan w:val="3"/>
            <w:shd w:val="clear" w:color="auto" w:fill="CCEEFF"/>
            <w:tcMar>
              <w:top w:w="40" w:type="dxa"/>
              <w:left w:w="380" w:type="dxa"/>
              <w:bottom w:w="40" w:type="dxa"/>
              <w:right w:w="20" w:type="dxa"/>
            </w:tcMar>
          </w:tcPr>
          <w:p w14:paraId="518B80E6" w14:textId="77777777" w:rsidR="005C332D" w:rsidRDefault="00B93EAE">
            <w:pPr>
              <w:textAlignment w:val="top"/>
            </w:pPr>
            <w:r>
              <w:rPr>
                <w:rFonts w:ascii="Times New Roman" w:eastAsia="宋体" w:hAnsi="Times New Roman"/>
                <w:color w:val="000000"/>
                <w:sz w:val="20"/>
                <w:szCs w:val="20"/>
              </w:rPr>
              <w:t>Americas</w:t>
            </w:r>
          </w:p>
        </w:tc>
        <w:tc>
          <w:tcPr>
            <w:tcW w:w="0" w:type="auto"/>
            <w:shd w:val="clear" w:color="auto" w:fill="CCEEFF"/>
            <w:tcMar>
              <w:top w:w="40" w:type="dxa"/>
              <w:left w:w="20" w:type="dxa"/>
              <w:bottom w:w="40" w:type="dxa"/>
              <w:right w:w="0" w:type="dxa"/>
            </w:tcMar>
            <w:vAlign w:val="bottom"/>
          </w:tcPr>
          <w:p w14:paraId="518B80E7"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CCEEFF"/>
            <w:tcMar>
              <w:top w:w="40" w:type="dxa"/>
              <w:left w:w="0" w:type="dxa"/>
              <w:bottom w:w="40" w:type="dxa"/>
              <w:right w:w="0" w:type="dxa"/>
            </w:tcMar>
            <w:vAlign w:val="bottom"/>
          </w:tcPr>
          <w:p w14:paraId="518B80E8" w14:textId="77777777" w:rsidR="005C332D" w:rsidRDefault="00B93EAE">
            <w:pPr>
              <w:jc w:val="right"/>
              <w:textAlignment w:val="bottom"/>
            </w:pPr>
            <w:r>
              <w:rPr>
                <w:rFonts w:ascii="Times New Roman" w:eastAsia="宋体" w:hAnsi="Times New Roman"/>
                <w:b/>
                <w:bCs/>
                <w:color w:val="000000"/>
                <w:sz w:val="20"/>
                <w:szCs w:val="20"/>
              </w:rPr>
              <w:t>19,117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0E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EA"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80E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80EC" w14:textId="77777777" w:rsidR="005C332D" w:rsidRDefault="00B93EAE">
            <w:pPr>
              <w:jc w:val="right"/>
              <w:textAlignment w:val="bottom"/>
            </w:pPr>
            <w:r>
              <w:rPr>
                <w:rFonts w:ascii="Times New Roman" w:eastAsia="宋体" w:hAnsi="Times New Roman"/>
                <w:color w:val="000000"/>
                <w:sz w:val="20"/>
                <w:szCs w:val="20"/>
              </w:rPr>
              <w:t>19,499 </w:t>
            </w:r>
          </w:p>
        </w:tc>
        <w:tc>
          <w:tcPr>
            <w:tcW w:w="0" w:type="auto"/>
            <w:shd w:val="clear" w:color="auto" w:fill="CCEEFF"/>
            <w:tcMar>
              <w:top w:w="40" w:type="dxa"/>
              <w:left w:w="0" w:type="dxa"/>
              <w:bottom w:w="40" w:type="dxa"/>
              <w:right w:w="20" w:type="dxa"/>
            </w:tcMar>
            <w:vAlign w:val="bottom"/>
          </w:tcPr>
          <w:p w14:paraId="518B80E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0EE" w14:textId="77777777" w:rsidR="005C332D" w:rsidRDefault="005C332D">
            <w:pPr>
              <w:rPr>
                <w:rFonts w:ascii="宋体"/>
              </w:rPr>
            </w:pPr>
          </w:p>
        </w:tc>
        <w:tc>
          <w:tcPr>
            <w:tcW w:w="0" w:type="auto"/>
            <w:shd w:val="clear" w:color="auto" w:fill="CCEEFF"/>
            <w:tcMar>
              <w:top w:w="40" w:type="dxa"/>
              <w:left w:w="20" w:type="dxa"/>
              <w:bottom w:w="40" w:type="dxa"/>
              <w:right w:w="0" w:type="dxa"/>
            </w:tcMar>
            <w:vAlign w:val="bottom"/>
          </w:tcPr>
          <w:p w14:paraId="518B80EF"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518B80F0" w14:textId="77777777" w:rsidR="005C332D" w:rsidRDefault="00B93EAE">
            <w:pPr>
              <w:jc w:val="right"/>
              <w:textAlignment w:val="bottom"/>
            </w:pPr>
            <w:r>
              <w:rPr>
                <w:rFonts w:ascii="Times New Roman" w:eastAsia="宋体" w:hAnsi="Times New Roman"/>
                <w:color w:val="000000"/>
                <w:sz w:val="20"/>
                <w:szCs w:val="20"/>
              </w:rPr>
              <w:t>19,547 </w:t>
            </w:r>
          </w:p>
        </w:tc>
        <w:tc>
          <w:tcPr>
            <w:tcW w:w="0" w:type="auto"/>
            <w:shd w:val="clear" w:color="auto" w:fill="CCEEFF"/>
            <w:tcMar>
              <w:top w:w="40" w:type="dxa"/>
              <w:left w:w="0" w:type="dxa"/>
              <w:bottom w:w="40" w:type="dxa"/>
              <w:right w:w="20" w:type="dxa"/>
            </w:tcMar>
            <w:vAlign w:val="bottom"/>
          </w:tcPr>
          <w:p w14:paraId="518B80F1" w14:textId="77777777" w:rsidR="005C332D" w:rsidRDefault="005C332D">
            <w:pPr>
              <w:jc w:val="right"/>
              <w:rPr>
                <w:rFonts w:ascii="宋体"/>
              </w:rPr>
            </w:pPr>
          </w:p>
        </w:tc>
      </w:tr>
      <w:tr w:rsidR="005C332D" w14:paraId="518B80FC" w14:textId="77777777">
        <w:tc>
          <w:tcPr>
            <w:tcW w:w="0" w:type="auto"/>
            <w:gridSpan w:val="3"/>
            <w:shd w:val="clear" w:color="auto" w:fill="FFFFFF"/>
            <w:tcMar>
              <w:top w:w="40" w:type="dxa"/>
              <w:left w:w="380" w:type="dxa"/>
              <w:bottom w:w="40" w:type="dxa"/>
              <w:right w:w="20" w:type="dxa"/>
            </w:tcMar>
          </w:tcPr>
          <w:p w14:paraId="518B80F3" w14:textId="77777777" w:rsidR="005C332D" w:rsidRDefault="00B93EAE">
            <w:pPr>
              <w:textAlignment w:val="top"/>
            </w:pPr>
            <w:r>
              <w:rPr>
                <w:rFonts w:ascii="Times New Roman" w:eastAsia="宋体" w:hAnsi="Times New Roman"/>
                <w:color w:val="000000"/>
                <w:sz w:val="20"/>
                <w:szCs w:val="20"/>
              </w:rPr>
              <w:t>EMEA</w:t>
            </w:r>
          </w:p>
        </w:tc>
        <w:tc>
          <w:tcPr>
            <w:tcW w:w="0" w:type="auto"/>
            <w:gridSpan w:val="2"/>
            <w:shd w:val="clear" w:color="auto" w:fill="FFFFFF"/>
            <w:tcMar>
              <w:top w:w="40" w:type="dxa"/>
              <w:left w:w="20" w:type="dxa"/>
              <w:bottom w:w="40" w:type="dxa"/>
              <w:right w:w="0" w:type="dxa"/>
            </w:tcMar>
            <w:vAlign w:val="bottom"/>
          </w:tcPr>
          <w:p w14:paraId="518B80F4" w14:textId="77777777" w:rsidR="005C332D" w:rsidRDefault="00B93EAE">
            <w:pPr>
              <w:jc w:val="right"/>
              <w:textAlignment w:val="bottom"/>
            </w:pPr>
            <w:r>
              <w:rPr>
                <w:rFonts w:ascii="Times New Roman" w:eastAsia="宋体" w:hAnsi="Times New Roman"/>
                <w:b/>
                <w:bCs/>
                <w:color w:val="000000"/>
                <w:sz w:val="20"/>
                <w:szCs w:val="20"/>
              </w:rPr>
              <w:t>8,969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80F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F6"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F7" w14:textId="77777777" w:rsidR="005C332D" w:rsidRDefault="00B93EAE">
            <w:pPr>
              <w:jc w:val="right"/>
              <w:textAlignment w:val="bottom"/>
            </w:pPr>
            <w:r>
              <w:rPr>
                <w:rFonts w:ascii="Times New Roman" w:eastAsia="宋体" w:hAnsi="Times New Roman"/>
                <w:color w:val="000000"/>
                <w:sz w:val="20"/>
                <w:szCs w:val="20"/>
              </w:rPr>
              <w:t>8,466 </w:t>
            </w:r>
          </w:p>
        </w:tc>
        <w:tc>
          <w:tcPr>
            <w:tcW w:w="0" w:type="auto"/>
            <w:shd w:val="clear" w:color="auto" w:fill="FFFFFF"/>
            <w:tcMar>
              <w:top w:w="40" w:type="dxa"/>
              <w:left w:w="0" w:type="dxa"/>
              <w:bottom w:w="40" w:type="dxa"/>
              <w:right w:w="20" w:type="dxa"/>
            </w:tcMar>
            <w:vAlign w:val="bottom"/>
          </w:tcPr>
          <w:p w14:paraId="518B80F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0F9"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0FA" w14:textId="77777777" w:rsidR="005C332D" w:rsidRDefault="00B93EAE">
            <w:pPr>
              <w:jc w:val="right"/>
              <w:textAlignment w:val="bottom"/>
            </w:pPr>
            <w:r>
              <w:rPr>
                <w:rFonts w:ascii="Times New Roman" w:eastAsia="宋体" w:hAnsi="Times New Roman"/>
                <w:color w:val="000000"/>
                <w:sz w:val="20"/>
                <w:szCs w:val="20"/>
              </w:rPr>
              <w:t>8,304 </w:t>
            </w:r>
          </w:p>
        </w:tc>
        <w:tc>
          <w:tcPr>
            <w:tcW w:w="0" w:type="auto"/>
            <w:shd w:val="clear" w:color="auto" w:fill="FFFFFF"/>
            <w:tcMar>
              <w:top w:w="40" w:type="dxa"/>
              <w:left w:w="0" w:type="dxa"/>
              <w:bottom w:w="40" w:type="dxa"/>
              <w:right w:w="20" w:type="dxa"/>
            </w:tcMar>
            <w:vAlign w:val="bottom"/>
          </w:tcPr>
          <w:p w14:paraId="518B80FB" w14:textId="77777777" w:rsidR="005C332D" w:rsidRDefault="005C332D">
            <w:pPr>
              <w:jc w:val="right"/>
              <w:rPr>
                <w:rFonts w:ascii="宋体"/>
              </w:rPr>
            </w:pPr>
          </w:p>
        </w:tc>
      </w:tr>
      <w:tr w:rsidR="005C332D" w14:paraId="518B8106" w14:textId="77777777">
        <w:tc>
          <w:tcPr>
            <w:tcW w:w="0" w:type="auto"/>
            <w:gridSpan w:val="3"/>
            <w:shd w:val="clear" w:color="auto" w:fill="CCEEFF"/>
            <w:tcMar>
              <w:top w:w="40" w:type="dxa"/>
              <w:left w:w="380" w:type="dxa"/>
              <w:bottom w:w="40" w:type="dxa"/>
              <w:right w:w="20" w:type="dxa"/>
            </w:tcMar>
          </w:tcPr>
          <w:p w14:paraId="518B80FD" w14:textId="77777777" w:rsidR="005C332D" w:rsidRDefault="00B93EAE">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518B80FE" w14:textId="77777777" w:rsidR="005C332D" w:rsidRDefault="00B93EAE">
            <w:pPr>
              <w:jc w:val="right"/>
              <w:textAlignment w:val="bottom"/>
            </w:pPr>
            <w:r>
              <w:rPr>
                <w:rFonts w:ascii="Times New Roman" w:eastAsia="宋体" w:hAnsi="Times New Roman"/>
                <w:b/>
                <w:bCs/>
                <w:color w:val="000000"/>
                <w:sz w:val="20"/>
                <w:szCs w:val="20"/>
              </w:rPr>
              <w:t>5,241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0F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00"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01" w14:textId="77777777" w:rsidR="005C332D" w:rsidRDefault="00B93EAE">
            <w:pPr>
              <w:jc w:val="right"/>
              <w:textAlignment w:val="bottom"/>
            </w:pPr>
            <w:r>
              <w:rPr>
                <w:rFonts w:ascii="Times New Roman" w:eastAsia="宋体" w:hAnsi="Times New Roman"/>
                <w:color w:val="000000"/>
                <w:sz w:val="20"/>
                <w:szCs w:val="20"/>
              </w:rPr>
              <w:t>4,949 </w:t>
            </w:r>
          </w:p>
        </w:tc>
        <w:tc>
          <w:tcPr>
            <w:tcW w:w="0" w:type="auto"/>
            <w:shd w:val="clear" w:color="auto" w:fill="CCEEFF"/>
            <w:tcMar>
              <w:top w:w="40" w:type="dxa"/>
              <w:left w:w="0" w:type="dxa"/>
              <w:bottom w:w="40" w:type="dxa"/>
              <w:right w:w="20" w:type="dxa"/>
            </w:tcMar>
            <w:vAlign w:val="bottom"/>
          </w:tcPr>
          <w:p w14:paraId="518B810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03"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04" w14:textId="77777777" w:rsidR="005C332D" w:rsidRDefault="00B93EAE">
            <w:pPr>
              <w:jc w:val="right"/>
              <w:textAlignment w:val="bottom"/>
            </w:pPr>
            <w:r>
              <w:rPr>
                <w:rFonts w:ascii="Times New Roman" w:eastAsia="宋体" w:hAnsi="Times New Roman"/>
                <w:color w:val="000000"/>
                <w:sz w:val="20"/>
                <w:szCs w:val="20"/>
              </w:rPr>
              <w:t>4,688 </w:t>
            </w:r>
          </w:p>
        </w:tc>
        <w:tc>
          <w:tcPr>
            <w:tcW w:w="0" w:type="auto"/>
            <w:shd w:val="clear" w:color="auto" w:fill="CCEEFF"/>
            <w:tcMar>
              <w:top w:w="40" w:type="dxa"/>
              <w:left w:w="0" w:type="dxa"/>
              <w:bottom w:w="40" w:type="dxa"/>
              <w:right w:w="20" w:type="dxa"/>
            </w:tcMar>
            <w:vAlign w:val="bottom"/>
          </w:tcPr>
          <w:p w14:paraId="518B8105" w14:textId="77777777" w:rsidR="005C332D" w:rsidRDefault="005C332D">
            <w:pPr>
              <w:jc w:val="right"/>
              <w:rPr>
                <w:rFonts w:ascii="宋体"/>
              </w:rPr>
            </w:pPr>
          </w:p>
        </w:tc>
      </w:tr>
      <w:tr w:rsidR="005C332D" w14:paraId="518B8110" w14:textId="77777777">
        <w:tc>
          <w:tcPr>
            <w:tcW w:w="0" w:type="auto"/>
            <w:gridSpan w:val="3"/>
            <w:shd w:val="clear" w:color="auto" w:fill="FFFFFF"/>
            <w:tcMar>
              <w:top w:w="40" w:type="dxa"/>
              <w:left w:w="740" w:type="dxa"/>
              <w:bottom w:w="40" w:type="dxa"/>
              <w:right w:w="20" w:type="dxa"/>
            </w:tcMar>
          </w:tcPr>
          <w:p w14:paraId="518B8107" w14:textId="77777777" w:rsidR="005C332D" w:rsidRDefault="00B93EAE">
            <w:pPr>
              <w:textAlignment w:val="top"/>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108" w14:textId="77777777" w:rsidR="005C332D" w:rsidRDefault="00B93EAE">
            <w:pPr>
              <w:jc w:val="right"/>
              <w:textAlignment w:val="bottom"/>
            </w:pPr>
            <w:r>
              <w:rPr>
                <w:rFonts w:ascii="Times New Roman" w:eastAsia="宋体" w:hAnsi="Times New Roman"/>
                <w:b/>
                <w:bCs/>
                <w:color w:val="000000"/>
                <w:sz w:val="20"/>
                <w:szCs w:val="20"/>
              </w:rPr>
              <w:t>33,326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10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0A"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10B" w14:textId="77777777" w:rsidR="005C332D" w:rsidRDefault="00B93EAE">
            <w:pPr>
              <w:jc w:val="right"/>
              <w:textAlignment w:val="bottom"/>
            </w:pPr>
            <w:r>
              <w:rPr>
                <w:rFonts w:ascii="Times New Roman" w:eastAsia="宋体" w:hAnsi="Times New Roman"/>
                <w:color w:val="000000"/>
                <w:sz w:val="20"/>
                <w:szCs w:val="20"/>
              </w:rPr>
              <w:t>32,914 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10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0D"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10E" w14:textId="77777777" w:rsidR="005C332D" w:rsidRDefault="00B93EAE">
            <w:pPr>
              <w:jc w:val="right"/>
              <w:textAlignment w:val="bottom"/>
            </w:pPr>
            <w:r>
              <w:rPr>
                <w:rFonts w:ascii="Times New Roman" w:eastAsia="宋体" w:hAnsi="Times New Roman"/>
                <w:color w:val="000000"/>
                <w:sz w:val="20"/>
                <w:szCs w:val="20"/>
              </w:rPr>
              <w:t>32,538 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10F" w14:textId="77777777" w:rsidR="005C332D" w:rsidRDefault="005C332D">
            <w:pPr>
              <w:jc w:val="right"/>
              <w:rPr>
                <w:rFonts w:ascii="宋体"/>
              </w:rPr>
            </w:pPr>
          </w:p>
        </w:tc>
      </w:tr>
      <w:tr w:rsidR="005C332D" w14:paraId="518B811A" w14:textId="77777777">
        <w:tc>
          <w:tcPr>
            <w:tcW w:w="0" w:type="auto"/>
            <w:gridSpan w:val="3"/>
            <w:shd w:val="clear" w:color="auto" w:fill="CCEEFF"/>
            <w:tcMar>
              <w:top w:w="40" w:type="dxa"/>
              <w:left w:w="20" w:type="dxa"/>
              <w:bottom w:w="40" w:type="dxa"/>
              <w:right w:w="20" w:type="dxa"/>
            </w:tcMar>
            <w:vAlign w:val="bottom"/>
          </w:tcPr>
          <w:p w14:paraId="518B8111" w14:textId="77777777" w:rsidR="005C332D" w:rsidRDefault="00B93EAE">
            <w:pPr>
              <w:textAlignment w:val="bottom"/>
            </w:pPr>
            <w:r>
              <w:rPr>
                <w:rFonts w:ascii="Times New Roman" w:eastAsia="宋体" w:hAnsi="Times New Roman"/>
                <w:color w:val="000000"/>
                <w:sz w:val="20"/>
                <w:szCs w:val="20"/>
              </w:rPr>
              <w:t>Unallocated corporate items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8112" w14:textId="77777777" w:rsidR="005C332D" w:rsidRDefault="00B93EAE">
            <w:pPr>
              <w:jc w:val="right"/>
              <w:textAlignment w:val="bottom"/>
            </w:pPr>
            <w:r>
              <w:rPr>
                <w:rFonts w:ascii="Times New Roman" w:eastAsia="宋体" w:hAnsi="Times New Roman"/>
                <w:b/>
                <w:bCs/>
                <w:color w:val="000000"/>
                <w:sz w:val="20"/>
                <w:szCs w:val="20"/>
              </w:rPr>
              <w:t>(1,078)</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113"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14"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8115" w14:textId="77777777" w:rsidR="005C332D" w:rsidRDefault="00B93EAE">
            <w:pPr>
              <w:jc w:val="right"/>
              <w:textAlignment w:val="bottom"/>
            </w:pPr>
            <w:r>
              <w:rPr>
                <w:rFonts w:ascii="Times New Roman" w:eastAsia="宋体" w:hAnsi="Times New Roman"/>
                <w:color w:val="000000"/>
                <w:sz w:val="20"/>
                <w:szCs w:val="20"/>
              </w:rPr>
              <w:t>(1,020)</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11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17" w14:textId="77777777" w:rsidR="005C332D" w:rsidRDefault="005C332D">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518B8118" w14:textId="77777777" w:rsidR="005C332D" w:rsidRDefault="00B93EAE">
            <w:pPr>
              <w:jc w:val="right"/>
              <w:textAlignment w:val="bottom"/>
            </w:pPr>
            <w:r>
              <w:rPr>
                <w:rFonts w:ascii="Times New Roman" w:eastAsia="宋体" w:hAnsi="Times New Roman"/>
                <w:color w:val="000000"/>
                <w:sz w:val="20"/>
                <w:szCs w:val="20"/>
              </w:rPr>
              <w:t>(855)</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119" w14:textId="77777777" w:rsidR="005C332D" w:rsidRDefault="005C332D">
            <w:pPr>
              <w:jc w:val="right"/>
              <w:rPr>
                <w:rFonts w:ascii="宋体"/>
              </w:rPr>
            </w:pPr>
          </w:p>
        </w:tc>
      </w:tr>
      <w:tr w:rsidR="005C332D" w14:paraId="518B8127" w14:textId="77777777">
        <w:tc>
          <w:tcPr>
            <w:tcW w:w="0" w:type="auto"/>
            <w:gridSpan w:val="3"/>
            <w:shd w:val="clear" w:color="auto" w:fill="FFFFFF"/>
            <w:tcMar>
              <w:top w:w="40" w:type="dxa"/>
              <w:left w:w="740" w:type="dxa"/>
              <w:bottom w:w="40" w:type="dxa"/>
              <w:right w:w="20" w:type="dxa"/>
            </w:tcMar>
          </w:tcPr>
          <w:p w14:paraId="518B811B"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811C"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811D" w14:textId="77777777" w:rsidR="005C332D" w:rsidRDefault="00B93EAE">
            <w:pPr>
              <w:jc w:val="right"/>
              <w:textAlignment w:val="bottom"/>
            </w:pPr>
            <w:r>
              <w:rPr>
                <w:rFonts w:ascii="Times New Roman" w:eastAsia="宋体" w:hAnsi="Times New Roman"/>
                <w:b/>
                <w:bCs/>
                <w:color w:val="000000"/>
                <w:sz w:val="20"/>
                <w:szCs w:val="20"/>
              </w:rPr>
              <w:t>32,248</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811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1F"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8120"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8121" w14:textId="77777777" w:rsidR="005C332D" w:rsidRDefault="00B93EAE">
            <w:pPr>
              <w:jc w:val="right"/>
              <w:textAlignment w:val="bottom"/>
            </w:pPr>
            <w:r>
              <w:rPr>
                <w:rFonts w:ascii="Times New Roman" w:eastAsia="宋体" w:hAnsi="Times New Roman"/>
                <w:color w:val="000000"/>
                <w:sz w:val="20"/>
                <w:szCs w:val="20"/>
              </w:rPr>
              <w:t>31,894 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812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23"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8124"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8125" w14:textId="77777777" w:rsidR="005C332D" w:rsidRDefault="00B93EAE">
            <w:pPr>
              <w:jc w:val="right"/>
              <w:textAlignment w:val="bottom"/>
            </w:pPr>
            <w:r>
              <w:rPr>
                <w:rFonts w:ascii="Times New Roman" w:eastAsia="宋体" w:hAnsi="Times New Roman"/>
                <w:color w:val="000000"/>
                <w:sz w:val="20"/>
                <w:szCs w:val="20"/>
              </w:rPr>
              <w:t>31,683 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8126" w14:textId="77777777" w:rsidR="005C332D" w:rsidRDefault="005C332D">
            <w:pPr>
              <w:jc w:val="right"/>
              <w:rPr>
                <w:rFonts w:ascii="宋体"/>
              </w:rPr>
            </w:pPr>
          </w:p>
        </w:tc>
      </w:tr>
    </w:tbl>
    <w:p w14:paraId="518B8128" w14:textId="77777777" w:rsidR="005C332D" w:rsidRDefault="00B93EAE">
      <w:pPr>
        <w:spacing w:before="120"/>
        <w:jc w:val="both"/>
      </w:pPr>
      <w:r>
        <w:rPr>
          <w:rFonts w:ascii="Times New Roman" w:eastAsia="宋体" w:hAnsi="Times New Roman"/>
          <w:color w:val="000000"/>
          <w:sz w:val="20"/>
          <w:szCs w:val="20"/>
        </w:rPr>
        <w:t>Amounts may not sum due to rounding.</w:t>
      </w:r>
    </w:p>
    <w:p w14:paraId="518B8129" w14:textId="77777777" w:rsidR="005C332D" w:rsidRDefault="00B93EAE">
      <w:pPr>
        <w:spacing w:before="120"/>
        <w:jc w:val="both"/>
      </w:pPr>
      <w:r>
        <w:rPr>
          <w:rFonts w:ascii="Times New Roman" w:eastAsia="宋体" w:hAnsi="Times New Roman"/>
          <w:color w:val="000000"/>
          <w:sz w:val="20"/>
          <w:szCs w:val="20"/>
        </w:rPr>
        <w:t>Revenue in the United States was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$26.7 billion, $26.1 billion, and $26.1 billion for fiscal 2022, 2021, and 2020, respectively.</w:t>
      </w:r>
    </w:p>
    <w:p w14:paraId="518B812A" w14:textId="77777777" w:rsidR="005C332D" w:rsidRDefault="00B93EAE">
      <w:pPr>
        <w:jc w:val="center"/>
      </w:pPr>
      <w:r>
        <w:rPr>
          <w:rFonts w:ascii="Times New Roman" w:eastAsia="宋体" w:hAnsi="Times New Roman"/>
          <w:color w:val="000000"/>
          <w:sz w:val="20"/>
          <w:szCs w:val="20"/>
        </w:rPr>
        <w:t>101</w:t>
      </w:r>
    </w:p>
    <w:p w14:paraId="518B812B" w14:textId="77777777" w:rsidR="005C332D" w:rsidRDefault="00B93EAE">
      <w:r>
        <w:pict w14:anchorId="518B877A">
          <v:rect id="_x0000_i1127" style="width:415.3pt;height:1.5pt" o:hralign="center" o:hrstd="t" o:hr="t" fillcolor="#a0a0a0" stroked="f"/>
        </w:pict>
      </w:r>
    </w:p>
    <w:p w14:paraId="518B812C" w14:textId="77777777" w:rsidR="005C332D" w:rsidRDefault="005C332D"/>
    <w:p w14:paraId="518B812D" w14:textId="77777777" w:rsidR="005C332D" w:rsidRDefault="005C332D">
      <w:pPr>
        <w:spacing w:before="120"/>
        <w:jc w:val="both"/>
      </w:pPr>
    </w:p>
    <w:p w14:paraId="518B812E" w14:textId="77777777" w:rsidR="005C332D" w:rsidRDefault="00B93EAE">
      <w:pPr>
        <w:spacing w:before="120"/>
        <w:ind w:hanging="360"/>
        <w:jc w:val="both"/>
      </w:pPr>
      <w:r>
        <w:rPr>
          <w:rFonts w:ascii="Times New Roman" w:eastAsia="宋体" w:hAnsi="Times New Roman"/>
          <w:b/>
          <w:bCs/>
          <w:color w:val="000000"/>
          <w:sz w:val="20"/>
          <w:szCs w:val="20"/>
        </w:rPr>
        <w:t xml:space="preserve">(b)Revenue for </w:t>
      </w:r>
      <w:r>
        <w:rPr>
          <w:rFonts w:ascii="Times New Roman" w:eastAsia="宋体" w:hAnsi="Times New Roman"/>
          <w:b/>
          <w:bCs/>
          <w:color w:val="000000"/>
          <w:sz w:val="20"/>
          <w:szCs w:val="20"/>
        </w:rPr>
        <w:t>Groups of Similar Products and Services</w:t>
      </w:r>
    </w:p>
    <w:p w14:paraId="518B812F" w14:textId="77777777" w:rsidR="005C332D" w:rsidRDefault="00B93EAE">
      <w:pPr>
        <w:spacing w:before="120"/>
        <w:jc w:val="both"/>
      </w:pPr>
      <w:r>
        <w:rPr>
          <w:rFonts w:ascii="Times New Roman" w:eastAsia="宋体" w:hAnsi="Times New Roman"/>
          <w:color w:val="000000"/>
          <w:sz w:val="20"/>
          <w:szCs w:val="20"/>
        </w:rPr>
        <w:t>We design and sell IP-based networking and other products related to the communications and IT industry and provide services associated with these products and their use. Effective fiscal 2022, we began reporting our</w:t>
      </w:r>
      <w:r>
        <w:rPr>
          <w:rFonts w:ascii="Times New Roman" w:eastAsia="宋体" w:hAnsi="Times New Roman"/>
          <w:color w:val="000000"/>
          <w:sz w:val="20"/>
          <w:szCs w:val="20"/>
        </w:rPr>
        <w:t xml:space="preserve"> product and service revenue in the following categories: Secure, Agile Networks; Internet for the Future; Collaboration; End-to-End Security; Optimized Application Experiences; Other Products; and Services. This change will better align our product catego</w:t>
      </w:r>
      <w:r>
        <w:rPr>
          <w:rFonts w:ascii="Times New Roman" w:eastAsia="宋体" w:hAnsi="Times New Roman"/>
          <w:color w:val="000000"/>
          <w:sz w:val="20"/>
          <w:szCs w:val="20"/>
        </w:rPr>
        <w:t>ries with our strategic priorities.</w:t>
      </w:r>
    </w:p>
    <w:p w14:paraId="518B8130" w14:textId="77777777" w:rsidR="005C332D" w:rsidRDefault="00B93EAE">
      <w:pPr>
        <w:spacing w:before="120"/>
        <w:jc w:val="both"/>
      </w:pPr>
      <w:r>
        <w:rPr>
          <w:rFonts w:ascii="Times New Roman" w:eastAsia="宋体" w:hAnsi="Times New Roman"/>
          <w:color w:val="000000"/>
          <w:sz w:val="20"/>
          <w:szCs w:val="20"/>
        </w:rPr>
        <w:t>The following table presents revenue for groups of similar products and services (in millions):</w:t>
      </w:r>
    </w:p>
    <w:tbl>
      <w:tblPr>
        <w:tblW w:w="4985" w:type="pct"/>
        <w:tblCellMar>
          <w:top w:w="15" w:type="dxa"/>
          <w:left w:w="15" w:type="dxa"/>
          <w:bottom w:w="15" w:type="dxa"/>
          <w:right w:w="15" w:type="dxa"/>
        </w:tblCellMar>
        <w:tblLook w:val="04A0" w:firstRow="1" w:lastRow="0" w:firstColumn="1" w:lastColumn="0" w:noHBand="0" w:noVBand="1"/>
      </w:tblPr>
      <w:tblGrid>
        <w:gridCol w:w="41"/>
        <w:gridCol w:w="4389"/>
        <w:gridCol w:w="39"/>
        <w:gridCol w:w="120"/>
        <w:gridCol w:w="1079"/>
        <w:gridCol w:w="36"/>
        <w:gridCol w:w="36"/>
        <w:gridCol w:w="36"/>
        <w:gridCol w:w="36"/>
        <w:gridCol w:w="120"/>
        <w:gridCol w:w="1039"/>
        <w:gridCol w:w="36"/>
        <w:gridCol w:w="36"/>
        <w:gridCol w:w="36"/>
        <w:gridCol w:w="36"/>
        <w:gridCol w:w="120"/>
        <w:gridCol w:w="1040"/>
        <w:gridCol w:w="36"/>
      </w:tblGrid>
      <w:tr w:rsidR="005C332D" w14:paraId="518B8143" w14:textId="77777777">
        <w:tc>
          <w:tcPr>
            <w:tcW w:w="50" w:type="pct"/>
            <w:shd w:val="clear" w:color="auto" w:fill="auto"/>
            <w:vAlign w:val="bottom"/>
          </w:tcPr>
          <w:p w14:paraId="518B8131" w14:textId="77777777" w:rsidR="005C332D" w:rsidRDefault="005C332D">
            <w:pPr>
              <w:rPr>
                <w:rFonts w:ascii="宋体"/>
              </w:rPr>
            </w:pPr>
          </w:p>
        </w:tc>
        <w:tc>
          <w:tcPr>
            <w:tcW w:w="2672" w:type="pct"/>
            <w:shd w:val="clear" w:color="auto" w:fill="auto"/>
            <w:vAlign w:val="bottom"/>
          </w:tcPr>
          <w:p w14:paraId="518B8132" w14:textId="77777777" w:rsidR="005C332D" w:rsidRDefault="005C332D">
            <w:pPr>
              <w:rPr>
                <w:rFonts w:ascii="宋体"/>
              </w:rPr>
            </w:pPr>
          </w:p>
        </w:tc>
        <w:tc>
          <w:tcPr>
            <w:tcW w:w="5" w:type="pct"/>
            <w:shd w:val="clear" w:color="auto" w:fill="auto"/>
            <w:vAlign w:val="bottom"/>
          </w:tcPr>
          <w:p w14:paraId="518B8133" w14:textId="77777777" w:rsidR="005C332D" w:rsidRDefault="005C332D">
            <w:pPr>
              <w:rPr>
                <w:rFonts w:ascii="宋体"/>
              </w:rPr>
            </w:pPr>
          </w:p>
        </w:tc>
        <w:tc>
          <w:tcPr>
            <w:tcW w:w="50" w:type="pct"/>
            <w:shd w:val="clear" w:color="auto" w:fill="auto"/>
            <w:vAlign w:val="bottom"/>
          </w:tcPr>
          <w:p w14:paraId="518B8134" w14:textId="77777777" w:rsidR="005C332D" w:rsidRDefault="005C332D">
            <w:pPr>
              <w:rPr>
                <w:rFonts w:ascii="宋体"/>
              </w:rPr>
            </w:pPr>
          </w:p>
        </w:tc>
        <w:tc>
          <w:tcPr>
            <w:tcW w:w="678" w:type="pct"/>
            <w:shd w:val="clear" w:color="auto" w:fill="auto"/>
            <w:vAlign w:val="bottom"/>
          </w:tcPr>
          <w:p w14:paraId="518B8135" w14:textId="77777777" w:rsidR="005C332D" w:rsidRDefault="005C332D">
            <w:pPr>
              <w:rPr>
                <w:rFonts w:ascii="宋体"/>
              </w:rPr>
            </w:pPr>
          </w:p>
        </w:tc>
        <w:tc>
          <w:tcPr>
            <w:tcW w:w="5" w:type="pct"/>
            <w:shd w:val="clear" w:color="auto" w:fill="auto"/>
            <w:vAlign w:val="bottom"/>
          </w:tcPr>
          <w:p w14:paraId="518B8136" w14:textId="77777777" w:rsidR="005C332D" w:rsidRDefault="005C332D">
            <w:pPr>
              <w:rPr>
                <w:rFonts w:ascii="宋体"/>
              </w:rPr>
            </w:pPr>
          </w:p>
        </w:tc>
        <w:tc>
          <w:tcPr>
            <w:tcW w:w="5" w:type="pct"/>
            <w:shd w:val="clear" w:color="auto" w:fill="auto"/>
            <w:vAlign w:val="bottom"/>
          </w:tcPr>
          <w:p w14:paraId="518B8137" w14:textId="77777777" w:rsidR="005C332D" w:rsidRDefault="005C332D">
            <w:pPr>
              <w:rPr>
                <w:rFonts w:ascii="宋体"/>
              </w:rPr>
            </w:pPr>
          </w:p>
        </w:tc>
        <w:tc>
          <w:tcPr>
            <w:tcW w:w="26" w:type="pct"/>
            <w:shd w:val="clear" w:color="auto" w:fill="auto"/>
            <w:vAlign w:val="bottom"/>
          </w:tcPr>
          <w:p w14:paraId="518B8138" w14:textId="77777777" w:rsidR="005C332D" w:rsidRDefault="005C332D">
            <w:pPr>
              <w:rPr>
                <w:rFonts w:ascii="宋体"/>
              </w:rPr>
            </w:pPr>
          </w:p>
        </w:tc>
        <w:tc>
          <w:tcPr>
            <w:tcW w:w="5" w:type="pct"/>
            <w:shd w:val="clear" w:color="auto" w:fill="auto"/>
            <w:vAlign w:val="bottom"/>
          </w:tcPr>
          <w:p w14:paraId="518B8139" w14:textId="77777777" w:rsidR="005C332D" w:rsidRDefault="005C332D">
            <w:pPr>
              <w:rPr>
                <w:rFonts w:ascii="宋体"/>
              </w:rPr>
            </w:pPr>
          </w:p>
        </w:tc>
        <w:tc>
          <w:tcPr>
            <w:tcW w:w="50" w:type="pct"/>
            <w:shd w:val="clear" w:color="auto" w:fill="auto"/>
            <w:vAlign w:val="bottom"/>
          </w:tcPr>
          <w:p w14:paraId="518B813A" w14:textId="77777777" w:rsidR="005C332D" w:rsidRDefault="005C332D">
            <w:pPr>
              <w:rPr>
                <w:rFonts w:ascii="宋体"/>
              </w:rPr>
            </w:pPr>
          </w:p>
        </w:tc>
        <w:tc>
          <w:tcPr>
            <w:tcW w:w="678" w:type="pct"/>
            <w:shd w:val="clear" w:color="auto" w:fill="auto"/>
            <w:vAlign w:val="bottom"/>
          </w:tcPr>
          <w:p w14:paraId="518B813B" w14:textId="77777777" w:rsidR="005C332D" w:rsidRDefault="005C332D">
            <w:pPr>
              <w:rPr>
                <w:rFonts w:ascii="宋体"/>
              </w:rPr>
            </w:pPr>
          </w:p>
        </w:tc>
        <w:tc>
          <w:tcPr>
            <w:tcW w:w="5" w:type="pct"/>
            <w:shd w:val="clear" w:color="auto" w:fill="auto"/>
            <w:vAlign w:val="bottom"/>
          </w:tcPr>
          <w:p w14:paraId="518B813C" w14:textId="77777777" w:rsidR="005C332D" w:rsidRDefault="005C332D">
            <w:pPr>
              <w:rPr>
                <w:rFonts w:ascii="宋体"/>
              </w:rPr>
            </w:pPr>
          </w:p>
        </w:tc>
        <w:tc>
          <w:tcPr>
            <w:tcW w:w="5" w:type="pct"/>
            <w:shd w:val="clear" w:color="auto" w:fill="auto"/>
            <w:vAlign w:val="bottom"/>
          </w:tcPr>
          <w:p w14:paraId="518B813D" w14:textId="77777777" w:rsidR="005C332D" w:rsidRDefault="005C332D">
            <w:pPr>
              <w:rPr>
                <w:rFonts w:ascii="宋体"/>
              </w:rPr>
            </w:pPr>
          </w:p>
        </w:tc>
        <w:tc>
          <w:tcPr>
            <w:tcW w:w="26" w:type="pct"/>
            <w:shd w:val="clear" w:color="auto" w:fill="auto"/>
            <w:vAlign w:val="bottom"/>
          </w:tcPr>
          <w:p w14:paraId="518B813E" w14:textId="77777777" w:rsidR="005C332D" w:rsidRDefault="005C332D">
            <w:pPr>
              <w:rPr>
                <w:rFonts w:ascii="宋体"/>
              </w:rPr>
            </w:pPr>
          </w:p>
        </w:tc>
        <w:tc>
          <w:tcPr>
            <w:tcW w:w="5" w:type="pct"/>
            <w:shd w:val="clear" w:color="auto" w:fill="auto"/>
            <w:vAlign w:val="bottom"/>
          </w:tcPr>
          <w:p w14:paraId="518B813F" w14:textId="77777777" w:rsidR="005C332D" w:rsidRDefault="005C332D">
            <w:pPr>
              <w:rPr>
                <w:rFonts w:ascii="宋体"/>
              </w:rPr>
            </w:pPr>
          </w:p>
        </w:tc>
        <w:tc>
          <w:tcPr>
            <w:tcW w:w="50" w:type="pct"/>
            <w:shd w:val="clear" w:color="auto" w:fill="auto"/>
            <w:vAlign w:val="bottom"/>
          </w:tcPr>
          <w:p w14:paraId="518B8140" w14:textId="77777777" w:rsidR="005C332D" w:rsidRDefault="005C332D">
            <w:pPr>
              <w:rPr>
                <w:rFonts w:ascii="宋体"/>
              </w:rPr>
            </w:pPr>
          </w:p>
        </w:tc>
        <w:tc>
          <w:tcPr>
            <w:tcW w:w="678" w:type="pct"/>
            <w:shd w:val="clear" w:color="auto" w:fill="auto"/>
            <w:vAlign w:val="bottom"/>
          </w:tcPr>
          <w:p w14:paraId="518B8141" w14:textId="77777777" w:rsidR="005C332D" w:rsidRDefault="005C332D">
            <w:pPr>
              <w:rPr>
                <w:rFonts w:ascii="宋体"/>
              </w:rPr>
            </w:pPr>
          </w:p>
        </w:tc>
        <w:tc>
          <w:tcPr>
            <w:tcW w:w="5" w:type="pct"/>
            <w:shd w:val="clear" w:color="auto" w:fill="auto"/>
            <w:vAlign w:val="bottom"/>
          </w:tcPr>
          <w:p w14:paraId="518B8142" w14:textId="77777777" w:rsidR="005C332D" w:rsidRDefault="005C332D">
            <w:pPr>
              <w:rPr>
                <w:rFonts w:ascii="宋体"/>
              </w:rPr>
            </w:pPr>
          </w:p>
        </w:tc>
      </w:tr>
      <w:tr w:rsidR="005C332D" w14:paraId="518B814A" w14:textId="77777777">
        <w:tc>
          <w:tcPr>
            <w:tcW w:w="0" w:type="auto"/>
            <w:gridSpan w:val="3"/>
            <w:shd w:val="clear" w:color="auto" w:fill="auto"/>
            <w:tcMar>
              <w:top w:w="40" w:type="dxa"/>
              <w:left w:w="20" w:type="dxa"/>
              <w:bottom w:w="40" w:type="dxa"/>
              <w:right w:w="20" w:type="dxa"/>
            </w:tcMar>
            <w:vAlign w:val="bottom"/>
          </w:tcPr>
          <w:p w14:paraId="518B8144" w14:textId="77777777" w:rsidR="005C332D" w:rsidRDefault="00B93EAE">
            <w:pPr>
              <w:textAlignment w:val="bottom"/>
            </w:pPr>
            <w:r>
              <w:rPr>
                <w:rFonts w:ascii="Times New Roman" w:eastAsia="宋体" w:hAnsi="Times New Roman"/>
                <w:color w:val="000000"/>
                <w:sz w:val="16"/>
                <w:szCs w:val="16"/>
                <w:u w:val="single"/>
              </w:rPr>
              <w:t>Years Ended</w:t>
            </w:r>
          </w:p>
        </w:tc>
        <w:tc>
          <w:tcPr>
            <w:tcW w:w="0" w:type="auto"/>
            <w:gridSpan w:val="3"/>
            <w:shd w:val="clear" w:color="auto" w:fill="auto"/>
            <w:tcMar>
              <w:top w:w="40" w:type="dxa"/>
              <w:left w:w="20" w:type="dxa"/>
              <w:bottom w:w="40" w:type="dxa"/>
              <w:right w:w="20" w:type="dxa"/>
            </w:tcMar>
            <w:vAlign w:val="bottom"/>
          </w:tcPr>
          <w:p w14:paraId="518B8145"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8146"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147"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814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149"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8151" w14:textId="77777777">
        <w:tc>
          <w:tcPr>
            <w:tcW w:w="0" w:type="auto"/>
            <w:gridSpan w:val="3"/>
            <w:shd w:val="clear" w:color="auto" w:fill="CCEEFF"/>
            <w:tcMar>
              <w:top w:w="40" w:type="dxa"/>
              <w:left w:w="20" w:type="dxa"/>
              <w:bottom w:w="40" w:type="dxa"/>
              <w:right w:w="20" w:type="dxa"/>
            </w:tcMar>
          </w:tcPr>
          <w:p w14:paraId="518B814B" w14:textId="77777777" w:rsidR="005C332D" w:rsidRDefault="00B93EAE">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814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14D"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814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14F"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8150" w14:textId="77777777" w:rsidR="005C332D" w:rsidRDefault="005C332D">
            <w:pPr>
              <w:rPr>
                <w:rFonts w:ascii="宋体"/>
              </w:rPr>
            </w:pPr>
          </w:p>
        </w:tc>
      </w:tr>
      <w:tr w:rsidR="005C332D" w14:paraId="518B815E" w14:textId="77777777">
        <w:tc>
          <w:tcPr>
            <w:tcW w:w="0" w:type="auto"/>
            <w:gridSpan w:val="3"/>
            <w:shd w:val="clear" w:color="auto" w:fill="FFFFFF"/>
            <w:tcMar>
              <w:top w:w="40" w:type="dxa"/>
              <w:left w:w="380" w:type="dxa"/>
              <w:bottom w:w="40" w:type="dxa"/>
              <w:right w:w="20" w:type="dxa"/>
            </w:tcMar>
          </w:tcPr>
          <w:p w14:paraId="518B8152" w14:textId="77777777" w:rsidR="005C332D" w:rsidRDefault="00B93EAE">
            <w:pPr>
              <w:textAlignment w:val="top"/>
            </w:pPr>
            <w:r>
              <w:rPr>
                <w:rFonts w:ascii="Times New Roman" w:eastAsia="宋体" w:hAnsi="Times New Roman"/>
                <w:color w:val="000000"/>
                <w:sz w:val="20"/>
                <w:szCs w:val="20"/>
              </w:rPr>
              <w:t>Secure, Agile Networks</w:t>
            </w:r>
          </w:p>
        </w:tc>
        <w:tc>
          <w:tcPr>
            <w:tcW w:w="0" w:type="auto"/>
            <w:shd w:val="clear" w:color="auto" w:fill="FFFFFF"/>
            <w:tcMar>
              <w:top w:w="40" w:type="dxa"/>
              <w:left w:w="20" w:type="dxa"/>
              <w:bottom w:w="40" w:type="dxa"/>
              <w:right w:w="0" w:type="dxa"/>
            </w:tcMar>
            <w:vAlign w:val="bottom"/>
          </w:tcPr>
          <w:p w14:paraId="518B8153"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FFFFFF"/>
            <w:tcMar>
              <w:top w:w="40" w:type="dxa"/>
              <w:left w:w="0" w:type="dxa"/>
              <w:bottom w:w="40" w:type="dxa"/>
              <w:right w:w="0" w:type="dxa"/>
            </w:tcMar>
            <w:vAlign w:val="bottom"/>
          </w:tcPr>
          <w:p w14:paraId="518B8154" w14:textId="77777777" w:rsidR="005C332D" w:rsidRDefault="00B93EAE">
            <w:pPr>
              <w:jc w:val="right"/>
              <w:textAlignment w:val="bottom"/>
            </w:pPr>
            <w:r>
              <w:rPr>
                <w:rFonts w:ascii="Times New Roman" w:eastAsia="宋体" w:hAnsi="Times New Roman"/>
                <w:b/>
                <w:bCs/>
                <w:color w:val="000000"/>
                <w:sz w:val="20"/>
                <w:szCs w:val="20"/>
              </w:rPr>
              <w:t>23,829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8155"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56"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8157"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8158" w14:textId="77777777" w:rsidR="005C332D" w:rsidRDefault="00B93EAE">
            <w:pPr>
              <w:jc w:val="right"/>
              <w:textAlignment w:val="bottom"/>
            </w:pPr>
            <w:r>
              <w:rPr>
                <w:rFonts w:ascii="Times New Roman" w:eastAsia="宋体" w:hAnsi="Times New Roman"/>
                <w:color w:val="000000"/>
                <w:sz w:val="20"/>
                <w:szCs w:val="20"/>
              </w:rPr>
              <w:t>22,722 </w:t>
            </w:r>
          </w:p>
        </w:tc>
        <w:tc>
          <w:tcPr>
            <w:tcW w:w="0" w:type="auto"/>
            <w:shd w:val="clear" w:color="auto" w:fill="FFFFFF"/>
            <w:tcMar>
              <w:top w:w="40" w:type="dxa"/>
              <w:left w:w="0" w:type="dxa"/>
              <w:bottom w:w="40" w:type="dxa"/>
              <w:right w:w="20" w:type="dxa"/>
            </w:tcMar>
            <w:vAlign w:val="bottom"/>
          </w:tcPr>
          <w:p w14:paraId="518B8159"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5A" w14:textId="77777777" w:rsidR="005C332D" w:rsidRDefault="005C332D">
            <w:pPr>
              <w:rPr>
                <w:rFonts w:ascii="宋体"/>
              </w:rPr>
            </w:pPr>
          </w:p>
        </w:tc>
        <w:tc>
          <w:tcPr>
            <w:tcW w:w="0" w:type="auto"/>
            <w:shd w:val="clear" w:color="auto" w:fill="FFFFFF"/>
            <w:tcMar>
              <w:top w:w="40" w:type="dxa"/>
              <w:left w:w="20" w:type="dxa"/>
              <w:bottom w:w="40" w:type="dxa"/>
              <w:right w:w="0" w:type="dxa"/>
            </w:tcMar>
            <w:vAlign w:val="bottom"/>
          </w:tcPr>
          <w:p w14:paraId="518B815B"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518B815C" w14:textId="77777777" w:rsidR="005C332D" w:rsidRDefault="00B93EAE">
            <w:pPr>
              <w:jc w:val="right"/>
              <w:textAlignment w:val="bottom"/>
            </w:pPr>
            <w:r>
              <w:rPr>
                <w:rFonts w:ascii="Times New Roman" w:eastAsia="宋体" w:hAnsi="Times New Roman"/>
                <w:color w:val="000000"/>
                <w:sz w:val="20"/>
                <w:szCs w:val="20"/>
              </w:rPr>
              <w:t>23,265 </w:t>
            </w:r>
          </w:p>
        </w:tc>
        <w:tc>
          <w:tcPr>
            <w:tcW w:w="0" w:type="auto"/>
            <w:shd w:val="clear" w:color="auto" w:fill="FFFFFF"/>
            <w:tcMar>
              <w:top w:w="40" w:type="dxa"/>
              <w:left w:w="0" w:type="dxa"/>
              <w:bottom w:w="40" w:type="dxa"/>
              <w:right w:w="20" w:type="dxa"/>
            </w:tcMar>
            <w:vAlign w:val="bottom"/>
          </w:tcPr>
          <w:p w14:paraId="518B815D" w14:textId="77777777" w:rsidR="005C332D" w:rsidRDefault="005C332D">
            <w:pPr>
              <w:jc w:val="right"/>
              <w:rPr>
                <w:rFonts w:ascii="宋体"/>
              </w:rPr>
            </w:pPr>
          </w:p>
        </w:tc>
      </w:tr>
      <w:tr w:rsidR="005C332D" w14:paraId="518B8168" w14:textId="77777777">
        <w:tc>
          <w:tcPr>
            <w:tcW w:w="0" w:type="auto"/>
            <w:gridSpan w:val="3"/>
            <w:shd w:val="clear" w:color="auto" w:fill="CCEEFF"/>
            <w:tcMar>
              <w:top w:w="40" w:type="dxa"/>
              <w:left w:w="380" w:type="dxa"/>
              <w:bottom w:w="40" w:type="dxa"/>
              <w:right w:w="20" w:type="dxa"/>
            </w:tcMar>
          </w:tcPr>
          <w:p w14:paraId="518B815F" w14:textId="77777777" w:rsidR="005C332D" w:rsidRDefault="00B93EAE">
            <w:pPr>
              <w:textAlignment w:val="top"/>
            </w:pPr>
            <w:r>
              <w:rPr>
                <w:rFonts w:ascii="Times New Roman" w:eastAsia="宋体" w:hAnsi="Times New Roman"/>
                <w:color w:val="000000"/>
                <w:sz w:val="20"/>
                <w:szCs w:val="20"/>
              </w:rPr>
              <w:t>Internet for the Future</w:t>
            </w:r>
          </w:p>
        </w:tc>
        <w:tc>
          <w:tcPr>
            <w:tcW w:w="0" w:type="auto"/>
            <w:gridSpan w:val="2"/>
            <w:shd w:val="clear" w:color="auto" w:fill="CCEEFF"/>
            <w:tcMar>
              <w:top w:w="40" w:type="dxa"/>
              <w:left w:w="20" w:type="dxa"/>
              <w:bottom w:w="40" w:type="dxa"/>
              <w:right w:w="0" w:type="dxa"/>
            </w:tcMar>
            <w:vAlign w:val="bottom"/>
          </w:tcPr>
          <w:p w14:paraId="518B8160" w14:textId="77777777" w:rsidR="005C332D" w:rsidRDefault="00B93EAE">
            <w:pPr>
              <w:jc w:val="right"/>
              <w:textAlignment w:val="bottom"/>
            </w:pPr>
            <w:r>
              <w:rPr>
                <w:rFonts w:ascii="Times New Roman" w:eastAsia="宋体" w:hAnsi="Times New Roman"/>
                <w:b/>
                <w:bCs/>
                <w:color w:val="000000"/>
                <w:sz w:val="20"/>
                <w:szCs w:val="20"/>
              </w:rPr>
              <w:t>5,278</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16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6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63" w14:textId="77777777" w:rsidR="005C332D" w:rsidRDefault="00B93EAE">
            <w:pPr>
              <w:jc w:val="right"/>
              <w:textAlignment w:val="bottom"/>
            </w:pPr>
            <w:r>
              <w:rPr>
                <w:rFonts w:ascii="Times New Roman" w:eastAsia="宋体" w:hAnsi="Times New Roman"/>
                <w:color w:val="000000"/>
                <w:sz w:val="20"/>
                <w:szCs w:val="20"/>
              </w:rPr>
              <w:t>4,514 </w:t>
            </w:r>
          </w:p>
        </w:tc>
        <w:tc>
          <w:tcPr>
            <w:tcW w:w="0" w:type="auto"/>
            <w:shd w:val="clear" w:color="auto" w:fill="CCEEFF"/>
            <w:tcMar>
              <w:top w:w="40" w:type="dxa"/>
              <w:left w:w="0" w:type="dxa"/>
              <w:bottom w:w="40" w:type="dxa"/>
              <w:right w:w="20" w:type="dxa"/>
            </w:tcMar>
            <w:vAlign w:val="bottom"/>
          </w:tcPr>
          <w:p w14:paraId="518B816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6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66" w14:textId="77777777" w:rsidR="005C332D" w:rsidRDefault="00B93EAE">
            <w:pPr>
              <w:jc w:val="right"/>
              <w:textAlignment w:val="bottom"/>
            </w:pPr>
            <w:r>
              <w:rPr>
                <w:rFonts w:ascii="Times New Roman" w:eastAsia="宋体" w:hAnsi="Times New Roman"/>
                <w:color w:val="000000"/>
                <w:sz w:val="20"/>
                <w:szCs w:val="20"/>
              </w:rPr>
              <w:t>4,180 </w:t>
            </w:r>
          </w:p>
        </w:tc>
        <w:tc>
          <w:tcPr>
            <w:tcW w:w="0" w:type="auto"/>
            <w:shd w:val="clear" w:color="auto" w:fill="CCEEFF"/>
            <w:tcMar>
              <w:top w:w="40" w:type="dxa"/>
              <w:left w:w="0" w:type="dxa"/>
              <w:bottom w:w="40" w:type="dxa"/>
              <w:right w:w="20" w:type="dxa"/>
            </w:tcMar>
            <w:vAlign w:val="bottom"/>
          </w:tcPr>
          <w:p w14:paraId="518B8167" w14:textId="77777777" w:rsidR="005C332D" w:rsidRDefault="005C332D">
            <w:pPr>
              <w:jc w:val="right"/>
              <w:rPr>
                <w:rFonts w:ascii="宋体"/>
              </w:rPr>
            </w:pPr>
          </w:p>
        </w:tc>
      </w:tr>
      <w:tr w:rsidR="005C332D" w14:paraId="518B8172" w14:textId="77777777">
        <w:tc>
          <w:tcPr>
            <w:tcW w:w="0" w:type="auto"/>
            <w:gridSpan w:val="3"/>
            <w:shd w:val="clear" w:color="auto" w:fill="FFFFFF"/>
            <w:tcMar>
              <w:top w:w="40" w:type="dxa"/>
              <w:left w:w="380" w:type="dxa"/>
              <w:bottom w:w="40" w:type="dxa"/>
              <w:right w:w="20" w:type="dxa"/>
            </w:tcMar>
          </w:tcPr>
          <w:p w14:paraId="518B8169" w14:textId="77777777" w:rsidR="005C332D" w:rsidRDefault="00B93EAE">
            <w:pPr>
              <w:textAlignment w:val="top"/>
            </w:pPr>
            <w:r>
              <w:rPr>
                <w:rFonts w:ascii="Times New Roman" w:eastAsia="宋体" w:hAnsi="Times New Roman"/>
                <w:color w:val="000000"/>
                <w:sz w:val="20"/>
                <w:szCs w:val="20"/>
              </w:rPr>
              <w:t>Collaboration</w:t>
            </w:r>
          </w:p>
        </w:tc>
        <w:tc>
          <w:tcPr>
            <w:tcW w:w="0" w:type="auto"/>
            <w:gridSpan w:val="2"/>
            <w:shd w:val="clear" w:color="auto" w:fill="FFFFFF"/>
            <w:tcMar>
              <w:top w:w="40" w:type="dxa"/>
              <w:left w:w="20" w:type="dxa"/>
              <w:bottom w:w="40" w:type="dxa"/>
              <w:right w:w="0" w:type="dxa"/>
            </w:tcMar>
            <w:vAlign w:val="bottom"/>
          </w:tcPr>
          <w:p w14:paraId="518B816A" w14:textId="77777777" w:rsidR="005C332D" w:rsidRDefault="00B93EAE">
            <w:pPr>
              <w:jc w:val="right"/>
              <w:textAlignment w:val="bottom"/>
            </w:pPr>
            <w:r>
              <w:rPr>
                <w:rFonts w:ascii="Times New Roman" w:eastAsia="宋体" w:hAnsi="Times New Roman"/>
                <w:b/>
                <w:bCs/>
                <w:color w:val="000000"/>
                <w:sz w:val="20"/>
                <w:szCs w:val="20"/>
              </w:rPr>
              <w:t>4,472</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816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6C"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16D" w14:textId="77777777" w:rsidR="005C332D" w:rsidRDefault="00B93EAE">
            <w:pPr>
              <w:jc w:val="right"/>
              <w:textAlignment w:val="bottom"/>
            </w:pPr>
            <w:r>
              <w:rPr>
                <w:rFonts w:ascii="Times New Roman" w:eastAsia="宋体" w:hAnsi="Times New Roman"/>
                <w:color w:val="000000"/>
                <w:sz w:val="20"/>
                <w:szCs w:val="20"/>
              </w:rPr>
              <w:t>4,727 </w:t>
            </w:r>
          </w:p>
        </w:tc>
        <w:tc>
          <w:tcPr>
            <w:tcW w:w="0" w:type="auto"/>
            <w:shd w:val="clear" w:color="auto" w:fill="FFFFFF"/>
            <w:tcMar>
              <w:top w:w="40" w:type="dxa"/>
              <w:left w:w="0" w:type="dxa"/>
              <w:bottom w:w="40" w:type="dxa"/>
              <w:right w:w="20" w:type="dxa"/>
            </w:tcMar>
            <w:vAlign w:val="bottom"/>
          </w:tcPr>
          <w:p w14:paraId="518B816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6F"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170" w14:textId="77777777" w:rsidR="005C332D" w:rsidRDefault="00B93EAE">
            <w:pPr>
              <w:jc w:val="right"/>
              <w:textAlignment w:val="bottom"/>
            </w:pPr>
            <w:r>
              <w:rPr>
                <w:rFonts w:ascii="Times New Roman" w:eastAsia="宋体" w:hAnsi="Times New Roman"/>
                <w:color w:val="000000"/>
                <w:sz w:val="20"/>
                <w:szCs w:val="20"/>
              </w:rPr>
              <w:t>4,823 </w:t>
            </w:r>
          </w:p>
        </w:tc>
        <w:tc>
          <w:tcPr>
            <w:tcW w:w="0" w:type="auto"/>
            <w:shd w:val="clear" w:color="auto" w:fill="FFFFFF"/>
            <w:tcMar>
              <w:top w:w="40" w:type="dxa"/>
              <w:left w:w="0" w:type="dxa"/>
              <w:bottom w:w="40" w:type="dxa"/>
              <w:right w:w="20" w:type="dxa"/>
            </w:tcMar>
            <w:vAlign w:val="bottom"/>
          </w:tcPr>
          <w:p w14:paraId="518B8171" w14:textId="77777777" w:rsidR="005C332D" w:rsidRDefault="005C332D">
            <w:pPr>
              <w:jc w:val="right"/>
              <w:rPr>
                <w:rFonts w:ascii="宋体"/>
              </w:rPr>
            </w:pPr>
          </w:p>
        </w:tc>
      </w:tr>
      <w:tr w:rsidR="005C332D" w14:paraId="518B817C" w14:textId="77777777">
        <w:tc>
          <w:tcPr>
            <w:tcW w:w="0" w:type="auto"/>
            <w:gridSpan w:val="3"/>
            <w:shd w:val="clear" w:color="auto" w:fill="CCEEFF"/>
            <w:tcMar>
              <w:top w:w="40" w:type="dxa"/>
              <w:left w:w="380" w:type="dxa"/>
              <w:bottom w:w="40" w:type="dxa"/>
              <w:right w:w="20" w:type="dxa"/>
            </w:tcMar>
          </w:tcPr>
          <w:p w14:paraId="518B8173" w14:textId="77777777" w:rsidR="005C332D" w:rsidRDefault="00B93EAE">
            <w:pPr>
              <w:textAlignment w:val="top"/>
            </w:pPr>
            <w:r>
              <w:rPr>
                <w:rFonts w:ascii="Times New Roman" w:eastAsia="宋体" w:hAnsi="Times New Roman"/>
                <w:color w:val="000000"/>
                <w:sz w:val="20"/>
                <w:szCs w:val="20"/>
              </w:rPr>
              <w:t>End-to-End Security</w:t>
            </w:r>
          </w:p>
        </w:tc>
        <w:tc>
          <w:tcPr>
            <w:tcW w:w="0" w:type="auto"/>
            <w:gridSpan w:val="2"/>
            <w:shd w:val="clear" w:color="auto" w:fill="CCEEFF"/>
            <w:tcMar>
              <w:top w:w="40" w:type="dxa"/>
              <w:left w:w="20" w:type="dxa"/>
              <w:bottom w:w="40" w:type="dxa"/>
              <w:right w:w="0" w:type="dxa"/>
            </w:tcMar>
            <w:vAlign w:val="bottom"/>
          </w:tcPr>
          <w:p w14:paraId="518B8174" w14:textId="77777777" w:rsidR="005C332D" w:rsidRDefault="00B93EAE">
            <w:pPr>
              <w:jc w:val="right"/>
              <w:textAlignment w:val="bottom"/>
            </w:pPr>
            <w:r>
              <w:rPr>
                <w:rFonts w:ascii="Times New Roman" w:eastAsia="宋体" w:hAnsi="Times New Roman"/>
                <w:b/>
                <w:bCs/>
                <w:color w:val="000000"/>
                <w:sz w:val="20"/>
                <w:szCs w:val="20"/>
              </w:rPr>
              <w:t>3,699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175"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76"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77" w14:textId="77777777" w:rsidR="005C332D" w:rsidRDefault="00B93EAE">
            <w:pPr>
              <w:jc w:val="right"/>
              <w:textAlignment w:val="bottom"/>
            </w:pPr>
            <w:r>
              <w:rPr>
                <w:rFonts w:ascii="Times New Roman" w:eastAsia="宋体" w:hAnsi="Times New Roman"/>
                <w:color w:val="000000"/>
                <w:sz w:val="20"/>
                <w:szCs w:val="20"/>
              </w:rPr>
              <w:t>3,382 </w:t>
            </w:r>
          </w:p>
        </w:tc>
        <w:tc>
          <w:tcPr>
            <w:tcW w:w="0" w:type="auto"/>
            <w:shd w:val="clear" w:color="auto" w:fill="CCEEFF"/>
            <w:tcMar>
              <w:top w:w="40" w:type="dxa"/>
              <w:left w:w="0" w:type="dxa"/>
              <w:bottom w:w="40" w:type="dxa"/>
              <w:right w:w="20" w:type="dxa"/>
            </w:tcMar>
            <w:vAlign w:val="bottom"/>
          </w:tcPr>
          <w:p w14:paraId="518B8178"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79"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7A" w14:textId="77777777" w:rsidR="005C332D" w:rsidRDefault="00B93EAE">
            <w:pPr>
              <w:jc w:val="right"/>
              <w:textAlignment w:val="bottom"/>
            </w:pPr>
            <w:r>
              <w:rPr>
                <w:rFonts w:ascii="Times New Roman" w:eastAsia="宋体" w:hAnsi="Times New Roman"/>
                <w:color w:val="000000"/>
                <w:sz w:val="20"/>
                <w:szCs w:val="20"/>
              </w:rPr>
              <w:t>3,158 </w:t>
            </w:r>
          </w:p>
        </w:tc>
        <w:tc>
          <w:tcPr>
            <w:tcW w:w="0" w:type="auto"/>
            <w:shd w:val="clear" w:color="auto" w:fill="CCEEFF"/>
            <w:tcMar>
              <w:top w:w="40" w:type="dxa"/>
              <w:left w:w="0" w:type="dxa"/>
              <w:bottom w:w="40" w:type="dxa"/>
              <w:right w:w="20" w:type="dxa"/>
            </w:tcMar>
            <w:vAlign w:val="bottom"/>
          </w:tcPr>
          <w:p w14:paraId="518B817B" w14:textId="77777777" w:rsidR="005C332D" w:rsidRDefault="005C332D">
            <w:pPr>
              <w:jc w:val="right"/>
              <w:rPr>
                <w:rFonts w:ascii="宋体"/>
              </w:rPr>
            </w:pPr>
          </w:p>
        </w:tc>
      </w:tr>
      <w:tr w:rsidR="005C332D" w14:paraId="518B8186" w14:textId="77777777">
        <w:tc>
          <w:tcPr>
            <w:tcW w:w="0" w:type="auto"/>
            <w:gridSpan w:val="3"/>
            <w:shd w:val="clear" w:color="auto" w:fill="FFFFFF"/>
            <w:tcMar>
              <w:top w:w="40" w:type="dxa"/>
              <w:left w:w="380" w:type="dxa"/>
              <w:bottom w:w="40" w:type="dxa"/>
              <w:right w:w="20" w:type="dxa"/>
            </w:tcMar>
          </w:tcPr>
          <w:p w14:paraId="518B817D" w14:textId="77777777" w:rsidR="005C332D" w:rsidRDefault="00B93EAE">
            <w:pPr>
              <w:textAlignment w:val="top"/>
            </w:pPr>
            <w:r>
              <w:rPr>
                <w:rFonts w:ascii="Times New Roman" w:eastAsia="宋体" w:hAnsi="Times New Roman"/>
                <w:color w:val="000000"/>
                <w:sz w:val="20"/>
                <w:szCs w:val="20"/>
              </w:rPr>
              <w:t>Optimized Application Experiences</w:t>
            </w:r>
          </w:p>
        </w:tc>
        <w:tc>
          <w:tcPr>
            <w:tcW w:w="0" w:type="auto"/>
            <w:gridSpan w:val="2"/>
            <w:shd w:val="clear" w:color="auto" w:fill="FFFFFF"/>
            <w:tcMar>
              <w:top w:w="40" w:type="dxa"/>
              <w:left w:w="20" w:type="dxa"/>
              <w:bottom w:w="40" w:type="dxa"/>
              <w:right w:w="0" w:type="dxa"/>
            </w:tcMar>
            <w:vAlign w:val="bottom"/>
          </w:tcPr>
          <w:p w14:paraId="518B817E" w14:textId="77777777" w:rsidR="005C332D" w:rsidRDefault="00B93EAE">
            <w:pPr>
              <w:jc w:val="right"/>
              <w:textAlignment w:val="bottom"/>
            </w:pPr>
            <w:r>
              <w:rPr>
                <w:rFonts w:ascii="Times New Roman" w:eastAsia="宋体" w:hAnsi="Times New Roman"/>
                <w:b/>
                <w:bCs/>
                <w:color w:val="000000"/>
                <w:sz w:val="20"/>
                <w:szCs w:val="20"/>
              </w:rPr>
              <w:t>729</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518B817F"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80"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181" w14:textId="77777777" w:rsidR="005C332D" w:rsidRDefault="00B93EAE">
            <w:pPr>
              <w:jc w:val="right"/>
              <w:textAlignment w:val="bottom"/>
            </w:pPr>
            <w:r>
              <w:rPr>
                <w:rFonts w:ascii="Times New Roman" w:eastAsia="宋体" w:hAnsi="Times New Roman"/>
                <w:color w:val="000000"/>
                <w:sz w:val="20"/>
                <w:szCs w:val="20"/>
              </w:rPr>
              <w:t>654 </w:t>
            </w:r>
          </w:p>
        </w:tc>
        <w:tc>
          <w:tcPr>
            <w:tcW w:w="0" w:type="auto"/>
            <w:shd w:val="clear" w:color="auto" w:fill="FFFFFF"/>
            <w:tcMar>
              <w:top w:w="40" w:type="dxa"/>
              <w:left w:w="0" w:type="dxa"/>
              <w:bottom w:w="40" w:type="dxa"/>
              <w:right w:w="20" w:type="dxa"/>
            </w:tcMar>
            <w:vAlign w:val="bottom"/>
          </w:tcPr>
          <w:p w14:paraId="518B8182"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83" w14:textId="77777777" w:rsidR="005C332D" w:rsidRDefault="005C332D">
            <w:pPr>
              <w:rPr>
                <w:rFonts w:ascii="宋体"/>
              </w:rPr>
            </w:pPr>
          </w:p>
        </w:tc>
        <w:tc>
          <w:tcPr>
            <w:tcW w:w="0" w:type="auto"/>
            <w:gridSpan w:val="2"/>
            <w:shd w:val="clear" w:color="auto" w:fill="FFFFFF"/>
            <w:tcMar>
              <w:top w:w="40" w:type="dxa"/>
              <w:left w:w="20" w:type="dxa"/>
              <w:bottom w:w="40" w:type="dxa"/>
              <w:right w:w="0" w:type="dxa"/>
            </w:tcMar>
            <w:vAlign w:val="bottom"/>
          </w:tcPr>
          <w:p w14:paraId="518B8184" w14:textId="77777777" w:rsidR="005C332D" w:rsidRDefault="00B93EAE">
            <w:pPr>
              <w:jc w:val="right"/>
              <w:textAlignment w:val="bottom"/>
            </w:pPr>
            <w:r>
              <w:rPr>
                <w:rFonts w:ascii="Times New Roman" w:eastAsia="宋体" w:hAnsi="Times New Roman"/>
                <w:color w:val="000000"/>
                <w:sz w:val="20"/>
                <w:szCs w:val="20"/>
              </w:rPr>
              <w:t>524 </w:t>
            </w:r>
          </w:p>
        </w:tc>
        <w:tc>
          <w:tcPr>
            <w:tcW w:w="0" w:type="auto"/>
            <w:shd w:val="clear" w:color="auto" w:fill="FFFFFF"/>
            <w:tcMar>
              <w:top w:w="40" w:type="dxa"/>
              <w:left w:w="0" w:type="dxa"/>
              <w:bottom w:w="40" w:type="dxa"/>
              <w:right w:w="20" w:type="dxa"/>
            </w:tcMar>
            <w:vAlign w:val="bottom"/>
          </w:tcPr>
          <w:p w14:paraId="518B8185" w14:textId="77777777" w:rsidR="005C332D" w:rsidRDefault="005C332D">
            <w:pPr>
              <w:jc w:val="right"/>
              <w:rPr>
                <w:rFonts w:ascii="宋体"/>
              </w:rPr>
            </w:pPr>
          </w:p>
        </w:tc>
      </w:tr>
      <w:tr w:rsidR="005C332D" w14:paraId="518B8190" w14:textId="77777777">
        <w:tc>
          <w:tcPr>
            <w:tcW w:w="0" w:type="auto"/>
            <w:gridSpan w:val="3"/>
            <w:shd w:val="clear" w:color="auto" w:fill="CCEEFF"/>
            <w:tcMar>
              <w:top w:w="40" w:type="dxa"/>
              <w:left w:w="380" w:type="dxa"/>
              <w:bottom w:w="40" w:type="dxa"/>
              <w:right w:w="20" w:type="dxa"/>
            </w:tcMar>
          </w:tcPr>
          <w:p w14:paraId="518B8187" w14:textId="77777777" w:rsidR="005C332D" w:rsidRDefault="00B93EAE">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Products</w:t>
            </w:r>
          </w:p>
        </w:tc>
        <w:tc>
          <w:tcPr>
            <w:tcW w:w="0" w:type="auto"/>
            <w:gridSpan w:val="2"/>
            <w:shd w:val="clear" w:color="auto" w:fill="CCEEFF"/>
            <w:tcMar>
              <w:top w:w="40" w:type="dxa"/>
              <w:left w:w="20" w:type="dxa"/>
              <w:bottom w:w="40" w:type="dxa"/>
              <w:right w:w="0" w:type="dxa"/>
            </w:tcMar>
            <w:vAlign w:val="bottom"/>
          </w:tcPr>
          <w:p w14:paraId="518B8188" w14:textId="77777777" w:rsidR="005C332D" w:rsidRDefault="00B93EAE">
            <w:pPr>
              <w:jc w:val="right"/>
              <w:textAlignment w:val="bottom"/>
            </w:pPr>
            <w:r>
              <w:rPr>
                <w:rFonts w:ascii="Times New Roman" w:eastAsia="宋体" w:hAnsi="Times New Roman"/>
                <w:b/>
                <w:bCs/>
                <w:color w:val="000000"/>
                <w:sz w:val="20"/>
                <w:szCs w:val="20"/>
              </w:rPr>
              <w:t>11</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18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8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8B" w14:textId="77777777" w:rsidR="005C332D" w:rsidRDefault="00B93EAE">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518B818C"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8D"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8E" w14:textId="77777777" w:rsidR="005C332D" w:rsidRDefault="00B93EAE">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518B818F" w14:textId="77777777" w:rsidR="005C332D" w:rsidRDefault="005C332D">
            <w:pPr>
              <w:jc w:val="right"/>
              <w:rPr>
                <w:rFonts w:ascii="宋体"/>
              </w:rPr>
            </w:pPr>
          </w:p>
        </w:tc>
      </w:tr>
      <w:tr w:rsidR="005C332D" w14:paraId="518B819A" w14:textId="77777777">
        <w:tc>
          <w:tcPr>
            <w:tcW w:w="0" w:type="auto"/>
            <w:gridSpan w:val="3"/>
            <w:shd w:val="clear" w:color="auto" w:fill="FFFFFF"/>
            <w:tcMar>
              <w:top w:w="40" w:type="dxa"/>
              <w:left w:w="740" w:type="dxa"/>
              <w:bottom w:w="40" w:type="dxa"/>
              <w:right w:w="20" w:type="dxa"/>
            </w:tcMar>
          </w:tcPr>
          <w:p w14:paraId="518B8191" w14:textId="77777777" w:rsidR="005C332D" w:rsidRDefault="00B93EAE">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192" w14:textId="77777777" w:rsidR="005C332D" w:rsidRDefault="00B93EAE">
            <w:pPr>
              <w:jc w:val="right"/>
              <w:textAlignment w:val="bottom"/>
            </w:pPr>
            <w:r>
              <w:rPr>
                <w:rFonts w:ascii="Times New Roman" w:eastAsia="宋体" w:hAnsi="Times New Roman"/>
                <w:b/>
                <w:bCs/>
                <w:color w:val="000000"/>
                <w:sz w:val="20"/>
                <w:szCs w:val="20"/>
              </w:rPr>
              <w:t>38,018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19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94"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195" w14:textId="77777777" w:rsidR="005C332D" w:rsidRDefault="00B93EAE">
            <w:pPr>
              <w:jc w:val="right"/>
              <w:textAlignment w:val="bottom"/>
            </w:pPr>
            <w:r>
              <w:rPr>
                <w:rFonts w:ascii="Times New Roman" w:eastAsia="宋体" w:hAnsi="Times New Roman"/>
                <w:color w:val="000000"/>
                <w:sz w:val="20"/>
                <w:szCs w:val="20"/>
              </w:rPr>
              <w:t>36,014 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196"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97"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198" w14:textId="77777777" w:rsidR="005C332D" w:rsidRDefault="00B93EAE">
            <w:pPr>
              <w:jc w:val="right"/>
              <w:textAlignment w:val="bottom"/>
            </w:pPr>
            <w:r>
              <w:rPr>
                <w:rFonts w:ascii="Times New Roman" w:eastAsia="宋体" w:hAnsi="Times New Roman"/>
                <w:color w:val="000000"/>
                <w:sz w:val="20"/>
                <w:szCs w:val="20"/>
              </w:rPr>
              <w:t>35,978 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199" w14:textId="77777777" w:rsidR="005C332D" w:rsidRDefault="005C332D">
            <w:pPr>
              <w:jc w:val="right"/>
              <w:rPr>
                <w:rFonts w:ascii="宋体"/>
              </w:rPr>
            </w:pPr>
          </w:p>
        </w:tc>
      </w:tr>
      <w:tr w:rsidR="005C332D" w14:paraId="518B81A4" w14:textId="77777777">
        <w:tc>
          <w:tcPr>
            <w:tcW w:w="0" w:type="auto"/>
            <w:gridSpan w:val="3"/>
            <w:shd w:val="clear" w:color="auto" w:fill="CCEEFF"/>
            <w:tcMar>
              <w:top w:w="40" w:type="dxa"/>
              <w:left w:w="380" w:type="dxa"/>
              <w:bottom w:w="40" w:type="dxa"/>
              <w:right w:w="20" w:type="dxa"/>
            </w:tcMar>
          </w:tcPr>
          <w:p w14:paraId="518B819B" w14:textId="77777777" w:rsidR="005C332D" w:rsidRDefault="00B93EAE">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518B819C" w14:textId="77777777" w:rsidR="005C332D" w:rsidRDefault="00B93EAE">
            <w:pPr>
              <w:jc w:val="right"/>
              <w:textAlignment w:val="bottom"/>
            </w:pPr>
            <w:r>
              <w:rPr>
                <w:rFonts w:ascii="Times New Roman" w:eastAsia="宋体" w:hAnsi="Times New Roman"/>
                <w:b/>
                <w:bCs/>
                <w:color w:val="000000"/>
                <w:sz w:val="20"/>
                <w:szCs w:val="20"/>
              </w:rPr>
              <w:t>13,539</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19D"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9E"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9F" w14:textId="77777777" w:rsidR="005C332D" w:rsidRDefault="00B93EAE">
            <w:pPr>
              <w:jc w:val="right"/>
              <w:textAlignment w:val="bottom"/>
            </w:pPr>
            <w:r>
              <w:rPr>
                <w:rFonts w:ascii="Times New Roman" w:eastAsia="宋体" w:hAnsi="Times New Roman"/>
                <w:color w:val="000000"/>
                <w:sz w:val="20"/>
                <w:szCs w:val="20"/>
              </w:rPr>
              <w:t>13,804 </w:t>
            </w:r>
          </w:p>
        </w:tc>
        <w:tc>
          <w:tcPr>
            <w:tcW w:w="0" w:type="auto"/>
            <w:shd w:val="clear" w:color="auto" w:fill="CCEEFF"/>
            <w:tcMar>
              <w:top w:w="40" w:type="dxa"/>
              <w:left w:w="0" w:type="dxa"/>
              <w:bottom w:w="40" w:type="dxa"/>
              <w:right w:w="20" w:type="dxa"/>
            </w:tcMar>
            <w:vAlign w:val="bottom"/>
          </w:tcPr>
          <w:p w14:paraId="518B81A0"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A1"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A2" w14:textId="77777777" w:rsidR="005C332D" w:rsidRDefault="00B93EAE">
            <w:pPr>
              <w:jc w:val="right"/>
              <w:textAlignment w:val="bottom"/>
            </w:pPr>
            <w:r>
              <w:rPr>
                <w:rFonts w:ascii="Times New Roman" w:eastAsia="宋体" w:hAnsi="Times New Roman"/>
                <w:color w:val="000000"/>
                <w:sz w:val="20"/>
                <w:szCs w:val="20"/>
              </w:rPr>
              <w:t>13,323 </w:t>
            </w:r>
          </w:p>
        </w:tc>
        <w:tc>
          <w:tcPr>
            <w:tcW w:w="0" w:type="auto"/>
            <w:shd w:val="clear" w:color="auto" w:fill="CCEEFF"/>
            <w:tcMar>
              <w:top w:w="40" w:type="dxa"/>
              <w:left w:w="0" w:type="dxa"/>
              <w:bottom w:w="40" w:type="dxa"/>
              <w:right w:w="20" w:type="dxa"/>
            </w:tcMar>
            <w:vAlign w:val="bottom"/>
          </w:tcPr>
          <w:p w14:paraId="518B81A3" w14:textId="77777777" w:rsidR="005C332D" w:rsidRDefault="005C332D">
            <w:pPr>
              <w:jc w:val="right"/>
              <w:rPr>
                <w:rFonts w:ascii="宋体"/>
              </w:rPr>
            </w:pPr>
          </w:p>
        </w:tc>
      </w:tr>
      <w:tr w:rsidR="005C332D" w14:paraId="518B81B1" w14:textId="77777777">
        <w:tc>
          <w:tcPr>
            <w:tcW w:w="0" w:type="auto"/>
            <w:gridSpan w:val="3"/>
            <w:shd w:val="clear" w:color="auto" w:fill="FFFFFF"/>
            <w:tcMar>
              <w:top w:w="40" w:type="dxa"/>
              <w:left w:w="1235" w:type="dxa"/>
              <w:bottom w:w="40" w:type="dxa"/>
              <w:right w:w="20" w:type="dxa"/>
            </w:tcMar>
          </w:tcPr>
          <w:p w14:paraId="518B81A5"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81A6"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81A7" w14:textId="77777777" w:rsidR="005C332D" w:rsidRDefault="00B93EAE">
            <w:pPr>
              <w:jc w:val="right"/>
              <w:textAlignment w:val="bottom"/>
            </w:pPr>
            <w:r>
              <w:rPr>
                <w:rFonts w:ascii="Times New Roman" w:eastAsia="宋体" w:hAnsi="Times New Roman"/>
                <w:b/>
                <w:bCs/>
                <w:color w:val="000000"/>
                <w:sz w:val="20"/>
                <w:szCs w:val="20"/>
              </w:rPr>
              <w:t>51,557</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81A8"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A9"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81AA"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81AB" w14:textId="77777777" w:rsidR="005C332D" w:rsidRDefault="00B93EAE">
            <w:pPr>
              <w:jc w:val="right"/>
              <w:textAlignment w:val="bottom"/>
            </w:pPr>
            <w:r>
              <w:rPr>
                <w:rFonts w:ascii="Times New Roman" w:eastAsia="宋体" w:hAnsi="Times New Roman"/>
                <w:color w:val="000000"/>
                <w:sz w:val="20"/>
                <w:szCs w:val="20"/>
              </w:rPr>
              <w:t>49,818 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81AC"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1AD" w14:textId="77777777" w:rsidR="005C332D" w:rsidRDefault="005C332D">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518B81AE"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518B81AF" w14:textId="77777777" w:rsidR="005C332D" w:rsidRDefault="00B93EAE">
            <w:pPr>
              <w:jc w:val="right"/>
              <w:textAlignment w:val="bottom"/>
            </w:pPr>
            <w:r>
              <w:rPr>
                <w:rFonts w:ascii="Times New Roman" w:eastAsia="宋体" w:hAnsi="Times New Roman"/>
                <w:color w:val="000000"/>
                <w:sz w:val="20"/>
                <w:szCs w:val="20"/>
              </w:rPr>
              <w:t>49,301 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518B81B0" w14:textId="77777777" w:rsidR="005C332D" w:rsidRDefault="005C332D">
            <w:pPr>
              <w:jc w:val="right"/>
              <w:rPr>
                <w:rFonts w:ascii="宋体"/>
              </w:rPr>
            </w:pPr>
          </w:p>
        </w:tc>
      </w:tr>
    </w:tbl>
    <w:p w14:paraId="518B81B2" w14:textId="77777777" w:rsidR="005C332D" w:rsidRDefault="00B93EAE">
      <w:pPr>
        <w:spacing w:before="120"/>
        <w:jc w:val="both"/>
      </w:pPr>
      <w:r>
        <w:rPr>
          <w:rFonts w:ascii="Times New Roman" w:eastAsia="宋体" w:hAnsi="Times New Roman"/>
          <w:color w:val="000000"/>
          <w:sz w:val="20"/>
          <w:szCs w:val="20"/>
        </w:rPr>
        <w:t>Amounts may not sum due to rounding.</w:t>
      </w:r>
    </w:p>
    <w:p w14:paraId="518B81B3" w14:textId="77777777" w:rsidR="005C332D" w:rsidRDefault="00B93EAE">
      <w:pPr>
        <w:spacing w:before="120"/>
        <w:ind w:hanging="360"/>
      </w:pPr>
      <w:r>
        <w:rPr>
          <w:rFonts w:ascii="Times New Roman" w:eastAsia="宋体" w:hAnsi="Times New Roman"/>
          <w:b/>
          <w:bCs/>
          <w:color w:val="000000"/>
          <w:sz w:val="20"/>
          <w:szCs w:val="20"/>
        </w:rPr>
        <w:t>(c)Additional Segment Information</w:t>
      </w:r>
    </w:p>
    <w:p w14:paraId="518B81B4" w14:textId="77777777" w:rsidR="005C332D" w:rsidRDefault="00B93EAE">
      <w:pPr>
        <w:spacing w:before="120"/>
        <w:jc w:val="both"/>
      </w:pPr>
      <w:r>
        <w:rPr>
          <w:rFonts w:ascii="Times New Roman" w:eastAsia="宋体" w:hAnsi="Times New Roman"/>
          <w:color w:val="000000"/>
          <w:sz w:val="20"/>
          <w:szCs w:val="20"/>
        </w:rPr>
        <w:t>No single customer accounted for 10% or more of revenue in fiscal 2022, 2021, and 2020.</w:t>
      </w:r>
    </w:p>
    <w:p w14:paraId="518B81B5" w14:textId="77777777" w:rsidR="005C332D" w:rsidRDefault="00B93EAE">
      <w:pPr>
        <w:spacing w:before="120"/>
        <w:jc w:val="both"/>
      </w:pPr>
      <w:r>
        <w:rPr>
          <w:rFonts w:ascii="Times New Roman" w:eastAsia="宋体" w:hAnsi="Times New Roman"/>
          <w:color w:val="000000"/>
          <w:sz w:val="20"/>
          <w:szCs w:val="20"/>
        </w:rPr>
        <w:t xml:space="preserve">The majority of our assets as of </w:t>
      </w:r>
      <w:r>
        <w:rPr>
          <w:rFonts w:ascii="Times New Roman" w:eastAsia="宋体" w:hAnsi="Times New Roman"/>
          <w:color w:val="000000"/>
          <w:sz w:val="20"/>
          <w:szCs w:val="20"/>
        </w:rPr>
        <w:t>July 30, 2022 and July 31, 2021 were attributable to our U.S. operations. Our long-lived assets are based on the physical location of the assets. The following table presents our long-lived assets, which consists of property and equipment, net and operatin</w:t>
      </w:r>
      <w:r>
        <w:rPr>
          <w:rFonts w:ascii="Times New Roman" w:eastAsia="宋体" w:hAnsi="Times New Roman"/>
          <w:color w:val="000000"/>
          <w:sz w:val="20"/>
          <w:szCs w:val="20"/>
        </w:rPr>
        <w:t>g lease right-of-use assets information for geographic areas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392"/>
        <w:gridCol w:w="37"/>
        <w:gridCol w:w="120"/>
        <w:gridCol w:w="1080"/>
        <w:gridCol w:w="36"/>
        <w:gridCol w:w="36"/>
        <w:gridCol w:w="36"/>
        <w:gridCol w:w="36"/>
        <w:gridCol w:w="120"/>
        <w:gridCol w:w="1040"/>
        <w:gridCol w:w="36"/>
        <w:gridCol w:w="36"/>
        <w:gridCol w:w="36"/>
        <w:gridCol w:w="36"/>
        <w:gridCol w:w="120"/>
        <w:gridCol w:w="1040"/>
        <w:gridCol w:w="36"/>
      </w:tblGrid>
      <w:tr w:rsidR="005C332D" w14:paraId="518B81C8" w14:textId="77777777">
        <w:tc>
          <w:tcPr>
            <w:tcW w:w="50" w:type="pct"/>
            <w:shd w:val="clear" w:color="auto" w:fill="auto"/>
            <w:vAlign w:val="bottom"/>
          </w:tcPr>
          <w:p w14:paraId="518B81B6" w14:textId="77777777" w:rsidR="005C332D" w:rsidRDefault="005C332D">
            <w:pPr>
              <w:rPr>
                <w:rFonts w:ascii="宋体"/>
              </w:rPr>
            </w:pPr>
          </w:p>
        </w:tc>
        <w:tc>
          <w:tcPr>
            <w:tcW w:w="2672" w:type="pct"/>
            <w:shd w:val="clear" w:color="auto" w:fill="auto"/>
            <w:vAlign w:val="bottom"/>
          </w:tcPr>
          <w:p w14:paraId="518B81B7" w14:textId="77777777" w:rsidR="005C332D" w:rsidRDefault="005C332D">
            <w:pPr>
              <w:rPr>
                <w:rFonts w:ascii="宋体"/>
              </w:rPr>
            </w:pPr>
          </w:p>
        </w:tc>
        <w:tc>
          <w:tcPr>
            <w:tcW w:w="5" w:type="pct"/>
            <w:shd w:val="clear" w:color="auto" w:fill="auto"/>
            <w:vAlign w:val="bottom"/>
          </w:tcPr>
          <w:p w14:paraId="518B81B8" w14:textId="77777777" w:rsidR="005C332D" w:rsidRDefault="005C332D">
            <w:pPr>
              <w:rPr>
                <w:rFonts w:ascii="宋体"/>
              </w:rPr>
            </w:pPr>
          </w:p>
        </w:tc>
        <w:tc>
          <w:tcPr>
            <w:tcW w:w="50" w:type="pct"/>
            <w:shd w:val="clear" w:color="auto" w:fill="auto"/>
            <w:vAlign w:val="bottom"/>
          </w:tcPr>
          <w:p w14:paraId="518B81B9" w14:textId="77777777" w:rsidR="005C332D" w:rsidRDefault="005C332D">
            <w:pPr>
              <w:rPr>
                <w:rFonts w:ascii="宋体"/>
              </w:rPr>
            </w:pPr>
          </w:p>
        </w:tc>
        <w:tc>
          <w:tcPr>
            <w:tcW w:w="678" w:type="pct"/>
            <w:shd w:val="clear" w:color="auto" w:fill="auto"/>
            <w:vAlign w:val="bottom"/>
          </w:tcPr>
          <w:p w14:paraId="518B81BA" w14:textId="77777777" w:rsidR="005C332D" w:rsidRDefault="005C332D">
            <w:pPr>
              <w:rPr>
                <w:rFonts w:ascii="宋体"/>
              </w:rPr>
            </w:pPr>
          </w:p>
        </w:tc>
        <w:tc>
          <w:tcPr>
            <w:tcW w:w="5" w:type="pct"/>
            <w:shd w:val="clear" w:color="auto" w:fill="auto"/>
            <w:vAlign w:val="bottom"/>
          </w:tcPr>
          <w:p w14:paraId="518B81BB" w14:textId="77777777" w:rsidR="005C332D" w:rsidRDefault="005C332D">
            <w:pPr>
              <w:rPr>
                <w:rFonts w:ascii="宋体"/>
              </w:rPr>
            </w:pPr>
          </w:p>
        </w:tc>
        <w:tc>
          <w:tcPr>
            <w:tcW w:w="5" w:type="pct"/>
            <w:shd w:val="clear" w:color="auto" w:fill="auto"/>
            <w:vAlign w:val="bottom"/>
          </w:tcPr>
          <w:p w14:paraId="518B81BC" w14:textId="77777777" w:rsidR="005C332D" w:rsidRDefault="005C332D">
            <w:pPr>
              <w:rPr>
                <w:rFonts w:ascii="宋体"/>
              </w:rPr>
            </w:pPr>
          </w:p>
        </w:tc>
        <w:tc>
          <w:tcPr>
            <w:tcW w:w="26" w:type="pct"/>
            <w:shd w:val="clear" w:color="auto" w:fill="auto"/>
            <w:vAlign w:val="bottom"/>
          </w:tcPr>
          <w:p w14:paraId="518B81BD" w14:textId="77777777" w:rsidR="005C332D" w:rsidRDefault="005C332D">
            <w:pPr>
              <w:rPr>
                <w:rFonts w:ascii="宋体"/>
              </w:rPr>
            </w:pPr>
          </w:p>
        </w:tc>
        <w:tc>
          <w:tcPr>
            <w:tcW w:w="5" w:type="pct"/>
            <w:shd w:val="clear" w:color="auto" w:fill="auto"/>
            <w:vAlign w:val="bottom"/>
          </w:tcPr>
          <w:p w14:paraId="518B81BE" w14:textId="77777777" w:rsidR="005C332D" w:rsidRDefault="005C332D">
            <w:pPr>
              <w:rPr>
                <w:rFonts w:ascii="宋体"/>
              </w:rPr>
            </w:pPr>
          </w:p>
        </w:tc>
        <w:tc>
          <w:tcPr>
            <w:tcW w:w="50" w:type="pct"/>
            <w:shd w:val="clear" w:color="auto" w:fill="auto"/>
            <w:vAlign w:val="bottom"/>
          </w:tcPr>
          <w:p w14:paraId="518B81BF" w14:textId="77777777" w:rsidR="005C332D" w:rsidRDefault="005C332D">
            <w:pPr>
              <w:rPr>
                <w:rFonts w:ascii="宋体"/>
              </w:rPr>
            </w:pPr>
          </w:p>
        </w:tc>
        <w:tc>
          <w:tcPr>
            <w:tcW w:w="678" w:type="pct"/>
            <w:shd w:val="clear" w:color="auto" w:fill="auto"/>
            <w:vAlign w:val="bottom"/>
          </w:tcPr>
          <w:p w14:paraId="518B81C0" w14:textId="77777777" w:rsidR="005C332D" w:rsidRDefault="005C332D">
            <w:pPr>
              <w:rPr>
                <w:rFonts w:ascii="宋体"/>
              </w:rPr>
            </w:pPr>
          </w:p>
        </w:tc>
        <w:tc>
          <w:tcPr>
            <w:tcW w:w="5" w:type="pct"/>
            <w:shd w:val="clear" w:color="auto" w:fill="auto"/>
            <w:vAlign w:val="bottom"/>
          </w:tcPr>
          <w:p w14:paraId="518B81C1" w14:textId="77777777" w:rsidR="005C332D" w:rsidRDefault="005C332D">
            <w:pPr>
              <w:rPr>
                <w:rFonts w:ascii="宋体"/>
              </w:rPr>
            </w:pPr>
          </w:p>
        </w:tc>
        <w:tc>
          <w:tcPr>
            <w:tcW w:w="5" w:type="pct"/>
            <w:shd w:val="clear" w:color="auto" w:fill="auto"/>
            <w:vAlign w:val="bottom"/>
          </w:tcPr>
          <w:p w14:paraId="518B81C2" w14:textId="77777777" w:rsidR="005C332D" w:rsidRDefault="005C332D">
            <w:pPr>
              <w:rPr>
                <w:rFonts w:ascii="宋体"/>
              </w:rPr>
            </w:pPr>
          </w:p>
        </w:tc>
        <w:tc>
          <w:tcPr>
            <w:tcW w:w="26" w:type="pct"/>
            <w:shd w:val="clear" w:color="auto" w:fill="auto"/>
            <w:vAlign w:val="bottom"/>
          </w:tcPr>
          <w:p w14:paraId="518B81C3" w14:textId="77777777" w:rsidR="005C332D" w:rsidRDefault="005C332D">
            <w:pPr>
              <w:rPr>
                <w:rFonts w:ascii="宋体"/>
              </w:rPr>
            </w:pPr>
          </w:p>
        </w:tc>
        <w:tc>
          <w:tcPr>
            <w:tcW w:w="5" w:type="pct"/>
            <w:shd w:val="clear" w:color="auto" w:fill="auto"/>
            <w:vAlign w:val="bottom"/>
          </w:tcPr>
          <w:p w14:paraId="518B81C4" w14:textId="77777777" w:rsidR="005C332D" w:rsidRDefault="005C332D">
            <w:pPr>
              <w:rPr>
                <w:rFonts w:ascii="宋体"/>
              </w:rPr>
            </w:pPr>
          </w:p>
        </w:tc>
        <w:tc>
          <w:tcPr>
            <w:tcW w:w="50" w:type="pct"/>
            <w:shd w:val="clear" w:color="auto" w:fill="auto"/>
            <w:vAlign w:val="bottom"/>
          </w:tcPr>
          <w:p w14:paraId="518B81C5" w14:textId="77777777" w:rsidR="005C332D" w:rsidRDefault="005C332D">
            <w:pPr>
              <w:rPr>
                <w:rFonts w:ascii="宋体"/>
              </w:rPr>
            </w:pPr>
          </w:p>
        </w:tc>
        <w:tc>
          <w:tcPr>
            <w:tcW w:w="678" w:type="pct"/>
            <w:shd w:val="clear" w:color="auto" w:fill="auto"/>
            <w:vAlign w:val="bottom"/>
          </w:tcPr>
          <w:p w14:paraId="518B81C6" w14:textId="77777777" w:rsidR="005C332D" w:rsidRDefault="005C332D">
            <w:pPr>
              <w:rPr>
                <w:rFonts w:ascii="宋体"/>
              </w:rPr>
            </w:pPr>
          </w:p>
        </w:tc>
        <w:tc>
          <w:tcPr>
            <w:tcW w:w="5" w:type="pct"/>
            <w:shd w:val="clear" w:color="auto" w:fill="auto"/>
            <w:vAlign w:val="bottom"/>
          </w:tcPr>
          <w:p w14:paraId="518B81C7" w14:textId="77777777" w:rsidR="005C332D" w:rsidRDefault="005C332D">
            <w:pPr>
              <w:rPr>
                <w:rFonts w:ascii="宋体"/>
              </w:rPr>
            </w:pPr>
          </w:p>
        </w:tc>
      </w:tr>
      <w:tr w:rsidR="005C332D" w14:paraId="518B81CF" w14:textId="77777777">
        <w:tc>
          <w:tcPr>
            <w:tcW w:w="0" w:type="auto"/>
            <w:gridSpan w:val="3"/>
            <w:shd w:val="clear" w:color="auto" w:fill="auto"/>
            <w:tcMar>
              <w:top w:w="0" w:type="dxa"/>
              <w:left w:w="20" w:type="dxa"/>
              <w:bottom w:w="0" w:type="dxa"/>
              <w:right w:w="20" w:type="dxa"/>
            </w:tcMar>
            <w:vAlign w:val="bottom"/>
          </w:tcPr>
          <w:p w14:paraId="518B81C9"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1CA" w14:textId="77777777" w:rsidR="005C332D" w:rsidRDefault="00B93EAE">
            <w:pPr>
              <w:jc w:val="center"/>
              <w:textAlignment w:val="bottom"/>
            </w:pPr>
            <w:r>
              <w:rPr>
                <w:rFonts w:ascii="Times New Roman" w:eastAsia="宋体" w:hAnsi="Times New Roman"/>
                <w:b/>
                <w:bCs/>
                <w:color w:val="000000"/>
                <w:sz w:val="18"/>
                <w:szCs w:val="18"/>
              </w:rPr>
              <w:t>July 30, 2022</w:t>
            </w:r>
          </w:p>
        </w:tc>
        <w:tc>
          <w:tcPr>
            <w:tcW w:w="0" w:type="auto"/>
            <w:gridSpan w:val="3"/>
            <w:shd w:val="clear" w:color="auto" w:fill="auto"/>
            <w:tcMar>
              <w:top w:w="0" w:type="dxa"/>
              <w:left w:w="20" w:type="dxa"/>
              <w:bottom w:w="0" w:type="dxa"/>
              <w:right w:w="20" w:type="dxa"/>
            </w:tcMar>
            <w:vAlign w:val="bottom"/>
          </w:tcPr>
          <w:p w14:paraId="518B81CB"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1CC"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81CD"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1CE"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81D6" w14:textId="77777777">
        <w:tc>
          <w:tcPr>
            <w:tcW w:w="0" w:type="auto"/>
            <w:gridSpan w:val="3"/>
            <w:shd w:val="clear" w:color="auto" w:fill="CCEEFF"/>
            <w:tcMar>
              <w:top w:w="40" w:type="dxa"/>
              <w:left w:w="20" w:type="dxa"/>
              <w:bottom w:w="40" w:type="dxa"/>
              <w:right w:w="20" w:type="dxa"/>
            </w:tcMar>
          </w:tcPr>
          <w:p w14:paraId="518B81D0" w14:textId="77777777" w:rsidR="005C332D" w:rsidRDefault="00B93EAE">
            <w:pPr>
              <w:textAlignment w:val="top"/>
            </w:pPr>
            <w:r>
              <w:rPr>
                <w:rFonts w:ascii="Times New Roman" w:eastAsia="宋体" w:hAnsi="Times New Roman"/>
                <w:color w:val="000000"/>
                <w:sz w:val="20"/>
                <w:szCs w:val="20"/>
              </w:rPr>
              <w:t>Long-lived 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81D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1D2"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81D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1D4" w14:textId="77777777" w:rsidR="005C332D" w:rsidRDefault="005C332D">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518B81D5" w14:textId="77777777" w:rsidR="005C332D" w:rsidRDefault="005C332D">
            <w:pPr>
              <w:rPr>
                <w:rFonts w:ascii="宋体"/>
              </w:rPr>
            </w:pPr>
          </w:p>
        </w:tc>
      </w:tr>
      <w:tr w:rsidR="005C332D" w14:paraId="518B81E3" w14:textId="77777777">
        <w:tc>
          <w:tcPr>
            <w:tcW w:w="0" w:type="auto"/>
            <w:gridSpan w:val="3"/>
            <w:shd w:val="clear" w:color="auto" w:fill="auto"/>
            <w:tcMar>
              <w:top w:w="40" w:type="dxa"/>
              <w:left w:w="380" w:type="dxa"/>
              <w:bottom w:w="40" w:type="dxa"/>
              <w:right w:w="20" w:type="dxa"/>
            </w:tcMar>
          </w:tcPr>
          <w:p w14:paraId="518B81D7" w14:textId="77777777" w:rsidR="005C332D" w:rsidRDefault="00B93EAE">
            <w:pPr>
              <w:textAlignment w:val="top"/>
            </w:pPr>
            <w:r>
              <w:rPr>
                <w:rFonts w:ascii="Times New Roman" w:eastAsia="宋体" w:hAnsi="Times New Roman"/>
                <w:color w:val="000000"/>
                <w:sz w:val="20"/>
                <w:szCs w:val="20"/>
              </w:rPr>
              <w:t>United States</w:t>
            </w:r>
          </w:p>
        </w:tc>
        <w:tc>
          <w:tcPr>
            <w:tcW w:w="0" w:type="auto"/>
            <w:shd w:val="clear" w:color="auto" w:fill="auto"/>
            <w:tcMar>
              <w:top w:w="40" w:type="dxa"/>
              <w:left w:w="20" w:type="dxa"/>
              <w:bottom w:w="40" w:type="dxa"/>
              <w:right w:w="0" w:type="dxa"/>
            </w:tcMar>
            <w:vAlign w:val="bottom"/>
          </w:tcPr>
          <w:p w14:paraId="518B81D8" w14:textId="77777777" w:rsidR="005C332D" w:rsidRDefault="00B93EAE">
            <w:pPr>
              <w:textAlignment w:val="bottom"/>
            </w:pPr>
            <w:r>
              <w:rPr>
                <w:rFonts w:ascii="Times New Roman" w:eastAsia="宋体" w:hAnsi="Times New Roman"/>
                <w:b/>
                <w:bCs/>
                <w:color w:val="000000"/>
                <w:sz w:val="20"/>
                <w:szCs w:val="20"/>
              </w:rPr>
              <w:t>$</w:t>
            </w:r>
          </w:p>
        </w:tc>
        <w:tc>
          <w:tcPr>
            <w:tcW w:w="0" w:type="auto"/>
            <w:shd w:val="clear" w:color="auto" w:fill="auto"/>
            <w:tcMar>
              <w:top w:w="40" w:type="dxa"/>
              <w:left w:w="0" w:type="dxa"/>
              <w:bottom w:w="40" w:type="dxa"/>
              <w:right w:w="0" w:type="dxa"/>
            </w:tcMar>
            <w:vAlign w:val="bottom"/>
          </w:tcPr>
          <w:p w14:paraId="518B81D9" w14:textId="77777777" w:rsidR="005C332D" w:rsidRDefault="00B93EAE">
            <w:pPr>
              <w:jc w:val="right"/>
              <w:textAlignment w:val="bottom"/>
            </w:pPr>
            <w:r>
              <w:rPr>
                <w:rFonts w:ascii="Times New Roman" w:eastAsia="宋体" w:hAnsi="Times New Roman"/>
                <w:b/>
                <w:bCs/>
                <w:color w:val="000000"/>
                <w:sz w:val="20"/>
                <w:szCs w:val="20"/>
              </w:rPr>
              <w:t>2,004</w:t>
            </w: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518B81DA"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81DB"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81DC"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81DD" w14:textId="77777777" w:rsidR="005C332D" w:rsidRDefault="00B93EAE">
            <w:pPr>
              <w:jc w:val="right"/>
              <w:textAlignment w:val="bottom"/>
            </w:pPr>
            <w:r>
              <w:rPr>
                <w:rFonts w:ascii="Times New Roman" w:eastAsia="宋体" w:hAnsi="Times New Roman"/>
                <w:color w:val="000000"/>
                <w:sz w:val="20"/>
                <w:szCs w:val="20"/>
              </w:rPr>
              <w:t>2,189 </w:t>
            </w:r>
          </w:p>
        </w:tc>
        <w:tc>
          <w:tcPr>
            <w:tcW w:w="0" w:type="auto"/>
            <w:shd w:val="clear" w:color="auto" w:fill="auto"/>
            <w:tcMar>
              <w:top w:w="40" w:type="dxa"/>
              <w:left w:w="0" w:type="dxa"/>
              <w:bottom w:w="40" w:type="dxa"/>
              <w:right w:w="20" w:type="dxa"/>
            </w:tcMar>
            <w:vAlign w:val="bottom"/>
          </w:tcPr>
          <w:p w14:paraId="518B81DE"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81DF" w14:textId="77777777" w:rsidR="005C332D" w:rsidRDefault="005C332D">
            <w:pPr>
              <w:rPr>
                <w:rFonts w:ascii="宋体"/>
              </w:rPr>
            </w:pPr>
          </w:p>
        </w:tc>
        <w:tc>
          <w:tcPr>
            <w:tcW w:w="0" w:type="auto"/>
            <w:shd w:val="clear" w:color="auto" w:fill="auto"/>
            <w:tcMar>
              <w:top w:w="40" w:type="dxa"/>
              <w:left w:w="20" w:type="dxa"/>
              <w:bottom w:w="40" w:type="dxa"/>
              <w:right w:w="0" w:type="dxa"/>
            </w:tcMar>
            <w:vAlign w:val="bottom"/>
          </w:tcPr>
          <w:p w14:paraId="518B81E0" w14:textId="77777777" w:rsidR="005C332D" w:rsidRDefault="00B93EAE">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518B81E1" w14:textId="77777777" w:rsidR="005C332D" w:rsidRDefault="00B93EAE">
            <w:pPr>
              <w:jc w:val="right"/>
              <w:textAlignment w:val="bottom"/>
            </w:pPr>
            <w:r>
              <w:rPr>
                <w:rFonts w:ascii="Times New Roman" w:eastAsia="宋体" w:hAnsi="Times New Roman"/>
                <w:color w:val="000000"/>
                <w:sz w:val="20"/>
                <w:szCs w:val="20"/>
              </w:rPr>
              <w:t>2,328 </w:t>
            </w:r>
          </w:p>
        </w:tc>
        <w:tc>
          <w:tcPr>
            <w:tcW w:w="0" w:type="auto"/>
            <w:shd w:val="clear" w:color="auto" w:fill="auto"/>
            <w:tcMar>
              <w:top w:w="40" w:type="dxa"/>
              <w:left w:w="0" w:type="dxa"/>
              <w:bottom w:w="40" w:type="dxa"/>
              <w:right w:w="20" w:type="dxa"/>
            </w:tcMar>
            <w:vAlign w:val="bottom"/>
          </w:tcPr>
          <w:p w14:paraId="518B81E2" w14:textId="77777777" w:rsidR="005C332D" w:rsidRDefault="005C332D">
            <w:pPr>
              <w:jc w:val="right"/>
              <w:rPr>
                <w:rFonts w:ascii="宋体"/>
              </w:rPr>
            </w:pPr>
          </w:p>
        </w:tc>
      </w:tr>
      <w:tr w:rsidR="005C332D" w14:paraId="518B81ED" w14:textId="77777777">
        <w:tc>
          <w:tcPr>
            <w:tcW w:w="0" w:type="auto"/>
            <w:gridSpan w:val="3"/>
            <w:shd w:val="clear" w:color="auto" w:fill="CCEEFF"/>
            <w:tcMar>
              <w:top w:w="40" w:type="dxa"/>
              <w:left w:w="380" w:type="dxa"/>
              <w:bottom w:w="40" w:type="dxa"/>
              <w:right w:w="20" w:type="dxa"/>
            </w:tcMar>
          </w:tcPr>
          <w:p w14:paraId="518B81E4" w14:textId="77777777" w:rsidR="005C332D" w:rsidRDefault="00B93EAE">
            <w:pPr>
              <w:textAlignment w:val="top"/>
            </w:pPr>
            <w:r>
              <w:rPr>
                <w:rFonts w:ascii="Times New Roman" w:eastAsia="宋体" w:hAnsi="Times New Roman"/>
                <w:color w:val="000000"/>
                <w:sz w:val="20"/>
                <w:szCs w:val="20"/>
              </w:rPr>
              <w:t>International</w:t>
            </w:r>
          </w:p>
        </w:tc>
        <w:tc>
          <w:tcPr>
            <w:tcW w:w="0" w:type="auto"/>
            <w:gridSpan w:val="2"/>
            <w:shd w:val="clear" w:color="auto" w:fill="CCEEFF"/>
            <w:tcMar>
              <w:top w:w="40" w:type="dxa"/>
              <w:left w:w="20" w:type="dxa"/>
              <w:bottom w:w="40" w:type="dxa"/>
              <w:right w:w="0" w:type="dxa"/>
            </w:tcMar>
            <w:vAlign w:val="bottom"/>
          </w:tcPr>
          <w:p w14:paraId="518B81E5" w14:textId="77777777" w:rsidR="005C332D" w:rsidRDefault="00B93EAE">
            <w:pPr>
              <w:jc w:val="right"/>
              <w:textAlignment w:val="bottom"/>
            </w:pPr>
            <w:r>
              <w:rPr>
                <w:rFonts w:ascii="Times New Roman" w:eastAsia="宋体" w:hAnsi="Times New Roman"/>
                <w:b/>
                <w:bCs/>
                <w:color w:val="000000"/>
                <w:sz w:val="20"/>
                <w:szCs w:val="20"/>
              </w:rPr>
              <w:t>997</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1E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E7"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E8" w14:textId="77777777" w:rsidR="005C332D" w:rsidRDefault="00B93EAE">
            <w:pPr>
              <w:jc w:val="right"/>
              <w:textAlignment w:val="bottom"/>
            </w:pPr>
            <w:r>
              <w:rPr>
                <w:rFonts w:ascii="Times New Roman" w:eastAsia="宋体" w:hAnsi="Times New Roman"/>
                <w:color w:val="000000"/>
                <w:sz w:val="20"/>
                <w:szCs w:val="20"/>
              </w:rPr>
              <w:t>1,244 </w:t>
            </w:r>
          </w:p>
        </w:tc>
        <w:tc>
          <w:tcPr>
            <w:tcW w:w="0" w:type="auto"/>
            <w:shd w:val="clear" w:color="auto" w:fill="CCEEFF"/>
            <w:tcMar>
              <w:top w:w="40" w:type="dxa"/>
              <w:left w:w="0" w:type="dxa"/>
              <w:bottom w:w="40" w:type="dxa"/>
              <w:right w:w="20" w:type="dxa"/>
            </w:tcMar>
            <w:vAlign w:val="bottom"/>
          </w:tcPr>
          <w:p w14:paraId="518B81E9"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1EA"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1EB" w14:textId="77777777" w:rsidR="005C332D" w:rsidRDefault="00B93EAE">
            <w:pPr>
              <w:jc w:val="right"/>
              <w:textAlignment w:val="bottom"/>
            </w:pPr>
            <w:r>
              <w:rPr>
                <w:rFonts w:ascii="Times New Roman" w:eastAsia="宋体" w:hAnsi="Times New Roman"/>
                <w:color w:val="000000"/>
                <w:sz w:val="20"/>
                <w:szCs w:val="20"/>
              </w:rPr>
              <w:t>1,046 </w:t>
            </w:r>
          </w:p>
        </w:tc>
        <w:tc>
          <w:tcPr>
            <w:tcW w:w="0" w:type="auto"/>
            <w:shd w:val="clear" w:color="auto" w:fill="CCEEFF"/>
            <w:tcMar>
              <w:top w:w="40" w:type="dxa"/>
              <w:left w:w="0" w:type="dxa"/>
              <w:bottom w:w="40" w:type="dxa"/>
              <w:right w:w="20" w:type="dxa"/>
            </w:tcMar>
            <w:vAlign w:val="bottom"/>
          </w:tcPr>
          <w:p w14:paraId="518B81EC" w14:textId="77777777" w:rsidR="005C332D" w:rsidRDefault="005C332D">
            <w:pPr>
              <w:jc w:val="right"/>
              <w:rPr>
                <w:rFonts w:ascii="宋体"/>
              </w:rPr>
            </w:pPr>
          </w:p>
        </w:tc>
      </w:tr>
      <w:tr w:rsidR="005C332D" w14:paraId="518B81FA" w14:textId="77777777">
        <w:tc>
          <w:tcPr>
            <w:tcW w:w="0" w:type="auto"/>
            <w:gridSpan w:val="3"/>
            <w:shd w:val="clear" w:color="auto" w:fill="auto"/>
            <w:tcMar>
              <w:top w:w="40" w:type="dxa"/>
              <w:left w:w="740" w:type="dxa"/>
              <w:bottom w:w="40" w:type="dxa"/>
              <w:right w:w="20" w:type="dxa"/>
            </w:tcMar>
          </w:tcPr>
          <w:p w14:paraId="518B81EE" w14:textId="77777777" w:rsidR="005C332D" w:rsidRDefault="00B93EA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81EF"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81F0" w14:textId="77777777" w:rsidR="005C332D" w:rsidRDefault="00B93EAE">
            <w:pPr>
              <w:jc w:val="right"/>
              <w:textAlignment w:val="bottom"/>
            </w:pPr>
            <w:r>
              <w:rPr>
                <w:rFonts w:ascii="Times New Roman" w:eastAsia="宋体" w:hAnsi="Times New Roman"/>
                <w:b/>
                <w:bCs/>
                <w:color w:val="000000"/>
                <w:sz w:val="20"/>
                <w:szCs w:val="20"/>
              </w:rPr>
              <w:t>3,001</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81F1"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81F2"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81F3"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81F4" w14:textId="77777777" w:rsidR="005C332D" w:rsidRDefault="00B93EAE">
            <w:pPr>
              <w:jc w:val="right"/>
              <w:textAlignment w:val="bottom"/>
            </w:pPr>
            <w:r>
              <w:rPr>
                <w:rFonts w:ascii="Times New Roman" w:eastAsia="宋体" w:hAnsi="Times New Roman"/>
                <w:color w:val="000000"/>
                <w:sz w:val="20"/>
                <w:szCs w:val="20"/>
              </w:rPr>
              <w:t>3,433 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81F5" w14:textId="77777777" w:rsidR="005C332D" w:rsidRDefault="005C332D">
            <w:pPr>
              <w:jc w:val="right"/>
              <w:rPr>
                <w:rFonts w:ascii="宋体"/>
              </w:rPr>
            </w:pPr>
          </w:p>
        </w:tc>
        <w:tc>
          <w:tcPr>
            <w:tcW w:w="0" w:type="auto"/>
            <w:gridSpan w:val="3"/>
            <w:shd w:val="clear" w:color="auto" w:fill="auto"/>
            <w:tcMar>
              <w:top w:w="0" w:type="dxa"/>
              <w:left w:w="20" w:type="dxa"/>
              <w:bottom w:w="0" w:type="dxa"/>
              <w:right w:w="20" w:type="dxa"/>
            </w:tcMar>
            <w:vAlign w:val="bottom"/>
          </w:tcPr>
          <w:p w14:paraId="518B81F6" w14:textId="77777777" w:rsidR="005C332D" w:rsidRDefault="005C332D">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518B81F7"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518B81F8" w14:textId="77777777" w:rsidR="005C332D" w:rsidRDefault="00B93EAE">
            <w:pPr>
              <w:jc w:val="right"/>
              <w:textAlignment w:val="bottom"/>
            </w:pPr>
            <w:r>
              <w:rPr>
                <w:rFonts w:ascii="Times New Roman" w:eastAsia="宋体" w:hAnsi="Times New Roman"/>
                <w:color w:val="000000"/>
                <w:sz w:val="20"/>
                <w:szCs w:val="20"/>
              </w:rPr>
              <w:t>3,374 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518B81F9" w14:textId="77777777" w:rsidR="005C332D" w:rsidRDefault="005C332D">
            <w:pPr>
              <w:jc w:val="right"/>
              <w:rPr>
                <w:rFonts w:ascii="宋体"/>
              </w:rPr>
            </w:pPr>
          </w:p>
        </w:tc>
      </w:tr>
    </w:tbl>
    <w:p w14:paraId="518B81FB" w14:textId="77777777" w:rsidR="005C332D" w:rsidRDefault="005C332D"/>
    <w:p w14:paraId="518B81FC" w14:textId="77777777" w:rsidR="005C332D" w:rsidRDefault="00B93EAE">
      <w:pPr>
        <w:ind w:hanging="360"/>
      </w:pPr>
      <w:r>
        <w:rPr>
          <w:rFonts w:ascii="Times New Roman" w:eastAsia="宋体" w:hAnsi="Times New Roman"/>
          <w:b/>
          <w:bCs/>
          <w:color w:val="000000"/>
          <w:sz w:val="20"/>
          <w:szCs w:val="20"/>
        </w:rPr>
        <w:t xml:space="preserve">20.Net Income per Share </w:t>
      </w:r>
    </w:p>
    <w:p w14:paraId="518B81FD" w14:textId="77777777" w:rsidR="005C332D" w:rsidRDefault="00B93EAE">
      <w:pPr>
        <w:spacing w:before="120"/>
        <w:jc w:val="both"/>
      </w:pPr>
      <w:r>
        <w:rPr>
          <w:rFonts w:ascii="Times New Roman" w:eastAsia="宋体" w:hAnsi="Times New Roman"/>
          <w:color w:val="000000"/>
          <w:sz w:val="20"/>
          <w:szCs w:val="20"/>
        </w:rPr>
        <w:t>The following table presents the calculation of basic and diluted net income per share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9"/>
        <w:gridCol w:w="4391"/>
        <w:gridCol w:w="37"/>
        <w:gridCol w:w="120"/>
        <w:gridCol w:w="1080"/>
        <w:gridCol w:w="36"/>
        <w:gridCol w:w="36"/>
        <w:gridCol w:w="36"/>
        <w:gridCol w:w="36"/>
        <w:gridCol w:w="120"/>
        <w:gridCol w:w="1040"/>
        <w:gridCol w:w="36"/>
        <w:gridCol w:w="36"/>
        <w:gridCol w:w="36"/>
        <w:gridCol w:w="36"/>
        <w:gridCol w:w="120"/>
        <w:gridCol w:w="1040"/>
        <w:gridCol w:w="36"/>
      </w:tblGrid>
      <w:tr w:rsidR="005C332D" w14:paraId="518B8210" w14:textId="77777777">
        <w:tc>
          <w:tcPr>
            <w:tcW w:w="50" w:type="pct"/>
            <w:shd w:val="clear" w:color="auto" w:fill="auto"/>
            <w:vAlign w:val="bottom"/>
          </w:tcPr>
          <w:p w14:paraId="518B81FE" w14:textId="77777777" w:rsidR="005C332D" w:rsidRDefault="005C332D">
            <w:pPr>
              <w:rPr>
                <w:rFonts w:ascii="宋体"/>
              </w:rPr>
            </w:pPr>
          </w:p>
        </w:tc>
        <w:tc>
          <w:tcPr>
            <w:tcW w:w="2672" w:type="pct"/>
            <w:shd w:val="clear" w:color="auto" w:fill="auto"/>
            <w:vAlign w:val="bottom"/>
          </w:tcPr>
          <w:p w14:paraId="518B81FF" w14:textId="77777777" w:rsidR="005C332D" w:rsidRDefault="005C332D">
            <w:pPr>
              <w:rPr>
                <w:rFonts w:ascii="宋体"/>
              </w:rPr>
            </w:pPr>
          </w:p>
        </w:tc>
        <w:tc>
          <w:tcPr>
            <w:tcW w:w="5" w:type="pct"/>
            <w:shd w:val="clear" w:color="auto" w:fill="auto"/>
            <w:vAlign w:val="bottom"/>
          </w:tcPr>
          <w:p w14:paraId="518B8200" w14:textId="77777777" w:rsidR="005C332D" w:rsidRDefault="005C332D">
            <w:pPr>
              <w:rPr>
                <w:rFonts w:ascii="宋体"/>
              </w:rPr>
            </w:pPr>
          </w:p>
        </w:tc>
        <w:tc>
          <w:tcPr>
            <w:tcW w:w="50" w:type="pct"/>
            <w:shd w:val="clear" w:color="auto" w:fill="auto"/>
            <w:vAlign w:val="bottom"/>
          </w:tcPr>
          <w:p w14:paraId="518B8201" w14:textId="77777777" w:rsidR="005C332D" w:rsidRDefault="005C332D">
            <w:pPr>
              <w:rPr>
                <w:rFonts w:ascii="宋体"/>
              </w:rPr>
            </w:pPr>
          </w:p>
        </w:tc>
        <w:tc>
          <w:tcPr>
            <w:tcW w:w="678" w:type="pct"/>
            <w:shd w:val="clear" w:color="auto" w:fill="auto"/>
            <w:vAlign w:val="bottom"/>
          </w:tcPr>
          <w:p w14:paraId="518B8202" w14:textId="77777777" w:rsidR="005C332D" w:rsidRDefault="005C332D">
            <w:pPr>
              <w:rPr>
                <w:rFonts w:ascii="宋体"/>
              </w:rPr>
            </w:pPr>
          </w:p>
        </w:tc>
        <w:tc>
          <w:tcPr>
            <w:tcW w:w="5" w:type="pct"/>
            <w:shd w:val="clear" w:color="auto" w:fill="auto"/>
            <w:vAlign w:val="bottom"/>
          </w:tcPr>
          <w:p w14:paraId="518B8203" w14:textId="77777777" w:rsidR="005C332D" w:rsidRDefault="005C332D">
            <w:pPr>
              <w:rPr>
                <w:rFonts w:ascii="宋体"/>
              </w:rPr>
            </w:pPr>
          </w:p>
        </w:tc>
        <w:tc>
          <w:tcPr>
            <w:tcW w:w="5" w:type="pct"/>
            <w:shd w:val="clear" w:color="auto" w:fill="auto"/>
            <w:vAlign w:val="bottom"/>
          </w:tcPr>
          <w:p w14:paraId="518B8204" w14:textId="77777777" w:rsidR="005C332D" w:rsidRDefault="005C332D">
            <w:pPr>
              <w:rPr>
                <w:rFonts w:ascii="宋体"/>
              </w:rPr>
            </w:pPr>
          </w:p>
        </w:tc>
        <w:tc>
          <w:tcPr>
            <w:tcW w:w="26" w:type="pct"/>
            <w:shd w:val="clear" w:color="auto" w:fill="auto"/>
            <w:vAlign w:val="bottom"/>
          </w:tcPr>
          <w:p w14:paraId="518B8205" w14:textId="77777777" w:rsidR="005C332D" w:rsidRDefault="005C332D">
            <w:pPr>
              <w:rPr>
                <w:rFonts w:ascii="宋体"/>
              </w:rPr>
            </w:pPr>
          </w:p>
        </w:tc>
        <w:tc>
          <w:tcPr>
            <w:tcW w:w="5" w:type="pct"/>
            <w:shd w:val="clear" w:color="auto" w:fill="auto"/>
            <w:vAlign w:val="bottom"/>
          </w:tcPr>
          <w:p w14:paraId="518B8206" w14:textId="77777777" w:rsidR="005C332D" w:rsidRDefault="005C332D">
            <w:pPr>
              <w:rPr>
                <w:rFonts w:ascii="宋体"/>
              </w:rPr>
            </w:pPr>
          </w:p>
        </w:tc>
        <w:tc>
          <w:tcPr>
            <w:tcW w:w="50" w:type="pct"/>
            <w:shd w:val="clear" w:color="auto" w:fill="auto"/>
            <w:vAlign w:val="bottom"/>
          </w:tcPr>
          <w:p w14:paraId="518B8207" w14:textId="77777777" w:rsidR="005C332D" w:rsidRDefault="005C332D">
            <w:pPr>
              <w:rPr>
                <w:rFonts w:ascii="宋体"/>
              </w:rPr>
            </w:pPr>
          </w:p>
        </w:tc>
        <w:tc>
          <w:tcPr>
            <w:tcW w:w="678" w:type="pct"/>
            <w:shd w:val="clear" w:color="auto" w:fill="auto"/>
            <w:vAlign w:val="bottom"/>
          </w:tcPr>
          <w:p w14:paraId="518B8208" w14:textId="77777777" w:rsidR="005C332D" w:rsidRDefault="005C332D">
            <w:pPr>
              <w:rPr>
                <w:rFonts w:ascii="宋体"/>
              </w:rPr>
            </w:pPr>
          </w:p>
        </w:tc>
        <w:tc>
          <w:tcPr>
            <w:tcW w:w="5" w:type="pct"/>
            <w:shd w:val="clear" w:color="auto" w:fill="auto"/>
            <w:vAlign w:val="bottom"/>
          </w:tcPr>
          <w:p w14:paraId="518B8209" w14:textId="77777777" w:rsidR="005C332D" w:rsidRDefault="005C332D">
            <w:pPr>
              <w:rPr>
                <w:rFonts w:ascii="宋体"/>
              </w:rPr>
            </w:pPr>
          </w:p>
        </w:tc>
        <w:tc>
          <w:tcPr>
            <w:tcW w:w="5" w:type="pct"/>
            <w:shd w:val="clear" w:color="auto" w:fill="auto"/>
            <w:vAlign w:val="bottom"/>
          </w:tcPr>
          <w:p w14:paraId="518B820A" w14:textId="77777777" w:rsidR="005C332D" w:rsidRDefault="005C332D">
            <w:pPr>
              <w:rPr>
                <w:rFonts w:ascii="宋体"/>
              </w:rPr>
            </w:pPr>
          </w:p>
        </w:tc>
        <w:tc>
          <w:tcPr>
            <w:tcW w:w="26" w:type="pct"/>
            <w:shd w:val="clear" w:color="auto" w:fill="auto"/>
            <w:vAlign w:val="bottom"/>
          </w:tcPr>
          <w:p w14:paraId="518B820B" w14:textId="77777777" w:rsidR="005C332D" w:rsidRDefault="005C332D">
            <w:pPr>
              <w:rPr>
                <w:rFonts w:ascii="宋体"/>
              </w:rPr>
            </w:pPr>
          </w:p>
        </w:tc>
        <w:tc>
          <w:tcPr>
            <w:tcW w:w="5" w:type="pct"/>
            <w:shd w:val="clear" w:color="auto" w:fill="auto"/>
            <w:vAlign w:val="bottom"/>
          </w:tcPr>
          <w:p w14:paraId="518B820C" w14:textId="77777777" w:rsidR="005C332D" w:rsidRDefault="005C332D">
            <w:pPr>
              <w:rPr>
                <w:rFonts w:ascii="宋体"/>
              </w:rPr>
            </w:pPr>
          </w:p>
        </w:tc>
        <w:tc>
          <w:tcPr>
            <w:tcW w:w="50" w:type="pct"/>
            <w:shd w:val="clear" w:color="auto" w:fill="auto"/>
            <w:vAlign w:val="bottom"/>
          </w:tcPr>
          <w:p w14:paraId="518B820D" w14:textId="77777777" w:rsidR="005C332D" w:rsidRDefault="005C332D">
            <w:pPr>
              <w:rPr>
                <w:rFonts w:ascii="宋体"/>
              </w:rPr>
            </w:pPr>
          </w:p>
        </w:tc>
        <w:tc>
          <w:tcPr>
            <w:tcW w:w="678" w:type="pct"/>
            <w:shd w:val="clear" w:color="auto" w:fill="auto"/>
            <w:vAlign w:val="bottom"/>
          </w:tcPr>
          <w:p w14:paraId="518B820E" w14:textId="77777777" w:rsidR="005C332D" w:rsidRDefault="005C332D">
            <w:pPr>
              <w:rPr>
                <w:rFonts w:ascii="宋体"/>
              </w:rPr>
            </w:pPr>
          </w:p>
        </w:tc>
        <w:tc>
          <w:tcPr>
            <w:tcW w:w="5" w:type="pct"/>
            <w:shd w:val="clear" w:color="auto" w:fill="auto"/>
            <w:vAlign w:val="bottom"/>
          </w:tcPr>
          <w:p w14:paraId="518B820F" w14:textId="77777777" w:rsidR="005C332D" w:rsidRDefault="005C332D">
            <w:pPr>
              <w:rPr>
                <w:rFonts w:ascii="宋体"/>
              </w:rPr>
            </w:pPr>
          </w:p>
        </w:tc>
      </w:tr>
      <w:tr w:rsidR="005C332D" w14:paraId="518B8217" w14:textId="77777777">
        <w:tc>
          <w:tcPr>
            <w:tcW w:w="0" w:type="auto"/>
            <w:gridSpan w:val="3"/>
            <w:shd w:val="clear" w:color="auto" w:fill="auto"/>
            <w:tcMar>
              <w:top w:w="40" w:type="dxa"/>
              <w:left w:w="20" w:type="dxa"/>
              <w:bottom w:w="40" w:type="dxa"/>
              <w:right w:w="20" w:type="dxa"/>
            </w:tcMar>
            <w:vAlign w:val="bottom"/>
          </w:tcPr>
          <w:p w14:paraId="518B8211" w14:textId="77777777" w:rsidR="005C332D" w:rsidRDefault="00B93EAE">
            <w:pPr>
              <w:textAlignment w:val="bottom"/>
            </w:pPr>
            <w:r>
              <w:rPr>
                <w:rFonts w:ascii="Times New Roman" w:eastAsia="宋体" w:hAnsi="Times New Roman"/>
                <w:color w:val="000000"/>
                <w:sz w:val="18"/>
                <w:szCs w:val="18"/>
                <w:u w:val="single"/>
              </w:rPr>
              <w:t>Years Ended</w:t>
            </w:r>
          </w:p>
        </w:tc>
        <w:tc>
          <w:tcPr>
            <w:tcW w:w="0" w:type="auto"/>
            <w:gridSpan w:val="3"/>
            <w:shd w:val="clear" w:color="auto" w:fill="auto"/>
            <w:tcMar>
              <w:top w:w="40" w:type="dxa"/>
              <w:left w:w="20" w:type="dxa"/>
              <w:bottom w:w="40" w:type="dxa"/>
              <w:right w:w="20" w:type="dxa"/>
            </w:tcMar>
            <w:vAlign w:val="bottom"/>
          </w:tcPr>
          <w:p w14:paraId="518B8212" w14:textId="77777777" w:rsidR="005C332D" w:rsidRDefault="00B93EAE">
            <w:pPr>
              <w:jc w:val="center"/>
              <w:textAlignment w:val="bottom"/>
            </w:pPr>
            <w:r>
              <w:rPr>
                <w:rFonts w:ascii="Times New Roman" w:eastAsia="宋体" w:hAnsi="Times New Roman"/>
                <w:b/>
                <w:bCs/>
                <w:color w:val="000000"/>
                <w:sz w:val="18"/>
                <w:szCs w:val="18"/>
              </w:rPr>
              <w:t xml:space="preserve">July 30, </w:t>
            </w:r>
            <w:r>
              <w:rPr>
                <w:rFonts w:ascii="Times New Roman" w:eastAsia="宋体" w:hAnsi="Times New Roman"/>
                <w:b/>
                <w:bCs/>
                <w:color w:val="000000"/>
                <w:sz w:val="18"/>
                <w:szCs w:val="18"/>
              </w:rPr>
              <w:t>2022</w:t>
            </w:r>
          </w:p>
        </w:tc>
        <w:tc>
          <w:tcPr>
            <w:tcW w:w="0" w:type="auto"/>
            <w:gridSpan w:val="3"/>
            <w:shd w:val="clear" w:color="auto" w:fill="auto"/>
            <w:tcMar>
              <w:top w:w="0" w:type="dxa"/>
              <w:left w:w="20" w:type="dxa"/>
              <w:bottom w:w="0" w:type="dxa"/>
              <w:right w:w="20" w:type="dxa"/>
            </w:tcMar>
            <w:vAlign w:val="bottom"/>
          </w:tcPr>
          <w:p w14:paraId="518B821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214" w14:textId="77777777" w:rsidR="005C332D" w:rsidRDefault="00B93EAE">
            <w:pPr>
              <w:jc w:val="center"/>
              <w:textAlignment w:val="bottom"/>
            </w:pPr>
            <w:r>
              <w:rPr>
                <w:rFonts w:ascii="Times New Roman" w:eastAsia="宋体" w:hAnsi="Times New Roman"/>
                <w:color w:val="000000"/>
                <w:sz w:val="18"/>
                <w:szCs w:val="18"/>
              </w:rPr>
              <w:t>July 31, 2021</w:t>
            </w:r>
          </w:p>
        </w:tc>
        <w:tc>
          <w:tcPr>
            <w:tcW w:w="0" w:type="auto"/>
            <w:gridSpan w:val="3"/>
            <w:shd w:val="clear" w:color="auto" w:fill="auto"/>
            <w:tcMar>
              <w:top w:w="0" w:type="dxa"/>
              <w:left w:w="20" w:type="dxa"/>
              <w:bottom w:w="0" w:type="dxa"/>
              <w:right w:w="20" w:type="dxa"/>
            </w:tcMar>
            <w:vAlign w:val="bottom"/>
          </w:tcPr>
          <w:p w14:paraId="518B8215"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216" w14:textId="77777777" w:rsidR="005C332D" w:rsidRDefault="00B93EAE">
            <w:pPr>
              <w:jc w:val="center"/>
              <w:textAlignment w:val="bottom"/>
            </w:pPr>
            <w:r>
              <w:rPr>
                <w:rFonts w:ascii="Times New Roman" w:eastAsia="宋体" w:hAnsi="Times New Roman"/>
                <w:color w:val="000000"/>
                <w:sz w:val="18"/>
                <w:szCs w:val="18"/>
              </w:rPr>
              <w:t>July 25, 2020</w:t>
            </w:r>
          </w:p>
        </w:tc>
      </w:tr>
      <w:tr w:rsidR="005C332D" w14:paraId="518B8224" w14:textId="77777777">
        <w:tc>
          <w:tcPr>
            <w:tcW w:w="0" w:type="auto"/>
            <w:gridSpan w:val="3"/>
            <w:shd w:val="clear" w:color="auto" w:fill="CCEEFF"/>
            <w:tcMar>
              <w:top w:w="40" w:type="dxa"/>
              <w:left w:w="20" w:type="dxa"/>
              <w:bottom w:w="40" w:type="dxa"/>
              <w:right w:w="20" w:type="dxa"/>
            </w:tcMar>
            <w:vAlign w:val="bottom"/>
          </w:tcPr>
          <w:p w14:paraId="518B8218" w14:textId="77777777" w:rsidR="005C332D" w:rsidRDefault="00B93EAE">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518B8219"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821A" w14:textId="77777777" w:rsidR="005C332D" w:rsidRDefault="00B93EAE">
            <w:pPr>
              <w:jc w:val="right"/>
              <w:textAlignment w:val="bottom"/>
            </w:pPr>
            <w:r>
              <w:rPr>
                <w:rFonts w:ascii="Times New Roman" w:eastAsia="宋体" w:hAnsi="Times New Roman"/>
                <w:b/>
                <w:bCs/>
                <w:color w:val="000000"/>
                <w:sz w:val="20"/>
                <w:szCs w:val="20"/>
              </w:rPr>
              <w:t>11,812</w:t>
            </w: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21B"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21C"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821D"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821E" w14:textId="77777777" w:rsidR="005C332D" w:rsidRDefault="00B93EAE">
            <w:pPr>
              <w:jc w:val="right"/>
              <w:textAlignment w:val="bottom"/>
            </w:pPr>
            <w:r>
              <w:rPr>
                <w:rFonts w:ascii="Times New Roman" w:eastAsia="宋体" w:hAnsi="Times New Roman"/>
                <w:color w:val="000000"/>
                <w:sz w:val="20"/>
                <w:szCs w:val="20"/>
              </w:rPr>
              <w:t>10,591 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21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220" w14:textId="77777777" w:rsidR="005C332D" w:rsidRDefault="005C332D">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518B8221" w14:textId="77777777" w:rsidR="005C332D" w:rsidRDefault="00B93EA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518B8222" w14:textId="77777777" w:rsidR="005C332D" w:rsidRDefault="00B93EAE">
            <w:pPr>
              <w:jc w:val="right"/>
              <w:textAlignment w:val="bottom"/>
            </w:pPr>
            <w:r>
              <w:rPr>
                <w:rFonts w:ascii="Times New Roman" w:eastAsia="宋体" w:hAnsi="Times New Roman"/>
                <w:color w:val="000000"/>
                <w:sz w:val="20"/>
                <w:szCs w:val="20"/>
              </w:rPr>
              <w:t>11,214 </w:t>
            </w:r>
          </w:p>
        </w:tc>
        <w:tc>
          <w:tcPr>
            <w:tcW w:w="0" w:type="auto"/>
            <w:tcBorders>
              <w:top w:val="single" w:sz="8" w:space="0" w:color="000000"/>
            </w:tcBorders>
            <w:shd w:val="clear" w:color="auto" w:fill="CCEEFF"/>
            <w:tcMar>
              <w:top w:w="40" w:type="dxa"/>
              <w:left w:w="0" w:type="dxa"/>
              <w:bottom w:w="40" w:type="dxa"/>
              <w:right w:w="20" w:type="dxa"/>
            </w:tcMar>
            <w:vAlign w:val="bottom"/>
          </w:tcPr>
          <w:p w14:paraId="518B8223" w14:textId="77777777" w:rsidR="005C332D" w:rsidRDefault="005C332D">
            <w:pPr>
              <w:jc w:val="right"/>
              <w:rPr>
                <w:rFonts w:ascii="宋体"/>
              </w:rPr>
            </w:pPr>
          </w:p>
        </w:tc>
      </w:tr>
      <w:tr w:rsidR="005C332D" w14:paraId="518B822E" w14:textId="77777777">
        <w:tc>
          <w:tcPr>
            <w:tcW w:w="0" w:type="auto"/>
            <w:gridSpan w:val="3"/>
            <w:shd w:val="clear" w:color="auto" w:fill="FFFFFF"/>
            <w:tcMar>
              <w:top w:w="40" w:type="dxa"/>
              <w:left w:w="20" w:type="dxa"/>
              <w:bottom w:w="40" w:type="dxa"/>
              <w:right w:w="20" w:type="dxa"/>
            </w:tcMar>
            <w:vAlign w:val="bottom"/>
          </w:tcPr>
          <w:p w14:paraId="518B8225" w14:textId="77777777" w:rsidR="005C332D" w:rsidRDefault="00B93EAE">
            <w:pPr>
              <w:textAlignment w:val="bottom"/>
            </w:pPr>
            <w:r>
              <w:rPr>
                <w:rFonts w:ascii="Times New Roman" w:eastAsia="宋体" w:hAnsi="Times New Roman"/>
                <w:color w:val="000000"/>
                <w:sz w:val="20"/>
                <w:szCs w:val="20"/>
              </w:rPr>
              <w:t>Weighted-average shares—basic</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18B8226" w14:textId="77777777" w:rsidR="005C332D" w:rsidRDefault="00B93EAE">
            <w:pPr>
              <w:jc w:val="right"/>
              <w:textAlignment w:val="bottom"/>
            </w:pPr>
            <w:r>
              <w:rPr>
                <w:rFonts w:ascii="Times New Roman" w:eastAsia="宋体" w:hAnsi="Times New Roman"/>
                <w:b/>
                <w:bCs/>
                <w:color w:val="000000"/>
                <w:sz w:val="20"/>
                <w:szCs w:val="20"/>
              </w:rPr>
              <w:t>4,170</w:t>
            </w: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18B822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228" w14:textId="77777777" w:rsidR="005C332D" w:rsidRDefault="005C332D">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18B8229" w14:textId="77777777" w:rsidR="005C332D" w:rsidRDefault="00B93EAE">
            <w:pPr>
              <w:jc w:val="right"/>
              <w:textAlignment w:val="bottom"/>
            </w:pPr>
            <w:r>
              <w:rPr>
                <w:rFonts w:ascii="Times New Roman" w:eastAsia="宋体" w:hAnsi="Times New Roman"/>
                <w:color w:val="000000"/>
                <w:sz w:val="20"/>
                <w:szCs w:val="20"/>
              </w:rPr>
              <w:t>4,222 </w:t>
            </w:r>
          </w:p>
        </w:tc>
        <w:tc>
          <w:tcPr>
            <w:tcW w:w="0" w:type="auto"/>
            <w:tcBorders>
              <w:top w:val="double" w:sz="6" w:space="0" w:color="000000"/>
            </w:tcBorders>
            <w:shd w:val="clear" w:color="auto" w:fill="FFFFFF"/>
            <w:tcMar>
              <w:top w:w="40" w:type="dxa"/>
              <w:left w:w="0" w:type="dxa"/>
              <w:bottom w:w="40" w:type="dxa"/>
              <w:right w:w="20" w:type="dxa"/>
            </w:tcMar>
            <w:vAlign w:val="bottom"/>
          </w:tcPr>
          <w:p w14:paraId="518B822A"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22B" w14:textId="77777777" w:rsidR="005C332D" w:rsidRDefault="005C332D">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518B822C" w14:textId="77777777" w:rsidR="005C332D" w:rsidRDefault="00B93EAE">
            <w:pPr>
              <w:jc w:val="right"/>
              <w:textAlignment w:val="bottom"/>
            </w:pPr>
            <w:r>
              <w:rPr>
                <w:rFonts w:ascii="Times New Roman" w:eastAsia="宋体" w:hAnsi="Times New Roman"/>
                <w:color w:val="000000"/>
                <w:sz w:val="20"/>
                <w:szCs w:val="20"/>
              </w:rPr>
              <w:t>4,236 </w:t>
            </w:r>
          </w:p>
        </w:tc>
        <w:tc>
          <w:tcPr>
            <w:tcW w:w="0" w:type="auto"/>
            <w:tcBorders>
              <w:top w:val="double" w:sz="6" w:space="0" w:color="000000"/>
            </w:tcBorders>
            <w:shd w:val="clear" w:color="auto" w:fill="FFFFFF"/>
            <w:tcMar>
              <w:top w:w="40" w:type="dxa"/>
              <w:left w:w="0" w:type="dxa"/>
              <w:bottom w:w="40" w:type="dxa"/>
              <w:right w:w="20" w:type="dxa"/>
            </w:tcMar>
            <w:vAlign w:val="bottom"/>
          </w:tcPr>
          <w:p w14:paraId="518B822D" w14:textId="77777777" w:rsidR="005C332D" w:rsidRDefault="005C332D">
            <w:pPr>
              <w:jc w:val="right"/>
              <w:rPr>
                <w:rFonts w:ascii="宋体"/>
              </w:rPr>
            </w:pPr>
          </w:p>
        </w:tc>
      </w:tr>
      <w:tr w:rsidR="005C332D" w14:paraId="518B8238" w14:textId="77777777">
        <w:tc>
          <w:tcPr>
            <w:tcW w:w="0" w:type="auto"/>
            <w:gridSpan w:val="3"/>
            <w:shd w:val="clear" w:color="auto" w:fill="CCEEFF"/>
            <w:tcMar>
              <w:top w:w="40" w:type="dxa"/>
              <w:left w:w="20" w:type="dxa"/>
              <w:bottom w:w="40" w:type="dxa"/>
              <w:right w:w="20" w:type="dxa"/>
            </w:tcMar>
            <w:vAlign w:val="bottom"/>
          </w:tcPr>
          <w:p w14:paraId="518B822F" w14:textId="77777777" w:rsidR="005C332D" w:rsidRDefault="00B93EAE">
            <w:pPr>
              <w:textAlignment w:val="bottom"/>
            </w:pPr>
            <w:r>
              <w:rPr>
                <w:rFonts w:ascii="Times New Roman" w:eastAsia="宋体" w:hAnsi="Times New Roman"/>
                <w:color w:val="000000"/>
                <w:sz w:val="20"/>
                <w:szCs w:val="20"/>
              </w:rPr>
              <w:t>Effect of dilutive potential common shares</w:t>
            </w:r>
          </w:p>
        </w:tc>
        <w:tc>
          <w:tcPr>
            <w:tcW w:w="0" w:type="auto"/>
            <w:gridSpan w:val="2"/>
            <w:shd w:val="clear" w:color="auto" w:fill="CCEEFF"/>
            <w:tcMar>
              <w:top w:w="40" w:type="dxa"/>
              <w:left w:w="20" w:type="dxa"/>
              <w:bottom w:w="40" w:type="dxa"/>
              <w:right w:w="0" w:type="dxa"/>
            </w:tcMar>
            <w:vAlign w:val="bottom"/>
          </w:tcPr>
          <w:p w14:paraId="518B8230" w14:textId="77777777" w:rsidR="005C332D" w:rsidRDefault="00B93EAE">
            <w:pPr>
              <w:jc w:val="right"/>
              <w:textAlignment w:val="bottom"/>
            </w:pPr>
            <w:r>
              <w:rPr>
                <w:rFonts w:ascii="Times New Roman" w:eastAsia="宋体" w:hAnsi="Times New Roman"/>
                <w:b/>
                <w:bCs/>
                <w:color w:val="000000"/>
                <w:sz w:val="20"/>
                <w:szCs w:val="20"/>
              </w:rPr>
              <w:t>22</w:t>
            </w: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518B8231"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232"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233" w14:textId="77777777" w:rsidR="005C332D" w:rsidRDefault="00B93EAE">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518B8234"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235" w14:textId="77777777" w:rsidR="005C332D" w:rsidRDefault="005C332D">
            <w:pPr>
              <w:rPr>
                <w:rFonts w:ascii="宋体"/>
              </w:rPr>
            </w:pPr>
          </w:p>
        </w:tc>
        <w:tc>
          <w:tcPr>
            <w:tcW w:w="0" w:type="auto"/>
            <w:gridSpan w:val="2"/>
            <w:shd w:val="clear" w:color="auto" w:fill="CCEEFF"/>
            <w:tcMar>
              <w:top w:w="40" w:type="dxa"/>
              <w:left w:w="20" w:type="dxa"/>
              <w:bottom w:w="40" w:type="dxa"/>
              <w:right w:w="0" w:type="dxa"/>
            </w:tcMar>
            <w:vAlign w:val="bottom"/>
          </w:tcPr>
          <w:p w14:paraId="518B8236" w14:textId="77777777" w:rsidR="005C332D" w:rsidRDefault="00B93EAE">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518B8237" w14:textId="77777777" w:rsidR="005C332D" w:rsidRDefault="005C332D">
            <w:pPr>
              <w:jc w:val="right"/>
              <w:rPr>
                <w:rFonts w:ascii="宋体"/>
              </w:rPr>
            </w:pPr>
          </w:p>
        </w:tc>
      </w:tr>
      <w:tr w:rsidR="005C332D" w14:paraId="518B8242" w14:textId="77777777">
        <w:tc>
          <w:tcPr>
            <w:tcW w:w="0" w:type="auto"/>
            <w:gridSpan w:val="3"/>
            <w:shd w:val="clear" w:color="auto" w:fill="FFFFFF"/>
            <w:tcMar>
              <w:top w:w="40" w:type="dxa"/>
              <w:left w:w="20" w:type="dxa"/>
              <w:bottom w:w="40" w:type="dxa"/>
              <w:right w:w="20" w:type="dxa"/>
            </w:tcMar>
            <w:vAlign w:val="bottom"/>
          </w:tcPr>
          <w:p w14:paraId="518B8239" w14:textId="77777777" w:rsidR="005C332D" w:rsidRDefault="00B93EAE">
            <w:pPr>
              <w:textAlignment w:val="bottom"/>
            </w:pPr>
            <w:r>
              <w:rPr>
                <w:rFonts w:ascii="Times New Roman" w:eastAsia="宋体" w:hAnsi="Times New Roman"/>
                <w:color w:val="000000"/>
                <w:sz w:val="20"/>
                <w:szCs w:val="20"/>
              </w:rPr>
              <w:t>Weighted-average shares—diluted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23A" w14:textId="77777777" w:rsidR="005C332D" w:rsidRDefault="00B93EAE">
            <w:pPr>
              <w:jc w:val="right"/>
              <w:textAlignment w:val="bottom"/>
            </w:pPr>
            <w:r>
              <w:rPr>
                <w:rFonts w:ascii="Times New Roman" w:eastAsia="宋体" w:hAnsi="Times New Roman"/>
                <w:b/>
                <w:bCs/>
                <w:color w:val="000000"/>
                <w:sz w:val="20"/>
                <w:szCs w:val="20"/>
              </w:rPr>
              <w:t>4,192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23B"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23C"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23D" w14:textId="77777777" w:rsidR="005C332D" w:rsidRDefault="00B93EAE">
            <w:pPr>
              <w:jc w:val="right"/>
              <w:textAlignment w:val="bottom"/>
            </w:pPr>
            <w:r>
              <w:rPr>
                <w:rFonts w:ascii="Times New Roman" w:eastAsia="宋体" w:hAnsi="Times New Roman"/>
                <w:color w:val="000000"/>
                <w:sz w:val="20"/>
                <w:szCs w:val="20"/>
              </w:rPr>
              <w:t>4,236 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23E"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23F" w14:textId="77777777" w:rsidR="005C332D" w:rsidRDefault="005C332D">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518B8240" w14:textId="77777777" w:rsidR="005C332D" w:rsidRDefault="00B93EAE">
            <w:pPr>
              <w:jc w:val="right"/>
              <w:textAlignment w:val="bottom"/>
            </w:pPr>
            <w:r>
              <w:rPr>
                <w:rFonts w:ascii="Times New Roman" w:eastAsia="宋体" w:hAnsi="Times New Roman"/>
                <w:color w:val="000000"/>
                <w:sz w:val="20"/>
                <w:szCs w:val="20"/>
              </w:rPr>
              <w:t>4,254 </w:t>
            </w:r>
          </w:p>
        </w:tc>
        <w:tc>
          <w:tcPr>
            <w:tcW w:w="0" w:type="auto"/>
            <w:tcBorders>
              <w:top w:val="single" w:sz="8" w:space="0" w:color="000000"/>
            </w:tcBorders>
            <w:shd w:val="clear" w:color="auto" w:fill="FFFFFF"/>
            <w:tcMar>
              <w:top w:w="40" w:type="dxa"/>
              <w:left w:w="0" w:type="dxa"/>
              <w:bottom w:w="40" w:type="dxa"/>
              <w:right w:w="20" w:type="dxa"/>
            </w:tcMar>
            <w:vAlign w:val="bottom"/>
          </w:tcPr>
          <w:p w14:paraId="518B8241" w14:textId="77777777" w:rsidR="005C332D" w:rsidRDefault="005C332D">
            <w:pPr>
              <w:jc w:val="right"/>
              <w:rPr>
                <w:rFonts w:ascii="宋体"/>
              </w:rPr>
            </w:pPr>
          </w:p>
        </w:tc>
      </w:tr>
      <w:tr w:rsidR="005C332D" w14:paraId="518B824F" w14:textId="77777777">
        <w:tc>
          <w:tcPr>
            <w:tcW w:w="0" w:type="auto"/>
            <w:gridSpan w:val="3"/>
            <w:shd w:val="clear" w:color="auto" w:fill="CCEEFF"/>
            <w:tcMar>
              <w:top w:w="40" w:type="dxa"/>
              <w:left w:w="20" w:type="dxa"/>
              <w:bottom w:w="40" w:type="dxa"/>
              <w:right w:w="20" w:type="dxa"/>
            </w:tcMar>
            <w:vAlign w:val="bottom"/>
          </w:tcPr>
          <w:p w14:paraId="518B8243" w14:textId="77777777" w:rsidR="005C332D" w:rsidRDefault="00B93EAE">
            <w:pPr>
              <w:textAlignment w:val="bottom"/>
            </w:pPr>
            <w:r>
              <w:rPr>
                <w:rFonts w:ascii="Times New Roman" w:eastAsia="宋体" w:hAnsi="Times New Roman"/>
                <w:color w:val="000000"/>
                <w:sz w:val="20"/>
                <w:szCs w:val="20"/>
              </w:rPr>
              <w:t>Net income per share—basic</w:t>
            </w:r>
          </w:p>
        </w:tc>
        <w:tc>
          <w:tcPr>
            <w:tcW w:w="0" w:type="auto"/>
            <w:tcBorders>
              <w:top w:val="double" w:sz="6" w:space="0" w:color="000000"/>
            </w:tcBorders>
            <w:shd w:val="clear" w:color="auto" w:fill="CCEEFF"/>
            <w:tcMar>
              <w:top w:w="40" w:type="dxa"/>
              <w:left w:w="20" w:type="dxa"/>
              <w:bottom w:w="40" w:type="dxa"/>
              <w:right w:w="0" w:type="dxa"/>
            </w:tcMar>
            <w:vAlign w:val="bottom"/>
          </w:tcPr>
          <w:p w14:paraId="518B8244"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18B8245" w14:textId="77777777" w:rsidR="005C332D" w:rsidRDefault="00B93EAE">
            <w:pPr>
              <w:jc w:val="right"/>
              <w:textAlignment w:val="bottom"/>
            </w:pPr>
            <w:r>
              <w:rPr>
                <w:rFonts w:ascii="Times New Roman" w:eastAsia="宋体" w:hAnsi="Times New Roman"/>
                <w:b/>
                <w:bCs/>
                <w:color w:val="000000"/>
                <w:sz w:val="20"/>
                <w:szCs w:val="20"/>
              </w:rPr>
              <w:t>2.83</w:t>
            </w:r>
            <w:r>
              <w:rPr>
                <w:rFonts w:ascii="Times New Roman" w:eastAsia="宋体" w:hAnsi="Times New Roman"/>
                <w:color w:val="000000"/>
                <w:sz w:val="20"/>
                <w:szCs w:val="20"/>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518B8246"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247" w14:textId="77777777" w:rsidR="005C332D" w:rsidRDefault="005C332D">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18B8248" w14:textId="77777777" w:rsidR="005C332D" w:rsidRDefault="00B93EAE">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18B8249" w14:textId="77777777" w:rsidR="005C332D" w:rsidRDefault="00B93EAE">
            <w:pPr>
              <w:jc w:val="right"/>
              <w:textAlignment w:val="bottom"/>
            </w:pPr>
            <w:r>
              <w:rPr>
                <w:rFonts w:ascii="Times New Roman" w:eastAsia="宋体" w:hAnsi="Times New Roman"/>
                <w:color w:val="000000"/>
                <w:sz w:val="20"/>
                <w:szCs w:val="20"/>
              </w:rPr>
              <w:t>2.51 </w:t>
            </w:r>
          </w:p>
        </w:tc>
        <w:tc>
          <w:tcPr>
            <w:tcW w:w="0" w:type="auto"/>
            <w:tcBorders>
              <w:top w:val="double" w:sz="6" w:space="0" w:color="000000"/>
            </w:tcBorders>
            <w:shd w:val="clear" w:color="auto" w:fill="CCEEFF"/>
            <w:tcMar>
              <w:top w:w="40" w:type="dxa"/>
              <w:left w:w="0" w:type="dxa"/>
              <w:bottom w:w="40" w:type="dxa"/>
              <w:right w:w="20" w:type="dxa"/>
            </w:tcMar>
            <w:vAlign w:val="bottom"/>
          </w:tcPr>
          <w:p w14:paraId="518B824A"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24B" w14:textId="77777777" w:rsidR="005C332D" w:rsidRDefault="005C332D">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518B824C" w14:textId="77777777" w:rsidR="005C332D" w:rsidRDefault="00B93EAE">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518B824D" w14:textId="77777777" w:rsidR="005C332D" w:rsidRDefault="00B93EAE">
            <w:pPr>
              <w:jc w:val="right"/>
              <w:textAlignment w:val="bottom"/>
            </w:pPr>
            <w:r>
              <w:rPr>
                <w:rFonts w:ascii="Times New Roman" w:eastAsia="宋体" w:hAnsi="Times New Roman"/>
                <w:color w:val="000000"/>
                <w:sz w:val="20"/>
                <w:szCs w:val="20"/>
              </w:rPr>
              <w:t>2.65 </w:t>
            </w:r>
          </w:p>
        </w:tc>
        <w:tc>
          <w:tcPr>
            <w:tcW w:w="0" w:type="auto"/>
            <w:tcBorders>
              <w:top w:val="double" w:sz="6" w:space="0" w:color="000000"/>
            </w:tcBorders>
            <w:shd w:val="clear" w:color="auto" w:fill="CCEEFF"/>
            <w:tcMar>
              <w:top w:w="40" w:type="dxa"/>
              <w:left w:w="0" w:type="dxa"/>
              <w:bottom w:w="40" w:type="dxa"/>
              <w:right w:w="20" w:type="dxa"/>
            </w:tcMar>
            <w:vAlign w:val="bottom"/>
          </w:tcPr>
          <w:p w14:paraId="518B824E" w14:textId="77777777" w:rsidR="005C332D" w:rsidRDefault="005C332D">
            <w:pPr>
              <w:jc w:val="right"/>
              <w:rPr>
                <w:rFonts w:ascii="宋体"/>
              </w:rPr>
            </w:pPr>
          </w:p>
        </w:tc>
      </w:tr>
      <w:tr w:rsidR="005C332D" w14:paraId="518B825C" w14:textId="77777777">
        <w:tc>
          <w:tcPr>
            <w:tcW w:w="0" w:type="auto"/>
            <w:gridSpan w:val="3"/>
            <w:shd w:val="clear" w:color="auto" w:fill="FFFFFF"/>
            <w:tcMar>
              <w:top w:w="40" w:type="dxa"/>
              <w:left w:w="20" w:type="dxa"/>
              <w:bottom w:w="40" w:type="dxa"/>
              <w:right w:w="20" w:type="dxa"/>
            </w:tcMar>
            <w:vAlign w:val="bottom"/>
          </w:tcPr>
          <w:p w14:paraId="518B8250" w14:textId="77777777" w:rsidR="005C332D" w:rsidRDefault="00B93EAE">
            <w:pPr>
              <w:textAlignment w:val="bottom"/>
            </w:pPr>
            <w:r>
              <w:rPr>
                <w:rFonts w:ascii="Times New Roman" w:eastAsia="宋体" w:hAnsi="Times New Roman"/>
                <w:color w:val="000000"/>
                <w:sz w:val="20"/>
                <w:szCs w:val="20"/>
              </w:rPr>
              <w:t>Net income per share—diluted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518B8251" w14:textId="77777777" w:rsidR="005C332D" w:rsidRDefault="00B93EAE">
            <w:pPr>
              <w:textAlignment w:val="bottom"/>
            </w:pPr>
            <w:r>
              <w:rPr>
                <w:rFonts w:ascii="Times New Roman" w:eastAsia="宋体" w:hAnsi="Times New Roman"/>
                <w:b/>
                <w:bCs/>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18B8252" w14:textId="77777777" w:rsidR="005C332D" w:rsidRDefault="00B93EAE">
            <w:pPr>
              <w:jc w:val="right"/>
              <w:textAlignment w:val="bottom"/>
            </w:pPr>
            <w:r>
              <w:rPr>
                <w:rFonts w:ascii="Times New Roman" w:eastAsia="宋体" w:hAnsi="Times New Roman"/>
                <w:b/>
                <w:bCs/>
                <w:color w:val="000000"/>
                <w:sz w:val="20"/>
                <w:szCs w:val="20"/>
              </w:rPr>
              <w:t>2.82</w:t>
            </w: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518B8253"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254" w14:textId="77777777" w:rsidR="005C332D" w:rsidRDefault="005C332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18B8255" w14:textId="77777777" w:rsidR="005C332D" w:rsidRDefault="00B93EAE">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18B8256" w14:textId="77777777" w:rsidR="005C332D" w:rsidRDefault="00B93EAE">
            <w:pPr>
              <w:jc w:val="right"/>
              <w:textAlignment w:val="bottom"/>
            </w:pPr>
            <w:r>
              <w:rPr>
                <w:rFonts w:ascii="Times New Roman" w:eastAsia="宋体" w:hAnsi="Times New Roman"/>
                <w:color w:val="000000"/>
                <w:sz w:val="20"/>
                <w:szCs w:val="20"/>
              </w:rPr>
              <w:t>2.50 </w:t>
            </w:r>
          </w:p>
        </w:tc>
        <w:tc>
          <w:tcPr>
            <w:tcW w:w="0" w:type="auto"/>
            <w:tcBorders>
              <w:top w:val="double" w:sz="6" w:space="0" w:color="000000"/>
            </w:tcBorders>
            <w:shd w:val="clear" w:color="auto" w:fill="FFFFFF"/>
            <w:tcMar>
              <w:top w:w="40" w:type="dxa"/>
              <w:left w:w="0" w:type="dxa"/>
              <w:bottom w:w="40" w:type="dxa"/>
              <w:right w:w="20" w:type="dxa"/>
            </w:tcMar>
            <w:vAlign w:val="bottom"/>
          </w:tcPr>
          <w:p w14:paraId="518B8257" w14:textId="77777777" w:rsidR="005C332D" w:rsidRDefault="005C332D">
            <w:pPr>
              <w:jc w:val="right"/>
              <w:rPr>
                <w:rFonts w:ascii="宋体"/>
              </w:rPr>
            </w:pPr>
          </w:p>
        </w:tc>
        <w:tc>
          <w:tcPr>
            <w:tcW w:w="0" w:type="auto"/>
            <w:gridSpan w:val="3"/>
            <w:shd w:val="clear" w:color="auto" w:fill="FFFFFF"/>
            <w:tcMar>
              <w:top w:w="0" w:type="dxa"/>
              <w:left w:w="20" w:type="dxa"/>
              <w:bottom w:w="0" w:type="dxa"/>
              <w:right w:w="20" w:type="dxa"/>
            </w:tcMar>
            <w:vAlign w:val="bottom"/>
          </w:tcPr>
          <w:p w14:paraId="518B8258" w14:textId="77777777" w:rsidR="005C332D" w:rsidRDefault="005C332D">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518B8259" w14:textId="77777777" w:rsidR="005C332D" w:rsidRDefault="00B93EAE">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518B825A" w14:textId="77777777" w:rsidR="005C332D" w:rsidRDefault="00B93EAE">
            <w:pPr>
              <w:jc w:val="right"/>
              <w:textAlignment w:val="bottom"/>
            </w:pPr>
            <w:r>
              <w:rPr>
                <w:rFonts w:ascii="Times New Roman" w:eastAsia="宋体" w:hAnsi="Times New Roman"/>
                <w:color w:val="000000"/>
                <w:sz w:val="20"/>
                <w:szCs w:val="20"/>
              </w:rPr>
              <w:t>2.64 </w:t>
            </w:r>
          </w:p>
        </w:tc>
        <w:tc>
          <w:tcPr>
            <w:tcW w:w="0" w:type="auto"/>
            <w:tcBorders>
              <w:top w:val="double" w:sz="6" w:space="0" w:color="000000"/>
            </w:tcBorders>
            <w:shd w:val="clear" w:color="auto" w:fill="FFFFFF"/>
            <w:tcMar>
              <w:top w:w="40" w:type="dxa"/>
              <w:left w:w="0" w:type="dxa"/>
              <w:bottom w:w="40" w:type="dxa"/>
              <w:right w:w="20" w:type="dxa"/>
            </w:tcMar>
            <w:vAlign w:val="bottom"/>
          </w:tcPr>
          <w:p w14:paraId="518B825B" w14:textId="77777777" w:rsidR="005C332D" w:rsidRDefault="005C332D">
            <w:pPr>
              <w:jc w:val="right"/>
              <w:rPr>
                <w:rFonts w:ascii="宋体"/>
              </w:rPr>
            </w:pPr>
          </w:p>
        </w:tc>
      </w:tr>
      <w:tr w:rsidR="005C332D" w14:paraId="518B8266" w14:textId="77777777">
        <w:tc>
          <w:tcPr>
            <w:tcW w:w="0" w:type="auto"/>
            <w:gridSpan w:val="3"/>
            <w:shd w:val="clear" w:color="auto" w:fill="CCEEFF"/>
            <w:tcMar>
              <w:top w:w="40" w:type="dxa"/>
              <w:left w:w="20" w:type="dxa"/>
              <w:bottom w:w="40" w:type="dxa"/>
              <w:right w:w="20" w:type="dxa"/>
            </w:tcMar>
            <w:vAlign w:val="bottom"/>
          </w:tcPr>
          <w:p w14:paraId="518B825D" w14:textId="77777777" w:rsidR="005C332D" w:rsidRDefault="00B93EAE">
            <w:pPr>
              <w:textAlignment w:val="bottom"/>
            </w:pPr>
            <w:r>
              <w:rPr>
                <w:rFonts w:ascii="Times New Roman" w:eastAsia="宋体" w:hAnsi="Times New Roman"/>
                <w:color w:val="000000"/>
                <w:sz w:val="20"/>
                <w:szCs w:val="20"/>
              </w:rPr>
              <w:t>Antidilutive employee share-based awards, excluded</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18B825E" w14:textId="77777777" w:rsidR="005C332D" w:rsidRDefault="00B93EAE">
            <w:pPr>
              <w:jc w:val="right"/>
              <w:textAlignment w:val="bottom"/>
            </w:pPr>
            <w:r>
              <w:rPr>
                <w:rFonts w:ascii="Times New Roman" w:eastAsia="宋体" w:hAnsi="Times New Roman"/>
                <w:b/>
                <w:bCs/>
                <w:color w:val="000000"/>
                <w:sz w:val="20"/>
                <w:szCs w:val="20"/>
              </w:rPr>
              <w:t>70</w:t>
            </w:r>
            <w:r>
              <w:rPr>
                <w:rFonts w:ascii="Times New Roman" w:eastAsia="宋体" w:hAnsi="Times New Roman"/>
                <w:color w:val="000000"/>
                <w:sz w:val="20"/>
                <w:szCs w:val="20"/>
              </w:rPr>
              <w:t>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18B825F"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260" w14:textId="77777777" w:rsidR="005C332D" w:rsidRDefault="005C332D">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18B8261" w14:textId="77777777" w:rsidR="005C332D" w:rsidRDefault="00B93EAE">
            <w:pPr>
              <w:jc w:val="right"/>
              <w:textAlignment w:val="bottom"/>
            </w:pPr>
            <w:r>
              <w:rPr>
                <w:rFonts w:ascii="Times New Roman" w:eastAsia="宋体" w:hAnsi="Times New Roman"/>
                <w:color w:val="000000"/>
                <w:sz w:val="20"/>
                <w:szCs w:val="20"/>
              </w:rPr>
              <w:t>69 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18B8262" w14:textId="77777777" w:rsidR="005C332D" w:rsidRDefault="005C332D">
            <w:pPr>
              <w:jc w:val="right"/>
              <w:rPr>
                <w:rFonts w:ascii="宋体"/>
              </w:rPr>
            </w:pPr>
          </w:p>
        </w:tc>
        <w:tc>
          <w:tcPr>
            <w:tcW w:w="0" w:type="auto"/>
            <w:gridSpan w:val="3"/>
            <w:shd w:val="clear" w:color="auto" w:fill="CCEEFF"/>
            <w:tcMar>
              <w:top w:w="0" w:type="dxa"/>
              <w:left w:w="20" w:type="dxa"/>
              <w:bottom w:w="0" w:type="dxa"/>
              <w:right w:w="20" w:type="dxa"/>
            </w:tcMar>
            <w:vAlign w:val="bottom"/>
          </w:tcPr>
          <w:p w14:paraId="518B8263" w14:textId="77777777" w:rsidR="005C332D" w:rsidRDefault="005C332D">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518B8264" w14:textId="77777777" w:rsidR="005C332D" w:rsidRDefault="00B93EAE">
            <w:pPr>
              <w:jc w:val="right"/>
              <w:textAlignment w:val="bottom"/>
            </w:pPr>
            <w:r>
              <w:rPr>
                <w:rFonts w:ascii="Times New Roman" w:eastAsia="宋体" w:hAnsi="Times New Roman"/>
                <w:color w:val="000000"/>
                <w:sz w:val="20"/>
                <w:szCs w:val="20"/>
              </w:rPr>
              <w:t>76 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518B8265" w14:textId="77777777" w:rsidR="005C332D" w:rsidRDefault="005C332D">
            <w:pPr>
              <w:jc w:val="right"/>
              <w:rPr>
                <w:rFonts w:ascii="宋体"/>
              </w:rPr>
            </w:pPr>
          </w:p>
        </w:tc>
      </w:tr>
    </w:tbl>
    <w:p w14:paraId="518B8267" w14:textId="77777777" w:rsidR="005C332D" w:rsidRDefault="005C332D">
      <w:pPr>
        <w:spacing w:before="120"/>
        <w:jc w:val="both"/>
      </w:pPr>
    </w:p>
    <w:p w14:paraId="518B8268" w14:textId="77777777" w:rsidR="005C332D" w:rsidRDefault="005C332D">
      <w:pPr>
        <w:spacing w:before="120"/>
        <w:jc w:val="both"/>
      </w:pPr>
    </w:p>
    <w:p w14:paraId="518B8269" w14:textId="77777777" w:rsidR="005C332D" w:rsidRDefault="00B93EAE">
      <w:pPr>
        <w:jc w:val="center"/>
      </w:pPr>
      <w:r>
        <w:rPr>
          <w:rFonts w:ascii="Times New Roman" w:eastAsia="宋体" w:hAnsi="Times New Roman"/>
          <w:color w:val="000000"/>
          <w:sz w:val="20"/>
          <w:szCs w:val="20"/>
        </w:rPr>
        <w:t>102</w:t>
      </w:r>
    </w:p>
    <w:p w14:paraId="518B826A" w14:textId="77777777" w:rsidR="005C332D" w:rsidRDefault="00B93EAE">
      <w:r>
        <w:pict w14:anchorId="518B877B">
          <v:rect id="_x0000_i1128" style="width:415.3pt;height:1.5pt" o:hralign="center" o:hrstd="t" o:hr="t" fillcolor="#a0a0a0" stroked="f"/>
        </w:pict>
      </w:r>
    </w:p>
    <w:p w14:paraId="518B826B" w14:textId="77777777" w:rsidR="005C332D" w:rsidRDefault="005C332D"/>
    <w:tbl>
      <w:tblPr>
        <w:tblW w:w="4393" w:type="pct"/>
        <w:tblCellMar>
          <w:top w:w="15" w:type="dxa"/>
          <w:left w:w="15" w:type="dxa"/>
          <w:bottom w:w="15" w:type="dxa"/>
          <w:right w:w="15" w:type="dxa"/>
        </w:tblCellMar>
        <w:tblLook w:val="04A0" w:firstRow="1" w:lastRow="0" w:firstColumn="1" w:lastColumn="0" w:noHBand="0" w:noVBand="1"/>
      </w:tblPr>
      <w:tblGrid>
        <w:gridCol w:w="58"/>
        <w:gridCol w:w="880"/>
        <w:gridCol w:w="36"/>
        <w:gridCol w:w="59"/>
        <w:gridCol w:w="6255"/>
        <w:gridCol w:w="36"/>
      </w:tblGrid>
      <w:tr w:rsidR="005C332D" w14:paraId="518B8272" w14:textId="77777777">
        <w:tc>
          <w:tcPr>
            <w:tcW w:w="50" w:type="pct"/>
            <w:shd w:val="clear" w:color="auto" w:fill="auto"/>
            <w:vAlign w:val="bottom"/>
          </w:tcPr>
          <w:p w14:paraId="518B826C" w14:textId="77777777" w:rsidR="005C332D" w:rsidRDefault="005C332D">
            <w:pPr>
              <w:rPr>
                <w:rFonts w:ascii="宋体"/>
              </w:rPr>
            </w:pPr>
          </w:p>
        </w:tc>
        <w:tc>
          <w:tcPr>
            <w:tcW w:w="610" w:type="pct"/>
            <w:shd w:val="clear" w:color="auto" w:fill="auto"/>
            <w:vAlign w:val="bottom"/>
          </w:tcPr>
          <w:p w14:paraId="518B826D" w14:textId="77777777" w:rsidR="005C332D" w:rsidRDefault="005C332D">
            <w:pPr>
              <w:rPr>
                <w:rFonts w:ascii="宋体"/>
              </w:rPr>
            </w:pPr>
          </w:p>
        </w:tc>
        <w:tc>
          <w:tcPr>
            <w:tcW w:w="5" w:type="pct"/>
            <w:shd w:val="clear" w:color="auto" w:fill="auto"/>
            <w:vAlign w:val="bottom"/>
          </w:tcPr>
          <w:p w14:paraId="518B826E" w14:textId="77777777" w:rsidR="005C332D" w:rsidRDefault="005C332D">
            <w:pPr>
              <w:rPr>
                <w:rFonts w:ascii="宋体"/>
              </w:rPr>
            </w:pPr>
          </w:p>
        </w:tc>
        <w:tc>
          <w:tcPr>
            <w:tcW w:w="50" w:type="pct"/>
            <w:shd w:val="clear" w:color="auto" w:fill="auto"/>
            <w:vAlign w:val="bottom"/>
          </w:tcPr>
          <w:p w14:paraId="518B826F" w14:textId="77777777" w:rsidR="005C332D" w:rsidRDefault="005C332D">
            <w:pPr>
              <w:rPr>
                <w:rFonts w:ascii="宋体"/>
              </w:rPr>
            </w:pPr>
          </w:p>
        </w:tc>
        <w:tc>
          <w:tcPr>
            <w:tcW w:w="4279" w:type="pct"/>
            <w:shd w:val="clear" w:color="auto" w:fill="auto"/>
            <w:vAlign w:val="bottom"/>
          </w:tcPr>
          <w:p w14:paraId="518B8270" w14:textId="77777777" w:rsidR="005C332D" w:rsidRDefault="005C332D">
            <w:pPr>
              <w:rPr>
                <w:rFonts w:ascii="宋体"/>
              </w:rPr>
            </w:pPr>
          </w:p>
        </w:tc>
        <w:tc>
          <w:tcPr>
            <w:tcW w:w="5" w:type="pct"/>
            <w:shd w:val="clear" w:color="auto" w:fill="auto"/>
            <w:vAlign w:val="bottom"/>
          </w:tcPr>
          <w:p w14:paraId="518B8271" w14:textId="77777777" w:rsidR="005C332D" w:rsidRDefault="005C332D">
            <w:pPr>
              <w:rPr>
                <w:rFonts w:ascii="宋体"/>
              </w:rPr>
            </w:pPr>
          </w:p>
        </w:tc>
      </w:tr>
      <w:tr w:rsidR="005C332D" w14:paraId="518B8275" w14:textId="77777777">
        <w:tc>
          <w:tcPr>
            <w:tcW w:w="0" w:type="auto"/>
            <w:gridSpan w:val="3"/>
            <w:shd w:val="clear" w:color="auto" w:fill="auto"/>
            <w:tcMar>
              <w:top w:w="40" w:type="dxa"/>
              <w:left w:w="20" w:type="dxa"/>
              <w:bottom w:w="40" w:type="dxa"/>
              <w:right w:w="20" w:type="dxa"/>
            </w:tcMar>
          </w:tcPr>
          <w:p w14:paraId="518B8273" w14:textId="77777777" w:rsidR="005C332D" w:rsidRDefault="00B93EAE">
            <w:pPr>
              <w:textAlignment w:val="top"/>
            </w:pPr>
            <w:r>
              <w:rPr>
                <w:rFonts w:ascii="Times New Roman" w:eastAsia="宋体" w:hAnsi="Times New Roman"/>
                <w:b/>
                <w:bCs/>
                <w:color w:val="000000"/>
                <w:sz w:val="20"/>
                <w:szCs w:val="20"/>
              </w:rPr>
              <w:t>Item 9.</w:t>
            </w:r>
          </w:p>
        </w:tc>
        <w:tc>
          <w:tcPr>
            <w:tcW w:w="0" w:type="auto"/>
            <w:gridSpan w:val="3"/>
            <w:shd w:val="clear" w:color="auto" w:fill="auto"/>
            <w:tcMar>
              <w:top w:w="40" w:type="dxa"/>
              <w:left w:w="20" w:type="dxa"/>
              <w:bottom w:w="40" w:type="dxa"/>
              <w:right w:w="20" w:type="dxa"/>
            </w:tcMar>
          </w:tcPr>
          <w:p w14:paraId="518B8274" w14:textId="77777777" w:rsidR="005C332D" w:rsidRDefault="00B93EAE">
            <w:pPr>
              <w:textAlignment w:val="top"/>
            </w:pPr>
            <w:r>
              <w:rPr>
                <w:rFonts w:ascii="Times New Roman" w:eastAsia="宋体" w:hAnsi="Times New Roman"/>
                <w:b/>
                <w:bCs/>
                <w:color w:val="000000"/>
                <w:sz w:val="20"/>
                <w:szCs w:val="20"/>
              </w:rPr>
              <w:t>Changes in and Disagreements with Accountants on Accounting and Financial Disclosures</w:t>
            </w:r>
          </w:p>
        </w:tc>
      </w:tr>
    </w:tbl>
    <w:p w14:paraId="518B8276" w14:textId="77777777" w:rsidR="005C332D" w:rsidRDefault="00B93EAE">
      <w:pPr>
        <w:spacing w:before="120"/>
        <w:ind w:firstLine="450"/>
      </w:pPr>
      <w:r>
        <w:rPr>
          <w:rFonts w:ascii="Times New Roman" w:eastAsia="宋体" w:hAnsi="Times New Roman"/>
          <w:color w:val="000000"/>
          <w:sz w:val="20"/>
          <w:szCs w:val="20"/>
        </w:rPr>
        <w:t>None.</w:t>
      </w:r>
    </w:p>
    <w:tbl>
      <w:tblPr>
        <w:tblW w:w="1689" w:type="pct"/>
        <w:tblCellMar>
          <w:top w:w="15" w:type="dxa"/>
          <w:left w:w="15" w:type="dxa"/>
          <w:bottom w:w="15" w:type="dxa"/>
          <w:right w:w="15" w:type="dxa"/>
        </w:tblCellMar>
        <w:tblLook w:val="04A0" w:firstRow="1" w:lastRow="0" w:firstColumn="1" w:lastColumn="0" w:noHBand="0" w:noVBand="1"/>
      </w:tblPr>
      <w:tblGrid>
        <w:gridCol w:w="37"/>
        <w:gridCol w:w="902"/>
        <w:gridCol w:w="36"/>
        <w:gridCol w:w="37"/>
        <w:gridCol w:w="1768"/>
        <w:gridCol w:w="36"/>
      </w:tblGrid>
      <w:tr w:rsidR="005C332D" w14:paraId="518B827D" w14:textId="77777777">
        <w:tc>
          <w:tcPr>
            <w:tcW w:w="50" w:type="pct"/>
            <w:shd w:val="clear" w:color="auto" w:fill="auto"/>
            <w:vAlign w:val="bottom"/>
          </w:tcPr>
          <w:p w14:paraId="518B8277" w14:textId="77777777" w:rsidR="005C332D" w:rsidRDefault="005C332D">
            <w:pPr>
              <w:rPr>
                <w:rFonts w:ascii="宋体"/>
              </w:rPr>
            </w:pPr>
          </w:p>
        </w:tc>
        <w:tc>
          <w:tcPr>
            <w:tcW w:w="1676" w:type="pct"/>
            <w:shd w:val="clear" w:color="auto" w:fill="auto"/>
            <w:vAlign w:val="bottom"/>
          </w:tcPr>
          <w:p w14:paraId="518B8278" w14:textId="77777777" w:rsidR="005C332D" w:rsidRDefault="005C332D">
            <w:pPr>
              <w:rPr>
                <w:rFonts w:ascii="宋体"/>
              </w:rPr>
            </w:pPr>
          </w:p>
        </w:tc>
        <w:tc>
          <w:tcPr>
            <w:tcW w:w="5" w:type="pct"/>
            <w:shd w:val="clear" w:color="auto" w:fill="auto"/>
            <w:vAlign w:val="bottom"/>
          </w:tcPr>
          <w:p w14:paraId="518B8279" w14:textId="77777777" w:rsidR="005C332D" w:rsidRDefault="005C332D">
            <w:pPr>
              <w:rPr>
                <w:rFonts w:ascii="宋体"/>
              </w:rPr>
            </w:pPr>
          </w:p>
        </w:tc>
        <w:tc>
          <w:tcPr>
            <w:tcW w:w="50" w:type="pct"/>
            <w:shd w:val="clear" w:color="auto" w:fill="auto"/>
            <w:vAlign w:val="bottom"/>
          </w:tcPr>
          <w:p w14:paraId="518B827A" w14:textId="77777777" w:rsidR="005C332D" w:rsidRDefault="005C332D">
            <w:pPr>
              <w:rPr>
                <w:rFonts w:ascii="宋体"/>
              </w:rPr>
            </w:pPr>
          </w:p>
        </w:tc>
        <w:tc>
          <w:tcPr>
            <w:tcW w:w="3213" w:type="pct"/>
            <w:shd w:val="clear" w:color="auto" w:fill="auto"/>
            <w:vAlign w:val="bottom"/>
          </w:tcPr>
          <w:p w14:paraId="518B827B" w14:textId="77777777" w:rsidR="005C332D" w:rsidRDefault="005C332D">
            <w:pPr>
              <w:rPr>
                <w:rFonts w:ascii="宋体"/>
              </w:rPr>
            </w:pPr>
          </w:p>
        </w:tc>
        <w:tc>
          <w:tcPr>
            <w:tcW w:w="5" w:type="pct"/>
            <w:shd w:val="clear" w:color="auto" w:fill="auto"/>
            <w:vAlign w:val="bottom"/>
          </w:tcPr>
          <w:p w14:paraId="518B827C" w14:textId="77777777" w:rsidR="005C332D" w:rsidRDefault="005C332D">
            <w:pPr>
              <w:rPr>
                <w:rFonts w:ascii="宋体"/>
              </w:rPr>
            </w:pPr>
          </w:p>
        </w:tc>
      </w:tr>
      <w:tr w:rsidR="005C332D" w14:paraId="518B8280" w14:textId="77777777">
        <w:tc>
          <w:tcPr>
            <w:tcW w:w="0" w:type="auto"/>
            <w:gridSpan w:val="3"/>
            <w:shd w:val="clear" w:color="auto" w:fill="auto"/>
            <w:tcMar>
              <w:top w:w="40" w:type="dxa"/>
              <w:left w:w="20" w:type="dxa"/>
              <w:bottom w:w="40" w:type="dxa"/>
              <w:right w:w="20" w:type="dxa"/>
            </w:tcMar>
          </w:tcPr>
          <w:p w14:paraId="518B827E" w14:textId="77777777" w:rsidR="005C332D" w:rsidRDefault="00B93EAE">
            <w:pPr>
              <w:textAlignment w:val="top"/>
            </w:pPr>
            <w:r>
              <w:rPr>
                <w:rFonts w:ascii="Times New Roman" w:eastAsia="宋体" w:hAnsi="Times New Roman"/>
                <w:b/>
                <w:bCs/>
                <w:color w:val="000000"/>
                <w:sz w:val="20"/>
                <w:szCs w:val="20"/>
              </w:rPr>
              <w:t>Item 9A.</w:t>
            </w:r>
          </w:p>
        </w:tc>
        <w:tc>
          <w:tcPr>
            <w:tcW w:w="0" w:type="auto"/>
            <w:gridSpan w:val="3"/>
            <w:shd w:val="clear" w:color="auto" w:fill="auto"/>
            <w:tcMar>
              <w:top w:w="40" w:type="dxa"/>
              <w:left w:w="20" w:type="dxa"/>
              <w:bottom w:w="40" w:type="dxa"/>
              <w:right w:w="20" w:type="dxa"/>
            </w:tcMar>
          </w:tcPr>
          <w:p w14:paraId="518B827F" w14:textId="77777777" w:rsidR="005C332D" w:rsidRDefault="00B93EAE">
            <w:pPr>
              <w:textAlignment w:val="top"/>
            </w:pPr>
            <w:r>
              <w:rPr>
                <w:rFonts w:ascii="Times New Roman" w:eastAsia="宋体" w:hAnsi="Times New Roman"/>
                <w:b/>
                <w:bCs/>
                <w:color w:val="000000"/>
                <w:sz w:val="20"/>
                <w:szCs w:val="20"/>
              </w:rPr>
              <w:t xml:space="preserve">Controls and </w:t>
            </w:r>
            <w:r>
              <w:rPr>
                <w:rFonts w:ascii="Times New Roman" w:eastAsia="宋体" w:hAnsi="Times New Roman"/>
                <w:b/>
                <w:bCs/>
                <w:color w:val="000000"/>
                <w:sz w:val="20"/>
                <w:szCs w:val="20"/>
              </w:rPr>
              <w:t>Procedures</w:t>
            </w:r>
          </w:p>
        </w:tc>
      </w:tr>
    </w:tbl>
    <w:p w14:paraId="518B8281" w14:textId="77777777" w:rsidR="005C332D" w:rsidRDefault="00B93EAE">
      <w:pPr>
        <w:spacing w:before="120"/>
      </w:pPr>
      <w:r>
        <w:rPr>
          <w:rFonts w:ascii="Times New Roman" w:eastAsia="宋体" w:hAnsi="Times New Roman"/>
          <w:b/>
          <w:bCs/>
          <w:color w:val="000000"/>
          <w:sz w:val="20"/>
          <w:szCs w:val="20"/>
        </w:rPr>
        <w:t>Evaluation of Disclosure Controls and Procedures</w:t>
      </w:r>
    </w:p>
    <w:p w14:paraId="518B8282" w14:textId="77777777" w:rsidR="005C332D" w:rsidRDefault="00B93EAE">
      <w:pPr>
        <w:spacing w:before="120"/>
        <w:ind w:firstLine="360"/>
        <w:jc w:val="both"/>
      </w:pPr>
      <w:r>
        <w:rPr>
          <w:rFonts w:ascii="Times New Roman" w:eastAsia="宋体" w:hAnsi="Times New Roman"/>
          <w:color w:val="000000"/>
          <w:sz w:val="20"/>
          <w:szCs w:val="20"/>
        </w:rPr>
        <w:t>Based on our management’s evaluation (with the participation of our principal executive officer and principal financial officer), as of the end of the period covered by this report, our principal</w:t>
      </w:r>
      <w:r>
        <w:rPr>
          <w:rFonts w:ascii="Times New Roman" w:eastAsia="宋体" w:hAnsi="Times New Roman"/>
          <w:color w:val="000000"/>
          <w:sz w:val="20"/>
          <w:szCs w:val="20"/>
        </w:rPr>
        <w:t xml:space="preserve"> executive officer and principal financial officer have concluded that our disclosure controls and procedures (as defined in Rules 13a-15(e) and 15d-15(e) under the Securities Exchange Act of 1934 as amended, (the “Exchange Act”)) are effective to ensure t</w:t>
      </w:r>
      <w:r>
        <w:rPr>
          <w:rFonts w:ascii="Times New Roman" w:eastAsia="宋体" w:hAnsi="Times New Roman"/>
          <w:color w:val="000000"/>
          <w:sz w:val="20"/>
          <w:szCs w:val="20"/>
        </w:rPr>
        <w:t>hat information required to be disclosed by us in reports that we file or submit under the Exchange Act is recorded, processed, summarized and reported within the time periods specified in Securities and Exchange Commission rules and forms and is accumulat</w:t>
      </w:r>
      <w:r>
        <w:rPr>
          <w:rFonts w:ascii="Times New Roman" w:eastAsia="宋体" w:hAnsi="Times New Roman"/>
          <w:color w:val="000000"/>
          <w:sz w:val="20"/>
          <w:szCs w:val="20"/>
        </w:rPr>
        <w:t>ed and communicated to our management, including our principal executive officer and principal financial officer, as appropriate to allow timely decisions regarding required disclosure.</w:t>
      </w:r>
    </w:p>
    <w:p w14:paraId="518B8283" w14:textId="77777777" w:rsidR="005C332D" w:rsidRDefault="00B93EAE">
      <w:pPr>
        <w:spacing w:before="120"/>
      </w:pPr>
      <w:r>
        <w:rPr>
          <w:rFonts w:ascii="Times New Roman" w:eastAsia="宋体" w:hAnsi="Times New Roman"/>
          <w:b/>
          <w:bCs/>
          <w:color w:val="000000"/>
          <w:sz w:val="20"/>
          <w:szCs w:val="20"/>
        </w:rPr>
        <w:t>Internal Control over Financial Reporting</w:t>
      </w:r>
    </w:p>
    <w:p w14:paraId="518B8284" w14:textId="77777777" w:rsidR="005C332D" w:rsidRDefault="00B93EAE">
      <w:pPr>
        <w:spacing w:before="120"/>
        <w:ind w:firstLine="360"/>
        <w:jc w:val="both"/>
      </w:pPr>
      <w:r>
        <w:rPr>
          <w:rFonts w:ascii="Times New Roman" w:eastAsia="宋体" w:hAnsi="Times New Roman"/>
          <w:color w:val="000000"/>
          <w:sz w:val="20"/>
          <w:szCs w:val="20"/>
        </w:rPr>
        <w:t xml:space="preserve">Management’s report on </w:t>
      </w:r>
      <w:r>
        <w:rPr>
          <w:rFonts w:ascii="Times New Roman" w:eastAsia="宋体" w:hAnsi="Times New Roman"/>
          <w:color w:val="000000"/>
          <w:sz w:val="20"/>
          <w:szCs w:val="20"/>
        </w:rPr>
        <w:t>our internal control over financial reporting and the report of our independent registered public accounting firm on our internal control over financial reporting are set forth, respectively, on page 58 under the caption “Management’s Report on Internal Co</w:t>
      </w:r>
      <w:r>
        <w:rPr>
          <w:rFonts w:ascii="Times New Roman" w:eastAsia="宋体" w:hAnsi="Times New Roman"/>
          <w:color w:val="000000"/>
          <w:sz w:val="20"/>
          <w:szCs w:val="20"/>
        </w:rPr>
        <w:t>ntrol Over Financial Reporting” and on page 56 of this report.</w:t>
      </w:r>
    </w:p>
    <w:p w14:paraId="518B8285" w14:textId="77777777" w:rsidR="005C332D" w:rsidRDefault="00B93EAE">
      <w:pPr>
        <w:spacing w:before="120"/>
        <w:ind w:firstLine="360"/>
        <w:jc w:val="both"/>
      </w:pPr>
      <w:r>
        <w:rPr>
          <w:rFonts w:ascii="Times New Roman" w:eastAsia="宋体" w:hAnsi="Times New Roman"/>
          <w:color w:val="000000"/>
          <w:sz w:val="20"/>
          <w:szCs w:val="20"/>
        </w:rPr>
        <w:t>There was no change in our internal control over financial reporting during our fourth quarter of fiscal 2022 that has materially affected, or is reasonably likely to materially affect, our int</w:t>
      </w:r>
      <w:r>
        <w:rPr>
          <w:rFonts w:ascii="Times New Roman" w:eastAsia="宋体" w:hAnsi="Times New Roman"/>
          <w:color w:val="000000"/>
          <w:sz w:val="20"/>
          <w:szCs w:val="20"/>
        </w:rPr>
        <w:t>ernal control over financial reporting. </w:t>
      </w:r>
    </w:p>
    <w:tbl>
      <w:tblPr>
        <w:tblW w:w="1557"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5C332D" w14:paraId="518B828C" w14:textId="77777777">
        <w:tc>
          <w:tcPr>
            <w:tcW w:w="50" w:type="pct"/>
            <w:shd w:val="clear" w:color="auto" w:fill="auto"/>
            <w:vAlign w:val="bottom"/>
          </w:tcPr>
          <w:p w14:paraId="518B8286" w14:textId="77777777" w:rsidR="005C332D" w:rsidRDefault="005C332D">
            <w:pPr>
              <w:rPr>
                <w:rFonts w:ascii="宋体"/>
              </w:rPr>
            </w:pPr>
          </w:p>
        </w:tc>
        <w:tc>
          <w:tcPr>
            <w:tcW w:w="1822" w:type="pct"/>
            <w:shd w:val="clear" w:color="auto" w:fill="auto"/>
            <w:vAlign w:val="bottom"/>
          </w:tcPr>
          <w:p w14:paraId="518B8287" w14:textId="77777777" w:rsidR="005C332D" w:rsidRDefault="005C332D">
            <w:pPr>
              <w:rPr>
                <w:rFonts w:ascii="宋体"/>
              </w:rPr>
            </w:pPr>
          </w:p>
        </w:tc>
        <w:tc>
          <w:tcPr>
            <w:tcW w:w="5" w:type="pct"/>
            <w:shd w:val="clear" w:color="auto" w:fill="auto"/>
            <w:vAlign w:val="bottom"/>
          </w:tcPr>
          <w:p w14:paraId="518B8288" w14:textId="77777777" w:rsidR="005C332D" w:rsidRDefault="005C332D">
            <w:pPr>
              <w:rPr>
                <w:rFonts w:ascii="宋体"/>
              </w:rPr>
            </w:pPr>
          </w:p>
        </w:tc>
        <w:tc>
          <w:tcPr>
            <w:tcW w:w="50" w:type="pct"/>
            <w:shd w:val="clear" w:color="auto" w:fill="auto"/>
            <w:vAlign w:val="bottom"/>
          </w:tcPr>
          <w:p w14:paraId="518B8289" w14:textId="77777777" w:rsidR="005C332D" w:rsidRDefault="005C332D">
            <w:pPr>
              <w:rPr>
                <w:rFonts w:ascii="宋体"/>
              </w:rPr>
            </w:pPr>
          </w:p>
        </w:tc>
        <w:tc>
          <w:tcPr>
            <w:tcW w:w="3067" w:type="pct"/>
            <w:shd w:val="clear" w:color="auto" w:fill="auto"/>
            <w:vAlign w:val="bottom"/>
          </w:tcPr>
          <w:p w14:paraId="518B828A" w14:textId="77777777" w:rsidR="005C332D" w:rsidRDefault="005C332D">
            <w:pPr>
              <w:rPr>
                <w:rFonts w:ascii="宋体"/>
              </w:rPr>
            </w:pPr>
          </w:p>
        </w:tc>
        <w:tc>
          <w:tcPr>
            <w:tcW w:w="5" w:type="pct"/>
            <w:shd w:val="clear" w:color="auto" w:fill="auto"/>
            <w:vAlign w:val="bottom"/>
          </w:tcPr>
          <w:p w14:paraId="518B828B" w14:textId="77777777" w:rsidR="005C332D" w:rsidRDefault="005C332D">
            <w:pPr>
              <w:rPr>
                <w:rFonts w:ascii="宋体"/>
              </w:rPr>
            </w:pPr>
          </w:p>
        </w:tc>
      </w:tr>
      <w:tr w:rsidR="005C332D" w14:paraId="518B828F" w14:textId="77777777">
        <w:tc>
          <w:tcPr>
            <w:tcW w:w="0" w:type="auto"/>
            <w:gridSpan w:val="3"/>
            <w:shd w:val="clear" w:color="auto" w:fill="auto"/>
            <w:tcMar>
              <w:top w:w="40" w:type="dxa"/>
              <w:left w:w="20" w:type="dxa"/>
              <w:bottom w:w="40" w:type="dxa"/>
              <w:right w:w="20" w:type="dxa"/>
            </w:tcMar>
          </w:tcPr>
          <w:p w14:paraId="518B828D" w14:textId="77777777" w:rsidR="005C332D" w:rsidRDefault="00B93EAE">
            <w:pPr>
              <w:textAlignment w:val="top"/>
            </w:pPr>
            <w:r>
              <w:rPr>
                <w:rFonts w:ascii="Times New Roman" w:eastAsia="宋体" w:hAnsi="Times New Roman"/>
                <w:b/>
                <w:bCs/>
                <w:color w:val="000000"/>
                <w:sz w:val="20"/>
                <w:szCs w:val="20"/>
              </w:rPr>
              <w:t>Item 9B.</w:t>
            </w:r>
          </w:p>
        </w:tc>
        <w:tc>
          <w:tcPr>
            <w:tcW w:w="0" w:type="auto"/>
            <w:gridSpan w:val="3"/>
            <w:shd w:val="clear" w:color="auto" w:fill="auto"/>
            <w:tcMar>
              <w:top w:w="40" w:type="dxa"/>
              <w:left w:w="20" w:type="dxa"/>
              <w:bottom w:w="40" w:type="dxa"/>
              <w:right w:w="20" w:type="dxa"/>
            </w:tcMar>
          </w:tcPr>
          <w:p w14:paraId="518B828E" w14:textId="77777777" w:rsidR="005C332D" w:rsidRDefault="00B93EAE">
            <w:pPr>
              <w:textAlignment w:val="top"/>
            </w:pPr>
            <w:r>
              <w:rPr>
                <w:rFonts w:ascii="Times New Roman" w:eastAsia="宋体" w:hAnsi="Times New Roman"/>
                <w:b/>
                <w:bCs/>
                <w:color w:val="000000"/>
                <w:sz w:val="20"/>
                <w:szCs w:val="20"/>
              </w:rPr>
              <w:t>Other Information</w:t>
            </w:r>
          </w:p>
        </w:tc>
      </w:tr>
    </w:tbl>
    <w:p w14:paraId="518B8290" w14:textId="77777777" w:rsidR="005C332D" w:rsidRDefault="00B93EAE">
      <w:pPr>
        <w:spacing w:before="120"/>
        <w:ind w:firstLine="450"/>
      </w:pPr>
      <w:r>
        <w:rPr>
          <w:rFonts w:ascii="Times New Roman" w:eastAsia="宋体" w:hAnsi="Times New Roman"/>
          <w:color w:val="000000"/>
          <w:sz w:val="20"/>
          <w:szCs w:val="20"/>
        </w:rPr>
        <w:t>Required Disclosure Pursuant to Section 13(r) of the Securities Exchange Act of 1934, as amended (the “Exchange Act”)</w:t>
      </w:r>
    </w:p>
    <w:p w14:paraId="518B8291" w14:textId="77777777" w:rsidR="005C332D" w:rsidRDefault="00B93EAE">
      <w:pPr>
        <w:spacing w:before="120"/>
        <w:ind w:firstLine="450"/>
        <w:jc w:val="both"/>
      </w:pPr>
      <w:r>
        <w:rPr>
          <w:rFonts w:ascii="Times New Roman" w:eastAsia="宋体" w:hAnsi="Times New Roman"/>
          <w:color w:val="000000"/>
          <w:sz w:val="20"/>
          <w:szCs w:val="20"/>
        </w:rPr>
        <w:t xml:space="preserve">Under Section 13(r) of the Exchange Act, we are </w:t>
      </w:r>
      <w:r>
        <w:rPr>
          <w:rFonts w:ascii="Times New Roman" w:eastAsia="宋体" w:hAnsi="Times New Roman"/>
          <w:color w:val="000000"/>
          <w:sz w:val="20"/>
          <w:szCs w:val="20"/>
        </w:rPr>
        <w:t>required to disclose in our periodic reports if we or any of our affiliates knowingly conducted a transaction or dealing with entities or individuals designated pursuant to certain Executive Orders. On March 2, 2021, the U.S. government designated the Russ</w:t>
      </w:r>
      <w:r>
        <w:rPr>
          <w:rFonts w:ascii="Times New Roman" w:eastAsia="宋体" w:hAnsi="Times New Roman"/>
          <w:color w:val="000000"/>
          <w:sz w:val="20"/>
          <w:szCs w:val="20"/>
        </w:rPr>
        <w:t>ian Federal Security Service (the “FSB”) as a blocked party subject to such reporting requirements; however, on the same day, the U.S. Department of the Treasury’s Office of Foreign Assets Control updated General License No. 1B (the “OFAC General License”)</w:t>
      </w:r>
      <w:r>
        <w:rPr>
          <w:rFonts w:ascii="Times New Roman" w:eastAsia="宋体" w:hAnsi="Times New Roman"/>
          <w:color w:val="000000"/>
          <w:sz w:val="20"/>
          <w:szCs w:val="20"/>
        </w:rPr>
        <w:t>, which now also generally authorizes U.S. companies to engage in certain transactions and dealings with the FSB necessary and ordinarily incident to requesting or obtaining licenses, permits, certifications or notifications issued or registered by the FSB</w:t>
      </w:r>
      <w:r>
        <w:rPr>
          <w:rFonts w:ascii="Times New Roman" w:eastAsia="宋体" w:hAnsi="Times New Roman"/>
          <w:color w:val="000000"/>
          <w:sz w:val="20"/>
          <w:szCs w:val="20"/>
        </w:rPr>
        <w:t xml:space="preserve"> for the importation, distribution or use of information technology products in Russia.</w:t>
      </w:r>
    </w:p>
    <w:p w14:paraId="518B8292" w14:textId="77777777" w:rsidR="005C332D" w:rsidRDefault="00B93EAE">
      <w:pPr>
        <w:spacing w:before="120"/>
        <w:ind w:firstLine="450"/>
        <w:jc w:val="both"/>
      </w:pPr>
      <w:r>
        <w:rPr>
          <w:rFonts w:ascii="Times New Roman" w:eastAsia="宋体" w:hAnsi="Times New Roman"/>
          <w:color w:val="000000"/>
          <w:sz w:val="20"/>
          <w:szCs w:val="20"/>
        </w:rPr>
        <w:t>During the fiscal year ended July 30, 2022, a subsidiary of Cisco filed notifications with, or applied for import licenses and permits from, the FSB as required pursuan</w:t>
      </w:r>
      <w:r>
        <w:rPr>
          <w:rFonts w:ascii="Times New Roman" w:eastAsia="宋体" w:hAnsi="Times New Roman"/>
          <w:color w:val="000000"/>
          <w:sz w:val="20"/>
          <w:szCs w:val="20"/>
        </w:rPr>
        <w:t>t to Russian encryption product import controls for the purpose of enabling Cisco or our subsidiaries to import and distribute certain products in Russia. Neither Cisco nor our subsidiaries generated any gross revenues or net profits directly from such app</w:t>
      </w:r>
      <w:r>
        <w:rPr>
          <w:rFonts w:ascii="Times New Roman" w:eastAsia="宋体" w:hAnsi="Times New Roman"/>
          <w:color w:val="000000"/>
          <w:sz w:val="20"/>
          <w:szCs w:val="20"/>
        </w:rPr>
        <w:t>roval activity and neither Cisco nor our subsidiaries sell to the FSB. In March 2022, in connection with the Russian invasion of Ukraine, Cisco announced its intention to stop business operations in Russia and Belarus for the foreseeable future. Further, o</w:t>
      </w:r>
      <w:r>
        <w:rPr>
          <w:rFonts w:ascii="Times New Roman" w:eastAsia="宋体" w:hAnsi="Times New Roman"/>
          <w:color w:val="000000"/>
          <w:sz w:val="20"/>
          <w:szCs w:val="20"/>
        </w:rPr>
        <w:t>n June 23, 2022, Cisco announced that it will begin an orderly wind-down and exit of its business in Russia and Belarus. As a result, Cisco and its subsidiaries do not expect to make any new notifications with, or applications for import licenses or permit</w:t>
      </w:r>
      <w:r>
        <w:rPr>
          <w:rFonts w:ascii="Times New Roman" w:eastAsia="宋体" w:hAnsi="Times New Roman"/>
          <w:color w:val="000000"/>
          <w:sz w:val="20"/>
          <w:szCs w:val="20"/>
        </w:rPr>
        <w:t>s from, the FSB.</w:t>
      </w:r>
    </w:p>
    <w:p w14:paraId="518B8293" w14:textId="77777777" w:rsidR="005C332D" w:rsidRDefault="005C332D">
      <w:pPr>
        <w:spacing w:before="120"/>
        <w:ind w:firstLine="450"/>
        <w:jc w:val="both"/>
      </w:pPr>
    </w:p>
    <w:tbl>
      <w:tblPr>
        <w:tblW w:w="4963" w:type="pct"/>
        <w:tblCellMar>
          <w:top w:w="15" w:type="dxa"/>
          <w:left w:w="15" w:type="dxa"/>
          <w:bottom w:w="15" w:type="dxa"/>
          <w:right w:w="15" w:type="dxa"/>
        </w:tblCellMar>
        <w:tblLook w:val="04A0" w:firstRow="1" w:lastRow="0" w:firstColumn="1" w:lastColumn="0" w:noHBand="0" w:noVBand="1"/>
      </w:tblPr>
      <w:tblGrid>
        <w:gridCol w:w="69"/>
        <w:gridCol w:w="870"/>
        <w:gridCol w:w="36"/>
        <w:gridCol w:w="69"/>
        <w:gridCol w:w="7194"/>
        <w:gridCol w:w="36"/>
      </w:tblGrid>
      <w:tr w:rsidR="005C332D" w14:paraId="518B829A" w14:textId="77777777">
        <w:tc>
          <w:tcPr>
            <w:tcW w:w="50" w:type="pct"/>
            <w:shd w:val="clear" w:color="auto" w:fill="auto"/>
            <w:vAlign w:val="bottom"/>
          </w:tcPr>
          <w:p w14:paraId="518B8294" w14:textId="77777777" w:rsidR="005C332D" w:rsidRDefault="005C332D">
            <w:pPr>
              <w:rPr>
                <w:rFonts w:ascii="宋体"/>
              </w:rPr>
            </w:pPr>
          </w:p>
        </w:tc>
        <w:tc>
          <w:tcPr>
            <w:tcW w:w="534" w:type="pct"/>
            <w:shd w:val="clear" w:color="auto" w:fill="auto"/>
            <w:vAlign w:val="bottom"/>
          </w:tcPr>
          <w:p w14:paraId="518B8295" w14:textId="77777777" w:rsidR="005C332D" w:rsidRDefault="005C332D">
            <w:pPr>
              <w:rPr>
                <w:rFonts w:ascii="宋体"/>
              </w:rPr>
            </w:pPr>
          </w:p>
        </w:tc>
        <w:tc>
          <w:tcPr>
            <w:tcW w:w="5" w:type="pct"/>
            <w:shd w:val="clear" w:color="auto" w:fill="auto"/>
            <w:vAlign w:val="bottom"/>
          </w:tcPr>
          <w:p w14:paraId="518B8296" w14:textId="77777777" w:rsidR="005C332D" w:rsidRDefault="005C332D">
            <w:pPr>
              <w:rPr>
                <w:rFonts w:ascii="宋体"/>
              </w:rPr>
            </w:pPr>
          </w:p>
        </w:tc>
        <w:tc>
          <w:tcPr>
            <w:tcW w:w="50" w:type="pct"/>
            <w:shd w:val="clear" w:color="auto" w:fill="auto"/>
            <w:vAlign w:val="bottom"/>
          </w:tcPr>
          <w:p w14:paraId="518B8297" w14:textId="77777777" w:rsidR="005C332D" w:rsidRDefault="005C332D">
            <w:pPr>
              <w:rPr>
                <w:rFonts w:ascii="宋体"/>
              </w:rPr>
            </w:pPr>
          </w:p>
        </w:tc>
        <w:tc>
          <w:tcPr>
            <w:tcW w:w="4355" w:type="pct"/>
            <w:shd w:val="clear" w:color="auto" w:fill="auto"/>
            <w:vAlign w:val="bottom"/>
          </w:tcPr>
          <w:p w14:paraId="518B8298" w14:textId="77777777" w:rsidR="005C332D" w:rsidRDefault="005C332D">
            <w:pPr>
              <w:rPr>
                <w:rFonts w:ascii="宋体"/>
              </w:rPr>
            </w:pPr>
          </w:p>
        </w:tc>
        <w:tc>
          <w:tcPr>
            <w:tcW w:w="5" w:type="pct"/>
            <w:shd w:val="clear" w:color="auto" w:fill="auto"/>
            <w:vAlign w:val="bottom"/>
          </w:tcPr>
          <w:p w14:paraId="518B8299" w14:textId="77777777" w:rsidR="005C332D" w:rsidRDefault="005C332D">
            <w:pPr>
              <w:rPr>
                <w:rFonts w:ascii="宋体"/>
              </w:rPr>
            </w:pPr>
          </w:p>
        </w:tc>
      </w:tr>
      <w:tr w:rsidR="005C332D" w14:paraId="518B829D" w14:textId="77777777">
        <w:tc>
          <w:tcPr>
            <w:tcW w:w="0" w:type="auto"/>
            <w:gridSpan w:val="3"/>
            <w:shd w:val="clear" w:color="auto" w:fill="auto"/>
            <w:tcMar>
              <w:top w:w="40" w:type="dxa"/>
              <w:left w:w="20" w:type="dxa"/>
              <w:bottom w:w="40" w:type="dxa"/>
              <w:right w:w="20" w:type="dxa"/>
            </w:tcMar>
          </w:tcPr>
          <w:p w14:paraId="518B829B" w14:textId="77777777" w:rsidR="005C332D" w:rsidRDefault="00B93EAE">
            <w:pPr>
              <w:textAlignment w:val="top"/>
            </w:pPr>
            <w:r>
              <w:rPr>
                <w:rFonts w:ascii="Times New Roman" w:eastAsia="宋体" w:hAnsi="Times New Roman"/>
                <w:b/>
                <w:bCs/>
                <w:color w:val="000000"/>
                <w:sz w:val="20"/>
                <w:szCs w:val="20"/>
              </w:rPr>
              <w:t>Item 9C.</w:t>
            </w:r>
          </w:p>
        </w:tc>
        <w:tc>
          <w:tcPr>
            <w:tcW w:w="0" w:type="auto"/>
            <w:gridSpan w:val="3"/>
            <w:shd w:val="clear" w:color="auto" w:fill="auto"/>
            <w:tcMar>
              <w:top w:w="40" w:type="dxa"/>
              <w:left w:w="20" w:type="dxa"/>
              <w:bottom w:w="40" w:type="dxa"/>
              <w:right w:w="20" w:type="dxa"/>
            </w:tcMar>
          </w:tcPr>
          <w:p w14:paraId="518B829C" w14:textId="77777777" w:rsidR="005C332D" w:rsidRDefault="00B93EAE">
            <w:pPr>
              <w:textAlignment w:val="top"/>
            </w:pPr>
            <w:r>
              <w:rPr>
                <w:rFonts w:ascii="Times New Roman" w:eastAsia="宋体" w:hAnsi="Times New Roman"/>
                <w:b/>
                <w:bCs/>
                <w:color w:val="000000"/>
                <w:sz w:val="20"/>
                <w:szCs w:val="20"/>
              </w:rPr>
              <w:t>Disclosure Regarding Foreign Jurisdictions that Prevent Inspections</w:t>
            </w:r>
          </w:p>
        </w:tc>
      </w:tr>
    </w:tbl>
    <w:p w14:paraId="518B829E" w14:textId="77777777" w:rsidR="005C332D" w:rsidRDefault="00B93EAE">
      <w:pPr>
        <w:spacing w:before="120"/>
        <w:ind w:firstLine="450"/>
      </w:pPr>
      <w:r>
        <w:rPr>
          <w:rFonts w:ascii="Times New Roman" w:eastAsia="宋体" w:hAnsi="Times New Roman"/>
          <w:color w:val="000000"/>
          <w:sz w:val="20"/>
          <w:szCs w:val="20"/>
        </w:rPr>
        <w:t>Not applicable.</w:t>
      </w:r>
    </w:p>
    <w:p w14:paraId="518B829F" w14:textId="77777777" w:rsidR="005C332D" w:rsidRDefault="00B93EAE">
      <w:pPr>
        <w:jc w:val="center"/>
      </w:pPr>
      <w:r>
        <w:rPr>
          <w:rFonts w:ascii="Times New Roman" w:eastAsia="宋体" w:hAnsi="Times New Roman"/>
          <w:color w:val="000000"/>
          <w:sz w:val="20"/>
          <w:szCs w:val="20"/>
        </w:rPr>
        <w:t>103</w:t>
      </w:r>
    </w:p>
    <w:p w14:paraId="518B82A0" w14:textId="77777777" w:rsidR="005C332D" w:rsidRDefault="00B93EAE">
      <w:r>
        <w:pict w14:anchorId="518B877C">
          <v:rect id="_x0000_i1129" style="width:415.3pt;height:1.5pt" o:hralign="center" o:hrstd="t" o:hr="t" fillcolor="#a0a0a0" stroked="f"/>
        </w:pict>
      </w:r>
    </w:p>
    <w:p w14:paraId="518B82A1" w14:textId="77777777" w:rsidR="005C332D" w:rsidRDefault="005C332D"/>
    <w:p w14:paraId="518B82A2" w14:textId="77777777" w:rsidR="005C332D" w:rsidRDefault="00B93EAE">
      <w:pPr>
        <w:spacing w:before="180"/>
        <w:jc w:val="center"/>
      </w:pPr>
      <w:r>
        <w:rPr>
          <w:rFonts w:ascii="Times New Roman" w:eastAsia="宋体" w:hAnsi="Times New Roman"/>
          <w:b/>
          <w:bCs/>
          <w:color w:val="000000"/>
          <w:sz w:val="20"/>
          <w:szCs w:val="20"/>
        </w:rPr>
        <w:t>PART III</w:t>
      </w:r>
    </w:p>
    <w:tbl>
      <w:tblPr>
        <w:tblW w:w="3019" w:type="pct"/>
        <w:tblCellMar>
          <w:top w:w="15" w:type="dxa"/>
          <w:left w:w="15" w:type="dxa"/>
          <w:bottom w:w="15" w:type="dxa"/>
          <w:right w:w="15" w:type="dxa"/>
        </w:tblCellMar>
        <w:tblLook w:val="04A0" w:firstRow="1" w:lastRow="0" w:firstColumn="1" w:lastColumn="0" w:noHBand="0" w:noVBand="1"/>
      </w:tblPr>
      <w:tblGrid>
        <w:gridCol w:w="39"/>
        <w:gridCol w:w="899"/>
        <w:gridCol w:w="36"/>
        <w:gridCol w:w="37"/>
        <w:gridCol w:w="3986"/>
        <w:gridCol w:w="36"/>
      </w:tblGrid>
      <w:tr w:rsidR="005C332D" w14:paraId="518B82A9" w14:textId="77777777">
        <w:tc>
          <w:tcPr>
            <w:tcW w:w="50" w:type="pct"/>
            <w:shd w:val="clear" w:color="auto" w:fill="auto"/>
            <w:vAlign w:val="bottom"/>
          </w:tcPr>
          <w:p w14:paraId="518B82A3" w14:textId="77777777" w:rsidR="005C332D" w:rsidRDefault="005C332D">
            <w:pPr>
              <w:rPr>
                <w:rFonts w:ascii="宋体"/>
              </w:rPr>
            </w:pPr>
          </w:p>
        </w:tc>
        <w:tc>
          <w:tcPr>
            <w:tcW w:w="913" w:type="pct"/>
            <w:shd w:val="clear" w:color="auto" w:fill="auto"/>
            <w:vAlign w:val="bottom"/>
          </w:tcPr>
          <w:p w14:paraId="518B82A4" w14:textId="77777777" w:rsidR="005C332D" w:rsidRDefault="005C332D">
            <w:pPr>
              <w:rPr>
                <w:rFonts w:ascii="宋体"/>
              </w:rPr>
            </w:pPr>
          </w:p>
        </w:tc>
        <w:tc>
          <w:tcPr>
            <w:tcW w:w="5" w:type="pct"/>
            <w:shd w:val="clear" w:color="auto" w:fill="auto"/>
            <w:vAlign w:val="bottom"/>
          </w:tcPr>
          <w:p w14:paraId="518B82A5" w14:textId="77777777" w:rsidR="005C332D" w:rsidRDefault="005C332D">
            <w:pPr>
              <w:rPr>
                <w:rFonts w:ascii="宋体"/>
              </w:rPr>
            </w:pPr>
          </w:p>
        </w:tc>
        <w:tc>
          <w:tcPr>
            <w:tcW w:w="50" w:type="pct"/>
            <w:shd w:val="clear" w:color="auto" w:fill="auto"/>
            <w:vAlign w:val="bottom"/>
          </w:tcPr>
          <w:p w14:paraId="518B82A6" w14:textId="77777777" w:rsidR="005C332D" w:rsidRDefault="005C332D">
            <w:pPr>
              <w:rPr>
                <w:rFonts w:ascii="宋体"/>
              </w:rPr>
            </w:pPr>
          </w:p>
        </w:tc>
        <w:tc>
          <w:tcPr>
            <w:tcW w:w="3976" w:type="pct"/>
            <w:shd w:val="clear" w:color="auto" w:fill="auto"/>
            <w:vAlign w:val="bottom"/>
          </w:tcPr>
          <w:p w14:paraId="518B82A7" w14:textId="77777777" w:rsidR="005C332D" w:rsidRDefault="005C332D">
            <w:pPr>
              <w:rPr>
                <w:rFonts w:ascii="宋体"/>
              </w:rPr>
            </w:pPr>
          </w:p>
        </w:tc>
        <w:tc>
          <w:tcPr>
            <w:tcW w:w="5" w:type="pct"/>
            <w:shd w:val="clear" w:color="auto" w:fill="auto"/>
            <w:vAlign w:val="bottom"/>
          </w:tcPr>
          <w:p w14:paraId="518B82A8" w14:textId="77777777" w:rsidR="005C332D" w:rsidRDefault="005C332D">
            <w:pPr>
              <w:rPr>
                <w:rFonts w:ascii="宋体"/>
              </w:rPr>
            </w:pPr>
          </w:p>
        </w:tc>
      </w:tr>
      <w:tr w:rsidR="005C332D" w14:paraId="518B82AC" w14:textId="77777777">
        <w:tc>
          <w:tcPr>
            <w:tcW w:w="0" w:type="auto"/>
            <w:gridSpan w:val="3"/>
            <w:shd w:val="clear" w:color="auto" w:fill="auto"/>
            <w:tcMar>
              <w:top w:w="40" w:type="dxa"/>
              <w:left w:w="20" w:type="dxa"/>
              <w:bottom w:w="40" w:type="dxa"/>
              <w:right w:w="20" w:type="dxa"/>
            </w:tcMar>
          </w:tcPr>
          <w:p w14:paraId="518B82AA" w14:textId="77777777" w:rsidR="005C332D" w:rsidRDefault="00B93EAE">
            <w:pPr>
              <w:textAlignment w:val="top"/>
            </w:pPr>
            <w:r>
              <w:rPr>
                <w:rFonts w:ascii="Times New Roman" w:eastAsia="宋体" w:hAnsi="Times New Roman"/>
                <w:b/>
                <w:bCs/>
                <w:color w:val="000000"/>
                <w:sz w:val="20"/>
                <w:szCs w:val="20"/>
              </w:rPr>
              <w:t>Item 10.</w:t>
            </w:r>
          </w:p>
        </w:tc>
        <w:tc>
          <w:tcPr>
            <w:tcW w:w="0" w:type="auto"/>
            <w:gridSpan w:val="3"/>
            <w:shd w:val="clear" w:color="auto" w:fill="auto"/>
            <w:tcMar>
              <w:top w:w="40" w:type="dxa"/>
              <w:left w:w="20" w:type="dxa"/>
              <w:bottom w:w="40" w:type="dxa"/>
              <w:right w:w="20" w:type="dxa"/>
            </w:tcMar>
          </w:tcPr>
          <w:p w14:paraId="518B82AB" w14:textId="77777777" w:rsidR="005C332D" w:rsidRDefault="00B93EAE">
            <w:pPr>
              <w:textAlignment w:val="top"/>
            </w:pPr>
            <w:r>
              <w:rPr>
                <w:rFonts w:ascii="Times New Roman" w:eastAsia="宋体" w:hAnsi="Times New Roman"/>
                <w:b/>
                <w:bCs/>
                <w:color w:val="000000"/>
                <w:sz w:val="20"/>
                <w:szCs w:val="20"/>
              </w:rPr>
              <w:t>Directors, Executive Officers and Corporate Governance</w:t>
            </w:r>
          </w:p>
        </w:tc>
      </w:tr>
    </w:tbl>
    <w:p w14:paraId="518B82AD" w14:textId="77777777" w:rsidR="005C332D" w:rsidRDefault="00B93EAE">
      <w:pPr>
        <w:ind w:firstLine="450"/>
        <w:jc w:val="both"/>
      </w:pPr>
      <w:r>
        <w:rPr>
          <w:rFonts w:ascii="Times New Roman" w:eastAsia="宋体" w:hAnsi="Times New Roman"/>
          <w:color w:val="000000"/>
          <w:sz w:val="20"/>
          <w:szCs w:val="20"/>
        </w:rPr>
        <w:t xml:space="preserve">We have adopted a code of ethics that </w:t>
      </w:r>
      <w:r>
        <w:rPr>
          <w:rFonts w:ascii="Times New Roman" w:eastAsia="宋体" w:hAnsi="Times New Roman"/>
          <w:color w:val="000000"/>
          <w:sz w:val="20"/>
          <w:szCs w:val="20"/>
        </w:rPr>
        <w:t>applies to our principal executive officer and all members of our finance department, including the principal financial officer and principal accounting officer. This code of ethics can be found at the “Financial Officer Code of Ethics” link in the Corpora</w:t>
      </w:r>
      <w:r>
        <w:rPr>
          <w:rFonts w:ascii="Times New Roman" w:eastAsia="宋体" w:hAnsi="Times New Roman"/>
          <w:color w:val="000000"/>
          <w:sz w:val="20"/>
          <w:szCs w:val="20"/>
        </w:rPr>
        <w:t xml:space="preserve">te Governance section of Cisco’s Investor Relations website at investor.cisco.com. We intend to satisfy any disclosure requirement regarding an amendment to, or waiver from, a provision of this code of ethics by posting such information on that website or </w:t>
      </w:r>
      <w:r>
        <w:rPr>
          <w:rFonts w:ascii="Times New Roman" w:eastAsia="宋体" w:hAnsi="Times New Roman"/>
          <w:color w:val="000000"/>
          <w:sz w:val="20"/>
          <w:szCs w:val="20"/>
        </w:rPr>
        <w:t>in a report on Form 8-K.</w:t>
      </w:r>
    </w:p>
    <w:p w14:paraId="518B82AE" w14:textId="77777777" w:rsidR="005C332D" w:rsidRDefault="00B93EAE">
      <w:pPr>
        <w:spacing w:before="120"/>
        <w:ind w:firstLine="450"/>
        <w:jc w:val="both"/>
      </w:pPr>
      <w:r>
        <w:rPr>
          <w:rFonts w:ascii="Times New Roman" w:eastAsia="宋体" w:hAnsi="Times New Roman"/>
          <w:color w:val="000000"/>
          <w:sz w:val="20"/>
          <w:szCs w:val="20"/>
        </w:rPr>
        <w:t xml:space="preserve">The additional information required by this item is included in our Proxy Statement related to the 2022 Annual Meeting of Stockholders to be filed with the SEC within 120 days after September 8, 2022 (the “Proxy Statement”) and is </w:t>
      </w:r>
      <w:r>
        <w:rPr>
          <w:rFonts w:ascii="Times New Roman" w:eastAsia="宋体" w:hAnsi="Times New Roman"/>
          <w:color w:val="000000"/>
          <w:sz w:val="20"/>
          <w:szCs w:val="20"/>
        </w:rPr>
        <w:t>incorporated herein by reference.</w:t>
      </w:r>
    </w:p>
    <w:p w14:paraId="518B82AF" w14:textId="77777777" w:rsidR="005C332D" w:rsidRDefault="005C332D">
      <w:pPr>
        <w:ind w:firstLine="450"/>
        <w:jc w:val="both"/>
      </w:pPr>
    </w:p>
    <w:tbl>
      <w:tblPr>
        <w:tblW w:w="1674"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1744"/>
        <w:gridCol w:w="36"/>
      </w:tblGrid>
      <w:tr w:rsidR="005C332D" w14:paraId="518B82B6" w14:textId="77777777">
        <w:tc>
          <w:tcPr>
            <w:tcW w:w="50" w:type="pct"/>
            <w:shd w:val="clear" w:color="auto" w:fill="auto"/>
            <w:vAlign w:val="bottom"/>
          </w:tcPr>
          <w:p w14:paraId="518B82B0" w14:textId="77777777" w:rsidR="005C332D" w:rsidRDefault="005C332D">
            <w:pPr>
              <w:rPr>
                <w:rFonts w:ascii="宋体"/>
              </w:rPr>
            </w:pPr>
          </w:p>
        </w:tc>
        <w:tc>
          <w:tcPr>
            <w:tcW w:w="1691" w:type="pct"/>
            <w:shd w:val="clear" w:color="auto" w:fill="auto"/>
            <w:vAlign w:val="bottom"/>
          </w:tcPr>
          <w:p w14:paraId="518B82B1" w14:textId="77777777" w:rsidR="005C332D" w:rsidRDefault="005C332D">
            <w:pPr>
              <w:rPr>
                <w:rFonts w:ascii="宋体"/>
              </w:rPr>
            </w:pPr>
          </w:p>
        </w:tc>
        <w:tc>
          <w:tcPr>
            <w:tcW w:w="5" w:type="pct"/>
            <w:shd w:val="clear" w:color="auto" w:fill="auto"/>
            <w:vAlign w:val="bottom"/>
          </w:tcPr>
          <w:p w14:paraId="518B82B2" w14:textId="77777777" w:rsidR="005C332D" w:rsidRDefault="005C332D">
            <w:pPr>
              <w:rPr>
                <w:rFonts w:ascii="宋体"/>
              </w:rPr>
            </w:pPr>
          </w:p>
        </w:tc>
        <w:tc>
          <w:tcPr>
            <w:tcW w:w="50" w:type="pct"/>
            <w:shd w:val="clear" w:color="auto" w:fill="auto"/>
            <w:vAlign w:val="bottom"/>
          </w:tcPr>
          <w:p w14:paraId="518B82B3" w14:textId="77777777" w:rsidR="005C332D" w:rsidRDefault="005C332D">
            <w:pPr>
              <w:rPr>
                <w:rFonts w:ascii="宋体"/>
              </w:rPr>
            </w:pPr>
          </w:p>
        </w:tc>
        <w:tc>
          <w:tcPr>
            <w:tcW w:w="3198" w:type="pct"/>
            <w:shd w:val="clear" w:color="auto" w:fill="auto"/>
            <w:vAlign w:val="bottom"/>
          </w:tcPr>
          <w:p w14:paraId="518B82B4" w14:textId="77777777" w:rsidR="005C332D" w:rsidRDefault="005C332D">
            <w:pPr>
              <w:rPr>
                <w:rFonts w:ascii="宋体"/>
              </w:rPr>
            </w:pPr>
          </w:p>
        </w:tc>
        <w:tc>
          <w:tcPr>
            <w:tcW w:w="5" w:type="pct"/>
            <w:shd w:val="clear" w:color="auto" w:fill="auto"/>
            <w:vAlign w:val="bottom"/>
          </w:tcPr>
          <w:p w14:paraId="518B82B5" w14:textId="77777777" w:rsidR="005C332D" w:rsidRDefault="005C332D">
            <w:pPr>
              <w:rPr>
                <w:rFonts w:ascii="宋体"/>
              </w:rPr>
            </w:pPr>
          </w:p>
        </w:tc>
      </w:tr>
      <w:tr w:rsidR="005C332D" w14:paraId="518B82B9" w14:textId="77777777">
        <w:tc>
          <w:tcPr>
            <w:tcW w:w="0" w:type="auto"/>
            <w:gridSpan w:val="3"/>
            <w:shd w:val="clear" w:color="auto" w:fill="auto"/>
            <w:tcMar>
              <w:top w:w="40" w:type="dxa"/>
              <w:left w:w="20" w:type="dxa"/>
              <w:bottom w:w="40" w:type="dxa"/>
              <w:right w:w="20" w:type="dxa"/>
            </w:tcMar>
          </w:tcPr>
          <w:p w14:paraId="518B82B7" w14:textId="77777777" w:rsidR="005C332D" w:rsidRDefault="00B93EAE">
            <w:pPr>
              <w:textAlignment w:val="top"/>
            </w:pPr>
            <w:r>
              <w:rPr>
                <w:rFonts w:ascii="Times New Roman" w:eastAsia="宋体" w:hAnsi="Times New Roman"/>
                <w:b/>
                <w:bCs/>
                <w:color w:val="000000"/>
                <w:sz w:val="20"/>
                <w:szCs w:val="20"/>
              </w:rPr>
              <w:t>Item 11.</w:t>
            </w:r>
          </w:p>
        </w:tc>
        <w:tc>
          <w:tcPr>
            <w:tcW w:w="0" w:type="auto"/>
            <w:gridSpan w:val="3"/>
            <w:shd w:val="clear" w:color="auto" w:fill="auto"/>
            <w:tcMar>
              <w:top w:w="40" w:type="dxa"/>
              <w:left w:w="20" w:type="dxa"/>
              <w:bottom w:w="40" w:type="dxa"/>
              <w:right w:w="20" w:type="dxa"/>
            </w:tcMar>
          </w:tcPr>
          <w:p w14:paraId="518B82B8" w14:textId="77777777" w:rsidR="005C332D" w:rsidRDefault="00B93EAE">
            <w:pPr>
              <w:textAlignment w:val="top"/>
            </w:pPr>
            <w:r>
              <w:rPr>
                <w:rFonts w:ascii="Times New Roman" w:eastAsia="宋体" w:hAnsi="Times New Roman"/>
                <w:b/>
                <w:bCs/>
                <w:color w:val="000000"/>
                <w:sz w:val="20"/>
                <w:szCs w:val="20"/>
              </w:rPr>
              <w:t>Executive Compensation</w:t>
            </w:r>
          </w:p>
        </w:tc>
      </w:tr>
    </w:tbl>
    <w:p w14:paraId="518B82BA" w14:textId="77777777" w:rsidR="005C332D" w:rsidRDefault="00B93EAE">
      <w:pPr>
        <w:ind w:firstLine="450"/>
        <w:jc w:val="both"/>
      </w:pPr>
      <w:r>
        <w:rPr>
          <w:rFonts w:ascii="Times New Roman" w:eastAsia="宋体" w:hAnsi="Times New Roman"/>
          <w:color w:val="000000"/>
          <w:sz w:val="20"/>
          <w:szCs w:val="20"/>
        </w:rPr>
        <w:t>The information required by this item is included in our Proxy Statement and is incorporated herein by reference.</w:t>
      </w:r>
    </w:p>
    <w:tbl>
      <w:tblPr>
        <w:tblW w:w="4876" w:type="pct"/>
        <w:tblCellMar>
          <w:top w:w="15" w:type="dxa"/>
          <w:left w:w="15" w:type="dxa"/>
          <w:bottom w:w="15" w:type="dxa"/>
          <w:right w:w="15" w:type="dxa"/>
        </w:tblCellMar>
        <w:tblLook w:val="04A0" w:firstRow="1" w:lastRow="0" w:firstColumn="1" w:lastColumn="0" w:noHBand="0" w:noVBand="1"/>
      </w:tblPr>
      <w:tblGrid>
        <w:gridCol w:w="67"/>
        <w:gridCol w:w="870"/>
        <w:gridCol w:w="36"/>
        <w:gridCol w:w="67"/>
        <w:gridCol w:w="7053"/>
        <w:gridCol w:w="36"/>
      </w:tblGrid>
      <w:tr w:rsidR="005C332D" w14:paraId="518B82C1" w14:textId="77777777">
        <w:tc>
          <w:tcPr>
            <w:tcW w:w="50" w:type="pct"/>
            <w:shd w:val="clear" w:color="auto" w:fill="auto"/>
            <w:vAlign w:val="bottom"/>
          </w:tcPr>
          <w:p w14:paraId="518B82BB" w14:textId="77777777" w:rsidR="005C332D" w:rsidRDefault="005C332D">
            <w:pPr>
              <w:rPr>
                <w:rFonts w:ascii="宋体"/>
              </w:rPr>
            </w:pPr>
          </w:p>
        </w:tc>
        <w:tc>
          <w:tcPr>
            <w:tcW w:w="544" w:type="pct"/>
            <w:shd w:val="clear" w:color="auto" w:fill="auto"/>
            <w:vAlign w:val="bottom"/>
          </w:tcPr>
          <w:p w14:paraId="518B82BC" w14:textId="77777777" w:rsidR="005C332D" w:rsidRDefault="005C332D">
            <w:pPr>
              <w:rPr>
                <w:rFonts w:ascii="宋体"/>
              </w:rPr>
            </w:pPr>
          </w:p>
        </w:tc>
        <w:tc>
          <w:tcPr>
            <w:tcW w:w="5" w:type="pct"/>
            <w:shd w:val="clear" w:color="auto" w:fill="auto"/>
            <w:vAlign w:val="bottom"/>
          </w:tcPr>
          <w:p w14:paraId="518B82BD" w14:textId="77777777" w:rsidR="005C332D" w:rsidRDefault="005C332D">
            <w:pPr>
              <w:rPr>
                <w:rFonts w:ascii="宋体"/>
              </w:rPr>
            </w:pPr>
          </w:p>
        </w:tc>
        <w:tc>
          <w:tcPr>
            <w:tcW w:w="50" w:type="pct"/>
            <w:shd w:val="clear" w:color="auto" w:fill="auto"/>
            <w:vAlign w:val="bottom"/>
          </w:tcPr>
          <w:p w14:paraId="518B82BE" w14:textId="77777777" w:rsidR="005C332D" w:rsidRDefault="005C332D">
            <w:pPr>
              <w:rPr>
                <w:rFonts w:ascii="宋体"/>
              </w:rPr>
            </w:pPr>
          </w:p>
        </w:tc>
        <w:tc>
          <w:tcPr>
            <w:tcW w:w="4345" w:type="pct"/>
            <w:shd w:val="clear" w:color="auto" w:fill="auto"/>
            <w:vAlign w:val="bottom"/>
          </w:tcPr>
          <w:p w14:paraId="518B82BF" w14:textId="77777777" w:rsidR="005C332D" w:rsidRDefault="005C332D">
            <w:pPr>
              <w:rPr>
                <w:rFonts w:ascii="宋体"/>
              </w:rPr>
            </w:pPr>
          </w:p>
        </w:tc>
        <w:tc>
          <w:tcPr>
            <w:tcW w:w="5" w:type="pct"/>
            <w:shd w:val="clear" w:color="auto" w:fill="auto"/>
            <w:vAlign w:val="bottom"/>
          </w:tcPr>
          <w:p w14:paraId="518B82C0" w14:textId="77777777" w:rsidR="005C332D" w:rsidRDefault="005C332D">
            <w:pPr>
              <w:rPr>
                <w:rFonts w:ascii="宋体"/>
              </w:rPr>
            </w:pPr>
          </w:p>
        </w:tc>
      </w:tr>
      <w:tr w:rsidR="005C332D" w14:paraId="518B82C4" w14:textId="77777777">
        <w:tc>
          <w:tcPr>
            <w:tcW w:w="0" w:type="auto"/>
            <w:gridSpan w:val="3"/>
            <w:shd w:val="clear" w:color="auto" w:fill="auto"/>
            <w:tcMar>
              <w:top w:w="40" w:type="dxa"/>
              <w:left w:w="20" w:type="dxa"/>
              <w:bottom w:w="40" w:type="dxa"/>
              <w:right w:w="20" w:type="dxa"/>
            </w:tcMar>
          </w:tcPr>
          <w:p w14:paraId="518B82C2" w14:textId="77777777" w:rsidR="005C332D" w:rsidRDefault="00B93EAE">
            <w:pPr>
              <w:textAlignment w:val="top"/>
            </w:pPr>
            <w:r>
              <w:rPr>
                <w:rFonts w:ascii="Times New Roman" w:eastAsia="宋体" w:hAnsi="Times New Roman"/>
                <w:b/>
                <w:bCs/>
                <w:color w:val="000000"/>
                <w:sz w:val="20"/>
                <w:szCs w:val="20"/>
              </w:rPr>
              <w:t>Item 12.</w:t>
            </w:r>
          </w:p>
        </w:tc>
        <w:tc>
          <w:tcPr>
            <w:tcW w:w="0" w:type="auto"/>
            <w:gridSpan w:val="3"/>
            <w:shd w:val="clear" w:color="auto" w:fill="auto"/>
            <w:tcMar>
              <w:top w:w="40" w:type="dxa"/>
              <w:left w:w="20" w:type="dxa"/>
              <w:bottom w:w="40" w:type="dxa"/>
              <w:right w:w="20" w:type="dxa"/>
            </w:tcMar>
          </w:tcPr>
          <w:p w14:paraId="518B82C3" w14:textId="77777777" w:rsidR="005C332D" w:rsidRDefault="00B93EAE">
            <w:pPr>
              <w:textAlignment w:val="top"/>
            </w:pPr>
            <w:r>
              <w:rPr>
                <w:rFonts w:ascii="Times New Roman" w:eastAsia="宋体" w:hAnsi="Times New Roman"/>
                <w:b/>
                <w:bCs/>
                <w:color w:val="000000"/>
                <w:sz w:val="20"/>
                <w:szCs w:val="20"/>
              </w:rPr>
              <w:t xml:space="preserve">Security Ownership of Certain Beneficial </w:t>
            </w:r>
            <w:r>
              <w:rPr>
                <w:rFonts w:ascii="Times New Roman" w:eastAsia="宋体" w:hAnsi="Times New Roman"/>
                <w:b/>
                <w:bCs/>
                <w:color w:val="000000"/>
                <w:sz w:val="20"/>
                <w:szCs w:val="20"/>
              </w:rPr>
              <w:t>Owners and Management and Related Stockholder Matters</w:t>
            </w:r>
          </w:p>
        </w:tc>
      </w:tr>
    </w:tbl>
    <w:p w14:paraId="518B82C5" w14:textId="77777777" w:rsidR="005C332D" w:rsidRDefault="00B93EAE">
      <w:pPr>
        <w:spacing w:after="120"/>
        <w:ind w:firstLine="450"/>
        <w:jc w:val="both"/>
      </w:pPr>
      <w:r>
        <w:rPr>
          <w:rFonts w:ascii="Times New Roman" w:eastAsia="宋体" w:hAnsi="Times New Roman"/>
          <w:color w:val="000000"/>
          <w:sz w:val="20"/>
          <w:szCs w:val="20"/>
        </w:rPr>
        <w:t>The information required by this item is included in our Proxy Statement and is incorporated herein by reference.</w:t>
      </w:r>
    </w:p>
    <w:tbl>
      <w:tblPr>
        <w:tblW w:w="3823" w:type="pct"/>
        <w:tblCellMar>
          <w:top w:w="15" w:type="dxa"/>
          <w:left w:w="15" w:type="dxa"/>
          <w:bottom w:w="15" w:type="dxa"/>
          <w:right w:w="15" w:type="dxa"/>
        </w:tblCellMar>
        <w:tblLook w:val="04A0" w:firstRow="1" w:lastRow="0" w:firstColumn="1" w:lastColumn="0" w:noHBand="0" w:noVBand="1"/>
      </w:tblPr>
      <w:tblGrid>
        <w:gridCol w:w="49"/>
        <w:gridCol w:w="889"/>
        <w:gridCol w:w="36"/>
        <w:gridCol w:w="49"/>
        <w:gridCol w:w="5315"/>
        <w:gridCol w:w="36"/>
      </w:tblGrid>
      <w:tr w:rsidR="005C332D" w14:paraId="518B82CC" w14:textId="77777777">
        <w:tc>
          <w:tcPr>
            <w:tcW w:w="50" w:type="pct"/>
            <w:shd w:val="clear" w:color="auto" w:fill="auto"/>
            <w:vAlign w:val="bottom"/>
          </w:tcPr>
          <w:p w14:paraId="518B82C6" w14:textId="77777777" w:rsidR="005C332D" w:rsidRDefault="005C332D">
            <w:pPr>
              <w:rPr>
                <w:rFonts w:ascii="宋体"/>
              </w:rPr>
            </w:pPr>
          </w:p>
        </w:tc>
        <w:tc>
          <w:tcPr>
            <w:tcW w:w="709" w:type="pct"/>
            <w:shd w:val="clear" w:color="auto" w:fill="auto"/>
            <w:vAlign w:val="bottom"/>
          </w:tcPr>
          <w:p w14:paraId="518B82C7" w14:textId="77777777" w:rsidR="005C332D" w:rsidRDefault="005C332D">
            <w:pPr>
              <w:rPr>
                <w:rFonts w:ascii="宋体"/>
              </w:rPr>
            </w:pPr>
          </w:p>
        </w:tc>
        <w:tc>
          <w:tcPr>
            <w:tcW w:w="5" w:type="pct"/>
            <w:shd w:val="clear" w:color="auto" w:fill="auto"/>
            <w:vAlign w:val="bottom"/>
          </w:tcPr>
          <w:p w14:paraId="518B82C8" w14:textId="77777777" w:rsidR="005C332D" w:rsidRDefault="005C332D">
            <w:pPr>
              <w:rPr>
                <w:rFonts w:ascii="宋体"/>
              </w:rPr>
            </w:pPr>
          </w:p>
        </w:tc>
        <w:tc>
          <w:tcPr>
            <w:tcW w:w="50" w:type="pct"/>
            <w:shd w:val="clear" w:color="auto" w:fill="auto"/>
            <w:vAlign w:val="bottom"/>
          </w:tcPr>
          <w:p w14:paraId="518B82C9" w14:textId="77777777" w:rsidR="005C332D" w:rsidRDefault="005C332D">
            <w:pPr>
              <w:rPr>
                <w:rFonts w:ascii="宋体"/>
              </w:rPr>
            </w:pPr>
          </w:p>
        </w:tc>
        <w:tc>
          <w:tcPr>
            <w:tcW w:w="4180" w:type="pct"/>
            <w:shd w:val="clear" w:color="auto" w:fill="auto"/>
            <w:vAlign w:val="bottom"/>
          </w:tcPr>
          <w:p w14:paraId="518B82CA" w14:textId="77777777" w:rsidR="005C332D" w:rsidRDefault="005C332D">
            <w:pPr>
              <w:rPr>
                <w:rFonts w:ascii="宋体"/>
              </w:rPr>
            </w:pPr>
          </w:p>
        </w:tc>
        <w:tc>
          <w:tcPr>
            <w:tcW w:w="5" w:type="pct"/>
            <w:shd w:val="clear" w:color="auto" w:fill="auto"/>
            <w:vAlign w:val="bottom"/>
          </w:tcPr>
          <w:p w14:paraId="518B82CB" w14:textId="77777777" w:rsidR="005C332D" w:rsidRDefault="005C332D">
            <w:pPr>
              <w:rPr>
                <w:rFonts w:ascii="宋体"/>
              </w:rPr>
            </w:pPr>
          </w:p>
        </w:tc>
      </w:tr>
      <w:tr w:rsidR="005C332D" w14:paraId="518B82CF" w14:textId="77777777">
        <w:tc>
          <w:tcPr>
            <w:tcW w:w="0" w:type="auto"/>
            <w:gridSpan w:val="3"/>
            <w:shd w:val="clear" w:color="auto" w:fill="auto"/>
            <w:tcMar>
              <w:top w:w="40" w:type="dxa"/>
              <w:left w:w="20" w:type="dxa"/>
              <w:bottom w:w="40" w:type="dxa"/>
              <w:right w:w="20" w:type="dxa"/>
            </w:tcMar>
          </w:tcPr>
          <w:p w14:paraId="518B82CD" w14:textId="77777777" w:rsidR="005C332D" w:rsidRDefault="00B93EAE">
            <w:pPr>
              <w:textAlignment w:val="top"/>
            </w:pPr>
            <w:r>
              <w:rPr>
                <w:rFonts w:ascii="Times New Roman" w:eastAsia="宋体" w:hAnsi="Times New Roman"/>
                <w:b/>
                <w:bCs/>
                <w:color w:val="000000"/>
                <w:sz w:val="20"/>
                <w:szCs w:val="20"/>
              </w:rPr>
              <w:t>Item 13.</w:t>
            </w:r>
          </w:p>
        </w:tc>
        <w:tc>
          <w:tcPr>
            <w:tcW w:w="0" w:type="auto"/>
            <w:gridSpan w:val="3"/>
            <w:shd w:val="clear" w:color="auto" w:fill="auto"/>
            <w:tcMar>
              <w:top w:w="40" w:type="dxa"/>
              <w:left w:w="20" w:type="dxa"/>
              <w:bottom w:w="40" w:type="dxa"/>
              <w:right w:w="20" w:type="dxa"/>
            </w:tcMar>
          </w:tcPr>
          <w:p w14:paraId="518B82CE" w14:textId="77777777" w:rsidR="005C332D" w:rsidRDefault="00B93EAE">
            <w:pPr>
              <w:textAlignment w:val="top"/>
            </w:pPr>
            <w:r>
              <w:rPr>
                <w:rFonts w:ascii="Times New Roman" w:eastAsia="宋体" w:hAnsi="Times New Roman"/>
                <w:b/>
                <w:bCs/>
                <w:color w:val="000000"/>
                <w:sz w:val="20"/>
                <w:szCs w:val="20"/>
              </w:rPr>
              <w:t xml:space="preserve">Certain Relationships and Related Transactions, and Director </w:t>
            </w:r>
            <w:r>
              <w:rPr>
                <w:rFonts w:ascii="Times New Roman" w:eastAsia="宋体" w:hAnsi="Times New Roman"/>
                <w:b/>
                <w:bCs/>
                <w:color w:val="000000"/>
                <w:sz w:val="20"/>
                <w:szCs w:val="20"/>
              </w:rPr>
              <w:t>Independence</w:t>
            </w:r>
          </w:p>
        </w:tc>
      </w:tr>
    </w:tbl>
    <w:p w14:paraId="518B82D0" w14:textId="77777777" w:rsidR="005C332D" w:rsidRDefault="00B93EAE">
      <w:pPr>
        <w:ind w:firstLine="450"/>
        <w:jc w:val="both"/>
      </w:pPr>
      <w:r>
        <w:rPr>
          <w:rFonts w:ascii="Times New Roman" w:eastAsia="宋体" w:hAnsi="Times New Roman"/>
          <w:color w:val="000000"/>
          <w:sz w:val="20"/>
          <w:szCs w:val="20"/>
        </w:rPr>
        <w:t>The information required by this item is included in our Proxy Statement and is incorporated herein by reference.</w:t>
      </w:r>
    </w:p>
    <w:p w14:paraId="518B82D1" w14:textId="77777777" w:rsidR="005C332D" w:rsidRDefault="005C332D">
      <w:pPr>
        <w:ind w:firstLine="450"/>
        <w:jc w:val="both"/>
      </w:pPr>
    </w:p>
    <w:tbl>
      <w:tblPr>
        <w:tblW w:w="2288"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2768"/>
        <w:gridCol w:w="36"/>
      </w:tblGrid>
      <w:tr w:rsidR="005C332D" w14:paraId="518B82D8" w14:textId="77777777">
        <w:tc>
          <w:tcPr>
            <w:tcW w:w="50" w:type="pct"/>
            <w:shd w:val="clear" w:color="auto" w:fill="auto"/>
            <w:vAlign w:val="bottom"/>
          </w:tcPr>
          <w:p w14:paraId="518B82D2" w14:textId="77777777" w:rsidR="005C332D" w:rsidRDefault="005C332D">
            <w:pPr>
              <w:rPr>
                <w:rFonts w:ascii="宋体"/>
              </w:rPr>
            </w:pPr>
          </w:p>
        </w:tc>
        <w:tc>
          <w:tcPr>
            <w:tcW w:w="1222" w:type="pct"/>
            <w:shd w:val="clear" w:color="auto" w:fill="auto"/>
            <w:vAlign w:val="bottom"/>
          </w:tcPr>
          <w:p w14:paraId="518B82D3" w14:textId="77777777" w:rsidR="005C332D" w:rsidRDefault="005C332D">
            <w:pPr>
              <w:rPr>
                <w:rFonts w:ascii="宋体"/>
              </w:rPr>
            </w:pPr>
          </w:p>
        </w:tc>
        <w:tc>
          <w:tcPr>
            <w:tcW w:w="5" w:type="pct"/>
            <w:shd w:val="clear" w:color="auto" w:fill="auto"/>
            <w:vAlign w:val="bottom"/>
          </w:tcPr>
          <w:p w14:paraId="518B82D4" w14:textId="77777777" w:rsidR="005C332D" w:rsidRDefault="005C332D">
            <w:pPr>
              <w:rPr>
                <w:rFonts w:ascii="宋体"/>
              </w:rPr>
            </w:pPr>
          </w:p>
        </w:tc>
        <w:tc>
          <w:tcPr>
            <w:tcW w:w="50" w:type="pct"/>
            <w:shd w:val="clear" w:color="auto" w:fill="auto"/>
            <w:vAlign w:val="bottom"/>
          </w:tcPr>
          <w:p w14:paraId="518B82D5" w14:textId="77777777" w:rsidR="005C332D" w:rsidRDefault="005C332D">
            <w:pPr>
              <w:rPr>
                <w:rFonts w:ascii="宋体"/>
              </w:rPr>
            </w:pPr>
          </w:p>
        </w:tc>
        <w:tc>
          <w:tcPr>
            <w:tcW w:w="3667" w:type="pct"/>
            <w:shd w:val="clear" w:color="auto" w:fill="auto"/>
            <w:vAlign w:val="bottom"/>
          </w:tcPr>
          <w:p w14:paraId="518B82D6" w14:textId="77777777" w:rsidR="005C332D" w:rsidRDefault="005C332D">
            <w:pPr>
              <w:rPr>
                <w:rFonts w:ascii="宋体"/>
              </w:rPr>
            </w:pPr>
          </w:p>
        </w:tc>
        <w:tc>
          <w:tcPr>
            <w:tcW w:w="5" w:type="pct"/>
            <w:shd w:val="clear" w:color="auto" w:fill="auto"/>
            <w:vAlign w:val="bottom"/>
          </w:tcPr>
          <w:p w14:paraId="518B82D7" w14:textId="77777777" w:rsidR="005C332D" w:rsidRDefault="005C332D">
            <w:pPr>
              <w:rPr>
                <w:rFonts w:ascii="宋体"/>
              </w:rPr>
            </w:pPr>
          </w:p>
        </w:tc>
      </w:tr>
      <w:tr w:rsidR="005C332D" w14:paraId="518B82DB" w14:textId="77777777">
        <w:tc>
          <w:tcPr>
            <w:tcW w:w="0" w:type="auto"/>
            <w:gridSpan w:val="3"/>
            <w:shd w:val="clear" w:color="auto" w:fill="auto"/>
            <w:tcMar>
              <w:top w:w="40" w:type="dxa"/>
              <w:left w:w="20" w:type="dxa"/>
              <w:bottom w:w="40" w:type="dxa"/>
              <w:right w:w="20" w:type="dxa"/>
            </w:tcMar>
          </w:tcPr>
          <w:p w14:paraId="518B82D9" w14:textId="77777777" w:rsidR="005C332D" w:rsidRDefault="00B93EAE">
            <w:pPr>
              <w:textAlignment w:val="top"/>
            </w:pPr>
            <w:r>
              <w:rPr>
                <w:rFonts w:ascii="Times New Roman" w:eastAsia="宋体" w:hAnsi="Times New Roman"/>
                <w:b/>
                <w:bCs/>
                <w:color w:val="000000"/>
                <w:sz w:val="20"/>
                <w:szCs w:val="20"/>
              </w:rPr>
              <w:t>Item 14.</w:t>
            </w:r>
          </w:p>
        </w:tc>
        <w:tc>
          <w:tcPr>
            <w:tcW w:w="0" w:type="auto"/>
            <w:gridSpan w:val="3"/>
            <w:shd w:val="clear" w:color="auto" w:fill="auto"/>
            <w:tcMar>
              <w:top w:w="40" w:type="dxa"/>
              <w:left w:w="20" w:type="dxa"/>
              <w:bottom w:w="40" w:type="dxa"/>
              <w:right w:w="20" w:type="dxa"/>
            </w:tcMar>
          </w:tcPr>
          <w:p w14:paraId="518B82DA" w14:textId="77777777" w:rsidR="005C332D" w:rsidRDefault="00B93EAE">
            <w:pPr>
              <w:textAlignment w:val="top"/>
            </w:pPr>
            <w:r>
              <w:rPr>
                <w:rFonts w:ascii="Times New Roman" w:eastAsia="宋体" w:hAnsi="Times New Roman"/>
                <w:b/>
                <w:bCs/>
                <w:color w:val="000000"/>
                <w:sz w:val="20"/>
                <w:szCs w:val="20"/>
              </w:rPr>
              <w:t>Principal Accountant Fees and Services</w:t>
            </w:r>
          </w:p>
        </w:tc>
      </w:tr>
    </w:tbl>
    <w:p w14:paraId="518B82DC" w14:textId="77777777" w:rsidR="005C332D" w:rsidRDefault="00B93EAE">
      <w:pPr>
        <w:ind w:firstLine="450"/>
        <w:jc w:val="both"/>
      </w:pPr>
      <w:r>
        <w:rPr>
          <w:rFonts w:ascii="Times New Roman" w:eastAsia="宋体" w:hAnsi="Times New Roman"/>
          <w:color w:val="000000"/>
          <w:sz w:val="20"/>
          <w:szCs w:val="20"/>
        </w:rPr>
        <w:t xml:space="preserve">The information required by this item is included in our Proxy </w:t>
      </w:r>
      <w:r>
        <w:rPr>
          <w:rFonts w:ascii="Times New Roman" w:eastAsia="宋体" w:hAnsi="Times New Roman"/>
          <w:color w:val="000000"/>
          <w:sz w:val="20"/>
          <w:szCs w:val="20"/>
        </w:rPr>
        <w:t>Statement and is incorporated herein by reference.</w:t>
      </w:r>
    </w:p>
    <w:p w14:paraId="518B82DD" w14:textId="77777777" w:rsidR="005C332D" w:rsidRDefault="00B93EAE">
      <w:pPr>
        <w:spacing w:before="180"/>
        <w:jc w:val="center"/>
      </w:pPr>
      <w:r>
        <w:rPr>
          <w:rFonts w:ascii="Times New Roman" w:eastAsia="宋体" w:hAnsi="Times New Roman"/>
          <w:b/>
          <w:bCs/>
          <w:color w:val="000000"/>
          <w:sz w:val="20"/>
          <w:szCs w:val="20"/>
        </w:rPr>
        <w:t>PART IV</w:t>
      </w:r>
    </w:p>
    <w:tbl>
      <w:tblPr>
        <w:tblW w:w="2478"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3084"/>
        <w:gridCol w:w="36"/>
      </w:tblGrid>
      <w:tr w:rsidR="005C332D" w14:paraId="518B82E4" w14:textId="77777777">
        <w:tc>
          <w:tcPr>
            <w:tcW w:w="50" w:type="pct"/>
            <w:shd w:val="clear" w:color="auto" w:fill="auto"/>
            <w:vAlign w:val="bottom"/>
          </w:tcPr>
          <w:p w14:paraId="518B82DE" w14:textId="77777777" w:rsidR="005C332D" w:rsidRDefault="005C332D">
            <w:pPr>
              <w:rPr>
                <w:rFonts w:ascii="宋体"/>
              </w:rPr>
            </w:pPr>
          </w:p>
        </w:tc>
        <w:tc>
          <w:tcPr>
            <w:tcW w:w="1124" w:type="pct"/>
            <w:shd w:val="clear" w:color="auto" w:fill="auto"/>
            <w:vAlign w:val="bottom"/>
          </w:tcPr>
          <w:p w14:paraId="518B82DF" w14:textId="77777777" w:rsidR="005C332D" w:rsidRDefault="005C332D">
            <w:pPr>
              <w:rPr>
                <w:rFonts w:ascii="宋体"/>
              </w:rPr>
            </w:pPr>
          </w:p>
        </w:tc>
        <w:tc>
          <w:tcPr>
            <w:tcW w:w="5" w:type="pct"/>
            <w:shd w:val="clear" w:color="auto" w:fill="auto"/>
            <w:vAlign w:val="bottom"/>
          </w:tcPr>
          <w:p w14:paraId="518B82E0" w14:textId="77777777" w:rsidR="005C332D" w:rsidRDefault="005C332D">
            <w:pPr>
              <w:rPr>
                <w:rFonts w:ascii="宋体"/>
              </w:rPr>
            </w:pPr>
          </w:p>
        </w:tc>
        <w:tc>
          <w:tcPr>
            <w:tcW w:w="50" w:type="pct"/>
            <w:shd w:val="clear" w:color="auto" w:fill="auto"/>
            <w:vAlign w:val="bottom"/>
          </w:tcPr>
          <w:p w14:paraId="518B82E1" w14:textId="77777777" w:rsidR="005C332D" w:rsidRDefault="005C332D">
            <w:pPr>
              <w:rPr>
                <w:rFonts w:ascii="宋体"/>
              </w:rPr>
            </w:pPr>
          </w:p>
        </w:tc>
        <w:tc>
          <w:tcPr>
            <w:tcW w:w="3765" w:type="pct"/>
            <w:shd w:val="clear" w:color="auto" w:fill="auto"/>
            <w:vAlign w:val="bottom"/>
          </w:tcPr>
          <w:p w14:paraId="518B82E2" w14:textId="77777777" w:rsidR="005C332D" w:rsidRDefault="005C332D">
            <w:pPr>
              <w:rPr>
                <w:rFonts w:ascii="宋体"/>
              </w:rPr>
            </w:pPr>
          </w:p>
        </w:tc>
        <w:tc>
          <w:tcPr>
            <w:tcW w:w="5" w:type="pct"/>
            <w:shd w:val="clear" w:color="auto" w:fill="auto"/>
            <w:vAlign w:val="bottom"/>
          </w:tcPr>
          <w:p w14:paraId="518B82E3" w14:textId="77777777" w:rsidR="005C332D" w:rsidRDefault="005C332D">
            <w:pPr>
              <w:rPr>
                <w:rFonts w:ascii="宋体"/>
              </w:rPr>
            </w:pPr>
          </w:p>
        </w:tc>
      </w:tr>
      <w:tr w:rsidR="005C332D" w14:paraId="518B82E7" w14:textId="77777777">
        <w:tc>
          <w:tcPr>
            <w:tcW w:w="0" w:type="auto"/>
            <w:gridSpan w:val="3"/>
            <w:shd w:val="clear" w:color="auto" w:fill="auto"/>
            <w:tcMar>
              <w:top w:w="40" w:type="dxa"/>
              <w:left w:w="20" w:type="dxa"/>
              <w:bottom w:w="40" w:type="dxa"/>
              <w:right w:w="20" w:type="dxa"/>
            </w:tcMar>
          </w:tcPr>
          <w:p w14:paraId="518B82E5" w14:textId="77777777" w:rsidR="005C332D" w:rsidRDefault="00B93EAE">
            <w:pPr>
              <w:textAlignment w:val="top"/>
            </w:pPr>
            <w:r>
              <w:rPr>
                <w:rFonts w:ascii="Times New Roman" w:eastAsia="宋体" w:hAnsi="Times New Roman"/>
                <w:b/>
                <w:bCs/>
                <w:color w:val="000000"/>
                <w:sz w:val="20"/>
                <w:szCs w:val="20"/>
              </w:rPr>
              <w:t>Item 15.</w:t>
            </w:r>
          </w:p>
        </w:tc>
        <w:tc>
          <w:tcPr>
            <w:tcW w:w="0" w:type="auto"/>
            <w:gridSpan w:val="3"/>
            <w:shd w:val="clear" w:color="auto" w:fill="auto"/>
            <w:tcMar>
              <w:top w:w="40" w:type="dxa"/>
              <w:left w:w="20" w:type="dxa"/>
              <w:bottom w:w="40" w:type="dxa"/>
              <w:right w:w="20" w:type="dxa"/>
            </w:tcMar>
          </w:tcPr>
          <w:p w14:paraId="518B82E6" w14:textId="77777777" w:rsidR="005C332D" w:rsidRDefault="00B93EAE">
            <w:pPr>
              <w:textAlignment w:val="top"/>
            </w:pPr>
            <w:r>
              <w:rPr>
                <w:rFonts w:ascii="Times New Roman" w:eastAsia="宋体" w:hAnsi="Times New Roman"/>
                <w:b/>
                <w:bCs/>
                <w:color w:val="000000"/>
                <w:sz w:val="20"/>
                <w:szCs w:val="20"/>
              </w:rPr>
              <w:t>Exhibits and Financial Statement Schedules</w:t>
            </w:r>
          </w:p>
        </w:tc>
      </w:tr>
    </w:tbl>
    <w:p w14:paraId="518B82E8" w14:textId="77777777" w:rsidR="005C332D" w:rsidRDefault="00B93EAE">
      <w:pPr>
        <w:spacing w:before="120"/>
        <w:ind w:hanging="360"/>
      </w:pPr>
      <w:r>
        <w:rPr>
          <w:rFonts w:ascii="Times New Roman" w:eastAsia="宋体" w:hAnsi="Times New Roman"/>
          <w:color w:val="000000"/>
          <w:sz w:val="20"/>
          <w:szCs w:val="20"/>
        </w:rPr>
        <w:t>(a)1.    Financial Statements</w:t>
      </w:r>
    </w:p>
    <w:p w14:paraId="518B82E9" w14:textId="77777777" w:rsidR="005C332D" w:rsidRDefault="00B93EAE">
      <w:r>
        <w:rPr>
          <w:rFonts w:ascii="Times New Roman" w:eastAsia="宋体" w:hAnsi="Times New Roman"/>
          <w:color w:val="000000"/>
          <w:sz w:val="20"/>
          <w:szCs w:val="20"/>
        </w:rPr>
        <w:t>See the “Index to Consolidated Financial Statements” on page 55 of this report.</w:t>
      </w:r>
    </w:p>
    <w:p w14:paraId="518B82EA" w14:textId="77777777" w:rsidR="005C332D" w:rsidRDefault="005C332D"/>
    <w:p w14:paraId="518B82EB" w14:textId="77777777" w:rsidR="005C332D" w:rsidRDefault="00B93EAE">
      <w:pPr>
        <w:ind w:hanging="540"/>
      </w:pPr>
      <w:r>
        <w:rPr>
          <w:rFonts w:ascii="Times New Roman" w:eastAsia="宋体" w:hAnsi="Times New Roman"/>
          <w:color w:val="000000"/>
          <w:sz w:val="20"/>
          <w:szCs w:val="20"/>
        </w:rPr>
        <w:t xml:space="preserve">2.Financial </w:t>
      </w:r>
      <w:r>
        <w:rPr>
          <w:rFonts w:ascii="Times New Roman" w:eastAsia="宋体" w:hAnsi="Times New Roman"/>
          <w:color w:val="000000"/>
          <w:sz w:val="20"/>
          <w:szCs w:val="20"/>
        </w:rPr>
        <w:t>Statement Schedule</w:t>
      </w:r>
    </w:p>
    <w:p w14:paraId="518B82EC" w14:textId="77777777" w:rsidR="005C332D" w:rsidRDefault="00B93EAE">
      <w:r>
        <w:rPr>
          <w:rFonts w:ascii="Times New Roman" w:eastAsia="宋体" w:hAnsi="Times New Roman"/>
          <w:color w:val="000000"/>
          <w:sz w:val="20"/>
          <w:szCs w:val="20"/>
        </w:rPr>
        <w:t>All financial statement schedules have been omitted, since the required information is not applicable or is shown in the financial statements or notes herein.</w:t>
      </w:r>
    </w:p>
    <w:p w14:paraId="518B82ED" w14:textId="77777777" w:rsidR="005C332D" w:rsidRDefault="005C332D"/>
    <w:p w14:paraId="518B82EE" w14:textId="77777777" w:rsidR="005C332D" w:rsidRDefault="00B93EAE">
      <w:pPr>
        <w:ind w:hanging="540"/>
      </w:pPr>
      <w:r>
        <w:rPr>
          <w:rFonts w:ascii="Times New Roman" w:eastAsia="宋体" w:hAnsi="Times New Roman"/>
          <w:color w:val="000000"/>
          <w:sz w:val="20"/>
          <w:szCs w:val="20"/>
        </w:rPr>
        <w:t>3.Exhibits</w:t>
      </w:r>
    </w:p>
    <w:p w14:paraId="518B82EF" w14:textId="77777777" w:rsidR="005C332D" w:rsidRDefault="00B93EAE">
      <w:r>
        <w:rPr>
          <w:rFonts w:ascii="Times New Roman" w:eastAsia="宋体" w:hAnsi="Times New Roman"/>
          <w:color w:val="000000"/>
          <w:sz w:val="20"/>
          <w:szCs w:val="20"/>
        </w:rPr>
        <w:t>See the “Index to Exhibits” beginning on page 105 of this report.</w:t>
      </w:r>
    </w:p>
    <w:p w14:paraId="518B82F0" w14:textId="77777777" w:rsidR="005C332D" w:rsidRDefault="005C332D"/>
    <w:p w14:paraId="518B82F1" w14:textId="77777777" w:rsidR="005C332D" w:rsidRDefault="00B93EAE">
      <w:pPr>
        <w:jc w:val="center"/>
      </w:pPr>
      <w:r>
        <w:rPr>
          <w:rFonts w:ascii="Times New Roman" w:eastAsia="宋体" w:hAnsi="Times New Roman"/>
          <w:color w:val="000000"/>
          <w:sz w:val="20"/>
          <w:szCs w:val="20"/>
        </w:rPr>
        <w:t>104</w:t>
      </w:r>
    </w:p>
    <w:p w14:paraId="518B82F2" w14:textId="77777777" w:rsidR="005C332D" w:rsidRDefault="00B93EAE">
      <w:r>
        <w:pict w14:anchorId="518B877D">
          <v:rect id="_x0000_i1130" style="width:415.3pt;height:1.5pt" o:hralign="center" o:hrstd="t" o:hr="t" fillcolor="#a0a0a0" stroked="f"/>
        </w:pict>
      </w:r>
    </w:p>
    <w:p w14:paraId="518B82F3" w14:textId="77777777" w:rsidR="005C332D" w:rsidRDefault="005C332D"/>
    <w:p w14:paraId="518B82F4" w14:textId="77777777" w:rsidR="005C332D" w:rsidRDefault="00B93EAE">
      <w:pPr>
        <w:jc w:val="center"/>
      </w:pPr>
      <w:r>
        <w:rPr>
          <w:rFonts w:ascii="Times New Roman" w:eastAsia="宋体" w:hAnsi="Times New Roman"/>
          <w:b/>
          <w:bCs/>
          <w:color w:val="000000"/>
          <w:sz w:val="20"/>
          <w:szCs w:val="20"/>
        </w:rPr>
        <w:t>INDEX TO EXHIBITS</w:t>
      </w:r>
    </w:p>
    <w:p w14:paraId="518B82F5" w14:textId="77777777" w:rsidR="005C332D" w:rsidRDefault="00B93EAE">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70"/>
        <w:gridCol w:w="604"/>
        <w:gridCol w:w="36"/>
        <w:gridCol w:w="36"/>
        <w:gridCol w:w="36"/>
        <w:gridCol w:w="36"/>
        <w:gridCol w:w="39"/>
        <w:gridCol w:w="2842"/>
        <w:gridCol w:w="38"/>
        <w:gridCol w:w="36"/>
        <w:gridCol w:w="36"/>
        <w:gridCol w:w="36"/>
        <w:gridCol w:w="94"/>
        <w:gridCol w:w="582"/>
        <w:gridCol w:w="37"/>
        <w:gridCol w:w="37"/>
        <w:gridCol w:w="37"/>
        <w:gridCol w:w="37"/>
        <w:gridCol w:w="93"/>
        <w:gridCol w:w="805"/>
        <w:gridCol w:w="37"/>
        <w:gridCol w:w="37"/>
        <w:gridCol w:w="37"/>
        <w:gridCol w:w="37"/>
        <w:gridCol w:w="90"/>
        <w:gridCol w:w="513"/>
        <w:gridCol w:w="36"/>
        <w:gridCol w:w="36"/>
        <w:gridCol w:w="36"/>
        <w:gridCol w:w="36"/>
        <w:gridCol w:w="95"/>
        <w:gridCol w:w="848"/>
        <w:gridCol w:w="36"/>
        <w:gridCol w:w="36"/>
        <w:gridCol w:w="36"/>
        <w:gridCol w:w="36"/>
        <w:gridCol w:w="92"/>
        <w:gridCol w:w="659"/>
        <w:gridCol w:w="36"/>
      </w:tblGrid>
      <w:tr w:rsidR="005C332D" w14:paraId="518B831D" w14:textId="77777777">
        <w:tc>
          <w:tcPr>
            <w:tcW w:w="50" w:type="pct"/>
            <w:shd w:val="clear" w:color="auto" w:fill="auto"/>
            <w:vAlign w:val="bottom"/>
          </w:tcPr>
          <w:p w14:paraId="518B82F6" w14:textId="77777777" w:rsidR="005C332D" w:rsidRDefault="005C332D">
            <w:pPr>
              <w:rPr>
                <w:rFonts w:ascii="宋体"/>
              </w:rPr>
            </w:pPr>
          </w:p>
        </w:tc>
        <w:tc>
          <w:tcPr>
            <w:tcW w:w="434" w:type="pct"/>
            <w:shd w:val="clear" w:color="auto" w:fill="auto"/>
            <w:vAlign w:val="bottom"/>
          </w:tcPr>
          <w:p w14:paraId="518B82F7" w14:textId="77777777" w:rsidR="005C332D" w:rsidRDefault="005C332D">
            <w:pPr>
              <w:rPr>
                <w:rFonts w:ascii="宋体"/>
              </w:rPr>
            </w:pPr>
          </w:p>
        </w:tc>
        <w:tc>
          <w:tcPr>
            <w:tcW w:w="5" w:type="pct"/>
            <w:shd w:val="clear" w:color="auto" w:fill="auto"/>
            <w:vAlign w:val="bottom"/>
          </w:tcPr>
          <w:p w14:paraId="518B82F8" w14:textId="77777777" w:rsidR="005C332D" w:rsidRDefault="005C332D">
            <w:pPr>
              <w:rPr>
                <w:rFonts w:ascii="宋体"/>
              </w:rPr>
            </w:pPr>
          </w:p>
        </w:tc>
        <w:tc>
          <w:tcPr>
            <w:tcW w:w="5" w:type="pct"/>
            <w:shd w:val="clear" w:color="auto" w:fill="auto"/>
            <w:vAlign w:val="bottom"/>
          </w:tcPr>
          <w:p w14:paraId="518B82F9" w14:textId="77777777" w:rsidR="005C332D" w:rsidRDefault="005C332D">
            <w:pPr>
              <w:rPr>
                <w:rFonts w:ascii="宋体"/>
              </w:rPr>
            </w:pPr>
          </w:p>
        </w:tc>
        <w:tc>
          <w:tcPr>
            <w:tcW w:w="26" w:type="pct"/>
            <w:shd w:val="clear" w:color="auto" w:fill="auto"/>
            <w:vAlign w:val="bottom"/>
          </w:tcPr>
          <w:p w14:paraId="518B82FA" w14:textId="77777777" w:rsidR="005C332D" w:rsidRDefault="005C332D">
            <w:pPr>
              <w:rPr>
                <w:rFonts w:ascii="宋体"/>
              </w:rPr>
            </w:pPr>
          </w:p>
        </w:tc>
        <w:tc>
          <w:tcPr>
            <w:tcW w:w="5" w:type="pct"/>
            <w:shd w:val="clear" w:color="auto" w:fill="auto"/>
            <w:vAlign w:val="bottom"/>
          </w:tcPr>
          <w:p w14:paraId="518B82FB" w14:textId="77777777" w:rsidR="005C332D" w:rsidRDefault="005C332D">
            <w:pPr>
              <w:rPr>
                <w:rFonts w:ascii="宋体"/>
              </w:rPr>
            </w:pPr>
          </w:p>
        </w:tc>
        <w:tc>
          <w:tcPr>
            <w:tcW w:w="50" w:type="pct"/>
            <w:shd w:val="clear" w:color="auto" w:fill="auto"/>
            <w:vAlign w:val="bottom"/>
          </w:tcPr>
          <w:p w14:paraId="518B82FC" w14:textId="77777777" w:rsidR="005C332D" w:rsidRDefault="005C332D">
            <w:pPr>
              <w:rPr>
                <w:rFonts w:ascii="宋体"/>
              </w:rPr>
            </w:pPr>
          </w:p>
        </w:tc>
        <w:tc>
          <w:tcPr>
            <w:tcW w:w="2116" w:type="pct"/>
            <w:shd w:val="clear" w:color="auto" w:fill="auto"/>
            <w:vAlign w:val="bottom"/>
          </w:tcPr>
          <w:p w14:paraId="518B82FD" w14:textId="77777777" w:rsidR="005C332D" w:rsidRDefault="005C332D">
            <w:pPr>
              <w:rPr>
                <w:rFonts w:ascii="宋体"/>
              </w:rPr>
            </w:pPr>
          </w:p>
        </w:tc>
        <w:tc>
          <w:tcPr>
            <w:tcW w:w="5" w:type="pct"/>
            <w:shd w:val="clear" w:color="auto" w:fill="auto"/>
            <w:vAlign w:val="bottom"/>
          </w:tcPr>
          <w:p w14:paraId="518B82FE" w14:textId="77777777" w:rsidR="005C332D" w:rsidRDefault="005C332D">
            <w:pPr>
              <w:rPr>
                <w:rFonts w:ascii="宋体"/>
              </w:rPr>
            </w:pPr>
          </w:p>
        </w:tc>
        <w:tc>
          <w:tcPr>
            <w:tcW w:w="5" w:type="pct"/>
            <w:shd w:val="clear" w:color="auto" w:fill="auto"/>
            <w:vAlign w:val="bottom"/>
          </w:tcPr>
          <w:p w14:paraId="518B82FF" w14:textId="77777777" w:rsidR="005C332D" w:rsidRDefault="005C332D">
            <w:pPr>
              <w:rPr>
                <w:rFonts w:ascii="宋体"/>
              </w:rPr>
            </w:pPr>
          </w:p>
        </w:tc>
        <w:tc>
          <w:tcPr>
            <w:tcW w:w="26" w:type="pct"/>
            <w:shd w:val="clear" w:color="auto" w:fill="auto"/>
            <w:vAlign w:val="bottom"/>
          </w:tcPr>
          <w:p w14:paraId="518B8300" w14:textId="77777777" w:rsidR="005C332D" w:rsidRDefault="005C332D">
            <w:pPr>
              <w:rPr>
                <w:rFonts w:ascii="宋体"/>
              </w:rPr>
            </w:pPr>
          </w:p>
        </w:tc>
        <w:tc>
          <w:tcPr>
            <w:tcW w:w="5" w:type="pct"/>
            <w:shd w:val="clear" w:color="auto" w:fill="auto"/>
            <w:vAlign w:val="bottom"/>
          </w:tcPr>
          <w:p w14:paraId="518B8301" w14:textId="77777777" w:rsidR="005C332D" w:rsidRDefault="005C332D">
            <w:pPr>
              <w:rPr>
                <w:rFonts w:ascii="宋体"/>
              </w:rPr>
            </w:pPr>
          </w:p>
        </w:tc>
        <w:tc>
          <w:tcPr>
            <w:tcW w:w="50" w:type="pct"/>
            <w:shd w:val="clear" w:color="auto" w:fill="auto"/>
            <w:vAlign w:val="bottom"/>
          </w:tcPr>
          <w:p w14:paraId="518B8302" w14:textId="77777777" w:rsidR="005C332D" w:rsidRDefault="005C332D">
            <w:pPr>
              <w:rPr>
                <w:rFonts w:ascii="宋体"/>
              </w:rPr>
            </w:pPr>
          </w:p>
        </w:tc>
        <w:tc>
          <w:tcPr>
            <w:tcW w:w="310" w:type="pct"/>
            <w:shd w:val="clear" w:color="auto" w:fill="auto"/>
            <w:vAlign w:val="bottom"/>
          </w:tcPr>
          <w:p w14:paraId="518B8303" w14:textId="77777777" w:rsidR="005C332D" w:rsidRDefault="005C332D">
            <w:pPr>
              <w:rPr>
                <w:rFonts w:ascii="宋体"/>
              </w:rPr>
            </w:pPr>
          </w:p>
        </w:tc>
        <w:tc>
          <w:tcPr>
            <w:tcW w:w="5" w:type="pct"/>
            <w:shd w:val="clear" w:color="auto" w:fill="auto"/>
            <w:vAlign w:val="bottom"/>
          </w:tcPr>
          <w:p w14:paraId="518B8304" w14:textId="77777777" w:rsidR="005C332D" w:rsidRDefault="005C332D">
            <w:pPr>
              <w:rPr>
                <w:rFonts w:ascii="宋体"/>
              </w:rPr>
            </w:pPr>
          </w:p>
        </w:tc>
        <w:tc>
          <w:tcPr>
            <w:tcW w:w="5" w:type="pct"/>
            <w:shd w:val="clear" w:color="auto" w:fill="auto"/>
            <w:vAlign w:val="bottom"/>
          </w:tcPr>
          <w:p w14:paraId="518B8305" w14:textId="77777777" w:rsidR="005C332D" w:rsidRDefault="005C332D">
            <w:pPr>
              <w:rPr>
                <w:rFonts w:ascii="宋体"/>
              </w:rPr>
            </w:pPr>
          </w:p>
        </w:tc>
        <w:tc>
          <w:tcPr>
            <w:tcW w:w="26" w:type="pct"/>
            <w:shd w:val="clear" w:color="auto" w:fill="auto"/>
            <w:vAlign w:val="bottom"/>
          </w:tcPr>
          <w:p w14:paraId="518B8306" w14:textId="77777777" w:rsidR="005C332D" w:rsidRDefault="005C332D">
            <w:pPr>
              <w:rPr>
                <w:rFonts w:ascii="宋体"/>
              </w:rPr>
            </w:pPr>
          </w:p>
        </w:tc>
        <w:tc>
          <w:tcPr>
            <w:tcW w:w="5" w:type="pct"/>
            <w:shd w:val="clear" w:color="auto" w:fill="auto"/>
            <w:vAlign w:val="bottom"/>
          </w:tcPr>
          <w:p w14:paraId="518B8307" w14:textId="77777777" w:rsidR="005C332D" w:rsidRDefault="005C332D">
            <w:pPr>
              <w:rPr>
                <w:rFonts w:ascii="宋体"/>
              </w:rPr>
            </w:pPr>
          </w:p>
        </w:tc>
        <w:tc>
          <w:tcPr>
            <w:tcW w:w="50" w:type="pct"/>
            <w:shd w:val="clear" w:color="auto" w:fill="auto"/>
            <w:vAlign w:val="bottom"/>
          </w:tcPr>
          <w:p w14:paraId="518B8308" w14:textId="77777777" w:rsidR="005C332D" w:rsidRDefault="005C332D">
            <w:pPr>
              <w:rPr>
                <w:rFonts w:ascii="宋体"/>
              </w:rPr>
            </w:pPr>
          </w:p>
        </w:tc>
        <w:tc>
          <w:tcPr>
            <w:tcW w:w="434" w:type="pct"/>
            <w:shd w:val="clear" w:color="auto" w:fill="auto"/>
            <w:vAlign w:val="bottom"/>
          </w:tcPr>
          <w:p w14:paraId="518B8309" w14:textId="77777777" w:rsidR="005C332D" w:rsidRDefault="005C332D">
            <w:pPr>
              <w:rPr>
                <w:rFonts w:ascii="宋体"/>
              </w:rPr>
            </w:pPr>
          </w:p>
        </w:tc>
        <w:tc>
          <w:tcPr>
            <w:tcW w:w="5" w:type="pct"/>
            <w:shd w:val="clear" w:color="auto" w:fill="auto"/>
            <w:vAlign w:val="bottom"/>
          </w:tcPr>
          <w:p w14:paraId="518B830A" w14:textId="77777777" w:rsidR="005C332D" w:rsidRDefault="005C332D">
            <w:pPr>
              <w:rPr>
                <w:rFonts w:ascii="宋体"/>
              </w:rPr>
            </w:pPr>
          </w:p>
        </w:tc>
        <w:tc>
          <w:tcPr>
            <w:tcW w:w="5" w:type="pct"/>
            <w:shd w:val="clear" w:color="auto" w:fill="auto"/>
            <w:vAlign w:val="bottom"/>
          </w:tcPr>
          <w:p w14:paraId="518B830B" w14:textId="77777777" w:rsidR="005C332D" w:rsidRDefault="005C332D">
            <w:pPr>
              <w:rPr>
                <w:rFonts w:ascii="宋体"/>
              </w:rPr>
            </w:pPr>
          </w:p>
        </w:tc>
        <w:tc>
          <w:tcPr>
            <w:tcW w:w="26" w:type="pct"/>
            <w:shd w:val="clear" w:color="auto" w:fill="auto"/>
            <w:vAlign w:val="bottom"/>
          </w:tcPr>
          <w:p w14:paraId="518B830C" w14:textId="77777777" w:rsidR="005C332D" w:rsidRDefault="005C332D">
            <w:pPr>
              <w:rPr>
                <w:rFonts w:ascii="宋体"/>
              </w:rPr>
            </w:pPr>
          </w:p>
        </w:tc>
        <w:tc>
          <w:tcPr>
            <w:tcW w:w="5" w:type="pct"/>
            <w:shd w:val="clear" w:color="auto" w:fill="auto"/>
            <w:vAlign w:val="bottom"/>
          </w:tcPr>
          <w:p w14:paraId="518B830D" w14:textId="77777777" w:rsidR="005C332D" w:rsidRDefault="005C332D">
            <w:pPr>
              <w:rPr>
                <w:rFonts w:ascii="宋体"/>
              </w:rPr>
            </w:pPr>
          </w:p>
        </w:tc>
        <w:tc>
          <w:tcPr>
            <w:tcW w:w="50" w:type="pct"/>
            <w:shd w:val="clear" w:color="auto" w:fill="auto"/>
            <w:vAlign w:val="bottom"/>
          </w:tcPr>
          <w:p w14:paraId="518B830E" w14:textId="77777777" w:rsidR="005C332D" w:rsidRDefault="005C332D">
            <w:pPr>
              <w:rPr>
                <w:rFonts w:ascii="宋体"/>
              </w:rPr>
            </w:pPr>
          </w:p>
        </w:tc>
        <w:tc>
          <w:tcPr>
            <w:tcW w:w="288" w:type="pct"/>
            <w:shd w:val="clear" w:color="auto" w:fill="auto"/>
            <w:vAlign w:val="bottom"/>
          </w:tcPr>
          <w:p w14:paraId="518B830F" w14:textId="77777777" w:rsidR="005C332D" w:rsidRDefault="005C332D">
            <w:pPr>
              <w:rPr>
                <w:rFonts w:ascii="宋体"/>
              </w:rPr>
            </w:pPr>
          </w:p>
        </w:tc>
        <w:tc>
          <w:tcPr>
            <w:tcW w:w="5" w:type="pct"/>
            <w:shd w:val="clear" w:color="auto" w:fill="auto"/>
            <w:vAlign w:val="bottom"/>
          </w:tcPr>
          <w:p w14:paraId="518B8310" w14:textId="77777777" w:rsidR="005C332D" w:rsidRDefault="005C332D">
            <w:pPr>
              <w:rPr>
                <w:rFonts w:ascii="宋体"/>
              </w:rPr>
            </w:pPr>
          </w:p>
        </w:tc>
        <w:tc>
          <w:tcPr>
            <w:tcW w:w="5" w:type="pct"/>
            <w:shd w:val="clear" w:color="auto" w:fill="auto"/>
            <w:vAlign w:val="bottom"/>
          </w:tcPr>
          <w:p w14:paraId="518B8311" w14:textId="77777777" w:rsidR="005C332D" w:rsidRDefault="005C332D">
            <w:pPr>
              <w:rPr>
                <w:rFonts w:ascii="宋体"/>
              </w:rPr>
            </w:pPr>
          </w:p>
        </w:tc>
        <w:tc>
          <w:tcPr>
            <w:tcW w:w="26" w:type="pct"/>
            <w:shd w:val="clear" w:color="auto" w:fill="auto"/>
            <w:vAlign w:val="bottom"/>
          </w:tcPr>
          <w:p w14:paraId="518B8312" w14:textId="77777777" w:rsidR="005C332D" w:rsidRDefault="005C332D">
            <w:pPr>
              <w:rPr>
                <w:rFonts w:ascii="宋体"/>
              </w:rPr>
            </w:pPr>
          </w:p>
        </w:tc>
        <w:tc>
          <w:tcPr>
            <w:tcW w:w="5" w:type="pct"/>
            <w:shd w:val="clear" w:color="auto" w:fill="auto"/>
            <w:vAlign w:val="bottom"/>
          </w:tcPr>
          <w:p w14:paraId="518B8313" w14:textId="77777777" w:rsidR="005C332D" w:rsidRDefault="005C332D">
            <w:pPr>
              <w:rPr>
                <w:rFonts w:ascii="宋体"/>
              </w:rPr>
            </w:pPr>
          </w:p>
        </w:tc>
        <w:tc>
          <w:tcPr>
            <w:tcW w:w="50" w:type="pct"/>
            <w:shd w:val="clear" w:color="auto" w:fill="auto"/>
            <w:vAlign w:val="bottom"/>
          </w:tcPr>
          <w:p w14:paraId="518B8314" w14:textId="77777777" w:rsidR="005C332D" w:rsidRDefault="005C332D">
            <w:pPr>
              <w:rPr>
                <w:rFonts w:ascii="宋体"/>
              </w:rPr>
            </w:pPr>
          </w:p>
        </w:tc>
        <w:tc>
          <w:tcPr>
            <w:tcW w:w="449" w:type="pct"/>
            <w:shd w:val="clear" w:color="auto" w:fill="auto"/>
            <w:vAlign w:val="bottom"/>
          </w:tcPr>
          <w:p w14:paraId="518B8315" w14:textId="77777777" w:rsidR="005C332D" w:rsidRDefault="005C332D">
            <w:pPr>
              <w:rPr>
                <w:rFonts w:ascii="宋体"/>
              </w:rPr>
            </w:pPr>
          </w:p>
        </w:tc>
        <w:tc>
          <w:tcPr>
            <w:tcW w:w="5" w:type="pct"/>
            <w:shd w:val="clear" w:color="auto" w:fill="auto"/>
            <w:vAlign w:val="bottom"/>
          </w:tcPr>
          <w:p w14:paraId="518B8316" w14:textId="77777777" w:rsidR="005C332D" w:rsidRDefault="005C332D">
            <w:pPr>
              <w:rPr>
                <w:rFonts w:ascii="宋体"/>
              </w:rPr>
            </w:pPr>
          </w:p>
        </w:tc>
        <w:tc>
          <w:tcPr>
            <w:tcW w:w="5" w:type="pct"/>
            <w:shd w:val="clear" w:color="auto" w:fill="auto"/>
            <w:vAlign w:val="bottom"/>
          </w:tcPr>
          <w:p w14:paraId="518B8317" w14:textId="77777777" w:rsidR="005C332D" w:rsidRDefault="005C332D">
            <w:pPr>
              <w:rPr>
                <w:rFonts w:ascii="宋体"/>
              </w:rPr>
            </w:pPr>
          </w:p>
        </w:tc>
        <w:tc>
          <w:tcPr>
            <w:tcW w:w="26" w:type="pct"/>
            <w:shd w:val="clear" w:color="auto" w:fill="auto"/>
            <w:vAlign w:val="bottom"/>
          </w:tcPr>
          <w:p w14:paraId="518B8318" w14:textId="77777777" w:rsidR="005C332D" w:rsidRDefault="005C332D">
            <w:pPr>
              <w:rPr>
                <w:rFonts w:ascii="宋体"/>
              </w:rPr>
            </w:pPr>
          </w:p>
        </w:tc>
        <w:tc>
          <w:tcPr>
            <w:tcW w:w="5" w:type="pct"/>
            <w:shd w:val="clear" w:color="auto" w:fill="auto"/>
            <w:vAlign w:val="bottom"/>
          </w:tcPr>
          <w:p w14:paraId="518B8319" w14:textId="77777777" w:rsidR="005C332D" w:rsidRDefault="005C332D">
            <w:pPr>
              <w:rPr>
                <w:rFonts w:ascii="宋体"/>
              </w:rPr>
            </w:pPr>
          </w:p>
        </w:tc>
        <w:tc>
          <w:tcPr>
            <w:tcW w:w="50" w:type="pct"/>
            <w:shd w:val="clear" w:color="auto" w:fill="auto"/>
            <w:vAlign w:val="bottom"/>
          </w:tcPr>
          <w:p w14:paraId="518B831A" w14:textId="77777777" w:rsidR="005C332D" w:rsidRDefault="005C332D">
            <w:pPr>
              <w:rPr>
                <w:rFonts w:ascii="宋体"/>
              </w:rPr>
            </w:pPr>
          </w:p>
        </w:tc>
        <w:tc>
          <w:tcPr>
            <w:tcW w:w="362" w:type="pct"/>
            <w:shd w:val="clear" w:color="auto" w:fill="auto"/>
            <w:vAlign w:val="bottom"/>
          </w:tcPr>
          <w:p w14:paraId="518B831B" w14:textId="77777777" w:rsidR="005C332D" w:rsidRDefault="005C332D">
            <w:pPr>
              <w:rPr>
                <w:rFonts w:ascii="宋体"/>
              </w:rPr>
            </w:pPr>
          </w:p>
        </w:tc>
        <w:tc>
          <w:tcPr>
            <w:tcW w:w="5" w:type="pct"/>
            <w:shd w:val="clear" w:color="auto" w:fill="auto"/>
            <w:vAlign w:val="bottom"/>
          </w:tcPr>
          <w:p w14:paraId="518B831C" w14:textId="77777777" w:rsidR="005C332D" w:rsidRDefault="005C332D">
            <w:pPr>
              <w:rPr>
                <w:rFonts w:ascii="宋体"/>
              </w:rPr>
            </w:pPr>
          </w:p>
        </w:tc>
      </w:tr>
      <w:tr w:rsidR="005C332D" w14:paraId="518B8325" w14:textId="77777777">
        <w:tc>
          <w:tcPr>
            <w:tcW w:w="0" w:type="auto"/>
            <w:gridSpan w:val="3"/>
            <w:shd w:val="clear" w:color="auto" w:fill="auto"/>
            <w:tcMar>
              <w:top w:w="40" w:type="dxa"/>
              <w:left w:w="20" w:type="dxa"/>
              <w:bottom w:w="40" w:type="dxa"/>
              <w:right w:w="20" w:type="dxa"/>
            </w:tcMar>
            <w:vAlign w:val="bottom"/>
          </w:tcPr>
          <w:p w14:paraId="518B831E" w14:textId="77777777" w:rsidR="005C332D" w:rsidRDefault="00B93EAE">
            <w:pPr>
              <w:jc w:val="center"/>
              <w:textAlignment w:val="bottom"/>
            </w:pPr>
            <w:r>
              <w:rPr>
                <w:rFonts w:ascii="Times New Roman" w:eastAsia="宋体" w:hAnsi="Times New Roman"/>
                <w:b/>
                <w:bCs/>
                <w:color w:val="000000"/>
                <w:sz w:val="18"/>
                <w:szCs w:val="18"/>
              </w:rPr>
              <w:t>Exhibit</w:t>
            </w:r>
            <w:r>
              <w:rPr>
                <w:rFonts w:ascii="Times New Roman" w:eastAsia="宋体" w:hAnsi="Times New Roman"/>
                <w:b/>
                <w:bCs/>
                <w:color w:val="000000"/>
                <w:sz w:val="18"/>
                <w:szCs w:val="18"/>
              </w:rPr>
              <w:br/>
              <w:t>Number</w:t>
            </w:r>
          </w:p>
        </w:tc>
        <w:tc>
          <w:tcPr>
            <w:tcW w:w="0" w:type="auto"/>
            <w:gridSpan w:val="3"/>
            <w:shd w:val="clear" w:color="auto" w:fill="auto"/>
            <w:tcMar>
              <w:top w:w="0" w:type="dxa"/>
              <w:left w:w="20" w:type="dxa"/>
              <w:bottom w:w="0" w:type="dxa"/>
              <w:right w:w="20" w:type="dxa"/>
            </w:tcMar>
            <w:vAlign w:val="bottom"/>
          </w:tcPr>
          <w:p w14:paraId="518B831F"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320" w14:textId="77777777" w:rsidR="005C332D" w:rsidRDefault="00B93EAE">
            <w:pPr>
              <w:jc w:val="center"/>
              <w:textAlignment w:val="bottom"/>
            </w:pPr>
            <w:r>
              <w:rPr>
                <w:rFonts w:ascii="Times New Roman" w:eastAsia="宋体" w:hAnsi="Times New Roman"/>
                <w:b/>
                <w:bCs/>
                <w:color w:val="000000"/>
                <w:sz w:val="18"/>
                <w:szCs w:val="18"/>
              </w:rPr>
              <w:t>Exhibit Description</w:t>
            </w:r>
          </w:p>
        </w:tc>
        <w:tc>
          <w:tcPr>
            <w:tcW w:w="0" w:type="auto"/>
            <w:gridSpan w:val="3"/>
            <w:shd w:val="clear" w:color="auto" w:fill="auto"/>
            <w:tcMar>
              <w:top w:w="0" w:type="dxa"/>
              <w:left w:w="20" w:type="dxa"/>
              <w:bottom w:w="0" w:type="dxa"/>
              <w:right w:w="20" w:type="dxa"/>
            </w:tcMar>
            <w:vAlign w:val="bottom"/>
          </w:tcPr>
          <w:p w14:paraId="518B8321" w14:textId="77777777" w:rsidR="005C332D" w:rsidRDefault="005C332D">
            <w:pPr>
              <w:rPr>
                <w:rFonts w:ascii="宋体"/>
              </w:rPr>
            </w:pPr>
          </w:p>
        </w:tc>
        <w:tc>
          <w:tcPr>
            <w:tcW w:w="0" w:type="auto"/>
            <w:gridSpan w:val="21"/>
            <w:shd w:val="clear" w:color="auto" w:fill="auto"/>
            <w:tcMar>
              <w:top w:w="40" w:type="dxa"/>
              <w:left w:w="20" w:type="dxa"/>
              <w:bottom w:w="40" w:type="dxa"/>
              <w:right w:w="20" w:type="dxa"/>
            </w:tcMar>
            <w:vAlign w:val="bottom"/>
          </w:tcPr>
          <w:p w14:paraId="518B8322" w14:textId="77777777" w:rsidR="005C332D" w:rsidRDefault="00B93EAE">
            <w:pPr>
              <w:jc w:val="center"/>
              <w:textAlignment w:val="bottom"/>
            </w:pPr>
            <w:r>
              <w:rPr>
                <w:rFonts w:ascii="Times New Roman" w:eastAsia="宋体" w:hAnsi="Times New Roman"/>
                <w:b/>
                <w:bCs/>
                <w:color w:val="000000"/>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518B8323"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324" w14:textId="77777777" w:rsidR="005C332D" w:rsidRDefault="00B93EAE">
            <w:pPr>
              <w:jc w:val="center"/>
              <w:textAlignment w:val="bottom"/>
            </w:pPr>
            <w:r>
              <w:rPr>
                <w:rFonts w:ascii="Times New Roman" w:eastAsia="宋体" w:hAnsi="Times New Roman"/>
                <w:b/>
                <w:bCs/>
                <w:color w:val="000000"/>
                <w:sz w:val="18"/>
                <w:szCs w:val="18"/>
              </w:rPr>
              <w:t>Filed</w:t>
            </w:r>
            <w:r>
              <w:rPr>
                <w:rFonts w:ascii="Times New Roman" w:eastAsia="宋体" w:hAnsi="Times New Roman"/>
                <w:b/>
                <w:bCs/>
                <w:color w:val="000000"/>
                <w:sz w:val="18"/>
                <w:szCs w:val="18"/>
              </w:rPr>
              <w:br/>
              <w:t>Herewith</w:t>
            </w:r>
          </w:p>
        </w:tc>
      </w:tr>
      <w:tr w:rsidR="005C332D" w14:paraId="518B8333"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326" w14:textId="77777777" w:rsidR="005C332D" w:rsidRDefault="00B93EAE">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518B8327"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328"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518B8329" w14:textId="77777777" w:rsidR="005C332D" w:rsidRDefault="005C332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18B832A" w14:textId="77777777" w:rsidR="005C332D" w:rsidRDefault="00B93EAE">
            <w:pPr>
              <w:jc w:val="center"/>
              <w:textAlignment w:val="bottom"/>
            </w:pPr>
            <w:r>
              <w:rPr>
                <w:rFonts w:ascii="Times New Roman" w:eastAsia="宋体" w:hAnsi="Times New Roman"/>
                <w:b/>
                <w:bCs/>
                <w:color w:val="000000"/>
                <w:sz w:val="18"/>
                <w:szCs w:val="18"/>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832B" w14:textId="77777777" w:rsidR="005C332D" w:rsidRDefault="005C332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18B832C" w14:textId="77777777" w:rsidR="005C332D" w:rsidRDefault="00B93EAE">
            <w:pPr>
              <w:jc w:val="center"/>
              <w:textAlignment w:val="bottom"/>
            </w:pPr>
            <w:r>
              <w:rPr>
                <w:rFonts w:ascii="Times New Roman" w:eastAsia="宋体" w:hAnsi="Times New Roman"/>
                <w:b/>
                <w:bCs/>
                <w:color w:val="000000"/>
                <w:sz w:val="18"/>
                <w:szCs w:val="18"/>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832D" w14:textId="77777777" w:rsidR="005C332D" w:rsidRDefault="005C332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18B832E" w14:textId="77777777" w:rsidR="005C332D" w:rsidRDefault="00B93EAE">
            <w:pPr>
              <w:jc w:val="center"/>
              <w:textAlignment w:val="bottom"/>
            </w:pPr>
            <w:r>
              <w:rPr>
                <w:rFonts w:ascii="Times New Roman" w:eastAsia="宋体" w:hAnsi="Times New Roman"/>
                <w:b/>
                <w:bCs/>
                <w:color w:val="000000"/>
                <w:sz w:val="18"/>
                <w:szCs w:val="18"/>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832F" w14:textId="77777777" w:rsidR="005C332D" w:rsidRDefault="005C332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18B8330" w14:textId="77777777" w:rsidR="005C332D" w:rsidRDefault="00B93EAE">
            <w:pPr>
              <w:jc w:val="center"/>
              <w:textAlignment w:val="bottom"/>
            </w:pPr>
            <w:r>
              <w:rPr>
                <w:rFonts w:ascii="Times New Roman" w:eastAsia="宋体" w:hAnsi="Times New Roman"/>
                <w:b/>
                <w:bCs/>
                <w:color w:val="000000"/>
                <w:sz w:val="18"/>
                <w:szCs w:val="18"/>
              </w:rPr>
              <w:t>Filing Date</w:t>
            </w:r>
          </w:p>
        </w:tc>
        <w:tc>
          <w:tcPr>
            <w:tcW w:w="0" w:type="auto"/>
            <w:gridSpan w:val="3"/>
            <w:shd w:val="clear" w:color="auto" w:fill="auto"/>
            <w:tcMar>
              <w:top w:w="0" w:type="dxa"/>
              <w:left w:w="20" w:type="dxa"/>
              <w:bottom w:w="0" w:type="dxa"/>
              <w:right w:w="20" w:type="dxa"/>
            </w:tcMar>
            <w:vAlign w:val="bottom"/>
          </w:tcPr>
          <w:p w14:paraId="518B8331"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332" w14:textId="77777777" w:rsidR="005C332D" w:rsidRDefault="00B93EAE">
            <w:pPr>
              <w:jc w:val="right"/>
              <w:textAlignment w:val="bottom"/>
            </w:pPr>
            <w:r>
              <w:rPr>
                <w:rFonts w:ascii="Times New Roman" w:eastAsia="宋体" w:hAnsi="Times New Roman"/>
                <w:color w:val="000000"/>
                <w:sz w:val="18"/>
                <w:szCs w:val="18"/>
              </w:rPr>
              <w:t> </w:t>
            </w:r>
          </w:p>
        </w:tc>
      </w:tr>
      <w:tr w:rsidR="005C332D" w14:paraId="518B8341" w14:textId="77777777">
        <w:tc>
          <w:tcPr>
            <w:tcW w:w="0" w:type="auto"/>
            <w:gridSpan w:val="3"/>
            <w:shd w:val="clear" w:color="auto" w:fill="CCEEFF"/>
            <w:tcMar>
              <w:top w:w="40" w:type="dxa"/>
              <w:left w:w="87" w:type="dxa"/>
              <w:bottom w:w="40" w:type="dxa"/>
              <w:right w:w="87" w:type="dxa"/>
            </w:tcMar>
          </w:tcPr>
          <w:p w14:paraId="518B8334" w14:textId="77777777" w:rsidR="005C332D" w:rsidRDefault="00B93EAE">
            <w:pPr>
              <w:jc w:val="center"/>
              <w:textAlignment w:val="top"/>
            </w:pPr>
            <w:r>
              <w:rPr>
                <w:rFonts w:ascii="Times New Roman" w:eastAsia="宋体" w:hAnsi="Times New Roman"/>
                <w:color w:val="000000"/>
                <w:sz w:val="20"/>
                <w:szCs w:val="20"/>
              </w:rPr>
              <w:t>3.1</w:t>
            </w:r>
          </w:p>
        </w:tc>
        <w:tc>
          <w:tcPr>
            <w:tcW w:w="0" w:type="auto"/>
            <w:gridSpan w:val="3"/>
            <w:shd w:val="clear" w:color="auto" w:fill="CCEEFF"/>
            <w:tcMar>
              <w:top w:w="0" w:type="dxa"/>
              <w:left w:w="20" w:type="dxa"/>
              <w:bottom w:w="0" w:type="dxa"/>
              <w:right w:w="20" w:type="dxa"/>
            </w:tcMar>
            <w:vAlign w:val="bottom"/>
          </w:tcPr>
          <w:p w14:paraId="518B833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36" w14:textId="77777777" w:rsidR="005C332D" w:rsidRDefault="00B93EAE">
            <w:pPr>
              <w:textAlignment w:val="top"/>
            </w:pPr>
            <w:hyperlink r:id="rId181" w:history="1">
              <w:r>
                <w:rPr>
                  <w:rStyle w:val="a5"/>
                  <w:rFonts w:ascii="Times New Roman" w:eastAsia="宋体" w:hAnsi="Times New Roman"/>
                  <w:sz w:val="20"/>
                  <w:szCs w:val="20"/>
                </w:rPr>
                <w:t>Amended and Restated Certificate of Incorporation of Cisco Systems, Inc., as currently in effect</w:t>
              </w:r>
            </w:hyperlink>
          </w:p>
        </w:tc>
        <w:tc>
          <w:tcPr>
            <w:tcW w:w="0" w:type="auto"/>
            <w:gridSpan w:val="3"/>
            <w:shd w:val="clear" w:color="auto" w:fill="CCEEFF"/>
            <w:tcMar>
              <w:top w:w="0" w:type="dxa"/>
              <w:left w:w="20" w:type="dxa"/>
              <w:bottom w:w="0" w:type="dxa"/>
              <w:right w:w="20" w:type="dxa"/>
            </w:tcMar>
            <w:vAlign w:val="bottom"/>
          </w:tcPr>
          <w:p w14:paraId="518B8337"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tcPr>
          <w:p w14:paraId="518B8338" w14:textId="77777777" w:rsidR="005C332D" w:rsidRDefault="00B93EAE">
            <w:pPr>
              <w:jc w:val="center"/>
              <w:textAlignment w:val="top"/>
            </w:pPr>
            <w:r>
              <w:rPr>
                <w:rFonts w:ascii="Times New Roman" w:eastAsia="宋体" w:hAnsi="Times New Roman"/>
                <w:color w:val="000000"/>
                <w:sz w:val="20"/>
                <w:szCs w:val="20"/>
              </w:rPr>
              <w:t>8-K12B</w:t>
            </w:r>
          </w:p>
        </w:tc>
        <w:tc>
          <w:tcPr>
            <w:tcW w:w="0" w:type="auto"/>
            <w:gridSpan w:val="3"/>
            <w:shd w:val="clear" w:color="auto" w:fill="CCEEFF"/>
            <w:tcMar>
              <w:top w:w="0" w:type="dxa"/>
              <w:left w:w="20" w:type="dxa"/>
              <w:bottom w:w="0" w:type="dxa"/>
              <w:right w:w="20" w:type="dxa"/>
            </w:tcMar>
            <w:vAlign w:val="bottom"/>
          </w:tcPr>
          <w:p w14:paraId="518B8339"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tcPr>
          <w:p w14:paraId="518B833A"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vAlign w:val="bottom"/>
          </w:tcPr>
          <w:p w14:paraId="518B833B"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tcPr>
          <w:p w14:paraId="518B833C" w14:textId="77777777" w:rsidR="005C332D" w:rsidRDefault="00B93EAE">
            <w:pPr>
              <w:jc w:val="center"/>
              <w:textAlignment w:val="top"/>
            </w:pPr>
            <w:r>
              <w:rPr>
                <w:rFonts w:ascii="Times New Roman" w:eastAsia="宋体" w:hAnsi="Times New Roman"/>
                <w:color w:val="000000"/>
                <w:sz w:val="20"/>
                <w:szCs w:val="20"/>
              </w:rPr>
              <w:t>3.1</w:t>
            </w:r>
          </w:p>
        </w:tc>
        <w:tc>
          <w:tcPr>
            <w:tcW w:w="0" w:type="auto"/>
            <w:gridSpan w:val="3"/>
            <w:shd w:val="clear" w:color="auto" w:fill="CCEEFF"/>
            <w:tcMar>
              <w:top w:w="0" w:type="dxa"/>
              <w:left w:w="20" w:type="dxa"/>
              <w:bottom w:w="0" w:type="dxa"/>
              <w:right w:w="20" w:type="dxa"/>
            </w:tcMar>
            <w:vAlign w:val="bottom"/>
          </w:tcPr>
          <w:p w14:paraId="518B833D" w14:textId="77777777" w:rsidR="005C332D" w:rsidRDefault="005C332D">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tcPr>
          <w:p w14:paraId="518B833E" w14:textId="77777777" w:rsidR="005C332D" w:rsidRDefault="00B93EAE">
            <w:pPr>
              <w:jc w:val="right"/>
              <w:textAlignment w:val="top"/>
            </w:pPr>
            <w:r>
              <w:rPr>
                <w:rFonts w:ascii="Times New Roman" w:eastAsia="宋体" w:hAnsi="Times New Roman"/>
                <w:color w:val="000000"/>
                <w:sz w:val="20"/>
                <w:szCs w:val="20"/>
              </w:rPr>
              <w:t>1/25/2021</w:t>
            </w:r>
          </w:p>
        </w:tc>
        <w:tc>
          <w:tcPr>
            <w:tcW w:w="0" w:type="auto"/>
            <w:gridSpan w:val="3"/>
            <w:shd w:val="clear" w:color="auto" w:fill="CCEEFF"/>
            <w:tcMar>
              <w:top w:w="0" w:type="dxa"/>
              <w:left w:w="20" w:type="dxa"/>
              <w:bottom w:w="0" w:type="dxa"/>
              <w:right w:w="20" w:type="dxa"/>
            </w:tcMar>
            <w:vAlign w:val="bottom"/>
          </w:tcPr>
          <w:p w14:paraId="518B833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340" w14:textId="77777777" w:rsidR="005C332D" w:rsidRDefault="005C332D">
            <w:pPr>
              <w:rPr>
                <w:rFonts w:ascii="宋体"/>
              </w:rPr>
            </w:pPr>
          </w:p>
        </w:tc>
      </w:tr>
      <w:tr w:rsidR="005C332D" w14:paraId="518B834F" w14:textId="77777777">
        <w:tc>
          <w:tcPr>
            <w:tcW w:w="0" w:type="auto"/>
            <w:gridSpan w:val="3"/>
            <w:shd w:val="clear" w:color="auto" w:fill="FFFFFF"/>
            <w:tcMar>
              <w:top w:w="40" w:type="dxa"/>
              <w:left w:w="87" w:type="dxa"/>
              <w:bottom w:w="40" w:type="dxa"/>
              <w:right w:w="87" w:type="dxa"/>
            </w:tcMar>
          </w:tcPr>
          <w:p w14:paraId="518B8342" w14:textId="77777777" w:rsidR="005C332D" w:rsidRDefault="00B93EAE">
            <w:pPr>
              <w:jc w:val="center"/>
              <w:textAlignment w:val="top"/>
            </w:pPr>
            <w:r>
              <w:rPr>
                <w:rFonts w:ascii="Times New Roman" w:eastAsia="宋体" w:hAnsi="Times New Roman"/>
                <w:color w:val="000000"/>
                <w:sz w:val="20"/>
                <w:szCs w:val="20"/>
              </w:rPr>
              <w:t>3.2</w:t>
            </w:r>
          </w:p>
        </w:tc>
        <w:tc>
          <w:tcPr>
            <w:tcW w:w="0" w:type="auto"/>
            <w:gridSpan w:val="3"/>
            <w:shd w:val="clear" w:color="auto" w:fill="FFFFFF"/>
            <w:tcMar>
              <w:top w:w="0" w:type="dxa"/>
              <w:left w:w="20" w:type="dxa"/>
              <w:bottom w:w="0" w:type="dxa"/>
              <w:right w:w="20" w:type="dxa"/>
            </w:tcMar>
            <w:vAlign w:val="bottom"/>
          </w:tcPr>
          <w:p w14:paraId="518B834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44" w14:textId="77777777" w:rsidR="005C332D" w:rsidRDefault="00B93EAE">
            <w:pPr>
              <w:textAlignment w:val="top"/>
            </w:pPr>
            <w:hyperlink r:id="rId182" w:history="1">
              <w:r>
                <w:rPr>
                  <w:rStyle w:val="a5"/>
                  <w:rFonts w:ascii="Times New Roman" w:eastAsia="宋体" w:hAnsi="Times New Roman"/>
                  <w:sz w:val="20"/>
                  <w:szCs w:val="20"/>
                </w:rPr>
                <w:t>Amended and Restated Bylaws of Cisco Systems, Inc., as currently in effect</w:t>
              </w:r>
            </w:hyperlink>
          </w:p>
        </w:tc>
        <w:tc>
          <w:tcPr>
            <w:tcW w:w="0" w:type="auto"/>
            <w:gridSpan w:val="3"/>
            <w:shd w:val="clear" w:color="auto" w:fill="FFFFFF"/>
            <w:tcMar>
              <w:top w:w="0" w:type="dxa"/>
              <w:left w:w="20" w:type="dxa"/>
              <w:bottom w:w="0" w:type="dxa"/>
              <w:right w:w="20" w:type="dxa"/>
            </w:tcMar>
            <w:vAlign w:val="bottom"/>
          </w:tcPr>
          <w:p w14:paraId="518B8345"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46" w14:textId="77777777" w:rsidR="005C332D" w:rsidRDefault="00B93EAE">
            <w:pPr>
              <w:jc w:val="center"/>
              <w:textAlignment w:val="top"/>
            </w:pPr>
            <w:r>
              <w:rPr>
                <w:rFonts w:ascii="Times New Roman" w:eastAsia="宋体" w:hAnsi="Times New Roman"/>
                <w:color w:val="000000"/>
                <w:sz w:val="20"/>
                <w:szCs w:val="20"/>
              </w:rPr>
              <w:t>8-K12B</w:t>
            </w:r>
          </w:p>
        </w:tc>
        <w:tc>
          <w:tcPr>
            <w:tcW w:w="0" w:type="auto"/>
            <w:gridSpan w:val="3"/>
            <w:shd w:val="clear" w:color="auto" w:fill="FFFFFF"/>
            <w:tcMar>
              <w:top w:w="0" w:type="dxa"/>
              <w:left w:w="20" w:type="dxa"/>
              <w:bottom w:w="0" w:type="dxa"/>
              <w:right w:w="20" w:type="dxa"/>
            </w:tcMar>
            <w:vAlign w:val="bottom"/>
          </w:tcPr>
          <w:p w14:paraId="518B8347"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48"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FFFFFF"/>
            <w:tcMar>
              <w:top w:w="0" w:type="dxa"/>
              <w:left w:w="20" w:type="dxa"/>
              <w:bottom w:w="0" w:type="dxa"/>
              <w:right w:w="20" w:type="dxa"/>
            </w:tcMar>
            <w:vAlign w:val="bottom"/>
          </w:tcPr>
          <w:p w14:paraId="518B8349"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4A" w14:textId="77777777" w:rsidR="005C332D" w:rsidRDefault="00B93EAE">
            <w:pPr>
              <w:jc w:val="center"/>
              <w:textAlignment w:val="top"/>
            </w:pPr>
            <w:r>
              <w:rPr>
                <w:rFonts w:ascii="Times New Roman" w:eastAsia="宋体" w:hAnsi="Times New Roman"/>
                <w:color w:val="000000"/>
                <w:sz w:val="20"/>
                <w:szCs w:val="20"/>
              </w:rPr>
              <w:t>3.2</w:t>
            </w:r>
          </w:p>
        </w:tc>
        <w:tc>
          <w:tcPr>
            <w:tcW w:w="0" w:type="auto"/>
            <w:gridSpan w:val="3"/>
            <w:shd w:val="clear" w:color="auto" w:fill="FFFFFF"/>
            <w:tcMar>
              <w:top w:w="0" w:type="dxa"/>
              <w:left w:w="20" w:type="dxa"/>
              <w:bottom w:w="0" w:type="dxa"/>
              <w:right w:w="20" w:type="dxa"/>
            </w:tcMar>
            <w:vAlign w:val="bottom"/>
          </w:tcPr>
          <w:p w14:paraId="518B834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4C" w14:textId="77777777" w:rsidR="005C332D" w:rsidRDefault="00B93EAE">
            <w:pPr>
              <w:jc w:val="right"/>
              <w:textAlignment w:val="top"/>
            </w:pPr>
            <w:r>
              <w:rPr>
                <w:rFonts w:ascii="Times New Roman" w:eastAsia="宋体" w:hAnsi="Times New Roman"/>
                <w:color w:val="000000"/>
                <w:sz w:val="20"/>
                <w:szCs w:val="20"/>
              </w:rPr>
              <w:t>1/25/2021</w:t>
            </w:r>
          </w:p>
        </w:tc>
        <w:tc>
          <w:tcPr>
            <w:tcW w:w="0" w:type="auto"/>
            <w:gridSpan w:val="3"/>
            <w:shd w:val="clear" w:color="auto" w:fill="FFFFFF"/>
            <w:tcMar>
              <w:top w:w="0" w:type="dxa"/>
              <w:left w:w="20" w:type="dxa"/>
              <w:bottom w:w="0" w:type="dxa"/>
              <w:right w:w="20" w:type="dxa"/>
            </w:tcMar>
            <w:vAlign w:val="bottom"/>
          </w:tcPr>
          <w:p w14:paraId="518B834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34E" w14:textId="77777777" w:rsidR="005C332D" w:rsidRDefault="005C332D">
            <w:pPr>
              <w:rPr>
                <w:rFonts w:ascii="宋体"/>
              </w:rPr>
            </w:pPr>
          </w:p>
        </w:tc>
      </w:tr>
      <w:tr w:rsidR="005C332D" w14:paraId="518B835D" w14:textId="77777777">
        <w:tc>
          <w:tcPr>
            <w:tcW w:w="0" w:type="auto"/>
            <w:gridSpan w:val="3"/>
            <w:shd w:val="clear" w:color="auto" w:fill="CCEEFF"/>
            <w:tcMar>
              <w:top w:w="40" w:type="dxa"/>
              <w:left w:w="87" w:type="dxa"/>
              <w:bottom w:w="40" w:type="dxa"/>
              <w:right w:w="87" w:type="dxa"/>
            </w:tcMar>
          </w:tcPr>
          <w:p w14:paraId="518B8350" w14:textId="77777777" w:rsidR="005C332D" w:rsidRDefault="00B93EAE">
            <w:pPr>
              <w:jc w:val="center"/>
              <w:textAlignment w:val="top"/>
            </w:pPr>
            <w:r>
              <w:rPr>
                <w:rFonts w:ascii="Times New Roman" w:eastAsia="宋体" w:hAnsi="Times New Roman"/>
                <w:color w:val="000000"/>
                <w:sz w:val="20"/>
                <w:szCs w:val="20"/>
              </w:rPr>
              <w:t>4.1</w:t>
            </w:r>
          </w:p>
        </w:tc>
        <w:tc>
          <w:tcPr>
            <w:tcW w:w="0" w:type="auto"/>
            <w:gridSpan w:val="3"/>
            <w:shd w:val="clear" w:color="auto" w:fill="CCEEFF"/>
            <w:tcMar>
              <w:top w:w="0" w:type="dxa"/>
              <w:left w:w="20" w:type="dxa"/>
              <w:bottom w:w="0" w:type="dxa"/>
              <w:right w:w="20" w:type="dxa"/>
            </w:tcMar>
            <w:vAlign w:val="bottom"/>
          </w:tcPr>
          <w:p w14:paraId="518B8351"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52" w14:textId="77777777" w:rsidR="005C332D" w:rsidRDefault="00B93EAE">
            <w:pPr>
              <w:textAlignment w:val="top"/>
            </w:pPr>
            <w:hyperlink r:id="rId183" w:history="1">
              <w:r>
                <w:rPr>
                  <w:rStyle w:val="a5"/>
                  <w:rFonts w:ascii="Times New Roman" w:eastAsia="宋体" w:hAnsi="Times New Roman"/>
                  <w:sz w:val="20"/>
                  <w:szCs w:val="20"/>
                </w:rPr>
                <w:t>Indenture, dated February 17, 2009, between Cisco Systems, Inc. and the Bank of New York Mellon Trust Company, N.A., as trustee</w:t>
              </w:r>
            </w:hyperlink>
          </w:p>
        </w:tc>
        <w:tc>
          <w:tcPr>
            <w:tcW w:w="0" w:type="auto"/>
            <w:gridSpan w:val="3"/>
            <w:shd w:val="clear" w:color="auto" w:fill="CCEEFF"/>
            <w:tcMar>
              <w:top w:w="0" w:type="dxa"/>
              <w:left w:w="20" w:type="dxa"/>
              <w:bottom w:w="0" w:type="dxa"/>
              <w:right w:w="20" w:type="dxa"/>
            </w:tcMar>
            <w:vAlign w:val="bottom"/>
          </w:tcPr>
          <w:p w14:paraId="518B8353"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54"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CCEEFF"/>
            <w:tcMar>
              <w:top w:w="0" w:type="dxa"/>
              <w:left w:w="20" w:type="dxa"/>
              <w:bottom w:w="0" w:type="dxa"/>
              <w:right w:w="20" w:type="dxa"/>
            </w:tcMar>
            <w:vAlign w:val="bottom"/>
          </w:tcPr>
          <w:p w14:paraId="518B835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56"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CCEEFF"/>
            <w:tcMar>
              <w:top w:w="0" w:type="dxa"/>
              <w:left w:w="20" w:type="dxa"/>
              <w:bottom w:w="0" w:type="dxa"/>
              <w:right w:w="20" w:type="dxa"/>
            </w:tcMar>
            <w:vAlign w:val="bottom"/>
          </w:tcPr>
          <w:p w14:paraId="518B8357"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58" w14:textId="77777777" w:rsidR="005C332D" w:rsidRDefault="00B93EAE">
            <w:pPr>
              <w:jc w:val="center"/>
              <w:textAlignment w:val="top"/>
            </w:pPr>
            <w:r>
              <w:rPr>
                <w:rFonts w:ascii="Times New Roman" w:eastAsia="宋体" w:hAnsi="Times New Roman"/>
                <w:color w:val="000000"/>
                <w:sz w:val="20"/>
                <w:szCs w:val="20"/>
              </w:rPr>
              <w:t>4.1</w:t>
            </w:r>
          </w:p>
        </w:tc>
        <w:tc>
          <w:tcPr>
            <w:tcW w:w="0" w:type="auto"/>
            <w:gridSpan w:val="3"/>
            <w:shd w:val="clear" w:color="auto" w:fill="CCEEFF"/>
            <w:tcMar>
              <w:top w:w="0" w:type="dxa"/>
              <w:left w:w="20" w:type="dxa"/>
              <w:bottom w:w="0" w:type="dxa"/>
              <w:right w:w="20" w:type="dxa"/>
            </w:tcMar>
            <w:vAlign w:val="bottom"/>
          </w:tcPr>
          <w:p w14:paraId="518B8359"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5A" w14:textId="77777777" w:rsidR="005C332D" w:rsidRDefault="00B93EAE">
            <w:pPr>
              <w:jc w:val="right"/>
              <w:textAlignment w:val="top"/>
            </w:pPr>
            <w:r>
              <w:rPr>
                <w:rFonts w:ascii="Times New Roman" w:eastAsia="宋体" w:hAnsi="Times New Roman"/>
                <w:color w:val="000000"/>
                <w:sz w:val="20"/>
                <w:szCs w:val="20"/>
              </w:rPr>
              <w:t>2/17/2009</w:t>
            </w:r>
          </w:p>
        </w:tc>
        <w:tc>
          <w:tcPr>
            <w:tcW w:w="0" w:type="auto"/>
            <w:gridSpan w:val="3"/>
            <w:shd w:val="clear" w:color="auto" w:fill="CCEEFF"/>
            <w:tcMar>
              <w:top w:w="0" w:type="dxa"/>
              <w:left w:w="20" w:type="dxa"/>
              <w:bottom w:w="0" w:type="dxa"/>
              <w:right w:w="20" w:type="dxa"/>
            </w:tcMar>
            <w:vAlign w:val="bottom"/>
          </w:tcPr>
          <w:p w14:paraId="518B835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35C" w14:textId="77777777" w:rsidR="005C332D" w:rsidRDefault="005C332D">
            <w:pPr>
              <w:rPr>
                <w:rFonts w:ascii="宋体"/>
              </w:rPr>
            </w:pPr>
          </w:p>
        </w:tc>
      </w:tr>
      <w:tr w:rsidR="005C332D" w14:paraId="518B836B" w14:textId="77777777">
        <w:tc>
          <w:tcPr>
            <w:tcW w:w="0" w:type="auto"/>
            <w:gridSpan w:val="3"/>
            <w:shd w:val="clear" w:color="auto" w:fill="FFFFFF"/>
            <w:tcMar>
              <w:top w:w="40" w:type="dxa"/>
              <w:left w:w="87" w:type="dxa"/>
              <w:bottom w:w="40" w:type="dxa"/>
              <w:right w:w="87" w:type="dxa"/>
            </w:tcMar>
          </w:tcPr>
          <w:p w14:paraId="518B835E" w14:textId="77777777" w:rsidR="005C332D" w:rsidRDefault="00B93EAE">
            <w:pPr>
              <w:jc w:val="center"/>
              <w:textAlignment w:val="top"/>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vAlign w:val="bottom"/>
          </w:tcPr>
          <w:p w14:paraId="518B835F"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60" w14:textId="77777777" w:rsidR="005C332D" w:rsidRDefault="00B93EAE">
            <w:pPr>
              <w:textAlignment w:val="top"/>
            </w:pPr>
            <w:hyperlink r:id="rId184" w:history="1">
              <w:r>
                <w:rPr>
                  <w:rStyle w:val="a5"/>
                  <w:rFonts w:ascii="Times New Roman" w:eastAsia="宋体" w:hAnsi="Times New Roman"/>
                  <w:sz w:val="20"/>
                  <w:szCs w:val="20"/>
                </w:rPr>
                <w:t>Indenture, dated November 17, 2009, between Cisco Systems, Inc. and the Bank of New York Mellon Trust Company, N.A., as trustee</w:t>
              </w:r>
            </w:hyperlink>
          </w:p>
        </w:tc>
        <w:tc>
          <w:tcPr>
            <w:tcW w:w="0" w:type="auto"/>
            <w:gridSpan w:val="3"/>
            <w:shd w:val="clear" w:color="auto" w:fill="FFFFFF"/>
            <w:tcMar>
              <w:top w:w="0" w:type="dxa"/>
              <w:left w:w="20" w:type="dxa"/>
              <w:bottom w:w="0" w:type="dxa"/>
              <w:right w:w="20" w:type="dxa"/>
            </w:tcMar>
            <w:vAlign w:val="bottom"/>
          </w:tcPr>
          <w:p w14:paraId="518B8361"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62"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518B836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64"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FFFFFF"/>
            <w:tcMar>
              <w:top w:w="0" w:type="dxa"/>
              <w:left w:w="20" w:type="dxa"/>
              <w:bottom w:w="0" w:type="dxa"/>
              <w:right w:w="20" w:type="dxa"/>
            </w:tcMar>
            <w:vAlign w:val="bottom"/>
          </w:tcPr>
          <w:p w14:paraId="518B8365"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66" w14:textId="77777777" w:rsidR="005C332D" w:rsidRDefault="00B93EAE">
            <w:pPr>
              <w:jc w:val="center"/>
              <w:textAlignment w:val="top"/>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vAlign w:val="bottom"/>
          </w:tcPr>
          <w:p w14:paraId="518B8367"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68" w14:textId="77777777" w:rsidR="005C332D" w:rsidRDefault="00B93EAE">
            <w:pPr>
              <w:jc w:val="right"/>
              <w:textAlignment w:val="top"/>
            </w:pPr>
            <w:r>
              <w:rPr>
                <w:rFonts w:ascii="Times New Roman" w:eastAsia="宋体" w:hAnsi="Times New Roman"/>
                <w:color w:val="000000"/>
                <w:sz w:val="20"/>
                <w:szCs w:val="20"/>
              </w:rPr>
              <w:t>11/17/2009</w:t>
            </w:r>
          </w:p>
        </w:tc>
        <w:tc>
          <w:tcPr>
            <w:tcW w:w="0" w:type="auto"/>
            <w:gridSpan w:val="3"/>
            <w:shd w:val="clear" w:color="auto" w:fill="FFFFFF"/>
            <w:tcMar>
              <w:top w:w="0" w:type="dxa"/>
              <w:left w:w="20" w:type="dxa"/>
              <w:bottom w:w="0" w:type="dxa"/>
              <w:right w:w="20" w:type="dxa"/>
            </w:tcMar>
            <w:vAlign w:val="bottom"/>
          </w:tcPr>
          <w:p w14:paraId="518B836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36A" w14:textId="77777777" w:rsidR="005C332D" w:rsidRDefault="005C332D">
            <w:pPr>
              <w:rPr>
                <w:rFonts w:ascii="宋体"/>
              </w:rPr>
            </w:pPr>
          </w:p>
        </w:tc>
      </w:tr>
      <w:tr w:rsidR="005C332D" w14:paraId="518B8379" w14:textId="77777777">
        <w:tc>
          <w:tcPr>
            <w:tcW w:w="0" w:type="auto"/>
            <w:gridSpan w:val="3"/>
            <w:shd w:val="clear" w:color="auto" w:fill="CCEEFF"/>
            <w:tcMar>
              <w:top w:w="40" w:type="dxa"/>
              <w:left w:w="87" w:type="dxa"/>
              <w:bottom w:w="40" w:type="dxa"/>
              <w:right w:w="87" w:type="dxa"/>
            </w:tcMar>
          </w:tcPr>
          <w:p w14:paraId="518B836C" w14:textId="77777777" w:rsidR="005C332D" w:rsidRDefault="00B93EAE">
            <w:pPr>
              <w:jc w:val="center"/>
              <w:textAlignment w:val="top"/>
            </w:pPr>
            <w:r>
              <w:rPr>
                <w:rFonts w:ascii="Times New Roman" w:eastAsia="宋体" w:hAnsi="Times New Roman"/>
                <w:color w:val="000000"/>
                <w:sz w:val="20"/>
                <w:szCs w:val="20"/>
              </w:rPr>
              <w:t>4.3</w:t>
            </w:r>
          </w:p>
        </w:tc>
        <w:tc>
          <w:tcPr>
            <w:tcW w:w="0" w:type="auto"/>
            <w:gridSpan w:val="3"/>
            <w:shd w:val="clear" w:color="auto" w:fill="CCEEFF"/>
            <w:tcMar>
              <w:top w:w="0" w:type="dxa"/>
              <w:left w:w="20" w:type="dxa"/>
              <w:bottom w:w="0" w:type="dxa"/>
              <w:right w:w="20" w:type="dxa"/>
            </w:tcMar>
            <w:vAlign w:val="bottom"/>
          </w:tcPr>
          <w:p w14:paraId="518B836D"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6E" w14:textId="77777777" w:rsidR="005C332D" w:rsidRDefault="00B93EAE">
            <w:pPr>
              <w:textAlignment w:val="top"/>
            </w:pPr>
            <w:hyperlink r:id="rId185" w:history="1">
              <w:r>
                <w:rPr>
                  <w:rStyle w:val="a5"/>
                  <w:rFonts w:ascii="Times New Roman" w:eastAsia="宋体" w:hAnsi="Times New Roman"/>
                  <w:sz w:val="20"/>
                  <w:szCs w:val="20"/>
                </w:rPr>
                <w:t>Indenture, dated March 3, 2014, between the Company and The Bank of New York Mellon Trust Company, N.A., as trustee</w:t>
              </w:r>
            </w:hyperlink>
          </w:p>
        </w:tc>
        <w:tc>
          <w:tcPr>
            <w:tcW w:w="0" w:type="auto"/>
            <w:gridSpan w:val="3"/>
            <w:shd w:val="clear" w:color="auto" w:fill="CCEEFF"/>
            <w:tcMar>
              <w:top w:w="0" w:type="dxa"/>
              <w:left w:w="20" w:type="dxa"/>
              <w:bottom w:w="0" w:type="dxa"/>
              <w:right w:w="20" w:type="dxa"/>
            </w:tcMar>
            <w:vAlign w:val="bottom"/>
          </w:tcPr>
          <w:p w14:paraId="518B836F"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70"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CCEEFF"/>
            <w:tcMar>
              <w:top w:w="0" w:type="dxa"/>
              <w:left w:w="20" w:type="dxa"/>
              <w:bottom w:w="0" w:type="dxa"/>
              <w:right w:w="20" w:type="dxa"/>
            </w:tcMar>
            <w:vAlign w:val="bottom"/>
          </w:tcPr>
          <w:p w14:paraId="518B8371"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72"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CCEEFF"/>
            <w:tcMar>
              <w:top w:w="0" w:type="dxa"/>
              <w:left w:w="20" w:type="dxa"/>
              <w:bottom w:w="0" w:type="dxa"/>
              <w:right w:w="20" w:type="dxa"/>
            </w:tcMar>
            <w:vAlign w:val="bottom"/>
          </w:tcPr>
          <w:p w14:paraId="518B8373"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74" w14:textId="77777777" w:rsidR="005C332D" w:rsidRDefault="00B93EAE">
            <w:pPr>
              <w:jc w:val="center"/>
              <w:textAlignment w:val="top"/>
            </w:pPr>
            <w:r>
              <w:rPr>
                <w:rFonts w:ascii="Times New Roman" w:eastAsia="宋体" w:hAnsi="Times New Roman"/>
                <w:color w:val="000000"/>
                <w:sz w:val="20"/>
                <w:szCs w:val="20"/>
              </w:rPr>
              <w:t>4.1</w:t>
            </w:r>
          </w:p>
        </w:tc>
        <w:tc>
          <w:tcPr>
            <w:tcW w:w="0" w:type="auto"/>
            <w:gridSpan w:val="3"/>
            <w:shd w:val="clear" w:color="auto" w:fill="CCEEFF"/>
            <w:tcMar>
              <w:top w:w="0" w:type="dxa"/>
              <w:left w:w="20" w:type="dxa"/>
              <w:bottom w:w="0" w:type="dxa"/>
              <w:right w:w="20" w:type="dxa"/>
            </w:tcMar>
            <w:vAlign w:val="bottom"/>
          </w:tcPr>
          <w:p w14:paraId="518B837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76" w14:textId="77777777" w:rsidR="005C332D" w:rsidRDefault="00B93EAE">
            <w:pPr>
              <w:jc w:val="right"/>
              <w:textAlignment w:val="top"/>
            </w:pPr>
            <w:r>
              <w:rPr>
                <w:rFonts w:ascii="Times New Roman" w:eastAsia="宋体" w:hAnsi="Times New Roman"/>
                <w:color w:val="000000"/>
                <w:sz w:val="20"/>
                <w:szCs w:val="20"/>
              </w:rPr>
              <w:t>3/3/20</w:t>
            </w:r>
            <w:r>
              <w:rPr>
                <w:rFonts w:ascii="Times New Roman" w:eastAsia="宋体" w:hAnsi="Times New Roman"/>
                <w:color w:val="000000"/>
                <w:sz w:val="20"/>
                <w:szCs w:val="20"/>
              </w:rPr>
              <w:t>14</w:t>
            </w:r>
          </w:p>
        </w:tc>
        <w:tc>
          <w:tcPr>
            <w:tcW w:w="0" w:type="auto"/>
            <w:gridSpan w:val="3"/>
            <w:shd w:val="clear" w:color="auto" w:fill="CCEEFF"/>
            <w:tcMar>
              <w:top w:w="0" w:type="dxa"/>
              <w:left w:w="20" w:type="dxa"/>
              <w:bottom w:w="0" w:type="dxa"/>
              <w:right w:w="20" w:type="dxa"/>
            </w:tcMar>
            <w:vAlign w:val="bottom"/>
          </w:tcPr>
          <w:p w14:paraId="518B837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378" w14:textId="77777777" w:rsidR="005C332D" w:rsidRDefault="005C332D">
            <w:pPr>
              <w:rPr>
                <w:rFonts w:ascii="宋体"/>
              </w:rPr>
            </w:pPr>
          </w:p>
        </w:tc>
      </w:tr>
      <w:tr w:rsidR="005C332D" w14:paraId="518B8387" w14:textId="77777777">
        <w:tc>
          <w:tcPr>
            <w:tcW w:w="0" w:type="auto"/>
            <w:gridSpan w:val="3"/>
            <w:shd w:val="clear" w:color="auto" w:fill="FFFFFF"/>
            <w:tcMar>
              <w:top w:w="40" w:type="dxa"/>
              <w:left w:w="87" w:type="dxa"/>
              <w:bottom w:w="40" w:type="dxa"/>
              <w:right w:w="87" w:type="dxa"/>
            </w:tcMar>
          </w:tcPr>
          <w:p w14:paraId="518B837A" w14:textId="77777777" w:rsidR="005C332D" w:rsidRDefault="00B93EAE">
            <w:pPr>
              <w:jc w:val="center"/>
              <w:textAlignment w:val="top"/>
            </w:pPr>
            <w:r>
              <w:rPr>
                <w:rFonts w:ascii="Times New Roman" w:eastAsia="宋体" w:hAnsi="Times New Roman"/>
                <w:color w:val="000000"/>
                <w:sz w:val="20"/>
                <w:szCs w:val="20"/>
              </w:rPr>
              <w:t>4.4</w:t>
            </w:r>
          </w:p>
        </w:tc>
        <w:tc>
          <w:tcPr>
            <w:tcW w:w="0" w:type="auto"/>
            <w:gridSpan w:val="3"/>
            <w:shd w:val="clear" w:color="auto" w:fill="FFFFFF"/>
            <w:tcMar>
              <w:top w:w="0" w:type="dxa"/>
              <w:left w:w="20" w:type="dxa"/>
              <w:bottom w:w="0" w:type="dxa"/>
              <w:right w:w="20" w:type="dxa"/>
            </w:tcMar>
            <w:vAlign w:val="bottom"/>
          </w:tcPr>
          <w:p w14:paraId="518B837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7C" w14:textId="77777777" w:rsidR="005C332D" w:rsidRDefault="00B93EAE">
            <w:pPr>
              <w:textAlignment w:val="top"/>
            </w:pPr>
            <w:hyperlink r:id="rId186" w:history="1">
              <w:r>
                <w:rPr>
                  <w:rStyle w:val="a5"/>
                  <w:rFonts w:ascii="Times New Roman" w:eastAsia="宋体" w:hAnsi="Times New Roman"/>
                  <w:sz w:val="20"/>
                  <w:szCs w:val="20"/>
                </w:rPr>
                <w:t xml:space="preserve">First Supplemental Indenture, dated January 25, 2021 to the Indenture, dated February 17, 2009, between Cisco Systems, Inc. </w:t>
              </w:r>
              <w:r>
                <w:rPr>
                  <w:rStyle w:val="a5"/>
                  <w:rFonts w:ascii="Times New Roman" w:eastAsia="宋体" w:hAnsi="Times New Roman"/>
                  <w:sz w:val="20"/>
                  <w:szCs w:val="20"/>
                </w:rPr>
                <w:t>and the Bank of New York Mellon Trust Company, N.A., as trustee</w:t>
              </w:r>
            </w:hyperlink>
          </w:p>
        </w:tc>
        <w:tc>
          <w:tcPr>
            <w:tcW w:w="0" w:type="auto"/>
            <w:gridSpan w:val="3"/>
            <w:shd w:val="clear" w:color="auto" w:fill="FFFFFF"/>
            <w:tcMar>
              <w:top w:w="0" w:type="dxa"/>
              <w:left w:w="20" w:type="dxa"/>
              <w:bottom w:w="0" w:type="dxa"/>
              <w:right w:w="20" w:type="dxa"/>
            </w:tcMar>
            <w:vAlign w:val="bottom"/>
          </w:tcPr>
          <w:p w14:paraId="518B837D"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7E" w14:textId="77777777" w:rsidR="005C332D" w:rsidRDefault="00B93EAE">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518B837F"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80"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FFFFFF"/>
            <w:tcMar>
              <w:top w:w="0" w:type="dxa"/>
              <w:left w:w="20" w:type="dxa"/>
              <w:bottom w:w="0" w:type="dxa"/>
              <w:right w:w="20" w:type="dxa"/>
            </w:tcMar>
            <w:vAlign w:val="bottom"/>
          </w:tcPr>
          <w:p w14:paraId="518B8381"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82" w14:textId="77777777" w:rsidR="005C332D" w:rsidRDefault="00B93EAE">
            <w:pPr>
              <w:jc w:val="center"/>
              <w:textAlignment w:val="top"/>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vAlign w:val="bottom"/>
          </w:tcPr>
          <w:p w14:paraId="518B838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84" w14:textId="77777777" w:rsidR="005C332D" w:rsidRDefault="00B93EAE">
            <w:pPr>
              <w:jc w:val="right"/>
              <w:textAlignment w:val="top"/>
            </w:pPr>
            <w:r>
              <w:rPr>
                <w:rFonts w:ascii="Times New Roman" w:eastAsia="宋体" w:hAnsi="Times New Roman"/>
                <w:color w:val="000000"/>
                <w:sz w:val="20"/>
                <w:szCs w:val="20"/>
              </w:rPr>
              <w:t>2/16/2021</w:t>
            </w:r>
          </w:p>
        </w:tc>
        <w:tc>
          <w:tcPr>
            <w:tcW w:w="0" w:type="auto"/>
            <w:gridSpan w:val="3"/>
            <w:shd w:val="clear" w:color="auto" w:fill="FFFFFF"/>
            <w:tcMar>
              <w:top w:w="0" w:type="dxa"/>
              <w:left w:w="20" w:type="dxa"/>
              <w:bottom w:w="0" w:type="dxa"/>
              <w:right w:w="20" w:type="dxa"/>
            </w:tcMar>
            <w:vAlign w:val="bottom"/>
          </w:tcPr>
          <w:p w14:paraId="518B838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386" w14:textId="77777777" w:rsidR="005C332D" w:rsidRDefault="005C332D">
            <w:pPr>
              <w:rPr>
                <w:rFonts w:ascii="宋体"/>
              </w:rPr>
            </w:pPr>
          </w:p>
        </w:tc>
      </w:tr>
      <w:tr w:rsidR="005C332D" w14:paraId="518B8395" w14:textId="77777777">
        <w:tc>
          <w:tcPr>
            <w:tcW w:w="0" w:type="auto"/>
            <w:gridSpan w:val="3"/>
            <w:shd w:val="clear" w:color="auto" w:fill="CCEEFF"/>
            <w:tcMar>
              <w:top w:w="40" w:type="dxa"/>
              <w:left w:w="87" w:type="dxa"/>
              <w:bottom w:w="40" w:type="dxa"/>
              <w:right w:w="87" w:type="dxa"/>
            </w:tcMar>
          </w:tcPr>
          <w:p w14:paraId="518B8388" w14:textId="77777777" w:rsidR="005C332D" w:rsidRDefault="00B93EAE">
            <w:pPr>
              <w:jc w:val="center"/>
              <w:textAlignment w:val="top"/>
            </w:pPr>
            <w:r>
              <w:rPr>
                <w:rFonts w:ascii="Times New Roman" w:eastAsia="宋体" w:hAnsi="Times New Roman"/>
                <w:color w:val="000000"/>
                <w:sz w:val="20"/>
                <w:szCs w:val="20"/>
              </w:rPr>
              <w:t>4.5</w:t>
            </w:r>
          </w:p>
        </w:tc>
        <w:tc>
          <w:tcPr>
            <w:tcW w:w="0" w:type="auto"/>
            <w:gridSpan w:val="3"/>
            <w:shd w:val="clear" w:color="auto" w:fill="CCEEFF"/>
            <w:tcMar>
              <w:top w:w="0" w:type="dxa"/>
              <w:left w:w="20" w:type="dxa"/>
              <w:bottom w:w="0" w:type="dxa"/>
              <w:right w:w="20" w:type="dxa"/>
            </w:tcMar>
            <w:vAlign w:val="bottom"/>
          </w:tcPr>
          <w:p w14:paraId="518B8389"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8A" w14:textId="77777777" w:rsidR="005C332D" w:rsidRDefault="00B93EAE">
            <w:pPr>
              <w:textAlignment w:val="top"/>
            </w:pPr>
            <w:hyperlink r:id="rId187" w:history="1">
              <w:r>
                <w:rPr>
                  <w:rStyle w:val="a5"/>
                  <w:rFonts w:ascii="Times New Roman" w:eastAsia="宋体" w:hAnsi="Times New Roman"/>
                  <w:sz w:val="20"/>
                  <w:szCs w:val="20"/>
                </w:rPr>
                <w:t>First Supplemental Indenture, d</w:t>
              </w:r>
              <w:r>
                <w:rPr>
                  <w:rStyle w:val="a5"/>
                  <w:rFonts w:ascii="Times New Roman" w:eastAsia="宋体" w:hAnsi="Times New Roman"/>
                  <w:sz w:val="20"/>
                  <w:szCs w:val="20"/>
                </w:rPr>
                <w:t>ated January 25, 2021 to the Indenture, dated November 17, 2009, between Cisco Systems, Inc. and the Bank of New York Mellon Trust Company, N.A., as trustee</w:t>
              </w:r>
            </w:hyperlink>
          </w:p>
        </w:tc>
        <w:tc>
          <w:tcPr>
            <w:tcW w:w="0" w:type="auto"/>
            <w:gridSpan w:val="3"/>
            <w:shd w:val="clear" w:color="auto" w:fill="CCEEFF"/>
            <w:tcMar>
              <w:top w:w="0" w:type="dxa"/>
              <w:left w:w="20" w:type="dxa"/>
              <w:bottom w:w="0" w:type="dxa"/>
              <w:right w:w="20" w:type="dxa"/>
            </w:tcMar>
            <w:vAlign w:val="bottom"/>
          </w:tcPr>
          <w:p w14:paraId="518B838B"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8C" w14:textId="77777777" w:rsidR="005C332D" w:rsidRDefault="00B93EAE">
            <w:pPr>
              <w:jc w:val="center"/>
              <w:textAlignment w:val="top"/>
            </w:pPr>
            <w:r>
              <w:rPr>
                <w:rFonts w:ascii="Times New Roman" w:eastAsia="宋体" w:hAnsi="Times New Roman"/>
                <w:color w:val="000000"/>
                <w:sz w:val="20"/>
                <w:szCs w:val="20"/>
              </w:rPr>
              <w:t>10-Q</w:t>
            </w:r>
          </w:p>
        </w:tc>
        <w:tc>
          <w:tcPr>
            <w:tcW w:w="0" w:type="auto"/>
            <w:gridSpan w:val="3"/>
            <w:shd w:val="clear" w:color="auto" w:fill="CCEEFF"/>
            <w:tcMar>
              <w:top w:w="0" w:type="dxa"/>
              <w:left w:w="20" w:type="dxa"/>
              <w:bottom w:w="0" w:type="dxa"/>
              <w:right w:w="20" w:type="dxa"/>
            </w:tcMar>
            <w:vAlign w:val="bottom"/>
          </w:tcPr>
          <w:p w14:paraId="518B838D"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8E"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vAlign w:val="bottom"/>
          </w:tcPr>
          <w:p w14:paraId="518B838F"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90" w14:textId="77777777" w:rsidR="005C332D" w:rsidRDefault="00B93EAE">
            <w:pPr>
              <w:jc w:val="center"/>
              <w:textAlignment w:val="top"/>
            </w:pPr>
            <w:r>
              <w:rPr>
                <w:rFonts w:ascii="Times New Roman" w:eastAsia="宋体" w:hAnsi="Times New Roman"/>
                <w:color w:val="000000"/>
                <w:sz w:val="20"/>
                <w:szCs w:val="20"/>
              </w:rPr>
              <w:t>4.2</w:t>
            </w:r>
          </w:p>
        </w:tc>
        <w:tc>
          <w:tcPr>
            <w:tcW w:w="0" w:type="auto"/>
            <w:gridSpan w:val="3"/>
            <w:shd w:val="clear" w:color="auto" w:fill="CCEEFF"/>
            <w:tcMar>
              <w:top w:w="0" w:type="dxa"/>
              <w:left w:w="20" w:type="dxa"/>
              <w:bottom w:w="0" w:type="dxa"/>
              <w:right w:w="20" w:type="dxa"/>
            </w:tcMar>
            <w:vAlign w:val="bottom"/>
          </w:tcPr>
          <w:p w14:paraId="518B8391"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92" w14:textId="77777777" w:rsidR="005C332D" w:rsidRDefault="00B93EAE">
            <w:pPr>
              <w:jc w:val="right"/>
              <w:textAlignment w:val="top"/>
            </w:pPr>
            <w:r>
              <w:rPr>
                <w:rFonts w:ascii="Times New Roman" w:eastAsia="宋体" w:hAnsi="Times New Roman"/>
                <w:color w:val="000000"/>
                <w:sz w:val="20"/>
                <w:szCs w:val="20"/>
              </w:rPr>
              <w:t>2/16/2021</w:t>
            </w:r>
          </w:p>
        </w:tc>
        <w:tc>
          <w:tcPr>
            <w:tcW w:w="0" w:type="auto"/>
            <w:gridSpan w:val="3"/>
            <w:shd w:val="clear" w:color="auto" w:fill="CCEEFF"/>
            <w:tcMar>
              <w:top w:w="0" w:type="dxa"/>
              <w:left w:w="20" w:type="dxa"/>
              <w:bottom w:w="0" w:type="dxa"/>
              <w:right w:w="20" w:type="dxa"/>
            </w:tcMar>
            <w:vAlign w:val="bottom"/>
          </w:tcPr>
          <w:p w14:paraId="518B839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394" w14:textId="77777777" w:rsidR="005C332D" w:rsidRDefault="005C332D">
            <w:pPr>
              <w:rPr>
                <w:rFonts w:ascii="宋体"/>
              </w:rPr>
            </w:pPr>
          </w:p>
        </w:tc>
      </w:tr>
      <w:tr w:rsidR="005C332D" w14:paraId="518B83A3" w14:textId="77777777">
        <w:tc>
          <w:tcPr>
            <w:tcW w:w="0" w:type="auto"/>
            <w:gridSpan w:val="3"/>
            <w:shd w:val="clear" w:color="auto" w:fill="FFFFFF"/>
            <w:tcMar>
              <w:top w:w="40" w:type="dxa"/>
              <w:left w:w="87" w:type="dxa"/>
              <w:bottom w:w="40" w:type="dxa"/>
              <w:right w:w="87" w:type="dxa"/>
            </w:tcMar>
          </w:tcPr>
          <w:p w14:paraId="518B8396" w14:textId="77777777" w:rsidR="005C332D" w:rsidRDefault="00B93EAE">
            <w:pPr>
              <w:jc w:val="center"/>
              <w:textAlignment w:val="top"/>
            </w:pPr>
            <w:r>
              <w:rPr>
                <w:rFonts w:ascii="Times New Roman" w:eastAsia="宋体" w:hAnsi="Times New Roman"/>
                <w:color w:val="000000"/>
                <w:sz w:val="20"/>
                <w:szCs w:val="20"/>
              </w:rPr>
              <w:t>4.6</w:t>
            </w:r>
          </w:p>
        </w:tc>
        <w:tc>
          <w:tcPr>
            <w:tcW w:w="0" w:type="auto"/>
            <w:gridSpan w:val="3"/>
            <w:shd w:val="clear" w:color="auto" w:fill="FFFFFF"/>
            <w:tcMar>
              <w:top w:w="0" w:type="dxa"/>
              <w:left w:w="20" w:type="dxa"/>
              <w:bottom w:w="0" w:type="dxa"/>
              <w:right w:w="20" w:type="dxa"/>
            </w:tcMar>
            <w:vAlign w:val="bottom"/>
          </w:tcPr>
          <w:p w14:paraId="518B8397"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98" w14:textId="77777777" w:rsidR="005C332D" w:rsidRDefault="00B93EAE">
            <w:pPr>
              <w:textAlignment w:val="top"/>
            </w:pPr>
            <w:hyperlink r:id="rId188" w:history="1">
              <w:r>
                <w:rPr>
                  <w:rStyle w:val="a5"/>
                  <w:rFonts w:ascii="Times New Roman" w:eastAsia="宋体" w:hAnsi="Times New Roman"/>
                  <w:sz w:val="20"/>
                  <w:szCs w:val="20"/>
                </w:rPr>
                <w:t>First Supplemental Indenture, dated January 25, 2021 to the Indenture, dated March 3, 2014, between the Company and The Bank of New Y</w:t>
              </w:r>
              <w:r>
                <w:rPr>
                  <w:rStyle w:val="a5"/>
                  <w:rFonts w:ascii="Times New Roman" w:eastAsia="宋体" w:hAnsi="Times New Roman"/>
                  <w:sz w:val="20"/>
                  <w:szCs w:val="20"/>
                </w:rPr>
                <w:t>ork Mellon Trust Company</w:t>
              </w:r>
            </w:hyperlink>
          </w:p>
        </w:tc>
        <w:tc>
          <w:tcPr>
            <w:tcW w:w="0" w:type="auto"/>
            <w:gridSpan w:val="3"/>
            <w:shd w:val="clear" w:color="auto" w:fill="FFFFFF"/>
            <w:tcMar>
              <w:top w:w="0" w:type="dxa"/>
              <w:left w:w="20" w:type="dxa"/>
              <w:bottom w:w="0" w:type="dxa"/>
              <w:right w:w="20" w:type="dxa"/>
            </w:tcMar>
            <w:vAlign w:val="bottom"/>
          </w:tcPr>
          <w:p w14:paraId="518B8399"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9A" w14:textId="77777777" w:rsidR="005C332D" w:rsidRDefault="00B93EAE">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518B839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9C"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FFFFFF"/>
            <w:tcMar>
              <w:top w:w="0" w:type="dxa"/>
              <w:left w:w="20" w:type="dxa"/>
              <w:bottom w:w="0" w:type="dxa"/>
              <w:right w:w="20" w:type="dxa"/>
            </w:tcMar>
            <w:vAlign w:val="bottom"/>
          </w:tcPr>
          <w:p w14:paraId="518B839D"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9E" w14:textId="77777777" w:rsidR="005C332D" w:rsidRDefault="00B93EAE">
            <w:pPr>
              <w:jc w:val="center"/>
              <w:textAlignment w:val="top"/>
            </w:pPr>
            <w:r>
              <w:rPr>
                <w:rFonts w:ascii="Times New Roman" w:eastAsia="宋体" w:hAnsi="Times New Roman"/>
                <w:color w:val="000000"/>
                <w:sz w:val="20"/>
                <w:szCs w:val="20"/>
              </w:rPr>
              <w:t>4.3</w:t>
            </w:r>
          </w:p>
        </w:tc>
        <w:tc>
          <w:tcPr>
            <w:tcW w:w="0" w:type="auto"/>
            <w:gridSpan w:val="3"/>
            <w:shd w:val="clear" w:color="auto" w:fill="FFFFFF"/>
            <w:tcMar>
              <w:top w:w="0" w:type="dxa"/>
              <w:left w:w="20" w:type="dxa"/>
              <w:bottom w:w="0" w:type="dxa"/>
              <w:right w:w="20" w:type="dxa"/>
            </w:tcMar>
            <w:vAlign w:val="bottom"/>
          </w:tcPr>
          <w:p w14:paraId="518B839F"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A0" w14:textId="77777777" w:rsidR="005C332D" w:rsidRDefault="00B93EAE">
            <w:pPr>
              <w:jc w:val="right"/>
              <w:textAlignment w:val="top"/>
            </w:pPr>
            <w:r>
              <w:rPr>
                <w:rFonts w:ascii="Times New Roman" w:eastAsia="宋体" w:hAnsi="Times New Roman"/>
                <w:color w:val="000000"/>
                <w:sz w:val="20"/>
                <w:szCs w:val="20"/>
              </w:rPr>
              <w:t>2/16/2021</w:t>
            </w:r>
          </w:p>
        </w:tc>
        <w:tc>
          <w:tcPr>
            <w:tcW w:w="0" w:type="auto"/>
            <w:gridSpan w:val="3"/>
            <w:shd w:val="clear" w:color="auto" w:fill="FFFFFF"/>
            <w:tcMar>
              <w:top w:w="0" w:type="dxa"/>
              <w:left w:w="20" w:type="dxa"/>
              <w:bottom w:w="0" w:type="dxa"/>
              <w:right w:w="20" w:type="dxa"/>
            </w:tcMar>
            <w:vAlign w:val="bottom"/>
          </w:tcPr>
          <w:p w14:paraId="518B83A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3A2" w14:textId="77777777" w:rsidR="005C332D" w:rsidRDefault="005C332D">
            <w:pPr>
              <w:rPr>
                <w:rFonts w:ascii="宋体"/>
              </w:rPr>
            </w:pPr>
          </w:p>
        </w:tc>
      </w:tr>
      <w:tr w:rsidR="005C332D" w14:paraId="518B83B1" w14:textId="77777777">
        <w:tc>
          <w:tcPr>
            <w:tcW w:w="0" w:type="auto"/>
            <w:gridSpan w:val="3"/>
            <w:shd w:val="clear" w:color="auto" w:fill="CCEEFF"/>
            <w:tcMar>
              <w:top w:w="40" w:type="dxa"/>
              <w:left w:w="87" w:type="dxa"/>
              <w:bottom w:w="40" w:type="dxa"/>
              <w:right w:w="87" w:type="dxa"/>
            </w:tcMar>
          </w:tcPr>
          <w:p w14:paraId="518B83A4" w14:textId="77777777" w:rsidR="005C332D" w:rsidRDefault="00B93EAE">
            <w:pPr>
              <w:jc w:val="center"/>
              <w:textAlignment w:val="top"/>
            </w:pPr>
            <w:r>
              <w:rPr>
                <w:rFonts w:ascii="Times New Roman" w:eastAsia="宋体" w:hAnsi="Times New Roman"/>
                <w:color w:val="000000"/>
                <w:sz w:val="20"/>
                <w:szCs w:val="20"/>
              </w:rPr>
              <w:t>4.7</w:t>
            </w:r>
          </w:p>
        </w:tc>
        <w:tc>
          <w:tcPr>
            <w:tcW w:w="0" w:type="auto"/>
            <w:gridSpan w:val="3"/>
            <w:shd w:val="clear" w:color="auto" w:fill="CCEEFF"/>
            <w:tcMar>
              <w:top w:w="0" w:type="dxa"/>
              <w:left w:w="20" w:type="dxa"/>
              <w:bottom w:w="0" w:type="dxa"/>
              <w:right w:w="20" w:type="dxa"/>
            </w:tcMar>
            <w:vAlign w:val="bottom"/>
          </w:tcPr>
          <w:p w14:paraId="518B83A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A6" w14:textId="77777777" w:rsidR="005C332D" w:rsidRDefault="00B93EAE">
            <w:pPr>
              <w:textAlignment w:val="top"/>
            </w:pPr>
            <w:hyperlink r:id="rId189" w:history="1">
              <w:r>
                <w:rPr>
                  <w:rStyle w:val="a5"/>
                  <w:rFonts w:ascii="Times New Roman" w:eastAsia="宋体" w:hAnsi="Times New Roman"/>
                  <w:sz w:val="20"/>
                  <w:szCs w:val="20"/>
                </w:rPr>
                <w:t>Forms of Global Note for the registrant’s 5.90% Senior Notes due 2039</w:t>
              </w:r>
            </w:hyperlink>
          </w:p>
        </w:tc>
        <w:tc>
          <w:tcPr>
            <w:tcW w:w="0" w:type="auto"/>
            <w:gridSpan w:val="3"/>
            <w:shd w:val="clear" w:color="auto" w:fill="CCEEFF"/>
            <w:tcMar>
              <w:top w:w="0" w:type="dxa"/>
              <w:left w:w="20" w:type="dxa"/>
              <w:bottom w:w="0" w:type="dxa"/>
              <w:right w:w="20" w:type="dxa"/>
            </w:tcMar>
            <w:vAlign w:val="bottom"/>
          </w:tcPr>
          <w:p w14:paraId="518B83A7"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A8"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CCEEFF"/>
            <w:tcMar>
              <w:top w:w="0" w:type="dxa"/>
              <w:left w:w="20" w:type="dxa"/>
              <w:bottom w:w="0" w:type="dxa"/>
              <w:right w:w="20" w:type="dxa"/>
            </w:tcMar>
            <w:vAlign w:val="bottom"/>
          </w:tcPr>
          <w:p w14:paraId="518B83A9"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AA"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CCEEFF"/>
            <w:tcMar>
              <w:top w:w="0" w:type="dxa"/>
              <w:left w:w="20" w:type="dxa"/>
              <w:bottom w:w="0" w:type="dxa"/>
              <w:right w:w="20" w:type="dxa"/>
            </w:tcMar>
            <w:vAlign w:val="bottom"/>
          </w:tcPr>
          <w:p w14:paraId="518B83AB"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AC" w14:textId="77777777" w:rsidR="005C332D" w:rsidRDefault="00B93EAE">
            <w:pPr>
              <w:jc w:val="center"/>
              <w:textAlignment w:val="top"/>
            </w:pPr>
            <w:r>
              <w:rPr>
                <w:rFonts w:ascii="Times New Roman" w:eastAsia="宋体" w:hAnsi="Times New Roman"/>
                <w:color w:val="000000"/>
                <w:sz w:val="20"/>
                <w:szCs w:val="20"/>
              </w:rPr>
              <w:t>4.1</w:t>
            </w:r>
          </w:p>
        </w:tc>
        <w:tc>
          <w:tcPr>
            <w:tcW w:w="0" w:type="auto"/>
            <w:gridSpan w:val="3"/>
            <w:shd w:val="clear" w:color="auto" w:fill="CCEEFF"/>
            <w:tcMar>
              <w:top w:w="0" w:type="dxa"/>
              <w:left w:w="20" w:type="dxa"/>
              <w:bottom w:w="0" w:type="dxa"/>
              <w:right w:w="20" w:type="dxa"/>
            </w:tcMar>
            <w:vAlign w:val="bottom"/>
          </w:tcPr>
          <w:p w14:paraId="518B83AD"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AE" w14:textId="77777777" w:rsidR="005C332D" w:rsidRDefault="00B93EAE">
            <w:pPr>
              <w:jc w:val="right"/>
              <w:textAlignment w:val="top"/>
            </w:pPr>
            <w:r>
              <w:rPr>
                <w:rFonts w:ascii="Times New Roman" w:eastAsia="宋体" w:hAnsi="Times New Roman"/>
                <w:color w:val="000000"/>
                <w:sz w:val="20"/>
                <w:szCs w:val="20"/>
              </w:rPr>
              <w:t>2/17/2009</w:t>
            </w:r>
          </w:p>
        </w:tc>
        <w:tc>
          <w:tcPr>
            <w:tcW w:w="0" w:type="auto"/>
            <w:gridSpan w:val="3"/>
            <w:shd w:val="clear" w:color="auto" w:fill="CCEEFF"/>
            <w:tcMar>
              <w:top w:w="0" w:type="dxa"/>
              <w:left w:w="20" w:type="dxa"/>
              <w:bottom w:w="0" w:type="dxa"/>
              <w:right w:w="20" w:type="dxa"/>
            </w:tcMar>
            <w:vAlign w:val="bottom"/>
          </w:tcPr>
          <w:p w14:paraId="518B83A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3B0" w14:textId="77777777" w:rsidR="005C332D" w:rsidRDefault="005C332D">
            <w:pPr>
              <w:rPr>
                <w:rFonts w:ascii="宋体"/>
              </w:rPr>
            </w:pPr>
          </w:p>
        </w:tc>
      </w:tr>
      <w:tr w:rsidR="005C332D" w14:paraId="518B83BF" w14:textId="77777777">
        <w:tc>
          <w:tcPr>
            <w:tcW w:w="0" w:type="auto"/>
            <w:gridSpan w:val="3"/>
            <w:shd w:val="clear" w:color="auto" w:fill="FFFFFF"/>
            <w:tcMar>
              <w:top w:w="40" w:type="dxa"/>
              <w:left w:w="87" w:type="dxa"/>
              <w:bottom w:w="40" w:type="dxa"/>
              <w:right w:w="87" w:type="dxa"/>
            </w:tcMar>
          </w:tcPr>
          <w:p w14:paraId="518B83B2" w14:textId="77777777" w:rsidR="005C332D" w:rsidRDefault="00B93EAE">
            <w:pPr>
              <w:jc w:val="center"/>
              <w:textAlignment w:val="top"/>
            </w:pPr>
            <w:r>
              <w:rPr>
                <w:rFonts w:ascii="Times New Roman" w:eastAsia="宋体" w:hAnsi="Times New Roman"/>
                <w:color w:val="000000"/>
                <w:sz w:val="20"/>
                <w:szCs w:val="20"/>
              </w:rPr>
              <w:t>4.8</w:t>
            </w:r>
          </w:p>
        </w:tc>
        <w:tc>
          <w:tcPr>
            <w:tcW w:w="0" w:type="auto"/>
            <w:gridSpan w:val="3"/>
            <w:shd w:val="clear" w:color="auto" w:fill="FFFFFF"/>
            <w:tcMar>
              <w:top w:w="0" w:type="dxa"/>
              <w:left w:w="20" w:type="dxa"/>
              <w:bottom w:w="0" w:type="dxa"/>
              <w:right w:w="20" w:type="dxa"/>
            </w:tcMar>
            <w:vAlign w:val="bottom"/>
          </w:tcPr>
          <w:p w14:paraId="518B83B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B4" w14:textId="77777777" w:rsidR="005C332D" w:rsidRDefault="00B93EAE">
            <w:pPr>
              <w:textAlignment w:val="top"/>
            </w:pPr>
            <w:hyperlink r:id="rId190" w:history="1">
              <w:r>
                <w:rPr>
                  <w:rStyle w:val="a5"/>
                  <w:rFonts w:ascii="Times New Roman" w:eastAsia="宋体" w:hAnsi="Times New Roman"/>
                  <w:sz w:val="20"/>
                  <w:szCs w:val="20"/>
                </w:rPr>
                <w:t>Forms of Global Note for the registrant’s 4.45% Senior Notes due 2020 and 5.50% Senior Notes due 2040</w:t>
              </w:r>
            </w:hyperlink>
          </w:p>
        </w:tc>
        <w:tc>
          <w:tcPr>
            <w:tcW w:w="0" w:type="auto"/>
            <w:gridSpan w:val="3"/>
            <w:shd w:val="clear" w:color="auto" w:fill="FFFFFF"/>
            <w:tcMar>
              <w:top w:w="0" w:type="dxa"/>
              <w:left w:w="20" w:type="dxa"/>
              <w:bottom w:w="0" w:type="dxa"/>
              <w:right w:w="20" w:type="dxa"/>
            </w:tcMar>
            <w:vAlign w:val="bottom"/>
          </w:tcPr>
          <w:p w14:paraId="518B83B5"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B6"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518B83B7"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B8"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FFFFFF"/>
            <w:tcMar>
              <w:top w:w="0" w:type="dxa"/>
              <w:left w:w="20" w:type="dxa"/>
              <w:bottom w:w="0" w:type="dxa"/>
              <w:right w:w="20" w:type="dxa"/>
            </w:tcMar>
            <w:vAlign w:val="bottom"/>
          </w:tcPr>
          <w:p w14:paraId="518B83B9"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BA" w14:textId="77777777" w:rsidR="005C332D" w:rsidRDefault="00B93EAE">
            <w:pPr>
              <w:jc w:val="center"/>
              <w:textAlignment w:val="top"/>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vAlign w:val="bottom"/>
          </w:tcPr>
          <w:p w14:paraId="518B83B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BC" w14:textId="77777777" w:rsidR="005C332D" w:rsidRDefault="00B93EAE">
            <w:pPr>
              <w:jc w:val="right"/>
              <w:textAlignment w:val="top"/>
            </w:pPr>
            <w:r>
              <w:rPr>
                <w:rFonts w:ascii="Times New Roman" w:eastAsia="宋体" w:hAnsi="Times New Roman"/>
                <w:color w:val="000000"/>
                <w:sz w:val="20"/>
                <w:szCs w:val="20"/>
              </w:rPr>
              <w:t>11/17/2009</w:t>
            </w:r>
          </w:p>
        </w:tc>
        <w:tc>
          <w:tcPr>
            <w:tcW w:w="0" w:type="auto"/>
            <w:gridSpan w:val="3"/>
            <w:shd w:val="clear" w:color="auto" w:fill="FFFFFF"/>
            <w:tcMar>
              <w:top w:w="0" w:type="dxa"/>
              <w:left w:w="20" w:type="dxa"/>
              <w:bottom w:w="0" w:type="dxa"/>
              <w:right w:w="20" w:type="dxa"/>
            </w:tcMar>
            <w:vAlign w:val="bottom"/>
          </w:tcPr>
          <w:p w14:paraId="518B83B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3BE" w14:textId="77777777" w:rsidR="005C332D" w:rsidRDefault="005C332D">
            <w:pPr>
              <w:rPr>
                <w:rFonts w:ascii="宋体"/>
              </w:rPr>
            </w:pPr>
          </w:p>
        </w:tc>
      </w:tr>
      <w:tr w:rsidR="005C332D" w14:paraId="518B83CD" w14:textId="77777777">
        <w:tc>
          <w:tcPr>
            <w:tcW w:w="0" w:type="auto"/>
            <w:gridSpan w:val="3"/>
            <w:shd w:val="clear" w:color="auto" w:fill="CCEEFF"/>
            <w:tcMar>
              <w:top w:w="40" w:type="dxa"/>
              <w:left w:w="87" w:type="dxa"/>
              <w:bottom w:w="40" w:type="dxa"/>
              <w:right w:w="87" w:type="dxa"/>
            </w:tcMar>
          </w:tcPr>
          <w:p w14:paraId="518B83C0" w14:textId="77777777" w:rsidR="005C332D" w:rsidRDefault="00B93EAE">
            <w:pPr>
              <w:jc w:val="center"/>
              <w:textAlignment w:val="top"/>
            </w:pPr>
            <w:r>
              <w:rPr>
                <w:rFonts w:ascii="Times New Roman" w:eastAsia="宋体" w:hAnsi="Times New Roman"/>
                <w:color w:val="000000"/>
                <w:sz w:val="20"/>
                <w:szCs w:val="20"/>
              </w:rPr>
              <w:t>4.9</w:t>
            </w:r>
          </w:p>
        </w:tc>
        <w:tc>
          <w:tcPr>
            <w:tcW w:w="0" w:type="auto"/>
            <w:gridSpan w:val="3"/>
            <w:shd w:val="clear" w:color="auto" w:fill="CCEEFF"/>
            <w:tcMar>
              <w:top w:w="0" w:type="dxa"/>
              <w:left w:w="20" w:type="dxa"/>
              <w:bottom w:w="0" w:type="dxa"/>
              <w:right w:w="20" w:type="dxa"/>
            </w:tcMar>
            <w:vAlign w:val="bottom"/>
          </w:tcPr>
          <w:p w14:paraId="518B83C1"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C2" w14:textId="77777777" w:rsidR="005C332D" w:rsidRDefault="00B93EAE">
            <w:pPr>
              <w:textAlignment w:val="top"/>
            </w:pPr>
            <w:hyperlink r:id="rId191" w:history="1">
              <w:r>
                <w:rPr>
                  <w:rStyle w:val="a5"/>
                  <w:rFonts w:ascii="Times New Roman" w:eastAsia="宋体" w:hAnsi="Times New Roman"/>
                  <w:sz w:val="20"/>
                  <w:szCs w:val="20"/>
                </w:rPr>
                <w:t>Form of Officer’s Certificate setting forth the terms of the Fixed and Floating Rate Notes issued in March 2014</w:t>
              </w:r>
            </w:hyperlink>
          </w:p>
        </w:tc>
        <w:tc>
          <w:tcPr>
            <w:tcW w:w="0" w:type="auto"/>
            <w:gridSpan w:val="3"/>
            <w:shd w:val="clear" w:color="auto" w:fill="CCEEFF"/>
            <w:tcMar>
              <w:top w:w="0" w:type="dxa"/>
              <w:left w:w="20" w:type="dxa"/>
              <w:bottom w:w="0" w:type="dxa"/>
              <w:right w:w="20" w:type="dxa"/>
            </w:tcMar>
            <w:vAlign w:val="bottom"/>
          </w:tcPr>
          <w:p w14:paraId="518B83C3"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C4"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CCEEFF"/>
            <w:tcMar>
              <w:top w:w="0" w:type="dxa"/>
              <w:left w:w="20" w:type="dxa"/>
              <w:bottom w:w="0" w:type="dxa"/>
              <w:right w:w="20" w:type="dxa"/>
            </w:tcMar>
            <w:vAlign w:val="bottom"/>
          </w:tcPr>
          <w:p w14:paraId="518B83C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C6"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CCEEFF"/>
            <w:tcMar>
              <w:top w:w="0" w:type="dxa"/>
              <w:left w:w="20" w:type="dxa"/>
              <w:bottom w:w="0" w:type="dxa"/>
              <w:right w:w="20" w:type="dxa"/>
            </w:tcMar>
            <w:vAlign w:val="bottom"/>
          </w:tcPr>
          <w:p w14:paraId="518B83C7"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C8" w14:textId="77777777" w:rsidR="005C332D" w:rsidRDefault="00B93EAE">
            <w:pPr>
              <w:jc w:val="center"/>
              <w:textAlignment w:val="top"/>
            </w:pPr>
            <w:r>
              <w:rPr>
                <w:rFonts w:ascii="Times New Roman" w:eastAsia="宋体" w:hAnsi="Times New Roman"/>
                <w:color w:val="000000"/>
                <w:sz w:val="20"/>
                <w:szCs w:val="20"/>
              </w:rPr>
              <w:t>4.2</w:t>
            </w:r>
          </w:p>
        </w:tc>
        <w:tc>
          <w:tcPr>
            <w:tcW w:w="0" w:type="auto"/>
            <w:gridSpan w:val="3"/>
            <w:shd w:val="clear" w:color="auto" w:fill="CCEEFF"/>
            <w:tcMar>
              <w:top w:w="0" w:type="dxa"/>
              <w:left w:w="20" w:type="dxa"/>
              <w:bottom w:w="0" w:type="dxa"/>
              <w:right w:w="20" w:type="dxa"/>
            </w:tcMar>
            <w:vAlign w:val="bottom"/>
          </w:tcPr>
          <w:p w14:paraId="518B83C9"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CA" w14:textId="77777777" w:rsidR="005C332D" w:rsidRDefault="00B93EAE">
            <w:pPr>
              <w:jc w:val="right"/>
              <w:textAlignment w:val="top"/>
            </w:pPr>
            <w:r>
              <w:rPr>
                <w:rFonts w:ascii="Times New Roman" w:eastAsia="宋体" w:hAnsi="Times New Roman"/>
                <w:color w:val="000000"/>
                <w:sz w:val="20"/>
                <w:szCs w:val="20"/>
              </w:rPr>
              <w:t>3/3/2014</w:t>
            </w:r>
          </w:p>
        </w:tc>
        <w:tc>
          <w:tcPr>
            <w:tcW w:w="0" w:type="auto"/>
            <w:gridSpan w:val="3"/>
            <w:shd w:val="clear" w:color="auto" w:fill="CCEEFF"/>
            <w:tcMar>
              <w:top w:w="0" w:type="dxa"/>
              <w:left w:w="20" w:type="dxa"/>
              <w:bottom w:w="0" w:type="dxa"/>
              <w:right w:w="20" w:type="dxa"/>
            </w:tcMar>
            <w:vAlign w:val="bottom"/>
          </w:tcPr>
          <w:p w14:paraId="518B83C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3CC" w14:textId="77777777" w:rsidR="005C332D" w:rsidRDefault="005C332D">
            <w:pPr>
              <w:rPr>
                <w:rFonts w:ascii="宋体"/>
              </w:rPr>
            </w:pPr>
          </w:p>
        </w:tc>
      </w:tr>
      <w:tr w:rsidR="005C332D" w14:paraId="518B83DB" w14:textId="77777777">
        <w:tc>
          <w:tcPr>
            <w:tcW w:w="0" w:type="auto"/>
            <w:gridSpan w:val="3"/>
            <w:shd w:val="clear" w:color="auto" w:fill="FFFFFF"/>
            <w:tcMar>
              <w:top w:w="40" w:type="dxa"/>
              <w:left w:w="87" w:type="dxa"/>
              <w:bottom w:w="40" w:type="dxa"/>
              <w:right w:w="87" w:type="dxa"/>
            </w:tcMar>
          </w:tcPr>
          <w:p w14:paraId="518B83CE" w14:textId="77777777" w:rsidR="005C332D" w:rsidRDefault="00B93EAE">
            <w:pPr>
              <w:jc w:val="center"/>
              <w:textAlignment w:val="top"/>
            </w:pPr>
            <w:r>
              <w:rPr>
                <w:rFonts w:ascii="Times New Roman" w:eastAsia="宋体" w:hAnsi="Times New Roman"/>
                <w:color w:val="000000"/>
                <w:sz w:val="20"/>
                <w:szCs w:val="20"/>
              </w:rPr>
              <w:t>4.10</w:t>
            </w:r>
          </w:p>
        </w:tc>
        <w:tc>
          <w:tcPr>
            <w:tcW w:w="0" w:type="auto"/>
            <w:gridSpan w:val="3"/>
            <w:shd w:val="clear" w:color="auto" w:fill="FFFFFF"/>
            <w:tcMar>
              <w:top w:w="0" w:type="dxa"/>
              <w:left w:w="20" w:type="dxa"/>
              <w:bottom w:w="0" w:type="dxa"/>
              <w:right w:w="20" w:type="dxa"/>
            </w:tcMar>
            <w:vAlign w:val="bottom"/>
          </w:tcPr>
          <w:p w14:paraId="518B83CF"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D0" w14:textId="77777777" w:rsidR="005C332D" w:rsidRDefault="00B93EAE">
            <w:pPr>
              <w:textAlignment w:val="top"/>
            </w:pPr>
            <w:hyperlink r:id="rId192" w:history="1">
              <w:r>
                <w:rPr>
                  <w:rStyle w:val="a5"/>
                  <w:rFonts w:ascii="Times New Roman" w:eastAsia="宋体" w:hAnsi="Times New Roman"/>
                  <w:sz w:val="20"/>
                  <w:szCs w:val="20"/>
                </w:rPr>
                <w:t>Form of Officer’s Certificate setting forth the terms of the Fixed and Floating Notes issued in June 2015</w:t>
              </w:r>
            </w:hyperlink>
          </w:p>
        </w:tc>
        <w:tc>
          <w:tcPr>
            <w:tcW w:w="0" w:type="auto"/>
            <w:gridSpan w:val="3"/>
            <w:shd w:val="clear" w:color="auto" w:fill="FFFFFF"/>
            <w:tcMar>
              <w:top w:w="0" w:type="dxa"/>
              <w:left w:w="20" w:type="dxa"/>
              <w:bottom w:w="0" w:type="dxa"/>
              <w:right w:w="20" w:type="dxa"/>
            </w:tcMar>
            <w:vAlign w:val="bottom"/>
          </w:tcPr>
          <w:p w14:paraId="518B83D1"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D2"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518B83D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D4"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FFFFFF"/>
            <w:tcMar>
              <w:top w:w="0" w:type="dxa"/>
              <w:left w:w="20" w:type="dxa"/>
              <w:bottom w:w="0" w:type="dxa"/>
              <w:right w:w="20" w:type="dxa"/>
            </w:tcMar>
            <w:vAlign w:val="bottom"/>
          </w:tcPr>
          <w:p w14:paraId="518B83D5"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D6" w14:textId="77777777" w:rsidR="005C332D" w:rsidRDefault="00B93EAE">
            <w:pPr>
              <w:jc w:val="center"/>
              <w:textAlignment w:val="top"/>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vAlign w:val="bottom"/>
          </w:tcPr>
          <w:p w14:paraId="518B83D7"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D8" w14:textId="77777777" w:rsidR="005C332D" w:rsidRDefault="00B93EAE">
            <w:pPr>
              <w:jc w:val="right"/>
              <w:textAlignment w:val="top"/>
            </w:pPr>
            <w:r>
              <w:rPr>
                <w:rFonts w:ascii="Times New Roman" w:eastAsia="宋体" w:hAnsi="Times New Roman"/>
                <w:color w:val="000000"/>
                <w:sz w:val="20"/>
                <w:szCs w:val="20"/>
              </w:rPr>
              <w:t>6/18/2015</w:t>
            </w:r>
          </w:p>
        </w:tc>
        <w:tc>
          <w:tcPr>
            <w:tcW w:w="0" w:type="auto"/>
            <w:gridSpan w:val="3"/>
            <w:shd w:val="clear" w:color="auto" w:fill="FFFFFF"/>
            <w:tcMar>
              <w:top w:w="0" w:type="dxa"/>
              <w:left w:w="20" w:type="dxa"/>
              <w:bottom w:w="0" w:type="dxa"/>
              <w:right w:w="20" w:type="dxa"/>
            </w:tcMar>
            <w:vAlign w:val="bottom"/>
          </w:tcPr>
          <w:p w14:paraId="518B83D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3DA" w14:textId="77777777" w:rsidR="005C332D" w:rsidRDefault="005C332D">
            <w:pPr>
              <w:rPr>
                <w:rFonts w:ascii="宋体"/>
              </w:rPr>
            </w:pPr>
          </w:p>
        </w:tc>
      </w:tr>
      <w:tr w:rsidR="005C332D" w14:paraId="518B83E9" w14:textId="77777777">
        <w:tc>
          <w:tcPr>
            <w:tcW w:w="0" w:type="auto"/>
            <w:gridSpan w:val="3"/>
            <w:shd w:val="clear" w:color="auto" w:fill="CCEEFF"/>
            <w:tcMar>
              <w:top w:w="40" w:type="dxa"/>
              <w:left w:w="87" w:type="dxa"/>
              <w:bottom w:w="40" w:type="dxa"/>
              <w:right w:w="87" w:type="dxa"/>
            </w:tcMar>
          </w:tcPr>
          <w:p w14:paraId="518B83DC" w14:textId="77777777" w:rsidR="005C332D" w:rsidRDefault="00B93EAE">
            <w:pPr>
              <w:jc w:val="center"/>
              <w:textAlignment w:val="top"/>
            </w:pPr>
            <w:r>
              <w:rPr>
                <w:rFonts w:ascii="Times New Roman" w:eastAsia="宋体" w:hAnsi="Times New Roman"/>
                <w:color w:val="000000"/>
                <w:sz w:val="20"/>
                <w:szCs w:val="20"/>
              </w:rPr>
              <w:t>4.11</w:t>
            </w:r>
          </w:p>
        </w:tc>
        <w:tc>
          <w:tcPr>
            <w:tcW w:w="0" w:type="auto"/>
            <w:gridSpan w:val="3"/>
            <w:shd w:val="clear" w:color="auto" w:fill="CCEEFF"/>
            <w:tcMar>
              <w:top w:w="0" w:type="dxa"/>
              <w:left w:w="20" w:type="dxa"/>
              <w:bottom w:w="0" w:type="dxa"/>
              <w:right w:w="20" w:type="dxa"/>
            </w:tcMar>
            <w:vAlign w:val="bottom"/>
          </w:tcPr>
          <w:p w14:paraId="518B83DD"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DE" w14:textId="77777777" w:rsidR="005C332D" w:rsidRDefault="00B93EAE">
            <w:pPr>
              <w:textAlignment w:val="top"/>
            </w:pPr>
            <w:hyperlink r:id="rId193" w:history="1">
              <w:r>
                <w:rPr>
                  <w:rStyle w:val="a5"/>
                  <w:rFonts w:ascii="Times New Roman" w:eastAsia="宋体" w:hAnsi="Times New Roman"/>
                  <w:sz w:val="20"/>
                  <w:szCs w:val="20"/>
                </w:rPr>
                <w:t>Form of Officer’s Certificate setting forth the terms of the Fixed and Floating Notes issued in February 2016</w:t>
              </w:r>
            </w:hyperlink>
          </w:p>
        </w:tc>
        <w:tc>
          <w:tcPr>
            <w:tcW w:w="0" w:type="auto"/>
            <w:gridSpan w:val="3"/>
            <w:shd w:val="clear" w:color="auto" w:fill="CCEEFF"/>
            <w:tcMar>
              <w:top w:w="0" w:type="dxa"/>
              <w:left w:w="20" w:type="dxa"/>
              <w:bottom w:w="0" w:type="dxa"/>
              <w:right w:w="20" w:type="dxa"/>
            </w:tcMar>
            <w:vAlign w:val="bottom"/>
          </w:tcPr>
          <w:p w14:paraId="518B83DF"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E0"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CCEEFF"/>
            <w:tcMar>
              <w:top w:w="0" w:type="dxa"/>
              <w:left w:w="20" w:type="dxa"/>
              <w:bottom w:w="0" w:type="dxa"/>
              <w:right w:w="20" w:type="dxa"/>
            </w:tcMar>
            <w:vAlign w:val="bottom"/>
          </w:tcPr>
          <w:p w14:paraId="518B83E1"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E2"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CCEEFF"/>
            <w:tcMar>
              <w:top w:w="0" w:type="dxa"/>
              <w:left w:w="20" w:type="dxa"/>
              <w:bottom w:w="0" w:type="dxa"/>
              <w:right w:w="20" w:type="dxa"/>
            </w:tcMar>
            <w:vAlign w:val="bottom"/>
          </w:tcPr>
          <w:p w14:paraId="518B83E3"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E4" w14:textId="77777777" w:rsidR="005C332D" w:rsidRDefault="00B93EAE">
            <w:pPr>
              <w:jc w:val="center"/>
              <w:textAlignment w:val="top"/>
            </w:pPr>
            <w:r>
              <w:rPr>
                <w:rFonts w:ascii="Times New Roman" w:eastAsia="宋体" w:hAnsi="Times New Roman"/>
                <w:color w:val="000000"/>
                <w:sz w:val="20"/>
                <w:szCs w:val="20"/>
              </w:rPr>
              <w:t>4.1</w:t>
            </w:r>
          </w:p>
        </w:tc>
        <w:tc>
          <w:tcPr>
            <w:tcW w:w="0" w:type="auto"/>
            <w:gridSpan w:val="3"/>
            <w:shd w:val="clear" w:color="auto" w:fill="CCEEFF"/>
            <w:tcMar>
              <w:top w:w="0" w:type="dxa"/>
              <w:left w:w="20" w:type="dxa"/>
              <w:bottom w:w="0" w:type="dxa"/>
              <w:right w:w="20" w:type="dxa"/>
            </w:tcMar>
            <w:vAlign w:val="bottom"/>
          </w:tcPr>
          <w:p w14:paraId="518B83E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E6" w14:textId="77777777" w:rsidR="005C332D" w:rsidRDefault="00B93EAE">
            <w:pPr>
              <w:jc w:val="right"/>
              <w:textAlignment w:val="top"/>
            </w:pPr>
            <w:r>
              <w:rPr>
                <w:rFonts w:ascii="Times New Roman" w:eastAsia="宋体" w:hAnsi="Times New Roman"/>
                <w:color w:val="000000"/>
                <w:sz w:val="20"/>
                <w:szCs w:val="20"/>
              </w:rPr>
              <w:t>2/29/2016</w:t>
            </w:r>
          </w:p>
        </w:tc>
        <w:tc>
          <w:tcPr>
            <w:tcW w:w="0" w:type="auto"/>
            <w:gridSpan w:val="3"/>
            <w:shd w:val="clear" w:color="auto" w:fill="CCEEFF"/>
            <w:tcMar>
              <w:top w:w="0" w:type="dxa"/>
              <w:left w:w="20" w:type="dxa"/>
              <w:bottom w:w="0" w:type="dxa"/>
              <w:right w:w="20" w:type="dxa"/>
            </w:tcMar>
            <w:vAlign w:val="bottom"/>
          </w:tcPr>
          <w:p w14:paraId="518B83E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3E8" w14:textId="77777777" w:rsidR="005C332D" w:rsidRDefault="005C332D">
            <w:pPr>
              <w:rPr>
                <w:rFonts w:ascii="宋体"/>
              </w:rPr>
            </w:pPr>
          </w:p>
        </w:tc>
      </w:tr>
      <w:tr w:rsidR="005C332D" w14:paraId="518B83F7" w14:textId="77777777">
        <w:tc>
          <w:tcPr>
            <w:tcW w:w="0" w:type="auto"/>
            <w:gridSpan w:val="3"/>
            <w:shd w:val="clear" w:color="auto" w:fill="FFFFFF"/>
            <w:tcMar>
              <w:top w:w="40" w:type="dxa"/>
              <w:left w:w="87" w:type="dxa"/>
              <w:bottom w:w="40" w:type="dxa"/>
              <w:right w:w="87" w:type="dxa"/>
            </w:tcMar>
          </w:tcPr>
          <w:p w14:paraId="518B83EA" w14:textId="77777777" w:rsidR="005C332D" w:rsidRDefault="00B93EAE">
            <w:pPr>
              <w:jc w:val="center"/>
              <w:textAlignment w:val="top"/>
            </w:pPr>
            <w:r>
              <w:rPr>
                <w:rFonts w:ascii="Times New Roman" w:eastAsia="宋体" w:hAnsi="Times New Roman"/>
                <w:color w:val="000000"/>
                <w:sz w:val="20"/>
                <w:szCs w:val="20"/>
              </w:rPr>
              <w:t>4.12</w:t>
            </w:r>
          </w:p>
        </w:tc>
        <w:tc>
          <w:tcPr>
            <w:tcW w:w="0" w:type="auto"/>
            <w:gridSpan w:val="3"/>
            <w:shd w:val="clear" w:color="auto" w:fill="FFFFFF"/>
            <w:tcMar>
              <w:top w:w="0" w:type="dxa"/>
              <w:left w:w="20" w:type="dxa"/>
              <w:bottom w:w="0" w:type="dxa"/>
              <w:right w:w="20" w:type="dxa"/>
            </w:tcMar>
            <w:vAlign w:val="bottom"/>
          </w:tcPr>
          <w:p w14:paraId="518B83E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EC" w14:textId="77777777" w:rsidR="005C332D" w:rsidRDefault="00B93EAE">
            <w:pPr>
              <w:textAlignment w:val="top"/>
            </w:pPr>
            <w:hyperlink r:id="rId194" w:history="1">
              <w:r>
                <w:rPr>
                  <w:rStyle w:val="a5"/>
                  <w:rFonts w:ascii="Times New Roman" w:eastAsia="宋体" w:hAnsi="Times New Roman"/>
                  <w:sz w:val="20"/>
                  <w:szCs w:val="20"/>
                </w:rPr>
                <w:t>Form of Officer’s Certificate setting forth the terms of the Fixed and Floating Notes issued in September 2016</w:t>
              </w:r>
            </w:hyperlink>
          </w:p>
        </w:tc>
        <w:tc>
          <w:tcPr>
            <w:tcW w:w="0" w:type="auto"/>
            <w:gridSpan w:val="3"/>
            <w:shd w:val="clear" w:color="auto" w:fill="FFFFFF"/>
            <w:tcMar>
              <w:top w:w="0" w:type="dxa"/>
              <w:left w:w="20" w:type="dxa"/>
              <w:bottom w:w="0" w:type="dxa"/>
              <w:right w:w="20" w:type="dxa"/>
            </w:tcMar>
            <w:vAlign w:val="bottom"/>
          </w:tcPr>
          <w:p w14:paraId="518B83ED"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EE"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518B83EF"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F0"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FFFFFF"/>
            <w:tcMar>
              <w:top w:w="0" w:type="dxa"/>
              <w:left w:w="20" w:type="dxa"/>
              <w:bottom w:w="0" w:type="dxa"/>
              <w:right w:w="20" w:type="dxa"/>
            </w:tcMar>
            <w:vAlign w:val="bottom"/>
          </w:tcPr>
          <w:p w14:paraId="518B83F1"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F2" w14:textId="77777777" w:rsidR="005C332D" w:rsidRDefault="00B93EAE">
            <w:pPr>
              <w:jc w:val="center"/>
              <w:textAlignment w:val="top"/>
            </w:pPr>
            <w:r>
              <w:rPr>
                <w:rFonts w:ascii="Times New Roman" w:eastAsia="宋体" w:hAnsi="Times New Roman"/>
                <w:color w:val="000000"/>
                <w:sz w:val="20"/>
                <w:szCs w:val="20"/>
              </w:rPr>
              <w:t>4.1</w:t>
            </w:r>
          </w:p>
        </w:tc>
        <w:tc>
          <w:tcPr>
            <w:tcW w:w="0" w:type="auto"/>
            <w:gridSpan w:val="3"/>
            <w:shd w:val="clear" w:color="auto" w:fill="FFFFFF"/>
            <w:tcMar>
              <w:top w:w="0" w:type="dxa"/>
              <w:left w:w="20" w:type="dxa"/>
              <w:bottom w:w="0" w:type="dxa"/>
              <w:right w:w="20" w:type="dxa"/>
            </w:tcMar>
            <w:vAlign w:val="bottom"/>
          </w:tcPr>
          <w:p w14:paraId="518B83F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3F4" w14:textId="77777777" w:rsidR="005C332D" w:rsidRDefault="00B93EAE">
            <w:pPr>
              <w:jc w:val="right"/>
              <w:textAlignment w:val="top"/>
            </w:pPr>
            <w:r>
              <w:rPr>
                <w:rFonts w:ascii="Times New Roman" w:eastAsia="宋体" w:hAnsi="Times New Roman"/>
                <w:color w:val="000000"/>
                <w:sz w:val="20"/>
                <w:szCs w:val="20"/>
              </w:rPr>
              <w:t>9/20/2016</w:t>
            </w:r>
          </w:p>
        </w:tc>
        <w:tc>
          <w:tcPr>
            <w:tcW w:w="0" w:type="auto"/>
            <w:gridSpan w:val="3"/>
            <w:shd w:val="clear" w:color="auto" w:fill="FFFFFF"/>
            <w:tcMar>
              <w:top w:w="0" w:type="dxa"/>
              <w:left w:w="20" w:type="dxa"/>
              <w:bottom w:w="0" w:type="dxa"/>
              <w:right w:w="20" w:type="dxa"/>
            </w:tcMar>
            <w:vAlign w:val="bottom"/>
          </w:tcPr>
          <w:p w14:paraId="518B83F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3F6" w14:textId="77777777" w:rsidR="005C332D" w:rsidRDefault="005C332D">
            <w:pPr>
              <w:rPr>
                <w:rFonts w:ascii="宋体"/>
              </w:rPr>
            </w:pPr>
          </w:p>
        </w:tc>
      </w:tr>
      <w:tr w:rsidR="005C332D" w14:paraId="518B8405" w14:textId="77777777">
        <w:tc>
          <w:tcPr>
            <w:tcW w:w="0" w:type="auto"/>
            <w:gridSpan w:val="3"/>
            <w:shd w:val="clear" w:color="auto" w:fill="CCEEFF"/>
            <w:tcMar>
              <w:top w:w="40" w:type="dxa"/>
              <w:left w:w="87" w:type="dxa"/>
              <w:bottom w:w="40" w:type="dxa"/>
              <w:right w:w="87" w:type="dxa"/>
            </w:tcMar>
          </w:tcPr>
          <w:p w14:paraId="518B83F8" w14:textId="77777777" w:rsidR="005C332D" w:rsidRDefault="00B93EAE">
            <w:pPr>
              <w:jc w:val="center"/>
              <w:textAlignment w:val="top"/>
            </w:pPr>
            <w:r>
              <w:rPr>
                <w:rFonts w:ascii="Times New Roman" w:eastAsia="宋体" w:hAnsi="Times New Roman"/>
                <w:color w:val="000000"/>
                <w:sz w:val="20"/>
                <w:szCs w:val="20"/>
              </w:rPr>
              <w:t>4.13</w:t>
            </w:r>
          </w:p>
        </w:tc>
        <w:tc>
          <w:tcPr>
            <w:tcW w:w="0" w:type="auto"/>
            <w:gridSpan w:val="3"/>
            <w:shd w:val="clear" w:color="auto" w:fill="CCEEFF"/>
            <w:tcMar>
              <w:top w:w="0" w:type="dxa"/>
              <w:left w:w="20" w:type="dxa"/>
              <w:bottom w:w="0" w:type="dxa"/>
              <w:right w:w="20" w:type="dxa"/>
            </w:tcMar>
            <w:vAlign w:val="bottom"/>
          </w:tcPr>
          <w:p w14:paraId="518B83F9"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FA" w14:textId="77777777" w:rsidR="005C332D" w:rsidRDefault="00B93EAE">
            <w:pPr>
              <w:textAlignment w:val="top"/>
            </w:pPr>
            <w:hyperlink r:id="rId195" w:history="1">
              <w:r>
                <w:rPr>
                  <w:rStyle w:val="a5"/>
                  <w:rFonts w:ascii="Times New Roman" w:eastAsia="宋体" w:hAnsi="Times New Roman"/>
                  <w:sz w:val="20"/>
                  <w:szCs w:val="20"/>
                </w:rPr>
                <w:t>Description of Registrant’s Securities</w:t>
              </w:r>
            </w:hyperlink>
          </w:p>
        </w:tc>
        <w:tc>
          <w:tcPr>
            <w:tcW w:w="0" w:type="auto"/>
            <w:gridSpan w:val="3"/>
            <w:shd w:val="clear" w:color="auto" w:fill="CCEEFF"/>
            <w:tcMar>
              <w:top w:w="0" w:type="dxa"/>
              <w:left w:w="20" w:type="dxa"/>
              <w:bottom w:w="0" w:type="dxa"/>
              <w:right w:w="20" w:type="dxa"/>
            </w:tcMar>
            <w:vAlign w:val="bottom"/>
          </w:tcPr>
          <w:p w14:paraId="518B83FB"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FC" w14:textId="77777777" w:rsidR="005C332D" w:rsidRDefault="00B93EAE">
            <w:pPr>
              <w:jc w:val="center"/>
              <w:textAlignment w:val="top"/>
            </w:pPr>
            <w:r>
              <w:rPr>
                <w:rFonts w:ascii="Times New Roman" w:eastAsia="宋体" w:hAnsi="Times New Roman"/>
                <w:color w:val="000000"/>
                <w:sz w:val="20"/>
                <w:szCs w:val="20"/>
              </w:rPr>
              <w:t>10-K</w:t>
            </w:r>
          </w:p>
        </w:tc>
        <w:tc>
          <w:tcPr>
            <w:tcW w:w="0" w:type="auto"/>
            <w:gridSpan w:val="3"/>
            <w:shd w:val="clear" w:color="auto" w:fill="CCEEFF"/>
            <w:tcMar>
              <w:top w:w="0" w:type="dxa"/>
              <w:left w:w="20" w:type="dxa"/>
              <w:bottom w:w="0" w:type="dxa"/>
              <w:right w:w="20" w:type="dxa"/>
            </w:tcMar>
            <w:vAlign w:val="bottom"/>
          </w:tcPr>
          <w:p w14:paraId="518B83FD"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3FE"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vAlign w:val="bottom"/>
          </w:tcPr>
          <w:p w14:paraId="518B83FF"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00" w14:textId="77777777" w:rsidR="005C332D" w:rsidRDefault="00B93EAE">
            <w:pPr>
              <w:jc w:val="center"/>
              <w:textAlignment w:val="top"/>
            </w:pPr>
            <w:r>
              <w:rPr>
                <w:rFonts w:ascii="Times New Roman" w:eastAsia="宋体" w:hAnsi="Times New Roman"/>
                <w:color w:val="000000"/>
                <w:sz w:val="20"/>
                <w:szCs w:val="20"/>
              </w:rPr>
              <w:t>4.13</w:t>
            </w:r>
          </w:p>
        </w:tc>
        <w:tc>
          <w:tcPr>
            <w:tcW w:w="0" w:type="auto"/>
            <w:gridSpan w:val="3"/>
            <w:shd w:val="clear" w:color="auto" w:fill="CCEEFF"/>
            <w:tcMar>
              <w:top w:w="0" w:type="dxa"/>
              <w:left w:w="20" w:type="dxa"/>
              <w:bottom w:w="0" w:type="dxa"/>
              <w:right w:w="20" w:type="dxa"/>
            </w:tcMar>
            <w:vAlign w:val="bottom"/>
          </w:tcPr>
          <w:p w14:paraId="518B8401"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02" w14:textId="77777777" w:rsidR="005C332D" w:rsidRDefault="00B93EAE">
            <w:pPr>
              <w:jc w:val="right"/>
              <w:textAlignment w:val="top"/>
            </w:pPr>
            <w:r>
              <w:rPr>
                <w:rFonts w:ascii="Times New Roman" w:eastAsia="宋体" w:hAnsi="Times New Roman"/>
                <w:color w:val="000000"/>
                <w:sz w:val="20"/>
                <w:szCs w:val="20"/>
              </w:rPr>
              <w:t>9/9/2021</w:t>
            </w:r>
          </w:p>
        </w:tc>
        <w:tc>
          <w:tcPr>
            <w:tcW w:w="0" w:type="auto"/>
            <w:gridSpan w:val="3"/>
            <w:shd w:val="clear" w:color="auto" w:fill="CCEEFF"/>
            <w:tcMar>
              <w:top w:w="0" w:type="dxa"/>
              <w:left w:w="20" w:type="dxa"/>
              <w:bottom w:w="0" w:type="dxa"/>
              <w:right w:w="20" w:type="dxa"/>
            </w:tcMar>
            <w:vAlign w:val="bottom"/>
          </w:tcPr>
          <w:p w14:paraId="518B840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04" w14:textId="77777777" w:rsidR="005C332D" w:rsidRDefault="005C332D">
            <w:pPr>
              <w:rPr>
                <w:rFonts w:ascii="宋体"/>
              </w:rPr>
            </w:pPr>
          </w:p>
        </w:tc>
      </w:tr>
      <w:tr w:rsidR="005C332D" w14:paraId="518B8413" w14:textId="77777777">
        <w:tc>
          <w:tcPr>
            <w:tcW w:w="0" w:type="auto"/>
            <w:gridSpan w:val="3"/>
            <w:shd w:val="clear" w:color="auto" w:fill="FFFFFF"/>
            <w:tcMar>
              <w:top w:w="40" w:type="dxa"/>
              <w:left w:w="87" w:type="dxa"/>
              <w:bottom w:w="40" w:type="dxa"/>
              <w:right w:w="87" w:type="dxa"/>
            </w:tcMar>
          </w:tcPr>
          <w:p w14:paraId="518B8406" w14:textId="77777777" w:rsidR="005C332D" w:rsidRDefault="00B93EAE">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518B8407"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08" w14:textId="77777777" w:rsidR="005C332D" w:rsidRDefault="00B93EAE">
            <w:pPr>
              <w:textAlignment w:val="top"/>
            </w:pPr>
            <w:hyperlink r:id="rId196" w:history="1">
              <w:r>
                <w:rPr>
                  <w:rStyle w:val="a5"/>
                  <w:rFonts w:ascii="Times New Roman" w:eastAsia="宋体" w:hAnsi="Times New Roman"/>
                  <w:sz w:val="20"/>
                  <w:szCs w:val="20"/>
                </w:rPr>
                <w:t>Cisco Systems, Inc. 2005 Stock Incentive Plan (including related form agreements)</w:t>
              </w:r>
            </w:hyperlink>
          </w:p>
        </w:tc>
        <w:tc>
          <w:tcPr>
            <w:tcW w:w="0" w:type="auto"/>
            <w:gridSpan w:val="3"/>
            <w:shd w:val="clear" w:color="auto" w:fill="FFFFFF"/>
            <w:tcMar>
              <w:top w:w="0" w:type="dxa"/>
              <w:left w:w="20" w:type="dxa"/>
              <w:bottom w:w="0" w:type="dxa"/>
              <w:right w:w="20" w:type="dxa"/>
            </w:tcMar>
            <w:vAlign w:val="bottom"/>
          </w:tcPr>
          <w:p w14:paraId="518B8409"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0A" w14:textId="77777777" w:rsidR="005C332D" w:rsidRDefault="00B93EAE">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518B840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0C"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FFFFFF"/>
            <w:tcMar>
              <w:top w:w="0" w:type="dxa"/>
              <w:left w:w="20" w:type="dxa"/>
              <w:bottom w:w="0" w:type="dxa"/>
              <w:right w:w="20" w:type="dxa"/>
            </w:tcMar>
            <w:vAlign w:val="bottom"/>
          </w:tcPr>
          <w:p w14:paraId="518B840D"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0E" w14:textId="77777777" w:rsidR="005C332D" w:rsidRDefault="00B93EAE">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518B840F"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10" w14:textId="77777777" w:rsidR="005C332D" w:rsidRDefault="00B93EAE">
            <w:pPr>
              <w:jc w:val="right"/>
              <w:textAlignment w:val="top"/>
            </w:pPr>
            <w:r>
              <w:rPr>
                <w:rFonts w:ascii="Times New Roman" w:eastAsia="宋体" w:hAnsi="Times New Roman"/>
                <w:color w:val="000000"/>
                <w:sz w:val="20"/>
                <w:szCs w:val="20"/>
              </w:rPr>
              <w:t>5/25/2022</w:t>
            </w:r>
          </w:p>
        </w:tc>
        <w:tc>
          <w:tcPr>
            <w:tcW w:w="0" w:type="auto"/>
            <w:gridSpan w:val="3"/>
            <w:shd w:val="clear" w:color="auto" w:fill="FFFFFF"/>
            <w:tcMar>
              <w:top w:w="0" w:type="dxa"/>
              <w:left w:w="20" w:type="dxa"/>
              <w:bottom w:w="0" w:type="dxa"/>
              <w:right w:w="20" w:type="dxa"/>
            </w:tcMar>
            <w:vAlign w:val="bottom"/>
          </w:tcPr>
          <w:p w14:paraId="518B841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12" w14:textId="77777777" w:rsidR="005C332D" w:rsidRDefault="005C332D">
            <w:pPr>
              <w:rPr>
                <w:rFonts w:ascii="宋体"/>
              </w:rPr>
            </w:pPr>
          </w:p>
        </w:tc>
      </w:tr>
      <w:tr w:rsidR="005C332D" w14:paraId="518B8421" w14:textId="77777777">
        <w:tc>
          <w:tcPr>
            <w:tcW w:w="0" w:type="auto"/>
            <w:gridSpan w:val="3"/>
            <w:shd w:val="clear" w:color="auto" w:fill="CCEEFF"/>
            <w:tcMar>
              <w:top w:w="40" w:type="dxa"/>
              <w:left w:w="87" w:type="dxa"/>
              <w:bottom w:w="40" w:type="dxa"/>
              <w:right w:w="87" w:type="dxa"/>
            </w:tcMar>
          </w:tcPr>
          <w:p w14:paraId="518B8414" w14:textId="77777777" w:rsidR="005C332D" w:rsidRDefault="00B93EAE">
            <w:pPr>
              <w:jc w:val="center"/>
              <w:textAlignment w:val="top"/>
            </w:pPr>
            <w:r>
              <w:rPr>
                <w:rFonts w:ascii="Times New Roman" w:eastAsia="宋体" w:hAnsi="Times New Roman"/>
                <w:color w:val="000000"/>
                <w:sz w:val="20"/>
                <w:szCs w:val="20"/>
              </w:rPr>
              <w:t>10.2*</w:t>
            </w:r>
          </w:p>
        </w:tc>
        <w:tc>
          <w:tcPr>
            <w:tcW w:w="0" w:type="auto"/>
            <w:gridSpan w:val="3"/>
            <w:shd w:val="clear" w:color="auto" w:fill="CCEEFF"/>
            <w:tcMar>
              <w:top w:w="0" w:type="dxa"/>
              <w:left w:w="20" w:type="dxa"/>
              <w:bottom w:w="0" w:type="dxa"/>
              <w:right w:w="20" w:type="dxa"/>
            </w:tcMar>
            <w:vAlign w:val="bottom"/>
          </w:tcPr>
          <w:p w14:paraId="518B841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16" w14:textId="77777777" w:rsidR="005C332D" w:rsidRDefault="00B93EAE">
            <w:pPr>
              <w:textAlignment w:val="top"/>
            </w:pPr>
            <w:hyperlink r:id="rId197" w:history="1">
              <w:r>
                <w:rPr>
                  <w:rStyle w:val="a5"/>
                  <w:rFonts w:ascii="Times New Roman" w:eastAsia="宋体" w:hAnsi="Times New Roman"/>
                  <w:sz w:val="20"/>
                  <w:szCs w:val="20"/>
                </w:rPr>
                <w:t>Cisco Systems, Inc. Employee Stock Purchase Plan</w:t>
              </w:r>
            </w:hyperlink>
          </w:p>
        </w:tc>
        <w:tc>
          <w:tcPr>
            <w:tcW w:w="0" w:type="auto"/>
            <w:gridSpan w:val="3"/>
            <w:shd w:val="clear" w:color="auto" w:fill="CCEEFF"/>
            <w:tcMar>
              <w:top w:w="0" w:type="dxa"/>
              <w:left w:w="20" w:type="dxa"/>
              <w:bottom w:w="0" w:type="dxa"/>
              <w:right w:w="20" w:type="dxa"/>
            </w:tcMar>
            <w:vAlign w:val="bottom"/>
          </w:tcPr>
          <w:p w14:paraId="518B8417"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18" w14:textId="77777777" w:rsidR="005C332D" w:rsidRDefault="00B93EAE">
            <w:pPr>
              <w:jc w:val="center"/>
              <w:textAlignment w:val="top"/>
            </w:pPr>
            <w:r>
              <w:rPr>
                <w:rFonts w:ascii="Times New Roman" w:eastAsia="宋体" w:hAnsi="Times New Roman"/>
                <w:color w:val="000000"/>
                <w:sz w:val="20"/>
                <w:szCs w:val="20"/>
              </w:rPr>
              <w:t>10-Q</w:t>
            </w:r>
          </w:p>
        </w:tc>
        <w:tc>
          <w:tcPr>
            <w:tcW w:w="0" w:type="auto"/>
            <w:gridSpan w:val="3"/>
            <w:shd w:val="clear" w:color="auto" w:fill="CCEEFF"/>
            <w:tcMar>
              <w:top w:w="0" w:type="dxa"/>
              <w:left w:w="20" w:type="dxa"/>
              <w:bottom w:w="0" w:type="dxa"/>
              <w:right w:w="20" w:type="dxa"/>
            </w:tcMar>
            <w:vAlign w:val="bottom"/>
          </w:tcPr>
          <w:p w14:paraId="518B8419"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1A"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vAlign w:val="bottom"/>
          </w:tcPr>
          <w:p w14:paraId="518B841B"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1C" w14:textId="77777777" w:rsidR="005C332D" w:rsidRDefault="00B93EAE">
            <w:pPr>
              <w:jc w:val="center"/>
              <w:textAlignment w:val="top"/>
            </w:pPr>
            <w:r>
              <w:rPr>
                <w:rFonts w:ascii="Times New Roman" w:eastAsia="宋体" w:hAnsi="Times New Roman"/>
                <w:color w:val="000000"/>
                <w:sz w:val="20"/>
                <w:szCs w:val="20"/>
              </w:rPr>
              <w:t>10.7</w:t>
            </w:r>
          </w:p>
        </w:tc>
        <w:tc>
          <w:tcPr>
            <w:tcW w:w="0" w:type="auto"/>
            <w:gridSpan w:val="3"/>
            <w:shd w:val="clear" w:color="auto" w:fill="CCEEFF"/>
            <w:tcMar>
              <w:top w:w="0" w:type="dxa"/>
              <w:left w:w="20" w:type="dxa"/>
              <w:bottom w:w="0" w:type="dxa"/>
              <w:right w:w="20" w:type="dxa"/>
            </w:tcMar>
            <w:vAlign w:val="bottom"/>
          </w:tcPr>
          <w:p w14:paraId="518B841D"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1E" w14:textId="77777777" w:rsidR="005C332D" w:rsidRDefault="00B93EAE">
            <w:pPr>
              <w:jc w:val="right"/>
              <w:textAlignment w:val="top"/>
            </w:pPr>
            <w:r>
              <w:rPr>
                <w:rFonts w:ascii="Times New Roman" w:eastAsia="宋体" w:hAnsi="Times New Roman"/>
                <w:color w:val="000000"/>
                <w:sz w:val="20"/>
                <w:szCs w:val="20"/>
              </w:rPr>
              <w:t>2/16/2021</w:t>
            </w:r>
          </w:p>
        </w:tc>
        <w:tc>
          <w:tcPr>
            <w:tcW w:w="0" w:type="auto"/>
            <w:gridSpan w:val="3"/>
            <w:shd w:val="clear" w:color="auto" w:fill="CCEEFF"/>
            <w:tcMar>
              <w:top w:w="0" w:type="dxa"/>
              <w:left w:w="20" w:type="dxa"/>
              <w:bottom w:w="0" w:type="dxa"/>
              <w:right w:w="20" w:type="dxa"/>
            </w:tcMar>
            <w:vAlign w:val="bottom"/>
          </w:tcPr>
          <w:p w14:paraId="518B841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20" w14:textId="77777777" w:rsidR="005C332D" w:rsidRDefault="005C332D">
            <w:pPr>
              <w:rPr>
                <w:rFonts w:ascii="宋体"/>
              </w:rPr>
            </w:pPr>
          </w:p>
        </w:tc>
      </w:tr>
      <w:tr w:rsidR="005C332D" w14:paraId="518B842F" w14:textId="77777777">
        <w:tc>
          <w:tcPr>
            <w:tcW w:w="0" w:type="auto"/>
            <w:gridSpan w:val="3"/>
            <w:shd w:val="clear" w:color="auto" w:fill="FFFFFF"/>
            <w:tcMar>
              <w:top w:w="40" w:type="dxa"/>
              <w:left w:w="87" w:type="dxa"/>
              <w:bottom w:w="40" w:type="dxa"/>
              <w:right w:w="87" w:type="dxa"/>
            </w:tcMar>
          </w:tcPr>
          <w:p w14:paraId="518B8422" w14:textId="77777777" w:rsidR="005C332D" w:rsidRDefault="00B93EAE">
            <w:pPr>
              <w:jc w:val="center"/>
              <w:textAlignment w:val="top"/>
            </w:pPr>
            <w:r>
              <w:rPr>
                <w:rFonts w:ascii="Times New Roman" w:eastAsia="宋体" w:hAnsi="Times New Roman"/>
                <w:color w:val="000000"/>
                <w:sz w:val="20"/>
                <w:szCs w:val="20"/>
              </w:rPr>
              <w:t>10.3*</w:t>
            </w:r>
          </w:p>
        </w:tc>
        <w:tc>
          <w:tcPr>
            <w:tcW w:w="0" w:type="auto"/>
            <w:gridSpan w:val="3"/>
            <w:shd w:val="clear" w:color="auto" w:fill="FFFFFF"/>
            <w:tcMar>
              <w:top w:w="0" w:type="dxa"/>
              <w:left w:w="20" w:type="dxa"/>
              <w:bottom w:w="0" w:type="dxa"/>
              <w:right w:w="20" w:type="dxa"/>
            </w:tcMar>
            <w:vAlign w:val="bottom"/>
          </w:tcPr>
          <w:p w14:paraId="518B842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24" w14:textId="77777777" w:rsidR="005C332D" w:rsidRDefault="00B93EAE">
            <w:pPr>
              <w:textAlignment w:val="top"/>
            </w:pPr>
            <w:hyperlink r:id="rId198" w:history="1">
              <w:r>
                <w:rPr>
                  <w:rStyle w:val="a5"/>
                  <w:rFonts w:ascii="Times New Roman" w:eastAsia="宋体" w:hAnsi="Times New Roman"/>
                  <w:sz w:val="20"/>
                  <w:szCs w:val="20"/>
                </w:rPr>
                <w:t>Cisco Systems, Inc. Deferred Compensation Plan, as amended</w:t>
              </w:r>
            </w:hyperlink>
          </w:p>
        </w:tc>
        <w:tc>
          <w:tcPr>
            <w:tcW w:w="0" w:type="auto"/>
            <w:gridSpan w:val="3"/>
            <w:shd w:val="clear" w:color="auto" w:fill="FFFFFF"/>
            <w:tcMar>
              <w:top w:w="0" w:type="dxa"/>
              <w:left w:w="20" w:type="dxa"/>
              <w:bottom w:w="0" w:type="dxa"/>
              <w:right w:w="20" w:type="dxa"/>
            </w:tcMar>
            <w:vAlign w:val="bottom"/>
          </w:tcPr>
          <w:p w14:paraId="518B8425"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26" w14:textId="77777777" w:rsidR="005C332D" w:rsidRDefault="00B93EAE">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518B8427"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28"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FFFFFF"/>
            <w:tcMar>
              <w:top w:w="0" w:type="dxa"/>
              <w:left w:w="20" w:type="dxa"/>
              <w:bottom w:w="0" w:type="dxa"/>
              <w:right w:w="20" w:type="dxa"/>
            </w:tcMar>
            <w:vAlign w:val="bottom"/>
          </w:tcPr>
          <w:p w14:paraId="518B8429"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2A" w14:textId="77777777" w:rsidR="005C332D" w:rsidRDefault="00B93EAE">
            <w:pPr>
              <w:jc w:val="center"/>
              <w:textAlignment w:val="top"/>
            </w:pPr>
            <w:r>
              <w:rPr>
                <w:rFonts w:ascii="Times New Roman" w:eastAsia="宋体" w:hAnsi="Times New Roman"/>
                <w:color w:val="000000"/>
                <w:sz w:val="20"/>
                <w:szCs w:val="20"/>
              </w:rPr>
              <w:t>10.6</w:t>
            </w:r>
          </w:p>
        </w:tc>
        <w:tc>
          <w:tcPr>
            <w:tcW w:w="0" w:type="auto"/>
            <w:gridSpan w:val="3"/>
            <w:shd w:val="clear" w:color="auto" w:fill="FFFFFF"/>
            <w:tcMar>
              <w:top w:w="0" w:type="dxa"/>
              <w:left w:w="20" w:type="dxa"/>
              <w:bottom w:w="0" w:type="dxa"/>
              <w:right w:w="20" w:type="dxa"/>
            </w:tcMar>
            <w:vAlign w:val="bottom"/>
          </w:tcPr>
          <w:p w14:paraId="518B842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2C" w14:textId="77777777" w:rsidR="005C332D" w:rsidRDefault="00B93EAE">
            <w:pPr>
              <w:jc w:val="right"/>
              <w:textAlignment w:val="top"/>
            </w:pPr>
            <w:r>
              <w:rPr>
                <w:rFonts w:ascii="Times New Roman" w:eastAsia="宋体" w:hAnsi="Times New Roman"/>
                <w:color w:val="000000"/>
                <w:sz w:val="20"/>
                <w:szCs w:val="20"/>
              </w:rPr>
              <w:t>2/16/2021</w:t>
            </w:r>
          </w:p>
        </w:tc>
        <w:tc>
          <w:tcPr>
            <w:tcW w:w="0" w:type="auto"/>
            <w:gridSpan w:val="3"/>
            <w:shd w:val="clear" w:color="auto" w:fill="FFFFFF"/>
            <w:tcMar>
              <w:top w:w="0" w:type="dxa"/>
              <w:left w:w="20" w:type="dxa"/>
              <w:bottom w:w="0" w:type="dxa"/>
              <w:right w:w="20" w:type="dxa"/>
            </w:tcMar>
            <w:vAlign w:val="bottom"/>
          </w:tcPr>
          <w:p w14:paraId="518B842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2E" w14:textId="77777777" w:rsidR="005C332D" w:rsidRDefault="005C332D">
            <w:pPr>
              <w:rPr>
                <w:rFonts w:ascii="宋体"/>
              </w:rPr>
            </w:pPr>
          </w:p>
        </w:tc>
      </w:tr>
      <w:tr w:rsidR="005C332D" w14:paraId="518B843D" w14:textId="77777777">
        <w:tc>
          <w:tcPr>
            <w:tcW w:w="0" w:type="auto"/>
            <w:gridSpan w:val="3"/>
            <w:shd w:val="clear" w:color="auto" w:fill="CCEEFF"/>
            <w:tcMar>
              <w:top w:w="40" w:type="dxa"/>
              <w:left w:w="87" w:type="dxa"/>
              <w:bottom w:w="40" w:type="dxa"/>
              <w:right w:w="87" w:type="dxa"/>
            </w:tcMar>
          </w:tcPr>
          <w:p w14:paraId="518B8430" w14:textId="77777777" w:rsidR="005C332D" w:rsidRDefault="00B93EAE">
            <w:pPr>
              <w:jc w:val="center"/>
              <w:textAlignment w:val="top"/>
            </w:pPr>
            <w:r>
              <w:rPr>
                <w:rFonts w:ascii="Times New Roman" w:eastAsia="宋体" w:hAnsi="Times New Roman"/>
                <w:color w:val="000000"/>
                <w:sz w:val="20"/>
                <w:szCs w:val="20"/>
              </w:rPr>
              <w:t>10.4*</w:t>
            </w:r>
          </w:p>
        </w:tc>
        <w:tc>
          <w:tcPr>
            <w:tcW w:w="0" w:type="auto"/>
            <w:gridSpan w:val="3"/>
            <w:shd w:val="clear" w:color="auto" w:fill="CCEEFF"/>
            <w:tcMar>
              <w:top w:w="0" w:type="dxa"/>
              <w:left w:w="20" w:type="dxa"/>
              <w:bottom w:w="0" w:type="dxa"/>
              <w:right w:w="20" w:type="dxa"/>
            </w:tcMar>
            <w:vAlign w:val="bottom"/>
          </w:tcPr>
          <w:p w14:paraId="518B8431"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32" w14:textId="77777777" w:rsidR="005C332D" w:rsidRDefault="00B93EAE">
            <w:pPr>
              <w:textAlignment w:val="top"/>
            </w:pPr>
            <w:hyperlink r:id="rId199" w:history="1">
              <w:r>
                <w:rPr>
                  <w:rStyle w:val="a5"/>
                  <w:rFonts w:ascii="Times New Roman" w:eastAsia="宋体" w:hAnsi="Times New Roman"/>
                  <w:sz w:val="20"/>
                  <w:szCs w:val="20"/>
                </w:rPr>
                <w:t>Cisco Systems, Inc. Executive Incentive Plan</w:t>
              </w:r>
            </w:hyperlink>
          </w:p>
        </w:tc>
        <w:tc>
          <w:tcPr>
            <w:tcW w:w="0" w:type="auto"/>
            <w:gridSpan w:val="3"/>
            <w:shd w:val="clear" w:color="auto" w:fill="CCEEFF"/>
            <w:tcMar>
              <w:top w:w="0" w:type="dxa"/>
              <w:left w:w="20" w:type="dxa"/>
              <w:bottom w:w="0" w:type="dxa"/>
              <w:right w:w="20" w:type="dxa"/>
            </w:tcMar>
            <w:vAlign w:val="bottom"/>
          </w:tcPr>
          <w:p w14:paraId="518B8433"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34"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CCEEFF"/>
            <w:tcMar>
              <w:top w:w="0" w:type="dxa"/>
              <w:left w:w="20" w:type="dxa"/>
              <w:bottom w:w="0" w:type="dxa"/>
              <w:right w:w="20" w:type="dxa"/>
            </w:tcMar>
            <w:vAlign w:val="bottom"/>
          </w:tcPr>
          <w:p w14:paraId="518B843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36"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CCEEFF"/>
            <w:tcMar>
              <w:top w:w="0" w:type="dxa"/>
              <w:left w:w="20" w:type="dxa"/>
              <w:bottom w:w="0" w:type="dxa"/>
              <w:right w:w="20" w:type="dxa"/>
            </w:tcMar>
            <w:vAlign w:val="bottom"/>
          </w:tcPr>
          <w:p w14:paraId="518B8437"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38" w14:textId="77777777" w:rsidR="005C332D" w:rsidRDefault="00B93EAE">
            <w:pPr>
              <w:jc w:val="center"/>
              <w:textAlignment w:val="top"/>
            </w:pPr>
            <w:r>
              <w:rPr>
                <w:rFonts w:ascii="Times New Roman" w:eastAsia="宋体" w:hAnsi="Times New Roman"/>
                <w:color w:val="000000"/>
                <w:sz w:val="20"/>
                <w:szCs w:val="20"/>
              </w:rPr>
              <w:t>10.2</w:t>
            </w:r>
          </w:p>
        </w:tc>
        <w:tc>
          <w:tcPr>
            <w:tcW w:w="0" w:type="auto"/>
            <w:gridSpan w:val="3"/>
            <w:shd w:val="clear" w:color="auto" w:fill="CCEEFF"/>
            <w:tcMar>
              <w:top w:w="0" w:type="dxa"/>
              <w:left w:w="20" w:type="dxa"/>
              <w:bottom w:w="0" w:type="dxa"/>
              <w:right w:w="20" w:type="dxa"/>
            </w:tcMar>
            <w:vAlign w:val="bottom"/>
          </w:tcPr>
          <w:p w14:paraId="518B8439"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3A" w14:textId="77777777" w:rsidR="005C332D" w:rsidRDefault="00B93EAE">
            <w:pPr>
              <w:jc w:val="right"/>
              <w:textAlignment w:val="top"/>
            </w:pPr>
            <w:r>
              <w:rPr>
                <w:rFonts w:ascii="Times New Roman" w:eastAsia="宋体" w:hAnsi="Times New Roman"/>
                <w:color w:val="000000"/>
                <w:sz w:val="20"/>
                <w:szCs w:val="20"/>
              </w:rPr>
              <w:t>12/12/2017</w:t>
            </w:r>
          </w:p>
        </w:tc>
        <w:tc>
          <w:tcPr>
            <w:tcW w:w="0" w:type="auto"/>
            <w:gridSpan w:val="3"/>
            <w:shd w:val="clear" w:color="auto" w:fill="CCEEFF"/>
            <w:tcMar>
              <w:top w:w="0" w:type="dxa"/>
              <w:left w:w="20" w:type="dxa"/>
              <w:bottom w:w="0" w:type="dxa"/>
              <w:right w:w="20" w:type="dxa"/>
            </w:tcMar>
            <w:vAlign w:val="bottom"/>
          </w:tcPr>
          <w:p w14:paraId="518B843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3C" w14:textId="77777777" w:rsidR="005C332D" w:rsidRDefault="005C332D">
            <w:pPr>
              <w:rPr>
                <w:rFonts w:ascii="宋体"/>
              </w:rPr>
            </w:pPr>
          </w:p>
        </w:tc>
      </w:tr>
      <w:tr w:rsidR="005C332D" w14:paraId="518B844B" w14:textId="77777777">
        <w:tc>
          <w:tcPr>
            <w:tcW w:w="0" w:type="auto"/>
            <w:gridSpan w:val="3"/>
            <w:shd w:val="clear" w:color="auto" w:fill="FFFFFF"/>
            <w:tcMar>
              <w:top w:w="40" w:type="dxa"/>
              <w:left w:w="87" w:type="dxa"/>
              <w:bottom w:w="40" w:type="dxa"/>
              <w:right w:w="87" w:type="dxa"/>
            </w:tcMar>
          </w:tcPr>
          <w:p w14:paraId="518B843E" w14:textId="77777777" w:rsidR="005C332D" w:rsidRDefault="00B93EAE">
            <w:pPr>
              <w:jc w:val="center"/>
              <w:textAlignment w:val="top"/>
            </w:pPr>
            <w:r>
              <w:rPr>
                <w:rFonts w:ascii="Times New Roman" w:eastAsia="宋体" w:hAnsi="Times New Roman"/>
                <w:color w:val="000000"/>
                <w:sz w:val="20"/>
                <w:szCs w:val="20"/>
              </w:rPr>
              <w:t>10.5*</w:t>
            </w:r>
          </w:p>
        </w:tc>
        <w:tc>
          <w:tcPr>
            <w:tcW w:w="0" w:type="auto"/>
            <w:gridSpan w:val="3"/>
            <w:shd w:val="clear" w:color="auto" w:fill="FFFFFF"/>
            <w:tcMar>
              <w:top w:w="0" w:type="dxa"/>
              <w:left w:w="20" w:type="dxa"/>
              <w:bottom w:w="0" w:type="dxa"/>
              <w:right w:w="20" w:type="dxa"/>
            </w:tcMar>
            <w:vAlign w:val="bottom"/>
          </w:tcPr>
          <w:p w14:paraId="518B843F"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40" w14:textId="77777777" w:rsidR="005C332D" w:rsidRDefault="00B93EAE">
            <w:pPr>
              <w:textAlignment w:val="top"/>
            </w:pPr>
            <w:hyperlink r:id="rId200" w:history="1">
              <w:r>
                <w:rPr>
                  <w:rStyle w:val="a5"/>
                  <w:rFonts w:ascii="Times New Roman" w:eastAsia="宋体" w:hAnsi="Times New Roman"/>
                  <w:sz w:val="20"/>
                  <w:szCs w:val="20"/>
                </w:rPr>
                <w:t>Form of Indemnity Agreement</w:t>
              </w:r>
            </w:hyperlink>
          </w:p>
        </w:tc>
        <w:tc>
          <w:tcPr>
            <w:tcW w:w="0" w:type="auto"/>
            <w:gridSpan w:val="3"/>
            <w:shd w:val="clear" w:color="auto" w:fill="FFFFFF"/>
            <w:tcMar>
              <w:top w:w="0" w:type="dxa"/>
              <w:left w:w="20" w:type="dxa"/>
              <w:bottom w:w="0" w:type="dxa"/>
              <w:right w:w="20" w:type="dxa"/>
            </w:tcMar>
            <w:vAlign w:val="bottom"/>
          </w:tcPr>
          <w:p w14:paraId="518B8441"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42" w14:textId="77777777" w:rsidR="005C332D" w:rsidRDefault="00B93EAE">
            <w:pPr>
              <w:jc w:val="center"/>
              <w:textAlignment w:val="top"/>
            </w:pPr>
            <w:r>
              <w:rPr>
                <w:rFonts w:ascii="Times New Roman" w:eastAsia="宋体" w:hAnsi="Times New Roman"/>
                <w:color w:val="000000"/>
                <w:sz w:val="20"/>
                <w:szCs w:val="20"/>
              </w:rPr>
              <w:t>8-K12B</w:t>
            </w:r>
          </w:p>
        </w:tc>
        <w:tc>
          <w:tcPr>
            <w:tcW w:w="0" w:type="auto"/>
            <w:gridSpan w:val="3"/>
            <w:shd w:val="clear" w:color="auto" w:fill="FFFFFF"/>
            <w:tcMar>
              <w:top w:w="0" w:type="dxa"/>
              <w:left w:w="20" w:type="dxa"/>
              <w:bottom w:w="0" w:type="dxa"/>
              <w:right w:w="20" w:type="dxa"/>
            </w:tcMar>
            <w:vAlign w:val="bottom"/>
          </w:tcPr>
          <w:p w14:paraId="518B844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44"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FFFFFF"/>
            <w:tcMar>
              <w:top w:w="0" w:type="dxa"/>
              <w:left w:w="20" w:type="dxa"/>
              <w:bottom w:w="0" w:type="dxa"/>
              <w:right w:w="20" w:type="dxa"/>
            </w:tcMar>
            <w:vAlign w:val="bottom"/>
          </w:tcPr>
          <w:p w14:paraId="518B8445"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46" w14:textId="77777777" w:rsidR="005C332D" w:rsidRDefault="00B93EAE">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518B8447"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48" w14:textId="77777777" w:rsidR="005C332D" w:rsidRDefault="00B93EAE">
            <w:pPr>
              <w:jc w:val="right"/>
              <w:textAlignment w:val="top"/>
            </w:pPr>
            <w:r>
              <w:rPr>
                <w:rFonts w:ascii="Times New Roman" w:eastAsia="宋体" w:hAnsi="Times New Roman"/>
                <w:color w:val="000000"/>
                <w:sz w:val="20"/>
                <w:szCs w:val="20"/>
              </w:rPr>
              <w:t>1/25/2021</w:t>
            </w:r>
          </w:p>
        </w:tc>
        <w:tc>
          <w:tcPr>
            <w:tcW w:w="0" w:type="auto"/>
            <w:gridSpan w:val="3"/>
            <w:shd w:val="clear" w:color="auto" w:fill="FFFFFF"/>
            <w:tcMar>
              <w:top w:w="0" w:type="dxa"/>
              <w:left w:w="20" w:type="dxa"/>
              <w:bottom w:w="0" w:type="dxa"/>
              <w:right w:w="20" w:type="dxa"/>
            </w:tcMar>
            <w:vAlign w:val="bottom"/>
          </w:tcPr>
          <w:p w14:paraId="518B844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4A" w14:textId="77777777" w:rsidR="005C332D" w:rsidRDefault="005C332D">
            <w:pPr>
              <w:rPr>
                <w:rFonts w:ascii="宋体"/>
              </w:rPr>
            </w:pPr>
          </w:p>
        </w:tc>
      </w:tr>
      <w:tr w:rsidR="005C332D" w14:paraId="518B8459" w14:textId="77777777">
        <w:tc>
          <w:tcPr>
            <w:tcW w:w="0" w:type="auto"/>
            <w:gridSpan w:val="3"/>
            <w:shd w:val="clear" w:color="auto" w:fill="CCEEFF"/>
            <w:tcMar>
              <w:top w:w="40" w:type="dxa"/>
              <w:left w:w="87" w:type="dxa"/>
              <w:bottom w:w="40" w:type="dxa"/>
              <w:right w:w="87" w:type="dxa"/>
            </w:tcMar>
          </w:tcPr>
          <w:p w14:paraId="518B844C" w14:textId="77777777" w:rsidR="005C332D" w:rsidRDefault="00B93EAE">
            <w:pPr>
              <w:jc w:val="center"/>
              <w:textAlignment w:val="top"/>
            </w:pPr>
            <w:r>
              <w:rPr>
                <w:rFonts w:ascii="Times New Roman" w:eastAsia="宋体" w:hAnsi="Times New Roman"/>
                <w:color w:val="000000"/>
                <w:sz w:val="20"/>
                <w:szCs w:val="20"/>
              </w:rPr>
              <w:t>10.6</w:t>
            </w:r>
          </w:p>
        </w:tc>
        <w:tc>
          <w:tcPr>
            <w:tcW w:w="0" w:type="auto"/>
            <w:gridSpan w:val="3"/>
            <w:shd w:val="clear" w:color="auto" w:fill="CCEEFF"/>
            <w:tcMar>
              <w:top w:w="0" w:type="dxa"/>
              <w:left w:w="20" w:type="dxa"/>
              <w:bottom w:w="0" w:type="dxa"/>
              <w:right w:w="20" w:type="dxa"/>
            </w:tcMar>
            <w:vAlign w:val="bottom"/>
          </w:tcPr>
          <w:p w14:paraId="518B844D"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4E" w14:textId="77777777" w:rsidR="005C332D" w:rsidRDefault="00B93EAE">
            <w:pPr>
              <w:spacing w:before="100" w:after="100"/>
              <w:textAlignment w:val="top"/>
            </w:pPr>
            <w:hyperlink r:id="rId201" w:history="1">
              <w:r>
                <w:rPr>
                  <w:rStyle w:val="a5"/>
                  <w:rFonts w:ascii="Times New Roman" w:eastAsia="宋体" w:hAnsi="Times New Roman"/>
                  <w:sz w:val="20"/>
                  <w:szCs w:val="20"/>
                </w:rPr>
                <w:t>Second Amended and Restated Credit Agreement, dated as of May 13, 2021, by and among Cisco Systems, Inc., certain lenders party thereto, and Bank</w:t>
              </w:r>
              <w:r>
                <w:rPr>
                  <w:rStyle w:val="a5"/>
                  <w:rFonts w:ascii="Times New Roman" w:eastAsia="宋体" w:hAnsi="Times New Roman"/>
                  <w:sz w:val="20"/>
                  <w:szCs w:val="20"/>
                </w:rPr>
                <w:t xml:space="preserve"> of America, N.A., as administration agent, swing line lender, L/C issuer and sustainability coordinator</w:t>
              </w:r>
            </w:hyperlink>
          </w:p>
        </w:tc>
        <w:tc>
          <w:tcPr>
            <w:tcW w:w="0" w:type="auto"/>
            <w:gridSpan w:val="3"/>
            <w:shd w:val="clear" w:color="auto" w:fill="CCEEFF"/>
            <w:tcMar>
              <w:top w:w="0" w:type="dxa"/>
              <w:left w:w="20" w:type="dxa"/>
              <w:bottom w:w="0" w:type="dxa"/>
              <w:right w:w="20" w:type="dxa"/>
            </w:tcMar>
            <w:vAlign w:val="bottom"/>
          </w:tcPr>
          <w:p w14:paraId="518B844F"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50"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CCEEFF"/>
            <w:tcMar>
              <w:top w:w="0" w:type="dxa"/>
              <w:left w:w="20" w:type="dxa"/>
              <w:bottom w:w="0" w:type="dxa"/>
              <w:right w:w="20" w:type="dxa"/>
            </w:tcMar>
            <w:vAlign w:val="bottom"/>
          </w:tcPr>
          <w:p w14:paraId="518B8451"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52"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vAlign w:val="bottom"/>
          </w:tcPr>
          <w:p w14:paraId="518B8453"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54" w14:textId="77777777" w:rsidR="005C332D" w:rsidRDefault="00B93EAE">
            <w:pPr>
              <w:jc w:val="center"/>
              <w:textAlignment w:val="top"/>
            </w:pPr>
            <w:r>
              <w:rPr>
                <w:rFonts w:ascii="Times New Roman" w:eastAsia="宋体" w:hAnsi="Times New Roman"/>
                <w:color w:val="000000"/>
                <w:sz w:val="20"/>
                <w:szCs w:val="20"/>
              </w:rPr>
              <w:t>10.1</w:t>
            </w:r>
          </w:p>
        </w:tc>
        <w:tc>
          <w:tcPr>
            <w:tcW w:w="0" w:type="auto"/>
            <w:gridSpan w:val="3"/>
            <w:shd w:val="clear" w:color="auto" w:fill="CCEEFF"/>
            <w:tcMar>
              <w:top w:w="0" w:type="dxa"/>
              <w:left w:w="20" w:type="dxa"/>
              <w:bottom w:w="0" w:type="dxa"/>
              <w:right w:w="20" w:type="dxa"/>
            </w:tcMar>
            <w:vAlign w:val="bottom"/>
          </w:tcPr>
          <w:p w14:paraId="518B8455"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56" w14:textId="77777777" w:rsidR="005C332D" w:rsidRDefault="00B93EAE">
            <w:pPr>
              <w:jc w:val="right"/>
              <w:textAlignment w:val="top"/>
            </w:pPr>
            <w:r>
              <w:rPr>
                <w:rFonts w:ascii="Times New Roman" w:eastAsia="宋体" w:hAnsi="Times New Roman"/>
                <w:color w:val="000000"/>
                <w:sz w:val="20"/>
                <w:szCs w:val="20"/>
              </w:rPr>
              <w:t>5/14/2021</w:t>
            </w:r>
          </w:p>
        </w:tc>
        <w:tc>
          <w:tcPr>
            <w:tcW w:w="0" w:type="auto"/>
            <w:gridSpan w:val="3"/>
            <w:shd w:val="clear" w:color="auto" w:fill="CCEEFF"/>
            <w:tcMar>
              <w:top w:w="0" w:type="dxa"/>
              <w:left w:w="20" w:type="dxa"/>
              <w:bottom w:w="0" w:type="dxa"/>
              <w:right w:w="20" w:type="dxa"/>
            </w:tcMar>
            <w:vAlign w:val="bottom"/>
          </w:tcPr>
          <w:p w14:paraId="518B845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58" w14:textId="77777777" w:rsidR="005C332D" w:rsidRDefault="005C332D">
            <w:pPr>
              <w:rPr>
                <w:rFonts w:ascii="宋体"/>
              </w:rPr>
            </w:pPr>
          </w:p>
        </w:tc>
      </w:tr>
      <w:tr w:rsidR="005C332D" w14:paraId="518B8467" w14:textId="77777777">
        <w:tc>
          <w:tcPr>
            <w:tcW w:w="0" w:type="auto"/>
            <w:gridSpan w:val="3"/>
            <w:shd w:val="clear" w:color="auto" w:fill="FFFFFF"/>
            <w:tcMar>
              <w:top w:w="40" w:type="dxa"/>
              <w:left w:w="87" w:type="dxa"/>
              <w:bottom w:w="40" w:type="dxa"/>
              <w:right w:w="87" w:type="dxa"/>
            </w:tcMar>
          </w:tcPr>
          <w:p w14:paraId="518B845A" w14:textId="77777777" w:rsidR="005C332D" w:rsidRDefault="00B93EAE">
            <w:pPr>
              <w:jc w:val="center"/>
              <w:textAlignment w:val="top"/>
            </w:pPr>
            <w:r>
              <w:rPr>
                <w:rFonts w:ascii="Times New Roman" w:eastAsia="宋体" w:hAnsi="Times New Roman"/>
                <w:color w:val="000000"/>
                <w:sz w:val="20"/>
                <w:szCs w:val="20"/>
              </w:rPr>
              <w:t>10.7</w:t>
            </w:r>
          </w:p>
        </w:tc>
        <w:tc>
          <w:tcPr>
            <w:tcW w:w="0" w:type="auto"/>
            <w:gridSpan w:val="3"/>
            <w:shd w:val="clear" w:color="auto" w:fill="FFFFFF"/>
            <w:tcMar>
              <w:top w:w="0" w:type="dxa"/>
              <w:left w:w="20" w:type="dxa"/>
              <w:bottom w:w="0" w:type="dxa"/>
              <w:right w:w="20" w:type="dxa"/>
            </w:tcMar>
            <w:vAlign w:val="bottom"/>
          </w:tcPr>
          <w:p w14:paraId="518B845B"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5C" w14:textId="77777777" w:rsidR="005C332D" w:rsidRDefault="00B93EAE">
            <w:pPr>
              <w:textAlignment w:val="top"/>
            </w:pPr>
            <w:hyperlink r:id="rId202" w:history="1">
              <w:r>
                <w:rPr>
                  <w:rStyle w:val="a5"/>
                  <w:rFonts w:ascii="Times New Roman" w:eastAsia="宋体" w:hAnsi="Times New Roman"/>
                  <w:sz w:val="20"/>
                  <w:szCs w:val="20"/>
                </w:rPr>
                <w:t>Form of Commercial Paper Dealer Agreement</w:t>
              </w:r>
            </w:hyperlink>
          </w:p>
        </w:tc>
        <w:tc>
          <w:tcPr>
            <w:tcW w:w="0" w:type="auto"/>
            <w:gridSpan w:val="3"/>
            <w:shd w:val="clear" w:color="auto" w:fill="FFFFFF"/>
            <w:tcMar>
              <w:top w:w="0" w:type="dxa"/>
              <w:left w:w="20" w:type="dxa"/>
              <w:bottom w:w="0" w:type="dxa"/>
              <w:right w:w="20" w:type="dxa"/>
            </w:tcMar>
            <w:vAlign w:val="bottom"/>
          </w:tcPr>
          <w:p w14:paraId="518B845D"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5E" w14:textId="77777777" w:rsidR="005C332D" w:rsidRDefault="00B93EAE">
            <w:pPr>
              <w:jc w:val="center"/>
              <w:textAlignment w:val="top"/>
            </w:pPr>
            <w:r>
              <w:rPr>
                <w:rFonts w:ascii="Times New Roman" w:eastAsia="宋体" w:hAnsi="Times New Roman"/>
                <w:color w:val="000000"/>
                <w:sz w:val="20"/>
                <w:szCs w:val="20"/>
              </w:rPr>
              <w:t>10-Q</w:t>
            </w:r>
          </w:p>
        </w:tc>
        <w:tc>
          <w:tcPr>
            <w:tcW w:w="0" w:type="auto"/>
            <w:gridSpan w:val="3"/>
            <w:shd w:val="clear" w:color="auto" w:fill="FFFFFF"/>
            <w:tcMar>
              <w:top w:w="0" w:type="dxa"/>
              <w:left w:w="20" w:type="dxa"/>
              <w:bottom w:w="0" w:type="dxa"/>
              <w:right w:w="20" w:type="dxa"/>
            </w:tcMar>
            <w:vAlign w:val="bottom"/>
          </w:tcPr>
          <w:p w14:paraId="518B845F"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60"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FFFFFF"/>
            <w:tcMar>
              <w:top w:w="0" w:type="dxa"/>
              <w:left w:w="20" w:type="dxa"/>
              <w:bottom w:w="0" w:type="dxa"/>
              <w:right w:w="20" w:type="dxa"/>
            </w:tcMar>
            <w:vAlign w:val="bottom"/>
          </w:tcPr>
          <w:p w14:paraId="518B8461"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62" w14:textId="77777777" w:rsidR="005C332D" w:rsidRDefault="00B93EAE">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518B8463"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64" w14:textId="77777777" w:rsidR="005C332D" w:rsidRDefault="00B93EAE">
            <w:pPr>
              <w:jc w:val="right"/>
              <w:textAlignment w:val="top"/>
            </w:pPr>
            <w:r>
              <w:rPr>
                <w:rFonts w:ascii="Times New Roman" w:eastAsia="宋体" w:hAnsi="Times New Roman"/>
                <w:color w:val="000000"/>
                <w:sz w:val="20"/>
                <w:szCs w:val="20"/>
              </w:rPr>
              <w:t>2/23/2011</w:t>
            </w:r>
          </w:p>
        </w:tc>
        <w:tc>
          <w:tcPr>
            <w:tcW w:w="0" w:type="auto"/>
            <w:gridSpan w:val="3"/>
            <w:shd w:val="clear" w:color="auto" w:fill="FFFFFF"/>
            <w:tcMar>
              <w:top w:w="0" w:type="dxa"/>
              <w:left w:w="20" w:type="dxa"/>
              <w:bottom w:w="0" w:type="dxa"/>
              <w:right w:w="20" w:type="dxa"/>
            </w:tcMar>
            <w:vAlign w:val="bottom"/>
          </w:tcPr>
          <w:p w14:paraId="518B846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66" w14:textId="77777777" w:rsidR="005C332D" w:rsidRDefault="005C332D">
            <w:pPr>
              <w:rPr>
                <w:rFonts w:ascii="宋体"/>
              </w:rPr>
            </w:pPr>
          </w:p>
        </w:tc>
      </w:tr>
    </w:tbl>
    <w:p w14:paraId="518B8468" w14:textId="77777777" w:rsidR="005C332D" w:rsidRDefault="00B93EAE">
      <w:pPr>
        <w:jc w:val="center"/>
      </w:pPr>
      <w:r>
        <w:rPr>
          <w:rFonts w:ascii="Times New Roman" w:eastAsia="宋体" w:hAnsi="Times New Roman"/>
          <w:color w:val="000000"/>
          <w:sz w:val="20"/>
          <w:szCs w:val="20"/>
        </w:rPr>
        <w:t>105</w:t>
      </w:r>
    </w:p>
    <w:p w14:paraId="518B8469" w14:textId="77777777" w:rsidR="005C332D" w:rsidRDefault="00B93EAE">
      <w:r>
        <w:pict w14:anchorId="518B877E">
          <v:rect id="_x0000_i1131" style="width:415.3pt;height:1.5pt" o:hralign="center" o:hrstd="t" o:hr="t" fillcolor="#a0a0a0" stroked="f"/>
        </w:pict>
      </w:r>
    </w:p>
    <w:p w14:paraId="518B846A" w14:textId="77777777" w:rsidR="005C332D" w:rsidRDefault="005C332D"/>
    <w:tbl>
      <w:tblPr>
        <w:tblW w:w="5000" w:type="pct"/>
        <w:tblCellMar>
          <w:top w:w="15" w:type="dxa"/>
          <w:left w:w="15" w:type="dxa"/>
          <w:bottom w:w="15" w:type="dxa"/>
          <w:right w:w="15" w:type="dxa"/>
        </w:tblCellMar>
        <w:tblLook w:val="04A0" w:firstRow="1" w:lastRow="0" w:firstColumn="1" w:lastColumn="0" w:noHBand="0" w:noVBand="1"/>
      </w:tblPr>
      <w:tblGrid>
        <w:gridCol w:w="94"/>
        <w:gridCol w:w="811"/>
        <w:gridCol w:w="36"/>
        <w:gridCol w:w="36"/>
        <w:gridCol w:w="36"/>
        <w:gridCol w:w="36"/>
        <w:gridCol w:w="39"/>
        <w:gridCol w:w="2823"/>
        <w:gridCol w:w="38"/>
        <w:gridCol w:w="36"/>
        <w:gridCol w:w="36"/>
        <w:gridCol w:w="36"/>
        <w:gridCol w:w="65"/>
        <w:gridCol w:w="399"/>
        <w:gridCol w:w="37"/>
        <w:gridCol w:w="37"/>
        <w:gridCol w:w="37"/>
        <w:gridCol w:w="37"/>
        <w:gridCol w:w="93"/>
        <w:gridCol w:w="805"/>
        <w:gridCol w:w="37"/>
        <w:gridCol w:w="37"/>
        <w:gridCol w:w="37"/>
        <w:gridCol w:w="37"/>
        <w:gridCol w:w="90"/>
        <w:gridCol w:w="513"/>
        <w:gridCol w:w="36"/>
        <w:gridCol w:w="36"/>
        <w:gridCol w:w="36"/>
        <w:gridCol w:w="36"/>
        <w:gridCol w:w="95"/>
        <w:gridCol w:w="848"/>
        <w:gridCol w:w="36"/>
        <w:gridCol w:w="36"/>
        <w:gridCol w:w="36"/>
        <w:gridCol w:w="36"/>
        <w:gridCol w:w="92"/>
        <w:gridCol w:w="659"/>
        <w:gridCol w:w="36"/>
      </w:tblGrid>
      <w:tr w:rsidR="005C332D" w14:paraId="518B8492" w14:textId="77777777">
        <w:tc>
          <w:tcPr>
            <w:tcW w:w="50" w:type="pct"/>
            <w:shd w:val="clear" w:color="auto" w:fill="auto"/>
            <w:vAlign w:val="bottom"/>
          </w:tcPr>
          <w:p w14:paraId="518B846B" w14:textId="77777777" w:rsidR="005C332D" w:rsidRDefault="005C332D">
            <w:pPr>
              <w:rPr>
                <w:rFonts w:ascii="宋体"/>
              </w:rPr>
            </w:pPr>
          </w:p>
        </w:tc>
        <w:tc>
          <w:tcPr>
            <w:tcW w:w="434" w:type="pct"/>
            <w:shd w:val="clear" w:color="auto" w:fill="auto"/>
            <w:vAlign w:val="bottom"/>
          </w:tcPr>
          <w:p w14:paraId="518B846C" w14:textId="77777777" w:rsidR="005C332D" w:rsidRDefault="005C332D">
            <w:pPr>
              <w:rPr>
                <w:rFonts w:ascii="宋体"/>
              </w:rPr>
            </w:pPr>
          </w:p>
        </w:tc>
        <w:tc>
          <w:tcPr>
            <w:tcW w:w="5" w:type="pct"/>
            <w:shd w:val="clear" w:color="auto" w:fill="auto"/>
            <w:vAlign w:val="bottom"/>
          </w:tcPr>
          <w:p w14:paraId="518B846D" w14:textId="77777777" w:rsidR="005C332D" w:rsidRDefault="005C332D">
            <w:pPr>
              <w:rPr>
                <w:rFonts w:ascii="宋体"/>
              </w:rPr>
            </w:pPr>
          </w:p>
        </w:tc>
        <w:tc>
          <w:tcPr>
            <w:tcW w:w="5" w:type="pct"/>
            <w:shd w:val="clear" w:color="auto" w:fill="auto"/>
            <w:vAlign w:val="bottom"/>
          </w:tcPr>
          <w:p w14:paraId="518B846E" w14:textId="77777777" w:rsidR="005C332D" w:rsidRDefault="005C332D">
            <w:pPr>
              <w:rPr>
                <w:rFonts w:ascii="宋体"/>
              </w:rPr>
            </w:pPr>
          </w:p>
        </w:tc>
        <w:tc>
          <w:tcPr>
            <w:tcW w:w="26" w:type="pct"/>
            <w:shd w:val="clear" w:color="auto" w:fill="auto"/>
            <w:vAlign w:val="bottom"/>
          </w:tcPr>
          <w:p w14:paraId="518B846F" w14:textId="77777777" w:rsidR="005C332D" w:rsidRDefault="005C332D">
            <w:pPr>
              <w:rPr>
                <w:rFonts w:ascii="宋体"/>
              </w:rPr>
            </w:pPr>
          </w:p>
        </w:tc>
        <w:tc>
          <w:tcPr>
            <w:tcW w:w="5" w:type="pct"/>
            <w:shd w:val="clear" w:color="auto" w:fill="auto"/>
            <w:vAlign w:val="bottom"/>
          </w:tcPr>
          <w:p w14:paraId="518B8470" w14:textId="77777777" w:rsidR="005C332D" w:rsidRDefault="005C332D">
            <w:pPr>
              <w:rPr>
                <w:rFonts w:ascii="宋体"/>
              </w:rPr>
            </w:pPr>
          </w:p>
        </w:tc>
        <w:tc>
          <w:tcPr>
            <w:tcW w:w="50" w:type="pct"/>
            <w:shd w:val="clear" w:color="auto" w:fill="auto"/>
            <w:vAlign w:val="bottom"/>
          </w:tcPr>
          <w:p w14:paraId="518B8471" w14:textId="77777777" w:rsidR="005C332D" w:rsidRDefault="005C332D">
            <w:pPr>
              <w:rPr>
                <w:rFonts w:ascii="宋体"/>
              </w:rPr>
            </w:pPr>
          </w:p>
        </w:tc>
        <w:tc>
          <w:tcPr>
            <w:tcW w:w="2116" w:type="pct"/>
            <w:shd w:val="clear" w:color="auto" w:fill="auto"/>
            <w:vAlign w:val="bottom"/>
          </w:tcPr>
          <w:p w14:paraId="518B8472" w14:textId="77777777" w:rsidR="005C332D" w:rsidRDefault="005C332D">
            <w:pPr>
              <w:rPr>
                <w:rFonts w:ascii="宋体"/>
              </w:rPr>
            </w:pPr>
          </w:p>
        </w:tc>
        <w:tc>
          <w:tcPr>
            <w:tcW w:w="5" w:type="pct"/>
            <w:shd w:val="clear" w:color="auto" w:fill="auto"/>
            <w:vAlign w:val="bottom"/>
          </w:tcPr>
          <w:p w14:paraId="518B8473" w14:textId="77777777" w:rsidR="005C332D" w:rsidRDefault="005C332D">
            <w:pPr>
              <w:rPr>
                <w:rFonts w:ascii="宋体"/>
              </w:rPr>
            </w:pPr>
          </w:p>
        </w:tc>
        <w:tc>
          <w:tcPr>
            <w:tcW w:w="5" w:type="pct"/>
            <w:shd w:val="clear" w:color="auto" w:fill="auto"/>
            <w:vAlign w:val="bottom"/>
          </w:tcPr>
          <w:p w14:paraId="518B8474" w14:textId="77777777" w:rsidR="005C332D" w:rsidRDefault="005C332D">
            <w:pPr>
              <w:rPr>
                <w:rFonts w:ascii="宋体"/>
              </w:rPr>
            </w:pPr>
          </w:p>
        </w:tc>
        <w:tc>
          <w:tcPr>
            <w:tcW w:w="26" w:type="pct"/>
            <w:shd w:val="clear" w:color="auto" w:fill="auto"/>
            <w:vAlign w:val="bottom"/>
          </w:tcPr>
          <w:p w14:paraId="518B8475" w14:textId="77777777" w:rsidR="005C332D" w:rsidRDefault="005C332D">
            <w:pPr>
              <w:rPr>
                <w:rFonts w:ascii="宋体"/>
              </w:rPr>
            </w:pPr>
          </w:p>
        </w:tc>
        <w:tc>
          <w:tcPr>
            <w:tcW w:w="5" w:type="pct"/>
            <w:shd w:val="clear" w:color="auto" w:fill="auto"/>
            <w:vAlign w:val="bottom"/>
          </w:tcPr>
          <w:p w14:paraId="518B8476" w14:textId="77777777" w:rsidR="005C332D" w:rsidRDefault="005C332D">
            <w:pPr>
              <w:rPr>
                <w:rFonts w:ascii="宋体"/>
              </w:rPr>
            </w:pPr>
          </w:p>
        </w:tc>
        <w:tc>
          <w:tcPr>
            <w:tcW w:w="50" w:type="pct"/>
            <w:shd w:val="clear" w:color="auto" w:fill="auto"/>
            <w:vAlign w:val="bottom"/>
          </w:tcPr>
          <w:p w14:paraId="518B8477" w14:textId="77777777" w:rsidR="005C332D" w:rsidRDefault="005C332D">
            <w:pPr>
              <w:rPr>
                <w:rFonts w:ascii="宋体"/>
              </w:rPr>
            </w:pPr>
          </w:p>
        </w:tc>
        <w:tc>
          <w:tcPr>
            <w:tcW w:w="310" w:type="pct"/>
            <w:shd w:val="clear" w:color="auto" w:fill="auto"/>
            <w:vAlign w:val="bottom"/>
          </w:tcPr>
          <w:p w14:paraId="518B8478" w14:textId="77777777" w:rsidR="005C332D" w:rsidRDefault="005C332D">
            <w:pPr>
              <w:rPr>
                <w:rFonts w:ascii="宋体"/>
              </w:rPr>
            </w:pPr>
          </w:p>
        </w:tc>
        <w:tc>
          <w:tcPr>
            <w:tcW w:w="5" w:type="pct"/>
            <w:shd w:val="clear" w:color="auto" w:fill="auto"/>
            <w:vAlign w:val="bottom"/>
          </w:tcPr>
          <w:p w14:paraId="518B8479" w14:textId="77777777" w:rsidR="005C332D" w:rsidRDefault="005C332D">
            <w:pPr>
              <w:rPr>
                <w:rFonts w:ascii="宋体"/>
              </w:rPr>
            </w:pPr>
          </w:p>
        </w:tc>
        <w:tc>
          <w:tcPr>
            <w:tcW w:w="5" w:type="pct"/>
            <w:shd w:val="clear" w:color="auto" w:fill="auto"/>
            <w:vAlign w:val="bottom"/>
          </w:tcPr>
          <w:p w14:paraId="518B847A" w14:textId="77777777" w:rsidR="005C332D" w:rsidRDefault="005C332D">
            <w:pPr>
              <w:rPr>
                <w:rFonts w:ascii="宋体"/>
              </w:rPr>
            </w:pPr>
          </w:p>
        </w:tc>
        <w:tc>
          <w:tcPr>
            <w:tcW w:w="26" w:type="pct"/>
            <w:shd w:val="clear" w:color="auto" w:fill="auto"/>
            <w:vAlign w:val="bottom"/>
          </w:tcPr>
          <w:p w14:paraId="518B847B" w14:textId="77777777" w:rsidR="005C332D" w:rsidRDefault="005C332D">
            <w:pPr>
              <w:rPr>
                <w:rFonts w:ascii="宋体"/>
              </w:rPr>
            </w:pPr>
          </w:p>
        </w:tc>
        <w:tc>
          <w:tcPr>
            <w:tcW w:w="5" w:type="pct"/>
            <w:shd w:val="clear" w:color="auto" w:fill="auto"/>
            <w:vAlign w:val="bottom"/>
          </w:tcPr>
          <w:p w14:paraId="518B847C" w14:textId="77777777" w:rsidR="005C332D" w:rsidRDefault="005C332D">
            <w:pPr>
              <w:rPr>
                <w:rFonts w:ascii="宋体"/>
              </w:rPr>
            </w:pPr>
          </w:p>
        </w:tc>
        <w:tc>
          <w:tcPr>
            <w:tcW w:w="50" w:type="pct"/>
            <w:shd w:val="clear" w:color="auto" w:fill="auto"/>
            <w:vAlign w:val="bottom"/>
          </w:tcPr>
          <w:p w14:paraId="518B847D" w14:textId="77777777" w:rsidR="005C332D" w:rsidRDefault="005C332D">
            <w:pPr>
              <w:rPr>
                <w:rFonts w:ascii="宋体"/>
              </w:rPr>
            </w:pPr>
          </w:p>
        </w:tc>
        <w:tc>
          <w:tcPr>
            <w:tcW w:w="434" w:type="pct"/>
            <w:shd w:val="clear" w:color="auto" w:fill="auto"/>
            <w:vAlign w:val="bottom"/>
          </w:tcPr>
          <w:p w14:paraId="518B847E" w14:textId="77777777" w:rsidR="005C332D" w:rsidRDefault="005C332D">
            <w:pPr>
              <w:rPr>
                <w:rFonts w:ascii="宋体"/>
              </w:rPr>
            </w:pPr>
          </w:p>
        </w:tc>
        <w:tc>
          <w:tcPr>
            <w:tcW w:w="5" w:type="pct"/>
            <w:shd w:val="clear" w:color="auto" w:fill="auto"/>
            <w:vAlign w:val="bottom"/>
          </w:tcPr>
          <w:p w14:paraId="518B847F" w14:textId="77777777" w:rsidR="005C332D" w:rsidRDefault="005C332D">
            <w:pPr>
              <w:rPr>
                <w:rFonts w:ascii="宋体"/>
              </w:rPr>
            </w:pPr>
          </w:p>
        </w:tc>
        <w:tc>
          <w:tcPr>
            <w:tcW w:w="5" w:type="pct"/>
            <w:shd w:val="clear" w:color="auto" w:fill="auto"/>
            <w:vAlign w:val="bottom"/>
          </w:tcPr>
          <w:p w14:paraId="518B8480" w14:textId="77777777" w:rsidR="005C332D" w:rsidRDefault="005C332D">
            <w:pPr>
              <w:rPr>
                <w:rFonts w:ascii="宋体"/>
              </w:rPr>
            </w:pPr>
          </w:p>
        </w:tc>
        <w:tc>
          <w:tcPr>
            <w:tcW w:w="26" w:type="pct"/>
            <w:shd w:val="clear" w:color="auto" w:fill="auto"/>
            <w:vAlign w:val="bottom"/>
          </w:tcPr>
          <w:p w14:paraId="518B8481" w14:textId="77777777" w:rsidR="005C332D" w:rsidRDefault="005C332D">
            <w:pPr>
              <w:rPr>
                <w:rFonts w:ascii="宋体"/>
              </w:rPr>
            </w:pPr>
          </w:p>
        </w:tc>
        <w:tc>
          <w:tcPr>
            <w:tcW w:w="5" w:type="pct"/>
            <w:shd w:val="clear" w:color="auto" w:fill="auto"/>
            <w:vAlign w:val="bottom"/>
          </w:tcPr>
          <w:p w14:paraId="518B8482" w14:textId="77777777" w:rsidR="005C332D" w:rsidRDefault="005C332D">
            <w:pPr>
              <w:rPr>
                <w:rFonts w:ascii="宋体"/>
              </w:rPr>
            </w:pPr>
          </w:p>
        </w:tc>
        <w:tc>
          <w:tcPr>
            <w:tcW w:w="50" w:type="pct"/>
            <w:shd w:val="clear" w:color="auto" w:fill="auto"/>
            <w:vAlign w:val="bottom"/>
          </w:tcPr>
          <w:p w14:paraId="518B8483" w14:textId="77777777" w:rsidR="005C332D" w:rsidRDefault="005C332D">
            <w:pPr>
              <w:rPr>
                <w:rFonts w:ascii="宋体"/>
              </w:rPr>
            </w:pPr>
          </w:p>
        </w:tc>
        <w:tc>
          <w:tcPr>
            <w:tcW w:w="288" w:type="pct"/>
            <w:shd w:val="clear" w:color="auto" w:fill="auto"/>
            <w:vAlign w:val="bottom"/>
          </w:tcPr>
          <w:p w14:paraId="518B8484" w14:textId="77777777" w:rsidR="005C332D" w:rsidRDefault="005C332D">
            <w:pPr>
              <w:rPr>
                <w:rFonts w:ascii="宋体"/>
              </w:rPr>
            </w:pPr>
          </w:p>
        </w:tc>
        <w:tc>
          <w:tcPr>
            <w:tcW w:w="5" w:type="pct"/>
            <w:shd w:val="clear" w:color="auto" w:fill="auto"/>
            <w:vAlign w:val="bottom"/>
          </w:tcPr>
          <w:p w14:paraId="518B8485" w14:textId="77777777" w:rsidR="005C332D" w:rsidRDefault="005C332D">
            <w:pPr>
              <w:rPr>
                <w:rFonts w:ascii="宋体"/>
              </w:rPr>
            </w:pPr>
          </w:p>
        </w:tc>
        <w:tc>
          <w:tcPr>
            <w:tcW w:w="5" w:type="pct"/>
            <w:shd w:val="clear" w:color="auto" w:fill="auto"/>
            <w:vAlign w:val="bottom"/>
          </w:tcPr>
          <w:p w14:paraId="518B8486" w14:textId="77777777" w:rsidR="005C332D" w:rsidRDefault="005C332D">
            <w:pPr>
              <w:rPr>
                <w:rFonts w:ascii="宋体"/>
              </w:rPr>
            </w:pPr>
          </w:p>
        </w:tc>
        <w:tc>
          <w:tcPr>
            <w:tcW w:w="26" w:type="pct"/>
            <w:shd w:val="clear" w:color="auto" w:fill="auto"/>
            <w:vAlign w:val="bottom"/>
          </w:tcPr>
          <w:p w14:paraId="518B8487" w14:textId="77777777" w:rsidR="005C332D" w:rsidRDefault="005C332D">
            <w:pPr>
              <w:rPr>
                <w:rFonts w:ascii="宋体"/>
              </w:rPr>
            </w:pPr>
          </w:p>
        </w:tc>
        <w:tc>
          <w:tcPr>
            <w:tcW w:w="5" w:type="pct"/>
            <w:shd w:val="clear" w:color="auto" w:fill="auto"/>
            <w:vAlign w:val="bottom"/>
          </w:tcPr>
          <w:p w14:paraId="518B8488" w14:textId="77777777" w:rsidR="005C332D" w:rsidRDefault="005C332D">
            <w:pPr>
              <w:rPr>
                <w:rFonts w:ascii="宋体"/>
              </w:rPr>
            </w:pPr>
          </w:p>
        </w:tc>
        <w:tc>
          <w:tcPr>
            <w:tcW w:w="50" w:type="pct"/>
            <w:shd w:val="clear" w:color="auto" w:fill="auto"/>
            <w:vAlign w:val="bottom"/>
          </w:tcPr>
          <w:p w14:paraId="518B8489" w14:textId="77777777" w:rsidR="005C332D" w:rsidRDefault="005C332D">
            <w:pPr>
              <w:rPr>
                <w:rFonts w:ascii="宋体"/>
              </w:rPr>
            </w:pPr>
          </w:p>
        </w:tc>
        <w:tc>
          <w:tcPr>
            <w:tcW w:w="449" w:type="pct"/>
            <w:shd w:val="clear" w:color="auto" w:fill="auto"/>
            <w:vAlign w:val="bottom"/>
          </w:tcPr>
          <w:p w14:paraId="518B848A" w14:textId="77777777" w:rsidR="005C332D" w:rsidRDefault="005C332D">
            <w:pPr>
              <w:rPr>
                <w:rFonts w:ascii="宋体"/>
              </w:rPr>
            </w:pPr>
          </w:p>
        </w:tc>
        <w:tc>
          <w:tcPr>
            <w:tcW w:w="5" w:type="pct"/>
            <w:shd w:val="clear" w:color="auto" w:fill="auto"/>
            <w:vAlign w:val="bottom"/>
          </w:tcPr>
          <w:p w14:paraId="518B848B" w14:textId="77777777" w:rsidR="005C332D" w:rsidRDefault="005C332D">
            <w:pPr>
              <w:rPr>
                <w:rFonts w:ascii="宋体"/>
              </w:rPr>
            </w:pPr>
          </w:p>
        </w:tc>
        <w:tc>
          <w:tcPr>
            <w:tcW w:w="5" w:type="pct"/>
            <w:shd w:val="clear" w:color="auto" w:fill="auto"/>
            <w:vAlign w:val="bottom"/>
          </w:tcPr>
          <w:p w14:paraId="518B848C" w14:textId="77777777" w:rsidR="005C332D" w:rsidRDefault="005C332D">
            <w:pPr>
              <w:rPr>
                <w:rFonts w:ascii="宋体"/>
              </w:rPr>
            </w:pPr>
          </w:p>
        </w:tc>
        <w:tc>
          <w:tcPr>
            <w:tcW w:w="26" w:type="pct"/>
            <w:shd w:val="clear" w:color="auto" w:fill="auto"/>
            <w:vAlign w:val="bottom"/>
          </w:tcPr>
          <w:p w14:paraId="518B848D" w14:textId="77777777" w:rsidR="005C332D" w:rsidRDefault="005C332D">
            <w:pPr>
              <w:rPr>
                <w:rFonts w:ascii="宋体"/>
              </w:rPr>
            </w:pPr>
          </w:p>
        </w:tc>
        <w:tc>
          <w:tcPr>
            <w:tcW w:w="5" w:type="pct"/>
            <w:shd w:val="clear" w:color="auto" w:fill="auto"/>
            <w:vAlign w:val="bottom"/>
          </w:tcPr>
          <w:p w14:paraId="518B848E" w14:textId="77777777" w:rsidR="005C332D" w:rsidRDefault="005C332D">
            <w:pPr>
              <w:rPr>
                <w:rFonts w:ascii="宋体"/>
              </w:rPr>
            </w:pPr>
          </w:p>
        </w:tc>
        <w:tc>
          <w:tcPr>
            <w:tcW w:w="50" w:type="pct"/>
            <w:shd w:val="clear" w:color="auto" w:fill="auto"/>
            <w:vAlign w:val="bottom"/>
          </w:tcPr>
          <w:p w14:paraId="518B848F" w14:textId="77777777" w:rsidR="005C332D" w:rsidRDefault="005C332D">
            <w:pPr>
              <w:rPr>
                <w:rFonts w:ascii="宋体"/>
              </w:rPr>
            </w:pPr>
          </w:p>
        </w:tc>
        <w:tc>
          <w:tcPr>
            <w:tcW w:w="362" w:type="pct"/>
            <w:shd w:val="clear" w:color="auto" w:fill="auto"/>
            <w:vAlign w:val="bottom"/>
          </w:tcPr>
          <w:p w14:paraId="518B8490" w14:textId="77777777" w:rsidR="005C332D" w:rsidRDefault="005C332D">
            <w:pPr>
              <w:rPr>
                <w:rFonts w:ascii="宋体"/>
              </w:rPr>
            </w:pPr>
          </w:p>
        </w:tc>
        <w:tc>
          <w:tcPr>
            <w:tcW w:w="5" w:type="pct"/>
            <w:shd w:val="clear" w:color="auto" w:fill="auto"/>
            <w:vAlign w:val="bottom"/>
          </w:tcPr>
          <w:p w14:paraId="518B8491" w14:textId="77777777" w:rsidR="005C332D" w:rsidRDefault="005C332D">
            <w:pPr>
              <w:rPr>
                <w:rFonts w:ascii="宋体"/>
              </w:rPr>
            </w:pPr>
          </w:p>
        </w:tc>
      </w:tr>
      <w:tr w:rsidR="005C332D" w14:paraId="518B849A" w14:textId="77777777">
        <w:tc>
          <w:tcPr>
            <w:tcW w:w="0" w:type="auto"/>
            <w:gridSpan w:val="3"/>
            <w:shd w:val="clear" w:color="auto" w:fill="auto"/>
            <w:tcMar>
              <w:top w:w="40" w:type="dxa"/>
              <w:left w:w="20" w:type="dxa"/>
              <w:bottom w:w="40" w:type="dxa"/>
              <w:right w:w="20" w:type="dxa"/>
            </w:tcMar>
            <w:vAlign w:val="bottom"/>
          </w:tcPr>
          <w:p w14:paraId="518B8493" w14:textId="77777777" w:rsidR="005C332D" w:rsidRDefault="00B93EAE">
            <w:pPr>
              <w:jc w:val="center"/>
              <w:textAlignment w:val="bottom"/>
            </w:pPr>
            <w:r>
              <w:rPr>
                <w:rFonts w:ascii="Times New Roman" w:eastAsia="宋体" w:hAnsi="Times New Roman"/>
                <w:b/>
                <w:bCs/>
                <w:color w:val="000000"/>
                <w:sz w:val="18"/>
                <w:szCs w:val="18"/>
              </w:rPr>
              <w:t>Exhibit</w:t>
            </w:r>
            <w:r>
              <w:rPr>
                <w:rFonts w:ascii="Times New Roman" w:eastAsia="宋体" w:hAnsi="Times New Roman"/>
                <w:b/>
                <w:bCs/>
                <w:color w:val="000000"/>
                <w:sz w:val="18"/>
                <w:szCs w:val="18"/>
              </w:rPr>
              <w:br/>
              <w:t>Number</w:t>
            </w:r>
          </w:p>
        </w:tc>
        <w:tc>
          <w:tcPr>
            <w:tcW w:w="0" w:type="auto"/>
            <w:gridSpan w:val="3"/>
            <w:shd w:val="clear" w:color="auto" w:fill="auto"/>
            <w:tcMar>
              <w:top w:w="0" w:type="dxa"/>
              <w:left w:w="20" w:type="dxa"/>
              <w:bottom w:w="0" w:type="dxa"/>
              <w:right w:w="20" w:type="dxa"/>
            </w:tcMar>
            <w:vAlign w:val="bottom"/>
          </w:tcPr>
          <w:p w14:paraId="518B849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495" w14:textId="77777777" w:rsidR="005C332D" w:rsidRDefault="00B93EAE">
            <w:pPr>
              <w:jc w:val="center"/>
              <w:textAlignment w:val="bottom"/>
            </w:pPr>
            <w:r>
              <w:rPr>
                <w:rFonts w:ascii="Times New Roman" w:eastAsia="宋体" w:hAnsi="Times New Roman"/>
                <w:b/>
                <w:bCs/>
                <w:color w:val="000000"/>
                <w:sz w:val="18"/>
                <w:szCs w:val="18"/>
              </w:rPr>
              <w:t>Exhibit Description</w:t>
            </w:r>
          </w:p>
        </w:tc>
        <w:tc>
          <w:tcPr>
            <w:tcW w:w="0" w:type="auto"/>
            <w:gridSpan w:val="3"/>
            <w:shd w:val="clear" w:color="auto" w:fill="auto"/>
            <w:tcMar>
              <w:top w:w="0" w:type="dxa"/>
              <w:left w:w="20" w:type="dxa"/>
              <w:bottom w:w="0" w:type="dxa"/>
              <w:right w:w="20" w:type="dxa"/>
            </w:tcMar>
            <w:vAlign w:val="bottom"/>
          </w:tcPr>
          <w:p w14:paraId="518B8496" w14:textId="77777777" w:rsidR="005C332D" w:rsidRDefault="005C332D">
            <w:pPr>
              <w:rPr>
                <w:rFonts w:ascii="宋体"/>
              </w:rPr>
            </w:pPr>
          </w:p>
        </w:tc>
        <w:tc>
          <w:tcPr>
            <w:tcW w:w="0" w:type="auto"/>
            <w:gridSpan w:val="21"/>
            <w:shd w:val="clear" w:color="auto" w:fill="auto"/>
            <w:tcMar>
              <w:top w:w="40" w:type="dxa"/>
              <w:left w:w="20" w:type="dxa"/>
              <w:bottom w:w="40" w:type="dxa"/>
              <w:right w:w="20" w:type="dxa"/>
            </w:tcMar>
            <w:vAlign w:val="bottom"/>
          </w:tcPr>
          <w:p w14:paraId="518B8497" w14:textId="77777777" w:rsidR="005C332D" w:rsidRDefault="00B93EAE">
            <w:pPr>
              <w:jc w:val="center"/>
              <w:textAlignment w:val="bottom"/>
            </w:pPr>
            <w:r>
              <w:rPr>
                <w:rFonts w:ascii="Times New Roman" w:eastAsia="宋体" w:hAnsi="Times New Roman"/>
                <w:b/>
                <w:bCs/>
                <w:color w:val="000000"/>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518B849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499" w14:textId="77777777" w:rsidR="005C332D" w:rsidRDefault="00B93EAE">
            <w:pPr>
              <w:jc w:val="center"/>
              <w:textAlignment w:val="bottom"/>
            </w:pPr>
            <w:r>
              <w:rPr>
                <w:rFonts w:ascii="Times New Roman" w:eastAsia="宋体" w:hAnsi="Times New Roman"/>
                <w:b/>
                <w:bCs/>
                <w:color w:val="000000"/>
                <w:sz w:val="18"/>
                <w:szCs w:val="18"/>
              </w:rPr>
              <w:t>Filed</w:t>
            </w:r>
            <w:r>
              <w:rPr>
                <w:rFonts w:ascii="Times New Roman" w:eastAsia="宋体" w:hAnsi="Times New Roman"/>
                <w:b/>
                <w:bCs/>
                <w:color w:val="000000"/>
                <w:sz w:val="18"/>
                <w:szCs w:val="18"/>
              </w:rPr>
              <w:br/>
              <w:t>Herewith</w:t>
            </w:r>
          </w:p>
        </w:tc>
      </w:tr>
      <w:tr w:rsidR="005C332D" w14:paraId="518B84A8"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49B" w14:textId="77777777" w:rsidR="005C332D" w:rsidRDefault="00B93EAE">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518B849C"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49D" w14:textId="77777777" w:rsidR="005C332D" w:rsidRDefault="00B93EAE">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518B849E" w14:textId="77777777" w:rsidR="005C332D" w:rsidRDefault="005C332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18B849F" w14:textId="77777777" w:rsidR="005C332D" w:rsidRDefault="00B93EAE">
            <w:pPr>
              <w:jc w:val="center"/>
              <w:textAlignment w:val="bottom"/>
            </w:pPr>
            <w:r>
              <w:rPr>
                <w:rFonts w:ascii="Times New Roman" w:eastAsia="宋体" w:hAnsi="Times New Roman"/>
                <w:b/>
                <w:bCs/>
                <w:color w:val="000000"/>
                <w:sz w:val="18"/>
                <w:szCs w:val="18"/>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84A0" w14:textId="77777777" w:rsidR="005C332D" w:rsidRDefault="005C332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18B84A1" w14:textId="77777777" w:rsidR="005C332D" w:rsidRDefault="00B93EAE">
            <w:pPr>
              <w:jc w:val="center"/>
              <w:textAlignment w:val="bottom"/>
            </w:pPr>
            <w:r>
              <w:rPr>
                <w:rFonts w:ascii="Times New Roman" w:eastAsia="宋体" w:hAnsi="Times New Roman"/>
                <w:b/>
                <w:bCs/>
                <w:color w:val="000000"/>
                <w:sz w:val="18"/>
                <w:szCs w:val="18"/>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84A2" w14:textId="77777777" w:rsidR="005C332D" w:rsidRDefault="005C332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18B84A3" w14:textId="77777777" w:rsidR="005C332D" w:rsidRDefault="00B93EAE">
            <w:pPr>
              <w:jc w:val="center"/>
              <w:textAlignment w:val="bottom"/>
            </w:pPr>
            <w:r>
              <w:rPr>
                <w:rFonts w:ascii="Times New Roman" w:eastAsia="宋体" w:hAnsi="Times New Roman"/>
                <w:b/>
                <w:bCs/>
                <w:color w:val="000000"/>
                <w:sz w:val="18"/>
                <w:szCs w:val="18"/>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518B84A4" w14:textId="77777777" w:rsidR="005C332D" w:rsidRDefault="005C332D">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518B84A5" w14:textId="77777777" w:rsidR="005C332D" w:rsidRDefault="00B93EAE">
            <w:pPr>
              <w:jc w:val="center"/>
              <w:textAlignment w:val="bottom"/>
            </w:pPr>
            <w:r>
              <w:rPr>
                <w:rFonts w:ascii="Times New Roman" w:eastAsia="宋体" w:hAnsi="Times New Roman"/>
                <w:b/>
                <w:bCs/>
                <w:color w:val="000000"/>
                <w:sz w:val="18"/>
                <w:szCs w:val="18"/>
              </w:rPr>
              <w:t>Filing Date</w:t>
            </w:r>
          </w:p>
        </w:tc>
        <w:tc>
          <w:tcPr>
            <w:tcW w:w="0" w:type="auto"/>
            <w:gridSpan w:val="3"/>
            <w:shd w:val="clear" w:color="auto" w:fill="auto"/>
            <w:tcMar>
              <w:top w:w="0" w:type="dxa"/>
              <w:left w:w="20" w:type="dxa"/>
              <w:bottom w:w="0" w:type="dxa"/>
              <w:right w:w="20" w:type="dxa"/>
            </w:tcMar>
            <w:vAlign w:val="bottom"/>
          </w:tcPr>
          <w:p w14:paraId="518B84A6" w14:textId="77777777" w:rsidR="005C332D" w:rsidRDefault="005C332D">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4A7" w14:textId="77777777" w:rsidR="005C332D" w:rsidRDefault="00B93EAE">
            <w:pPr>
              <w:jc w:val="right"/>
              <w:textAlignment w:val="bottom"/>
            </w:pPr>
            <w:r>
              <w:rPr>
                <w:rFonts w:ascii="Times New Roman" w:eastAsia="宋体" w:hAnsi="Times New Roman"/>
                <w:color w:val="000000"/>
                <w:sz w:val="18"/>
                <w:szCs w:val="18"/>
              </w:rPr>
              <w:t> </w:t>
            </w:r>
          </w:p>
        </w:tc>
      </w:tr>
      <w:tr w:rsidR="005C332D" w14:paraId="518B84B6" w14:textId="77777777">
        <w:tc>
          <w:tcPr>
            <w:tcW w:w="0" w:type="auto"/>
            <w:gridSpan w:val="3"/>
            <w:shd w:val="clear" w:color="auto" w:fill="CCEEFF"/>
            <w:tcMar>
              <w:top w:w="40" w:type="dxa"/>
              <w:left w:w="87" w:type="dxa"/>
              <w:bottom w:w="40" w:type="dxa"/>
              <w:right w:w="87" w:type="dxa"/>
            </w:tcMar>
          </w:tcPr>
          <w:p w14:paraId="518B84A9" w14:textId="77777777" w:rsidR="005C332D" w:rsidRDefault="00B93EAE">
            <w:pPr>
              <w:jc w:val="center"/>
              <w:textAlignment w:val="top"/>
            </w:pPr>
            <w:r>
              <w:rPr>
                <w:rFonts w:ascii="Times New Roman" w:eastAsia="宋体" w:hAnsi="Times New Roman"/>
                <w:color w:val="000000"/>
                <w:sz w:val="20"/>
                <w:szCs w:val="20"/>
              </w:rPr>
              <w:t>10.8</w:t>
            </w:r>
          </w:p>
        </w:tc>
        <w:tc>
          <w:tcPr>
            <w:tcW w:w="0" w:type="auto"/>
            <w:gridSpan w:val="3"/>
            <w:shd w:val="clear" w:color="auto" w:fill="CCEEFF"/>
            <w:tcMar>
              <w:top w:w="0" w:type="dxa"/>
              <w:left w:w="20" w:type="dxa"/>
              <w:bottom w:w="0" w:type="dxa"/>
              <w:right w:w="20" w:type="dxa"/>
            </w:tcMar>
            <w:vAlign w:val="bottom"/>
          </w:tcPr>
          <w:p w14:paraId="518B84AA"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AB" w14:textId="77777777" w:rsidR="005C332D" w:rsidRDefault="00B93EAE">
            <w:pPr>
              <w:textAlignment w:val="top"/>
            </w:pPr>
            <w:hyperlink r:id="rId203" w:history="1">
              <w:r>
                <w:rPr>
                  <w:rStyle w:val="a5"/>
                  <w:rFonts w:ascii="Times New Roman" w:eastAsia="宋体" w:hAnsi="Times New Roman"/>
                  <w:sz w:val="20"/>
                  <w:szCs w:val="20"/>
                </w:rPr>
                <w:t>Commercial Paper Issuing and Paying Agent Agreement dated January 31, 2011 between the Re</w:t>
              </w:r>
              <w:r>
                <w:rPr>
                  <w:rStyle w:val="a5"/>
                  <w:rFonts w:ascii="Times New Roman" w:eastAsia="宋体" w:hAnsi="Times New Roman"/>
                  <w:sz w:val="20"/>
                  <w:szCs w:val="20"/>
                </w:rPr>
                <w:t>gistrant and Bank of America, N.A.</w:t>
              </w:r>
            </w:hyperlink>
          </w:p>
        </w:tc>
        <w:tc>
          <w:tcPr>
            <w:tcW w:w="0" w:type="auto"/>
            <w:gridSpan w:val="3"/>
            <w:shd w:val="clear" w:color="auto" w:fill="CCEEFF"/>
            <w:tcMar>
              <w:top w:w="0" w:type="dxa"/>
              <w:left w:w="20" w:type="dxa"/>
              <w:bottom w:w="0" w:type="dxa"/>
              <w:right w:w="20" w:type="dxa"/>
            </w:tcMar>
            <w:vAlign w:val="bottom"/>
          </w:tcPr>
          <w:p w14:paraId="518B84AC"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AD" w14:textId="77777777" w:rsidR="005C332D" w:rsidRDefault="00B93EAE">
            <w:pPr>
              <w:jc w:val="center"/>
              <w:textAlignment w:val="top"/>
            </w:pPr>
            <w:r>
              <w:rPr>
                <w:rFonts w:ascii="Times New Roman" w:eastAsia="宋体" w:hAnsi="Times New Roman"/>
                <w:color w:val="000000"/>
                <w:sz w:val="20"/>
                <w:szCs w:val="20"/>
              </w:rPr>
              <w:t>10-Q</w:t>
            </w:r>
          </w:p>
        </w:tc>
        <w:tc>
          <w:tcPr>
            <w:tcW w:w="0" w:type="auto"/>
            <w:gridSpan w:val="3"/>
            <w:shd w:val="clear" w:color="auto" w:fill="CCEEFF"/>
            <w:tcMar>
              <w:top w:w="0" w:type="dxa"/>
              <w:left w:w="20" w:type="dxa"/>
              <w:bottom w:w="0" w:type="dxa"/>
              <w:right w:w="20" w:type="dxa"/>
            </w:tcMar>
            <w:vAlign w:val="bottom"/>
          </w:tcPr>
          <w:p w14:paraId="518B84AE"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AF"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CCEEFF"/>
            <w:tcMar>
              <w:top w:w="0" w:type="dxa"/>
              <w:left w:w="20" w:type="dxa"/>
              <w:bottom w:w="0" w:type="dxa"/>
              <w:right w:w="20" w:type="dxa"/>
            </w:tcMar>
            <w:vAlign w:val="bottom"/>
          </w:tcPr>
          <w:p w14:paraId="518B84B0"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B1" w14:textId="77777777" w:rsidR="005C332D" w:rsidRDefault="00B93EAE">
            <w:pPr>
              <w:jc w:val="center"/>
              <w:textAlignment w:val="top"/>
            </w:pPr>
            <w:r>
              <w:rPr>
                <w:rFonts w:ascii="Times New Roman" w:eastAsia="宋体" w:hAnsi="Times New Roman"/>
                <w:color w:val="000000"/>
                <w:sz w:val="20"/>
                <w:szCs w:val="20"/>
              </w:rPr>
              <w:t>10.2</w:t>
            </w:r>
          </w:p>
        </w:tc>
        <w:tc>
          <w:tcPr>
            <w:tcW w:w="0" w:type="auto"/>
            <w:gridSpan w:val="3"/>
            <w:shd w:val="clear" w:color="auto" w:fill="CCEEFF"/>
            <w:tcMar>
              <w:top w:w="0" w:type="dxa"/>
              <w:left w:w="20" w:type="dxa"/>
              <w:bottom w:w="0" w:type="dxa"/>
              <w:right w:w="20" w:type="dxa"/>
            </w:tcMar>
            <w:vAlign w:val="bottom"/>
          </w:tcPr>
          <w:p w14:paraId="518B84B2"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B3" w14:textId="77777777" w:rsidR="005C332D" w:rsidRDefault="00B93EAE">
            <w:pPr>
              <w:jc w:val="right"/>
              <w:textAlignment w:val="top"/>
            </w:pPr>
            <w:r>
              <w:rPr>
                <w:rFonts w:ascii="Times New Roman" w:eastAsia="宋体" w:hAnsi="Times New Roman"/>
                <w:color w:val="000000"/>
                <w:sz w:val="20"/>
                <w:szCs w:val="20"/>
              </w:rPr>
              <w:t>2/23/2011</w:t>
            </w:r>
          </w:p>
        </w:tc>
        <w:tc>
          <w:tcPr>
            <w:tcW w:w="0" w:type="auto"/>
            <w:gridSpan w:val="3"/>
            <w:shd w:val="clear" w:color="auto" w:fill="CCEEFF"/>
            <w:tcMar>
              <w:top w:w="0" w:type="dxa"/>
              <w:left w:w="20" w:type="dxa"/>
              <w:bottom w:w="0" w:type="dxa"/>
              <w:right w:w="20" w:type="dxa"/>
            </w:tcMar>
            <w:vAlign w:val="bottom"/>
          </w:tcPr>
          <w:p w14:paraId="518B84B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B5" w14:textId="77777777" w:rsidR="005C332D" w:rsidRDefault="005C332D">
            <w:pPr>
              <w:rPr>
                <w:rFonts w:ascii="宋体"/>
              </w:rPr>
            </w:pPr>
          </w:p>
        </w:tc>
      </w:tr>
      <w:tr w:rsidR="005C332D" w14:paraId="518B84C4" w14:textId="77777777">
        <w:tc>
          <w:tcPr>
            <w:tcW w:w="0" w:type="auto"/>
            <w:gridSpan w:val="3"/>
            <w:shd w:val="clear" w:color="auto" w:fill="FFFFFF"/>
            <w:tcMar>
              <w:top w:w="40" w:type="dxa"/>
              <w:left w:w="87" w:type="dxa"/>
              <w:bottom w:w="40" w:type="dxa"/>
              <w:right w:w="87" w:type="dxa"/>
            </w:tcMar>
          </w:tcPr>
          <w:p w14:paraId="518B84B7" w14:textId="77777777" w:rsidR="005C332D" w:rsidRDefault="00B93EAE">
            <w:pPr>
              <w:jc w:val="center"/>
              <w:textAlignment w:val="top"/>
            </w:pPr>
            <w:r>
              <w:rPr>
                <w:rFonts w:ascii="Times New Roman" w:eastAsia="宋体" w:hAnsi="Times New Roman"/>
                <w:color w:val="000000"/>
                <w:sz w:val="20"/>
                <w:szCs w:val="20"/>
              </w:rPr>
              <w:t>10.9*</w:t>
            </w:r>
          </w:p>
        </w:tc>
        <w:tc>
          <w:tcPr>
            <w:tcW w:w="0" w:type="auto"/>
            <w:gridSpan w:val="3"/>
            <w:shd w:val="clear" w:color="auto" w:fill="FFFFFF"/>
            <w:tcMar>
              <w:top w:w="0" w:type="dxa"/>
              <w:left w:w="20" w:type="dxa"/>
              <w:bottom w:w="0" w:type="dxa"/>
              <w:right w:w="20" w:type="dxa"/>
            </w:tcMar>
            <w:vAlign w:val="bottom"/>
          </w:tcPr>
          <w:p w14:paraId="518B84B8"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B9" w14:textId="77777777" w:rsidR="005C332D" w:rsidRDefault="00B93EAE">
            <w:pPr>
              <w:textAlignment w:val="top"/>
            </w:pPr>
            <w:hyperlink r:id="rId204" w:history="1">
              <w:r>
                <w:rPr>
                  <w:rStyle w:val="a5"/>
                  <w:rFonts w:ascii="Times New Roman" w:eastAsia="宋体" w:hAnsi="Times New Roman"/>
                  <w:sz w:val="20"/>
                  <w:szCs w:val="20"/>
                </w:rPr>
                <w:t>Letter Agreement by and between Cisco Systems, Inc. and R. Scott Herren</w:t>
              </w:r>
            </w:hyperlink>
          </w:p>
        </w:tc>
        <w:tc>
          <w:tcPr>
            <w:tcW w:w="0" w:type="auto"/>
            <w:gridSpan w:val="3"/>
            <w:shd w:val="clear" w:color="auto" w:fill="FFFFFF"/>
            <w:tcMar>
              <w:top w:w="0" w:type="dxa"/>
              <w:left w:w="20" w:type="dxa"/>
              <w:bottom w:w="0" w:type="dxa"/>
              <w:right w:w="20" w:type="dxa"/>
            </w:tcMar>
            <w:vAlign w:val="bottom"/>
          </w:tcPr>
          <w:p w14:paraId="518B84BA"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BB" w14:textId="77777777" w:rsidR="005C332D" w:rsidRDefault="00B93EAE">
            <w:pPr>
              <w:jc w:val="center"/>
              <w:textAlignment w:val="top"/>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518B84BC"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BD" w14:textId="77777777" w:rsidR="005C332D" w:rsidRDefault="00B93EAE">
            <w:pPr>
              <w:jc w:val="center"/>
              <w:textAlignment w:val="top"/>
            </w:pPr>
            <w:r>
              <w:rPr>
                <w:rFonts w:ascii="Times New Roman" w:eastAsia="宋体" w:hAnsi="Times New Roman"/>
                <w:color w:val="000000"/>
                <w:sz w:val="20"/>
                <w:szCs w:val="20"/>
              </w:rPr>
              <w:t>000-18225</w:t>
            </w:r>
          </w:p>
        </w:tc>
        <w:tc>
          <w:tcPr>
            <w:tcW w:w="0" w:type="auto"/>
            <w:gridSpan w:val="3"/>
            <w:shd w:val="clear" w:color="auto" w:fill="FFFFFF"/>
            <w:tcMar>
              <w:top w:w="0" w:type="dxa"/>
              <w:left w:w="20" w:type="dxa"/>
              <w:bottom w:w="0" w:type="dxa"/>
              <w:right w:w="20" w:type="dxa"/>
            </w:tcMar>
            <w:vAlign w:val="bottom"/>
          </w:tcPr>
          <w:p w14:paraId="518B84BE"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BF" w14:textId="77777777" w:rsidR="005C332D" w:rsidRDefault="00B93EAE">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518B84C0"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C1" w14:textId="77777777" w:rsidR="005C332D" w:rsidRDefault="00B93EAE">
            <w:pPr>
              <w:jc w:val="right"/>
              <w:textAlignment w:val="top"/>
            </w:pPr>
            <w:r>
              <w:rPr>
                <w:rFonts w:ascii="Times New Roman" w:eastAsia="宋体" w:hAnsi="Times New Roman"/>
                <w:color w:val="000000"/>
                <w:sz w:val="20"/>
                <w:szCs w:val="20"/>
              </w:rPr>
              <w:t>11/13/2020</w:t>
            </w:r>
          </w:p>
        </w:tc>
        <w:tc>
          <w:tcPr>
            <w:tcW w:w="0" w:type="auto"/>
            <w:gridSpan w:val="3"/>
            <w:shd w:val="clear" w:color="auto" w:fill="FFFFFF"/>
            <w:tcMar>
              <w:top w:w="0" w:type="dxa"/>
              <w:left w:w="20" w:type="dxa"/>
              <w:bottom w:w="0" w:type="dxa"/>
              <w:right w:w="20" w:type="dxa"/>
            </w:tcMar>
            <w:vAlign w:val="bottom"/>
          </w:tcPr>
          <w:p w14:paraId="518B84C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C3" w14:textId="77777777" w:rsidR="005C332D" w:rsidRDefault="005C332D">
            <w:pPr>
              <w:rPr>
                <w:rFonts w:ascii="宋体"/>
              </w:rPr>
            </w:pPr>
          </w:p>
        </w:tc>
      </w:tr>
      <w:tr w:rsidR="005C332D" w14:paraId="518B84D2" w14:textId="77777777">
        <w:tc>
          <w:tcPr>
            <w:tcW w:w="0" w:type="auto"/>
            <w:gridSpan w:val="3"/>
            <w:shd w:val="clear" w:color="auto" w:fill="CCEEFF"/>
            <w:tcMar>
              <w:top w:w="40" w:type="dxa"/>
              <w:left w:w="87" w:type="dxa"/>
              <w:bottom w:w="40" w:type="dxa"/>
              <w:right w:w="87" w:type="dxa"/>
            </w:tcMar>
          </w:tcPr>
          <w:p w14:paraId="518B84C5" w14:textId="77777777" w:rsidR="005C332D" w:rsidRDefault="00B93EAE">
            <w:pPr>
              <w:jc w:val="center"/>
              <w:textAlignment w:val="top"/>
            </w:pPr>
            <w:r>
              <w:rPr>
                <w:rFonts w:ascii="Times New Roman" w:eastAsia="宋体" w:hAnsi="Times New Roman"/>
                <w:color w:val="000000"/>
                <w:sz w:val="20"/>
                <w:szCs w:val="20"/>
              </w:rPr>
              <w:t>10.10*</w:t>
            </w:r>
          </w:p>
        </w:tc>
        <w:tc>
          <w:tcPr>
            <w:tcW w:w="0" w:type="auto"/>
            <w:gridSpan w:val="3"/>
            <w:shd w:val="clear" w:color="auto" w:fill="CCEEFF"/>
            <w:tcMar>
              <w:top w:w="0" w:type="dxa"/>
              <w:left w:w="20" w:type="dxa"/>
              <w:bottom w:w="0" w:type="dxa"/>
              <w:right w:w="20" w:type="dxa"/>
            </w:tcMar>
            <w:vAlign w:val="bottom"/>
          </w:tcPr>
          <w:p w14:paraId="518B84C6"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C7" w14:textId="77777777" w:rsidR="005C332D" w:rsidRDefault="00B93EAE">
            <w:pPr>
              <w:textAlignment w:val="top"/>
            </w:pPr>
            <w:hyperlink r:id="rId205" w:history="1">
              <w:r>
                <w:rPr>
                  <w:rStyle w:val="a5"/>
                  <w:rFonts w:ascii="Times New Roman" w:eastAsia="宋体" w:hAnsi="Times New Roman"/>
                  <w:sz w:val="20"/>
                  <w:szCs w:val="20"/>
                </w:rPr>
                <w:t>Letter of Engagement, dated June 1, 2021, between Whistler Strategies, LLC and Cisco Systems, Inc.</w:t>
              </w:r>
            </w:hyperlink>
          </w:p>
        </w:tc>
        <w:tc>
          <w:tcPr>
            <w:tcW w:w="0" w:type="auto"/>
            <w:gridSpan w:val="3"/>
            <w:shd w:val="clear" w:color="auto" w:fill="CCEEFF"/>
            <w:tcMar>
              <w:top w:w="0" w:type="dxa"/>
              <w:left w:w="20" w:type="dxa"/>
              <w:bottom w:w="0" w:type="dxa"/>
              <w:right w:w="20" w:type="dxa"/>
            </w:tcMar>
            <w:vAlign w:val="bottom"/>
          </w:tcPr>
          <w:p w14:paraId="518B84C8"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C9" w14:textId="77777777" w:rsidR="005C332D" w:rsidRDefault="00B93EAE">
            <w:pPr>
              <w:jc w:val="center"/>
              <w:textAlignment w:val="top"/>
            </w:pPr>
            <w:r>
              <w:rPr>
                <w:rFonts w:ascii="Times New Roman" w:eastAsia="宋体" w:hAnsi="Times New Roman"/>
                <w:color w:val="000000"/>
                <w:sz w:val="20"/>
                <w:szCs w:val="20"/>
              </w:rPr>
              <w:t>10-Q</w:t>
            </w:r>
          </w:p>
        </w:tc>
        <w:tc>
          <w:tcPr>
            <w:tcW w:w="0" w:type="auto"/>
            <w:gridSpan w:val="3"/>
            <w:shd w:val="clear" w:color="auto" w:fill="CCEEFF"/>
            <w:tcMar>
              <w:top w:w="0" w:type="dxa"/>
              <w:left w:w="20" w:type="dxa"/>
              <w:bottom w:w="0" w:type="dxa"/>
              <w:right w:w="20" w:type="dxa"/>
            </w:tcMar>
            <w:vAlign w:val="bottom"/>
          </w:tcPr>
          <w:p w14:paraId="518B84CA"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CB" w14:textId="77777777" w:rsidR="005C332D" w:rsidRDefault="00B93EAE">
            <w:pPr>
              <w:jc w:val="center"/>
              <w:textAlignment w:val="top"/>
            </w:pPr>
            <w:r>
              <w:rPr>
                <w:rFonts w:ascii="Times New Roman" w:eastAsia="宋体" w:hAnsi="Times New Roman"/>
                <w:color w:val="000000"/>
                <w:sz w:val="20"/>
                <w:szCs w:val="20"/>
              </w:rPr>
              <w:t>001-39940</w:t>
            </w:r>
          </w:p>
        </w:tc>
        <w:tc>
          <w:tcPr>
            <w:tcW w:w="0" w:type="auto"/>
            <w:gridSpan w:val="3"/>
            <w:shd w:val="clear" w:color="auto" w:fill="CCEEFF"/>
            <w:tcMar>
              <w:top w:w="0" w:type="dxa"/>
              <w:left w:w="20" w:type="dxa"/>
              <w:bottom w:w="0" w:type="dxa"/>
              <w:right w:w="20" w:type="dxa"/>
            </w:tcMar>
            <w:vAlign w:val="bottom"/>
          </w:tcPr>
          <w:p w14:paraId="518B84CC"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CD" w14:textId="77777777" w:rsidR="005C332D" w:rsidRDefault="00B93EAE">
            <w:pPr>
              <w:jc w:val="center"/>
              <w:textAlignment w:val="top"/>
            </w:pPr>
            <w:r>
              <w:rPr>
                <w:rFonts w:ascii="Times New Roman" w:eastAsia="宋体" w:hAnsi="Times New Roman"/>
                <w:color w:val="000000"/>
                <w:sz w:val="20"/>
                <w:szCs w:val="20"/>
              </w:rPr>
              <w:t>10.1</w:t>
            </w:r>
          </w:p>
        </w:tc>
        <w:tc>
          <w:tcPr>
            <w:tcW w:w="0" w:type="auto"/>
            <w:gridSpan w:val="3"/>
            <w:shd w:val="clear" w:color="auto" w:fill="CCEEFF"/>
            <w:tcMar>
              <w:top w:w="0" w:type="dxa"/>
              <w:left w:w="20" w:type="dxa"/>
              <w:bottom w:w="0" w:type="dxa"/>
              <w:right w:w="20" w:type="dxa"/>
            </w:tcMar>
            <w:vAlign w:val="bottom"/>
          </w:tcPr>
          <w:p w14:paraId="518B84CE"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CF" w14:textId="77777777" w:rsidR="005C332D" w:rsidRDefault="00B93EAE">
            <w:pPr>
              <w:jc w:val="right"/>
              <w:textAlignment w:val="top"/>
            </w:pPr>
            <w:r>
              <w:rPr>
                <w:rFonts w:ascii="Times New Roman" w:eastAsia="宋体" w:hAnsi="Times New Roman"/>
                <w:color w:val="000000"/>
                <w:sz w:val="20"/>
                <w:szCs w:val="20"/>
              </w:rPr>
              <w:t>11/23/2021</w:t>
            </w:r>
          </w:p>
        </w:tc>
        <w:tc>
          <w:tcPr>
            <w:tcW w:w="0" w:type="auto"/>
            <w:gridSpan w:val="3"/>
            <w:shd w:val="clear" w:color="auto" w:fill="CCEEFF"/>
            <w:tcMar>
              <w:top w:w="0" w:type="dxa"/>
              <w:left w:w="20" w:type="dxa"/>
              <w:bottom w:w="0" w:type="dxa"/>
              <w:right w:w="20" w:type="dxa"/>
            </w:tcMar>
            <w:vAlign w:val="bottom"/>
          </w:tcPr>
          <w:p w14:paraId="518B84D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D1" w14:textId="77777777" w:rsidR="005C332D" w:rsidRDefault="005C332D">
            <w:pPr>
              <w:rPr>
                <w:rFonts w:ascii="宋体"/>
              </w:rPr>
            </w:pPr>
          </w:p>
        </w:tc>
      </w:tr>
      <w:tr w:rsidR="005C332D" w14:paraId="518B84E0" w14:textId="77777777">
        <w:tc>
          <w:tcPr>
            <w:tcW w:w="0" w:type="auto"/>
            <w:gridSpan w:val="3"/>
            <w:shd w:val="clear" w:color="auto" w:fill="FFFFFF"/>
            <w:tcMar>
              <w:top w:w="40" w:type="dxa"/>
              <w:left w:w="87" w:type="dxa"/>
              <w:bottom w:w="40" w:type="dxa"/>
              <w:right w:w="87" w:type="dxa"/>
            </w:tcMar>
          </w:tcPr>
          <w:p w14:paraId="518B84D3" w14:textId="77777777" w:rsidR="005C332D" w:rsidRDefault="00B93EAE">
            <w:pPr>
              <w:jc w:val="center"/>
              <w:textAlignment w:val="top"/>
            </w:pPr>
            <w:r>
              <w:rPr>
                <w:rFonts w:ascii="Times New Roman" w:eastAsia="宋体" w:hAnsi="Times New Roman"/>
                <w:color w:val="000000"/>
                <w:sz w:val="20"/>
                <w:szCs w:val="20"/>
              </w:rPr>
              <w:t>21.1</w:t>
            </w:r>
          </w:p>
        </w:tc>
        <w:tc>
          <w:tcPr>
            <w:tcW w:w="0" w:type="auto"/>
            <w:gridSpan w:val="3"/>
            <w:shd w:val="clear" w:color="auto" w:fill="FFFFFF"/>
            <w:tcMar>
              <w:top w:w="0" w:type="dxa"/>
              <w:left w:w="20" w:type="dxa"/>
              <w:bottom w:w="0" w:type="dxa"/>
              <w:right w:w="20" w:type="dxa"/>
            </w:tcMar>
            <w:vAlign w:val="bottom"/>
          </w:tcPr>
          <w:p w14:paraId="518B84D4"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D5" w14:textId="77777777" w:rsidR="005C332D" w:rsidRDefault="00B93EAE">
            <w:pPr>
              <w:textAlignment w:val="top"/>
            </w:pPr>
            <w:hyperlink r:id="rId206" w:history="1">
              <w:r>
                <w:rPr>
                  <w:rStyle w:val="a5"/>
                  <w:rFonts w:ascii="Times New Roman" w:eastAsia="宋体" w:hAnsi="Times New Roman"/>
                  <w:sz w:val="20"/>
                  <w:szCs w:val="20"/>
                </w:rPr>
                <w:t>Subsidiaries of the Registrant</w:t>
              </w:r>
            </w:hyperlink>
          </w:p>
        </w:tc>
        <w:tc>
          <w:tcPr>
            <w:tcW w:w="0" w:type="auto"/>
            <w:gridSpan w:val="3"/>
            <w:shd w:val="clear" w:color="auto" w:fill="FFFFFF"/>
            <w:tcMar>
              <w:top w:w="0" w:type="dxa"/>
              <w:left w:w="20" w:type="dxa"/>
              <w:bottom w:w="0" w:type="dxa"/>
              <w:right w:w="20" w:type="dxa"/>
            </w:tcMar>
            <w:vAlign w:val="bottom"/>
          </w:tcPr>
          <w:p w14:paraId="518B84D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D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D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D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D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D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D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D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DE"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DF"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4EE" w14:textId="77777777">
        <w:tc>
          <w:tcPr>
            <w:tcW w:w="0" w:type="auto"/>
            <w:gridSpan w:val="3"/>
            <w:shd w:val="clear" w:color="auto" w:fill="CCEEFF"/>
            <w:tcMar>
              <w:top w:w="40" w:type="dxa"/>
              <w:left w:w="87" w:type="dxa"/>
              <w:bottom w:w="40" w:type="dxa"/>
              <w:right w:w="87" w:type="dxa"/>
            </w:tcMar>
          </w:tcPr>
          <w:p w14:paraId="518B84E1" w14:textId="77777777" w:rsidR="005C332D" w:rsidRDefault="00B93EAE">
            <w:pPr>
              <w:jc w:val="center"/>
              <w:textAlignment w:val="top"/>
            </w:pPr>
            <w:r>
              <w:rPr>
                <w:rFonts w:ascii="Times New Roman" w:eastAsia="宋体" w:hAnsi="Times New Roman"/>
                <w:color w:val="000000"/>
                <w:sz w:val="20"/>
                <w:szCs w:val="20"/>
              </w:rPr>
              <w:t>23.1</w:t>
            </w:r>
          </w:p>
        </w:tc>
        <w:tc>
          <w:tcPr>
            <w:tcW w:w="0" w:type="auto"/>
            <w:gridSpan w:val="3"/>
            <w:shd w:val="clear" w:color="auto" w:fill="CCEEFF"/>
            <w:tcMar>
              <w:top w:w="0" w:type="dxa"/>
              <w:left w:w="20" w:type="dxa"/>
              <w:bottom w:w="0" w:type="dxa"/>
              <w:right w:w="20" w:type="dxa"/>
            </w:tcMar>
            <w:vAlign w:val="bottom"/>
          </w:tcPr>
          <w:p w14:paraId="518B84E2"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E3" w14:textId="77777777" w:rsidR="005C332D" w:rsidRDefault="00B93EAE">
            <w:pPr>
              <w:textAlignment w:val="top"/>
            </w:pPr>
            <w:hyperlink r:id="rId207" w:history="1">
              <w:r>
                <w:rPr>
                  <w:rStyle w:val="a5"/>
                  <w:rFonts w:ascii="Times New Roman" w:eastAsia="宋体" w:hAnsi="Times New Roman"/>
                  <w:sz w:val="20"/>
                  <w:szCs w:val="20"/>
                </w:rPr>
                <w:t>Consent of Independent Registered Public Accounting Firm</w:t>
              </w:r>
            </w:hyperlink>
          </w:p>
        </w:tc>
        <w:tc>
          <w:tcPr>
            <w:tcW w:w="0" w:type="auto"/>
            <w:gridSpan w:val="3"/>
            <w:shd w:val="clear" w:color="auto" w:fill="CCEEFF"/>
            <w:tcMar>
              <w:top w:w="0" w:type="dxa"/>
              <w:left w:w="20" w:type="dxa"/>
              <w:bottom w:w="0" w:type="dxa"/>
              <w:right w:w="20" w:type="dxa"/>
            </w:tcMar>
            <w:vAlign w:val="bottom"/>
          </w:tcPr>
          <w:p w14:paraId="518B84E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E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E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E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E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E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E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E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4EC"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ED"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4FC" w14:textId="77777777">
        <w:tc>
          <w:tcPr>
            <w:tcW w:w="0" w:type="auto"/>
            <w:gridSpan w:val="3"/>
            <w:shd w:val="clear" w:color="auto" w:fill="FFFFFF"/>
            <w:tcMar>
              <w:top w:w="40" w:type="dxa"/>
              <w:left w:w="87" w:type="dxa"/>
              <w:bottom w:w="40" w:type="dxa"/>
              <w:right w:w="87" w:type="dxa"/>
            </w:tcMar>
          </w:tcPr>
          <w:p w14:paraId="518B84EF" w14:textId="77777777" w:rsidR="005C332D" w:rsidRDefault="00B93EAE">
            <w:pPr>
              <w:jc w:val="center"/>
              <w:textAlignment w:val="top"/>
            </w:pPr>
            <w:r>
              <w:rPr>
                <w:rFonts w:ascii="Times New Roman" w:eastAsia="宋体" w:hAnsi="Times New Roman"/>
                <w:color w:val="000000"/>
                <w:sz w:val="20"/>
                <w:szCs w:val="20"/>
              </w:rPr>
              <w:t>24.1</w:t>
            </w:r>
          </w:p>
        </w:tc>
        <w:tc>
          <w:tcPr>
            <w:tcW w:w="0" w:type="auto"/>
            <w:gridSpan w:val="3"/>
            <w:shd w:val="clear" w:color="auto" w:fill="FFFFFF"/>
            <w:tcMar>
              <w:top w:w="0" w:type="dxa"/>
              <w:left w:w="20" w:type="dxa"/>
              <w:bottom w:w="0" w:type="dxa"/>
              <w:right w:w="20" w:type="dxa"/>
            </w:tcMar>
            <w:vAlign w:val="bottom"/>
          </w:tcPr>
          <w:p w14:paraId="518B84F0"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F1" w14:textId="77777777" w:rsidR="005C332D" w:rsidRDefault="00B93EAE">
            <w:pPr>
              <w:textAlignment w:val="top"/>
            </w:pPr>
            <w:hyperlink r:id="rId208" w:anchor="i049852cab38845aabd2a79d07dacda86_214" w:history="1">
              <w:r>
                <w:rPr>
                  <w:rStyle w:val="a5"/>
                  <w:rFonts w:ascii="Times New Roman" w:eastAsia="宋体" w:hAnsi="Times New Roman"/>
                  <w:sz w:val="20"/>
                  <w:szCs w:val="20"/>
                </w:rPr>
                <w:t>Power of Attorney (included on page 107 of this Annual Report on Form 10-K)</w:t>
              </w:r>
            </w:hyperlink>
          </w:p>
        </w:tc>
        <w:tc>
          <w:tcPr>
            <w:tcW w:w="0" w:type="auto"/>
            <w:gridSpan w:val="3"/>
            <w:shd w:val="clear" w:color="auto" w:fill="FFFFFF"/>
            <w:tcMar>
              <w:top w:w="0" w:type="dxa"/>
              <w:left w:w="20" w:type="dxa"/>
              <w:bottom w:w="0" w:type="dxa"/>
              <w:right w:w="20" w:type="dxa"/>
            </w:tcMar>
            <w:vAlign w:val="bottom"/>
          </w:tcPr>
          <w:p w14:paraId="518B84F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F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F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F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F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F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F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F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4FA"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4FB"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0A" w14:textId="77777777">
        <w:tc>
          <w:tcPr>
            <w:tcW w:w="0" w:type="auto"/>
            <w:gridSpan w:val="3"/>
            <w:shd w:val="clear" w:color="auto" w:fill="CCEEFF"/>
            <w:tcMar>
              <w:top w:w="40" w:type="dxa"/>
              <w:left w:w="87" w:type="dxa"/>
              <w:bottom w:w="40" w:type="dxa"/>
              <w:right w:w="87" w:type="dxa"/>
            </w:tcMar>
          </w:tcPr>
          <w:p w14:paraId="518B84FD" w14:textId="77777777" w:rsidR="005C332D" w:rsidRDefault="00B93EAE">
            <w:pPr>
              <w:jc w:val="center"/>
              <w:textAlignment w:val="top"/>
            </w:pPr>
            <w:r>
              <w:rPr>
                <w:rFonts w:ascii="Times New Roman" w:eastAsia="宋体" w:hAnsi="Times New Roman"/>
                <w:color w:val="000000"/>
                <w:sz w:val="20"/>
                <w:szCs w:val="20"/>
              </w:rPr>
              <w:t>31.1</w:t>
            </w:r>
          </w:p>
        </w:tc>
        <w:tc>
          <w:tcPr>
            <w:tcW w:w="0" w:type="auto"/>
            <w:gridSpan w:val="3"/>
            <w:shd w:val="clear" w:color="auto" w:fill="CCEEFF"/>
            <w:tcMar>
              <w:top w:w="0" w:type="dxa"/>
              <w:left w:w="20" w:type="dxa"/>
              <w:bottom w:w="0" w:type="dxa"/>
              <w:right w:w="20" w:type="dxa"/>
            </w:tcMar>
            <w:vAlign w:val="bottom"/>
          </w:tcPr>
          <w:p w14:paraId="518B84FE"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4FF" w14:textId="77777777" w:rsidR="005C332D" w:rsidRDefault="00B93EAE">
            <w:pPr>
              <w:textAlignment w:val="top"/>
            </w:pPr>
            <w:hyperlink r:id="rId209" w:history="1">
              <w:r>
                <w:rPr>
                  <w:rStyle w:val="a5"/>
                  <w:rFonts w:ascii="Times New Roman" w:eastAsia="宋体" w:hAnsi="Times New Roman"/>
                  <w:sz w:val="20"/>
                  <w:szCs w:val="20"/>
                </w:rPr>
                <w:t>Rule 13a–14(a)/15d–14(a) Certification of Principal Executive Officer</w:t>
              </w:r>
            </w:hyperlink>
          </w:p>
        </w:tc>
        <w:tc>
          <w:tcPr>
            <w:tcW w:w="0" w:type="auto"/>
            <w:gridSpan w:val="3"/>
            <w:shd w:val="clear" w:color="auto" w:fill="CCEEFF"/>
            <w:tcMar>
              <w:top w:w="0" w:type="dxa"/>
              <w:left w:w="20" w:type="dxa"/>
              <w:bottom w:w="0" w:type="dxa"/>
              <w:right w:w="20" w:type="dxa"/>
            </w:tcMar>
            <w:vAlign w:val="bottom"/>
          </w:tcPr>
          <w:p w14:paraId="518B850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0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0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0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0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0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0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0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08"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09"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18" w14:textId="77777777">
        <w:tc>
          <w:tcPr>
            <w:tcW w:w="0" w:type="auto"/>
            <w:gridSpan w:val="3"/>
            <w:shd w:val="clear" w:color="auto" w:fill="FFFFFF"/>
            <w:tcMar>
              <w:top w:w="40" w:type="dxa"/>
              <w:left w:w="87" w:type="dxa"/>
              <w:bottom w:w="40" w:type="dxa"/>
              <w:right w:w="87" w:type="dxa"/>
            </w:tcMar>
          </w:tcPr>
          <w:p w14:paraId="518B850B" w14:textId="77777777" w:rsidR="005C332D" w:rsidRDefault="00B93EAE">
            <w:pPr>
              <w:jc w:val="center"/>
              <w:textAlignment w:val="top"/>
            </w:pPr>
            <w:r>
              <w:rPr>
                <w:rFonts w:ascii="Times New Roman" w:eastAsia="宋体" w:hAnsi="Times New Roman"/>
                <w:color w:val="000000"/>
                <w:sz w:val="20"/>
                <w:szCs w:val="20"/>
              </w:rPr>
              <w:t>31.2</w:t>
            </w:r>
          </w:p>
        </w:tc>
        <w:tc>
          <w:tcPr>
            <w:tcW w:w="0" w:type="auto"/>
            <w:gridSpan w:val="3"/>
            <w:shd w:val="clear" w:color="auto" w:fill="FFFFFF"/>
            <w:tcMar>
              <w:top w:w="0" w:type="dxa"/>
              <w:left w:w="20" w:type="dxa"/>
              <w:bottom w:w="0" w:type="dxa"/>
              <w:right w:w="20" w:type="dxa"/>
            </w:tcMar>
            <w:vAlign w:val="bottom"/>
          </w:tcPr>
          <w:p w14:paraId="518B850C"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50D" w14:textId="77777777" w:rsidR="005C332D" w:rsidRDefault="00B93EAE">
            <w:pPr>
              <w:textAlignment w:val="top"/>
            </w:pPr>
            <w:hyperlink r:id="rId210" w:history="1">
              <w:r>
                <w:rPr>
                  <w:rStyle w:val="a5"/>
                  <w:rFonts w:ascii="Times New Roman" w:eastAsia="宋体" w:hAnsi="Times New Roman"/>
                  <w:sz w:val="20"/>
                  <w:szCs w:val="20"/>
                </w:rPr>
                <w:t>Rule 13a–14(a)/15d–14(a) Certification of Principal Financial Officer</w:t>
              </w:r>
            </w:hyperlink>
          </w:p>
        </w:tc>
        <w:tc>
          <w:tcPr>
            <w:tcW w:w="0" w:type="auto"/>
            <w:gridSpan w:val="3"/>
            <w:shd w:val="clear" w:color="auto" w:fill="FFFFFF"/>
            <w:tcMar>
              <w:top w:w="0" w:type="dxa"/>
              <w:left w:w="20" w:type="dxa"/>
              <w:bottom w:w="0" w:type="dxa"/>
              <w:right w:w="20" w:type="dxa"/>
            </w:tcMar>
            <w:vAlign w:val="bottom"/>
          </w:tcPr>
          <w:p w14:paraId="518B850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0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1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1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1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1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1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1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16"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517"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26" w14:textId="77777777">
        <w:tc>
          <w:tcPr>
            <w:tcW w:w="0" w:type="auto"/>
            <w:gridSpan w:val="3"/>
            <w:shd w:val="clear" w:color="auto" w:fill="CCEEFF"/>
            <w:tcMar>
              <w:top w:w="40" w:type="dxa"/>
              <w:left w:w="87" w:type="dxa"/>
              <w:bottom w:w="40" w:type="dxa"/>
              <w:right w:w="87" w:type="dxa"/>
            </w:tcMar>
          </w:tcPr>
          <w:p w14:paraId="518B8519" w14:textId="77777777" w:rsidR="005C332D" w:rsidRDefault="00B93EAE">
            <w:pPr>
              <w:jc w:val="center"/>
              <w:textAlignment w:val="top"/>
            </w:pPr>
            <w:r>
              <w:rPr>
                <w:rFonts w:ascii="Times New Roman" w:eastAsia="宋体" w:hAnsi="Times New Roman"/>
                <w:color w:val="000000"/>
                <w:sz w:val="20"/>
                <w:szCs w:val="20"/>
              </w:rPr>
              <w:t>32.1</w:t>
            </w:r>
          </w:p>
        </w:tc>
        <w:tc>
          <w:tcPr>
            <w:tcW w:w="0" w:type="auto"/>
            <w:gridSpan w:val="3"/>
            <w:shd w:val="clear" w:color="auto" w:fill="CCEEFF"/>
            <w:tcMar>
              <w:top w:w="0" w:type="dxa"/>
              <w:left w:w="20" w:type="dxa"/>
              <w:bottom w:w="0" w:type="dxa"/>
              <w:right w:w="20" w:type="dxa"/>
            </w:tcMar>
            <w:vAlign w:val="bottom"/>
          </w:tcPr>
          <w:p w14:paraId="518B851A"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1B" w14:textId="77777777" w:rsidR="005C332D" w:rsidRDefault="00B93EAE">
            <w:pPr>
              <w:textAlignment w:val="top"/>
            </w:pPr>
            <w:hyperlink r:id="rId211" w:history="1">
              <w:r>
                <w:rPr>
                  <w:rStyle w:val="a5"/>
                  <w:rFonts w:ascii="Times New Roman" w:eastAsia="宋体" w:hAnsi="Times New Roman"/>
                  <w:sz w:val="20"/>
                  <w:szCs w:val="20"/>
                </w:rPr>
                <w:t>Section 1350 Certification of Principal Executive Officer</w:t>
              </w:r>
            </w:hyperlink>
          </w:p>
        </w:tc>
        <w:tc>
          <w:tcPr>
            <w:tcW w:w="0" w:type="auto"/>
            <w:gridSpan w:val="3"/>
            <w:shd w:val="clear" w:color="auto" w:fill="CCEEFF"/>
            <w:tcMar>
              <w:top w:w="0" w:type="dxa"/>
              <w:left w:w="20" w:type="dxa"/>
              <w:bottom w:w="0" w:type="dxa"/>
              <w:right w:w="20" w:type="dxa"/>
            </w:tcMar>
            <w:vAlign w:val="bottom"/>
          </w:tcPr>
          <w:p w14:paraId="518B851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1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1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1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2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2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2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2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24"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25"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34" w14:textId="77777777">
        <w:tc>
          <w:tcPr>
            <w:tcW w:w="0" w:type="auto"/>
            <w:gridSpan w:val="3"/>
            <w:shd w:val="clear" w:color="auto" w:fill="FFFFFF"/>
            <w:tcMar>
              <w:top w:w="40" w:type="dxa"/>
              <w:left w:w="87" w:type="dxa"/>
              <w:bottom w:w="40" w:type="dxa"/>
              <w:right w:w="87" w:type="dxa"/>
            </w:tcMar>
          </w:tcPr>
          <w:p w14:paraId="518B8527" w14:textId="77777777" w:rsidR="005C332D" w:rsidRDefault="00B93EAE">
            <w:pPr>
              <w:jc w:val="center"/>
              <w:textAlignment w:val="top"/>
            </w:pPr>
            <w:r>
              <w:rPr>
                <w:rFonts w:ascii="Times New Roman" w:eastAsia="宋体" w:hAnsi="Times New Roman"/>
                <w:color w:val="000000"/>
                <w:sz w:val="20"/>
                <w:szCs w:val="20"/>
              </w:rPr>
              <w:t>32.2</w:t>
            </w:r>
          </w:p>
        </w:tc>
        <w:tc>
          <w:tcPr>
            <w:tcW w:w="0" w:type="auto"/>
            <w:gridSpan w:val="3"/>
            <w:shd w:val="clear" w:color="auto" w:fill="FFFFFF"/>
            <w:tcMar>
              <w:top w:w="0" w:type="dxa"/>
              <w:left w:w="20" w:type="dxa"/>
              <w:bottom w:w="0" w:type="dxa"/>
              <w:right w:w="20" w:type="dxa"/>
            </w:tcMar>
            <w:vAlign w:val="bottom"/>
          </w:tcPr>
          <w:p w14:paraId="518B8528"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529" w14:textId="77777777" w:rsidR="005C332D" w:rsidRDefault="00B93EAE">
            <w:pPr>
              <w:textAlignment w:val="top"/>
            </w:pPr>
            <w:hyperlink r:id="rId212" w:history="1">
              <w:r>
                <w:rPr>
                  <w:rStyle w:val="a5"/>
                  <w:rFonts w:ascii="Times New Roman" w:eastAsia="宋体" w:hAnsi="Times New Roman"/>
                  <w:sz w:val="20"/>
                  <w:szCs w:val="20"/>
                </w:rPr>
                <w:t>Section 1350 Certification of Principal Financial Officer</w:t>
              </w:r>
            </w:hyperlink>
          </w:p>
        </w:tc>
        <w:tc>
          <w:tcPr>
            <w:tcW w:w="0" w:type="auto"/>
            <w:gridSpan w:val="3"/>
            <w:shd w:val="clear" w:color="auto" w:fill="FFFFFF"/>
            <w:tcMar>
              <w:top w:w="0" w:type="dxa"/>
              <w:left w:w="20" w:type="dxa"/>
              <w:bottom w:w="0" w:type="dxa"/>
              <w:right w:w="20" w:type="dxa"/>
            </w:tcMar>
            <w:vAlign w:val="bottom"/>
          </w:tcPr>
          <w:p w14:paraId="518B852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2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2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2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2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2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3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3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32"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533"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42" w14:textId="77777777">
        <w:tc>
          <w:tcPr>
            <w:tcW w:w="0" w:type="auto"/>
            <w:gridSpan w:val="3"/>
            <w:shd w:val="clear" w:color="auto" w:fill="CCEEFF"/>
            <w:tcMar>
              <w:top w:w="40" w:type="dxa"/>
              <w:left w:w="87" w:type="dxa"/>
              <w:bottom w:w="40" w:type="dxa"/>
              <w:right w:w="87" w:type="dxa"/>
            </w:tcMar>
          </w:tcPr>
          <w:p w14:paraId="518B8535" w14:textId="77777777" w:rsidR="005C332D" w:rsidRDefault="00B93EAE">
            <w:pPr>
              <w:jc w:val="center"/>
              <w:textAlignment w:val="top"/>
            </w:pPr>
            <w:r>
              <w:rPr>
                <w:rFonts w:ascii="Times New Roman" w:eastAsia="宋体" w:hAnsi="Times New Roman"/>
                <w:color w:val="000000"/>
                <w:sz w:val="20"/>
                <w:szCs w:val="20"/>
              </w:rPr>
              <w:t>101.INS</w:t>
            </w:r>
          </w:p>
        </w:tc>
        <w:tc>
          <w:tcPr>
            <w:tcW w:w="0" w:type="auto"/>
            <w:gridSpan w:val="3"/>
            <w:shd w:val="clear" w:color="auto" w:fill="CCEEFF"/>
            <w:tcMar>
              <w:top w:w="0" w:type="dxa"/>
              <w:left w:w="20" w:type="dxa"/>
              <w:bottom w:w="0" w:type="dxa"/>
              <w:right w:w="20" w:type="dxa"/>
            </w:tcMar>
            <w:vAlign w:val="bottom"/>
          </w:tcPr>
          <w:p w14:paraId="518B8536"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37" w14:textId="77777777" w:rsidR="005C332D" w:rsidRDefault="00B93EAE">
            <w:pPr>
              <w:textAlignment w:val="top"/>
            </w:pPr>
            <w:r>
              <w:rPr>
                <w:rFonts w:ascii="Times New Roman" w:eastAsia="宋体" w:hAnsi="Times New Roman"/>
                <w:color w:val="000000"/>
                <w:sz w:val="20"/>
                <w:szCs w:val="20"/>
              </w:rPr>
              <w:t>Inline XBRL Instance Document</w:t>
            </w:r>
          </w:p>
        </w:tc>
        <w:tc>
          <w:tcPr>
            <w:tcW w:w="0" w:type="auto"/>
            <w:gridSpan w:val="3"/>
            <w:shd w:val="clear" w:color="auto" w:fill="CCEEFF"/>
            <w:tcMar>
              <w:top w:w="0" w:type="dxa"/>
              <w:left w:w="20" w:type="dxa"/>
              <w:bottom w:w="0" w:type="dxa"/>
              <w:right w:w="20" w:type="dxa"/>
            </w:tcMar>
            <w:vAlign w:val="bottom"/>
          </w:tcPr>
          <w:p w14:paraId="518B853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3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3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3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3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3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3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3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40"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41"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50" w14:textId="77777777">
        <w:tc>
          <w:tcPr>
            <w:tcW w:w="0" w:type="auto"/>
            <w:gridSpan w:val="3"/>
            <w:shd w:val="clear" w:color="auto" w:fill="FFFFFF"/>
            <w:tcMar>
              <w:top w:w="40" w:type="dxa"/>
              <w:left w:w="87" w:type="dxa"/>
              <w:bottom w:w="40" w:type="dxa"/>
              <w:right w:w="87" w:type="dxa"/>
            </w:tcMar>
          </w:tcPr>
          <w:p w14:paraId="518B8543" w14:textId="77777777" w:rsidR="005C332D" w:rsidRDefault="00B93EAE">
            <w:pPr>
              <w:jc w:val="center"/>
              <w:textAlignment w:val="top"/>
            </w:pPr>
            <w:r>
              <w:rPr>
                <w:rFonts w:ascii="Times New Roman" w:eastAsia="宋体" w:hAnsi="Times New Roman"/>
                <w:color w:val="000000"/>
                <w:sz w:val="20"/>
                <w:szCs w:val="20"/>
              </w:rPr>
              <w:t>101.SCH</w:t>
            </w:r>
          </w:p>
        </w:tc>
        <w:tc>
          <w:tcPr>
            <w:tcW w:w="0" w:type="auto"/>
            <w:gridSpan w:val="3"/>
            <w:shd w:val="clear" w:color="auto" w:fill="FFFFFF"/>
            <w:tcMar>
              <w:top w:w="0" w:type="dxa"/>
              <w:left w:w="20" w:type="dxa"/>
              <w:bottom w:w="0" w:type="dxa"/>
              <w:right w:w="20" w:type="dxa"/>
            </w:tcMar>
            <w:vAlign w:val="bottom"/>
          </w:tcPr>
          <w:p w14:paraId="518B8544"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545" w14:textId="77777777" w:rsidR="005C332D" w:rsidRDefault="00B93EAE">
            <w:pPr>
              <w:textAlignment w:val="top"/>
            </w:pPr>
            <w:r>
              <w:rPr>
                <w:rFonts w:ascii="Times New Roman" w:eastAsia="宋体" w:hAnsi="Times New Roman"/>
                <w:color w:val="000000"/>
                <w:sz w:val="20"/>
                <w:szCs w:val="20"/>
              </w:rPr>
              <w:t xml:space="preserve">Inline </w:t>
            </w:r>
            <w:r>
              <w:rPr>
                <w:rFonts w:ascii="Times New Roman" w:eastAsia="宋体" w:hAnsi="Times New Roman"/>
                <w:color w:val="000000"/>
                <w:sz w:val="20"/>
                <w:szCs w:val="20"/>
              </w:rPr>
              <w:t>XBRL Taxonomy Extension Schema Document</w:t>
            </w:r>
          </w:p>
        </w:tc>
        <w:tc>
          <w:tcPr>
            <w:tcW w:w="0" w:type="auto"/>
            <w:gridSpan w:val="3"/>
            <w:shd w:val="clear" w:color="auto" w:fill="FFFFFF"/>
            <w:tcMar>
              <w:top w:w="0" w:type="dxa"/>
              <w:left w:w="20" w:type="dxa"/>
              <w:bottom w:w="0" w:type="dxa"/>
              <w:right w:w="20" w:type="dxa"/>
            </w:tcMar>
            <w:vAlign w:val="bottom"/>
          </w:tcPr>
          <w:p w14:paraId="518B854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4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4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4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4A"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4B"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4C"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4D"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4E"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54F"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5E" w14:textId="77777777">
        <w:tc>
          <w:tcPr>
            <w:tcW w:w="0" w:type="auto"/>
            <w:gridSpan w:val="3"/>
            <w:shd w:val="clear" w:color="auto" w:fill="CCEEFF"/>
            <w:tcMar>
              <w:top w:w="40" w:type="dxa"/>
              <w:left w:w="87" w:type="dxa"/>
              <w:bottom w:w="40" w:type="dxa"/>
              <w:right w:w="87" w:type="dxa"/>
            </w:tcMar>
          </w:tcPr>
          <w:p w14:paraId="518B8551" w14:textId="77777777" w:rsidR="005C332D" w:rsidRDefault="00B93EAE">
            <w:pPr>
              <w:jc w:val="center"/>
              <w:textAlignment w:val="top"/>
            </w:pPr>
            <w:r>
              <w:rPr>
                <w:rFonts w:ascii="Times New Roman" w:eastAsia="宋体" w:hAnsi="Times New Roman"/>
                <w:color w:val="000000"/>
                <w:sz w:val="20"/>
                <w:szCs w:val="20"/>
              </w:rPr>
              <w:t>101.CAL</w:t>
            </w:r>
          </w:p>
        </w:tc>
        <w:tc>
          <w:tcPr>
            <w:tcW w:w="0" w:type="auto"/>
            <w:gridSpan w:val="3"/>
            <w:shd w:val="clear" w:color="auto" w:fill="CCEEFF"/>
            <w:tcMar>
              <w:top w:w="0" w:type="dxa"/>
              <w:left w:w="20" w:type="dxa"/>
              <w:bottom w:w="0" w:type="dxa"/>
              <w:right w:w="20" w:type="dxa"/>
            </w:tcMar>
            <w:vAlign w:val="bottom"/>
          </w:tcPr>
          <w:p w14:paraId="518B8552"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53" w14:textId="77777777" w:rsidR="005C332D" w:rsidRDefault="00B93EAE">
            <w:pPr>
              <w:textAlignment w:val="top"/>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CCEEFF"/>
            <w:tcMar>
              <w:top w:w="0" w:type="dxa"/>
              <w:left w:w="20" w:type="dxa"/>
              <w:bottom w:w="0" w:type="dxa"/>
              <w:right w:w="20" w:type="dxa"/>
            </w:tcMar>
            <w:vAlign w:val="bottom"/>
          </w:tcPr>
          <w:p w14:paraId="518B855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5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5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5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58"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59"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5A"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5B"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5C"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5D"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6C" w14:textId="77777777">
        <w:tc>
          <w:tcPr>
            <w:tcW w:w="0" w:type="auto"/>
            <w:gridSpan w:val="3"/>
            <w:shd w:val="clear" w:color="auto" w:fill="FFFFFF"/>
            <w:tcMar>
              <w:top w:w="40" w:type="dxa"/>
              <w:left w:w="87" w:type="dxa"/>
              <w:bottom w:w="40" w:type="dxa"/>
              <w:right w:w="87" w:type="dxa"/>
            </w:tcMar>
          </w:tcPr>
          <w:p w14:paraId="518B855F" w14:textId="77777777" w:rsidR="005C332D" w:rsidRDefault="00B93EAE">
            <w:pPr>
              <w:jc w:val="center"/>
              <w:textAlignment w:val="top"/>
            </w:pPr>
            <w:r>
              <w:rPr>
                <w:rFonts w:ascii="Times New Roman" w:eastAsia="宋体" w:hAnsi="Times New Roman"/>
                <w:color w:val="000000"/>
                <w:sz w:val="20"/>
                <w:szCs w:val="20"/>
              </w:rPr>
              <w:t>101.DEF</w:t>
            </w:r>
          </w:p>
        </w:tc>
        <w:tc>
          <w:tcPr>
            <w:tcW w:w="0" w:type="auto"/>
            <w:gridSpan w:val="3"/>
            <w:shd w:val="clear" w:color="auto" w:fill="FFFFFF"/>
            <w:tcMar>
              <w:top w:w="0" w:type="dxa"/>
              <w:left w:w="20" w:type="dxa"/>
              <w:bottom w:w="0" w:type="dxa"/>
              <w:right w:w="20" w:type="dxa"/>
            </w:tcMar>
            <w:vAlign w:val="bottom"/>
          </w:tcPr>
          <w:p w14:paraId="518B8560"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561" w14:textId="77777777" w:rsidR="005C332D" w:rsidRDefault="00B93EAE">
            <w:pPr>
              <w:textAlignment w:val="top"/>
            </w:pPr>
            <w:r>
              <w:rPr>
                <w:rFonts w:ascii="Times New Roman" w:eastAsia="宋体" w:hAnsi="Times New Roman"/>
                <w:color w:val="000000"/>
                <w:sz w:val="20"/>
                <w:szCs w:val="20"/>
              </w:rPr>
              <w:t>Inline XBRL Taxonomy Extension Definition Linkbase Document</w:t>
            </w:r>
          </w:p>
        </w:tc>
        <w:tc>
          <w:tcPr>
            <w:tcW w:w="0" w:type="auto"/>
            <w:gridSpan w:val="3"/>
            <w:shd w:val="clear" w:color="auto" w:fill="FFFFFF"/>
            <w:tcMar>
              <w:top w:w="0" w:type="dxa"/>
              <w:left w:w="20" w:type="dxa"/>
              <w:bottom w:w="0" w:type="dxa"/>
              <w:right w:w="20" w:type="dxa"/>
            </w:tcMar>
            <w:vAlign w:val="bottom"/>
          </w:tcPr>
          <w:p w14:paraId="518B856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6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6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6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66"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67"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68"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69"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6A"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56B"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7A" w14:textId="77777777">
        <w:tc>
          <w:tcPr>
            <w:tcW w:w="0" w:type="auto"/>
            <w:gridSpan w:val="3"/>
            <w:shd w:val="clear" w:color="auto" w:fill="CCEEFF"/>
            <w:tcMar>
              <w:top w:w="40" w:type="dxa"/>
              <w:left w:w="87" w:type="dxa"/>
              <w:bottom w:w="40" w:type="dxa"/>
              <w:right w:w="87" w:type="dxa"/>
            </w:tcMar>
          </w:tcPr>
          <w:p w14:paraId="518B856D" w14:textId="77777777" w:rsidR="005C332D" w:rsidRDefault="00B93EAE">
            <w:pPr>
              <w:jc w:val="center"/>
              <w:textAlignment w:val="top"/>
            </w:pPr>
            <w:r>
              <w:rPr>
                <w:rFonts w:ascii="Times New Roman" w:eastAsia="宋体" w:hAnsi="Times New Roman"/>
                <w:color w:val="000000"/>
                <w:sz w:val="20"/>
                <w:szCs w:val="20"/>
              </w:rPr>
              <w:t>101.LAB</w:t>
            </w:r>
          </w:p>
        </w:tc>
        <w:tc>
          <w:tcPr>
            <w:tcW w:w="0" w:type="auto"/>
            <w:gridSpan w:val="3"/>
            <w:shd w:val="clear" w:color="auto" w:fill="CCEEFF"/>
            <w:tcMar>
              <w:top w:w="0" w:type="dxa"/>
              <w:left w:w="20" w:type="dxa"/>
              <w:bottom w:w="0" w:type="dxa"/>
              <w:right w:w="20" w:type="dxa"/>
            </w:tcMar>
            <w:vAlign w:val="bottom"/>
          </w:tcPr>
          <w:p w14:paraId="518B856E"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6F" w14:textId="77777777" w:rsidR="005C332D" w:rsidRDefault="00B93EAE">
            <w:pPr>
              <w:textAlignment w:val="top"/>
            </w:pPr>
            <w:r>
              <w:rPr>
                <w:rFonts w:ascii="Times New Roman" w:eastAsia="宋体" w:hAnsi="Times New Roman"/>
                <w:color w:val="000000"/>
                <w:sz w:val="20"/>
                <w:szCs w:val="20"/>
              </w:rPr>
              <w:t xml:space="preserve">Inline XBRL Taxonomy </w:t>
            </w:r>
            <w:r>
              <w:rPr>
                <w:rFonts w:ascii="Times New Roman" w:eastAsia="宋体" w:hAnsi="Times New Roman"/>
                <w:color w:val="000000"/>
                <w:sz w:val="20"/>
                <w:szCs w:val="20"/>
              </w:rPr>
              <w:t>Extension Label Linkbase Document</w:t>
            </w:r>
          </w:p>
        </w:tc>
        <w:tc>
          <w:tcPr>
            <w:tcW w:w="0" w:type="auto"/>
            <w:gridSpan w:val="3"/>
            <w:shd w:val="clear" w:color="auto" w:fill="CCEEFF"/>
            <w:tcMar>
              <w:top w:w="0" w:type="dxa"/>
              <w:left w:w="20" w:type="dxa"/>
              <w:bottom w:w="0" w:type="dxa"/>
              <w:right w:w="20" w:type="dxa"/>
            </w:tcMar>
            <w:vAlign w:val="bottom"/>
          </w:tcPr>
          <w:p w14:paraId="518B857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7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7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7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74"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75"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76"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77"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78"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79"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88" w14:textId="77777777">
        <w:tc>
          <w:tcPr>
            <w:tcW w:w="0" w:type="auto"/>
            <w:gridSpan w:val="3"/>
            <w:shd w:val="clear" w:color="auto" w:fill="FFFFFF"/>
            <w:tcMar>
              <w:top w:w="40" w:type="dxa"/>
              <w:left w:w="87" w:type="dxa"/>
              <w:bottom w:w="40" w:type="dxa"/>
              <w:right w:w="87" w:type="dxa"/>
            </w:tcMar>
          </w:tcPr>
          <w:p w14:paraId="518B857B" w14:textId="77777777" w:rsidR="005C332D" w:rsidRDefault="00B93EAE">
            <w:pPr>
              <w:jc w:val="center"/>
              <w:textAlignment w:val="top"/>
            </w:pPr>
            <w:r>
              <w:rPr>
                <w:rFonts w:ascii="Times New Roman" w:eastAsia="宋体" w:hAnsi="Times New Roman"/>
                <w:color w:val="000000"/>
                <w:sz w:val="20"/>
                <w:szCs w:val="20"/>
              </w:rPr>
              <w:t>101.PRE</w:t>
            </w:r>
          </w:p>
        </w:tc>
        <w:tc>
          <w:tcPr>
            <w:tcW w:w="0" w:type="auto"/>
            <w:gridSpan w:val="3"/>
            <w:shd w:val="clear" w:color="auto" w:fill="FFFFFF"/>
            <w:tcMar>
              <w:top w:w="0" w:type="dxa"/>
              <w:left w:w="20" w:type="dxa"/>
              <w:bottom w:w="0" w:type="dxa"/>
              <w:right w:w="20" w:type="dxa"/>
            </w:tcMar>
            <w:vAlign w:val="bottom"/>
          </w:tcPr>
          <w:p w14:paraId="518B857C"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57D" w14:textId="77777777" w:rsidR="005C332D" w:rsidRDefault="00B93EAE">
            <w:pPr>
              <w:textAlignment w:val="top"/>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FFFFFF"/>
            <w:tcMar>
              <w:top w:w="0" w:type="dxa"/>
              <w:left w:w="20" w:type="dxa"/>
              <w:bottom w:w="0" w:type="dxa"/>
              <w:right w:w="20" w:type="dxa"/>
            </w:tcMar>
            <w:vAlign w:val="bottom"/>
          </w:tcPr>
          <w:p w14:paraId="518B857E"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7F"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80"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81"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82"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83"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84"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85" w14:textId="77777777" w:rsidR="005C332D" w:rsidRDefault="005C332D">
            <w:pPr>
              <w:rPr>
                <w:rFonts w:ascii="宋体"/>
              </w:rPr>
            </w:pPr>
          </w:p>
        </w:tc>
        <w:tc>
          <w:tcPr>
            <w:tcW w:w="0" w:type="auto"/>
            <w:gridSpan w:val="3"/>
            <w:shd w:val="clear" w:color="auto" w:fill="FFFFFF"/>
            <w:tcMar>
              <w:top w:w="0" w:type="dxa"/>
              <w:left w:w="20" w:type="dxa"/>
              <w:bottom w:w="0" w:type="dxa"/>
              <w:right w:w="20" w:type="dxa"/>
            </w:tcMar>
            <w:vAlign w:val="bottom"/>
          </w:tcPr>
          <w:p w14:paraId="518B8586" w14:textId="77777777" w:rsidR="005C332D" w:rsidRDefault="005C332D">
            <w:pPr>
              <w:rPr>
                <w:rFonts w:ascii="宋体"/>
              </w:rPr>
            </w:pPr>
          </w:p>
        </w:tc>
        <w:tc>
          <w:tcPr>
            <w:tcW w:w="0" w:type="auto"/>
            <w:gridSpan w:val="3"/>
            <w:shd w:val="clear" w:color="auto" w:fill="FFFFFF"/>
            <w:tcMar>
              <w:top w:w="40" w:type="dxa"/>
              <w:left w:w="20" w:type="dxa"/>
              <w:bottom w:w="40" w:type="dxa"/>
              <w:right w:w="20" w:type="dxa"/>
            </w:tcMar>
          </w:tcPr>
          <w:p w14:paraId="518B8587" w14:textId="77777777" w:rsidR="005C332D" w:rsidRDefault="00B93EAE">
            <w:pPr>
              <w:jc w:val="center"/>
              <w:textAlignment w:val="top"/>
            </w:pPr>
            <w:r>
              <w:rPr>
                <w:rFonts w:ascii="Times New Roman" w:eastAsia="宋体" w:hAnsi="Times New Roman"/>
                <w:color w:val="000000"/>
                <w:sz w:val="20"/>
                <w:szCs w:val="20"/>
              </w:rPr>
              <w:t>X</w:t>
            </w:r>
          </w:p>
        </w:tc>
      </w:tr>
      <w:tr w:rsidR="005C332D" w14:paraId="518B8596" w14:textId="77777777">
        <w:tc>
          <w:tcPr>
            <w:tcW w:w="0" w:type="auto"/>
            <w:gridSpan w:val="3"/>
            <w:shd w:val="clear" w:color="auto" w:fill="CCEEFF"/>
            <w:tcMar>
              <w:top w:w="40" w:type="dxa"/>
              <w:left w:w="87" w:type="dxa"/>
              <w:bottom w:w="40" w:type="dxa"/>
              <w:right w:w="87" w:type="dxa"/>
            </w:tcMar>
          </w:tcPr>
          <w:p w14:paraId="518B8589" w14:textId="77777777" w:rsidR="005C332D" w:rsidRDefault="00B93EAE">
            <w:pPr>
              <w:jc w:val="center"/>
              <w:textAlignment w:val="top"/>
            </w:pPr>
            <w:r>
              <w:rPr>
                <w:rFonts w:ascii="Times New Roman" w:eastAsia="宋体" w:hAnsi="Times New Roman"/>
                <w:color w:val="000000"/>
                <w:sz w:val="20"/>
                <w:szCs w:val="20"/>
              </w:rPr>
              <w:t>104</w:t>
            </w:r>
          </w:p>
        </w:tc>
        <w:tc>
          <w:tcPr>
            <w:tcW w:w="0" w:type="auto"/>
            <w:gridSpan w:val="3"/>
            <w:shd w:val="clear" w:color="auto" w:fill="CCEEFF"/>
            <w:tcMar>
              <w:top w:w="0" w:type="dxa"/>
              <w:left w:w="20" w:type="dxa"/>
              <w:bottom w:w="0" w:type="dxa"/>
              <w:right w:w="20" w:type="dxa"/>
            </w:tcMar>
            <w:vAlign w:val="bottom"/>
          </w:tcPr>
          <w:p w14:paraId="518B858A"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8B" w14:textId="77777777" w:rsidR="005C332D" w:rsidRDefault="00B93EAE">
            <w:pPr>
              <w:textAlignment w:val="top"/>
            </w:pPr>
            <w:r>
              <w:rPr>
                <w:rFonts w:ascii="Times New Roman" w:eastAsia="宋体" w:hAnsi="Times New Roman"/>
                <w:color w:val="000000"/>
                <w:sz w:val="20"/>
                <w:szCs w:val="20"/>
              </w:rPr>
              <w:t>Cover Page Interactive Data File (Embedded within the Inline XBRL document and included in Exhibit 101)</w:t>
            </w:r>
          </w:p>
        </w:tc>
        <w:tc>
          <w:tcPr>
            <w:tcW w:w="0" w:type="auto"/>
            <w:gridSpan w:val="3"/>
            <w:shd w:val="clear" w:color="auto" w:fill="CCEEFF"/>
            <w:tcMar>
              <w:top w:w="0" w:type="dxa"/>
              <w:left w:w="20" w:type="dxa"/>
              <w:bottom w:w="0" w:type="dxa"/>
              <w:right w:w="20" w:type="dxa"/>
            </w:tcMar>
            <w:vAlign w:val="bottom"/>
          </w:tcPr>
          <w:p w14:paraId="518B858C"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8D"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8E"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8F"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90"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91"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92"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93" w14:textId="77777777" w:rsidR="005C332D" w:rsidRDefault="005C332D">
            <w:pPr>
              <w:rPr>
                <w:rFonts w:ascii="宋体"/>
              </w:rPr>
            </w:pPr>
          </w:p>
        </w:tc>
        <w:tc>
          <w:tcPr>
            <w:tcW w:w="0" w:type="auto"/>
            <w:gridSpan w:val="3"/>
            <w:shd w:val="clear" w:color="auto" w:fill="CCEEFF"/>
            <w:tcMar>
              <w:top w:w="0" w:type="dxa"/>
              <w:left w:w="20" w:type="dxa"/>
              <w:bottom w:w="0" w:type="dxa"/>
              <w:right w:w="20" w:type="dxa"/>
            </w:tcMar>
            <w:vAlign w:val="bottom"/>
          </w:tcPr>
          <w:p w14:paraId="518B8594" w14:textId="77777777" w:rsidR="005C332D" w:rsidRDefault="005C332D">
            <w:pPr>
              <w:rPr>
                <w:rFonts w:ascii="宋体"/>
              </w:rPr>
            </w:pPr>
          </w:p>
        </w:tc>
        <w:tc>
          <w:tcPr>
            <w:tcW w:w="0" w:type="auto"/>
            <w:gridSpan w:val="3"/>
            <w:shd w:val="clear" w:color="auto" w:fill="CCEEFF"/>
            <w:tcMar>
              <w:top w:w="40" w:type="dxa"/>
              <w:left w:w="20" w:type="dxa"/>
              <w:bottom w:w="40" w:type="dxa"/>
              <w:right w:w="20" w:type="dxa"/>
            </w:tcMar>
          </w:tcPr>
          <w:p w14:paraId="518B8595" w14:textId="77777777" w:rsidR="005C332D" w:rsidRDefault="00B93EAE">
            <w:pPr>
              <w:jc w:val="center"/>
              <w:textAlignment w:val="top"/>
            </w:pPr>
            <w:r>
              <w:rPr>
                <w:rFonts w:ascii="Times New Roman" w:eastAsia="宋体" w:hAnsi="Times New Roman"/>
                <w:color w:val="000000"/>
                <w:sz w:val="20"/>
                <w:szCs w:val="20"/>
              </w:rPr>
              <w:t>X</w:t>
            </w:r>
          </w:p>
        </w:tc>
      </w:tr>
    </w:tbl>
    <w:p w14:paraId="518B8597" w14:textId="77777777" w:rsidR="005C332D" w:rsidRDefault="005C332D">
      <w:pPr>
        <w:rPr>
          <w:vanish/>
        </w:rPr>
      </w:pPr>
    </w:p>
    <w:tbl>
      <w:tblPr>
        <w:tblW w:w="4912" w:type="pct"/>
        <w:tblCellMar>
          <w:top w:w="15" w:type="dxa"/>
          <w:left w:w="15" w:type="dxa"/>
          <w:bottom w:w="15" w:type="dxa"/>
          <w:right w:w="15" w:type="dxa"/>
        </w:tblCellMar>
        <w:tblLook w:val="04A0" w:firstRow="1" w:lastRow="0" w:firstColumn="1" w:lastColumn="0" w:noHBand="0" w:noVBand="1"/>
      </w:tblPr>
      <w:tblGrid>
        <w:gridCol w:w="68"/>
        <w:gridCol w:w="662"/>
        <w:gridCol w:w="36"/>
        <w:gridCol w:w="68"/>
        <w:gridCol w:w="7319"/>
        <w:gridCol w:w="36"/>
      </w:tblGrid>
      <w:tr w:rsidR="005C332D" w14:paraId="518B859E" w14:textId="77777777">
        <w:tc>
          <w:tcPr>
            <w:tcW w:w="50" w:type="pct"/>
            <w:shd w:val="clear" w:color="auto" w:fill="auto"/>
            <w:vAlign w:val="bottom"/>
          </w:tcPr>
          <w:p w14:paraId="518B8598" w14:textId="77777777" w:rsidR="005C332D" w:rsidRDefault="005C332D">
            <w:pPr>
              <w:rPr>
                <w:rFonts w:ascii="宋体"/>
              </w:rPr>
            </w:pPr>
          </w:p>
        </w:tc>
        <w:tc>
          <w:tcPr>
            <w:tcW w:w="413" w:type="pct"/>
            <w:shd w:val="clear" w:color="auto" w:fill="auto"/>
            <w:vAlign w:val="bottom"/>
          </w:tcPr>
          <w:p w14:paraId="518B8599" w14:textId="77777777" w:rsidR="005C332D" w:rsidRDefault="005C332D">
            <w:pPr>
              <w:rPr>
                <w:rFonts w:ascii="宋体"/>
              </w:rPr>
            </w:pPr>
          </w:p>
        </w:tc>
        <w:tc>
          <w:tcPr>
            <w:tcW w:w="5" w:type="pct"/>
            <w:shd w:val="clear" w:color="auto" w:fill="auto"/>
            <w:vAlign w:val="bottom"/>
          </w:tcPr>
          <w:p w14:paraId="518B859A" w14:textId="77777777" w:rsidR="005C332D" w:rsidRDefault="005C332D">
            <w:pPr>
              <w:rPr>
                <w:rFonts w:ascii="宋体"/>
              </w:rPr>
            </w:pPr>
          </w:p>
        </w:tc>
        <w:tc>
          <w:tcPr>
            <w:tcW w:w="50" w:type="pct"/>
            <w:shd w:val="clear" w:color="auto" w:fill="auto"/>
            <w:vAlign w:val="bottom"/>
          </w:tcPr>
          <w:p w14:paraId="518B859B" w14:textId="77777777" w:rsidR="005C332D" w:rsidRDefault="005C332D">
            <w:pPr>
              <w:rPr>
                <w:rFonts w:ascii="宋体"/>
              </w:rPr>
            </w:pPr>
          </w:p>
        </w:tc>
        <w:tc>
          <w:tcPr>
            <w:tcW w:w="4476" w:type="pct"/>
            <w:shd w:val="clear" w:color="auto" w:fill="auto"/>
            <w:vAlign w:val="bottom"/>
          </w:tcPr>
          <w:p w14:paraId="518B859C" w14:textId="77777777" w:rsidR="005C332D" w:rsidRDefault="005C332D">
            <w:pPr>
              <w:rPr>
                <w:rFonts w:ascii="宋体"/>
              </w:rPr>
            </w:pPr>
          </w:p>
        </w:tc>
        <w:tc>
          <w:tcPr>
            <w:tcW w:w="5" w:type="pct"/>
            <w:shd w:val="clear" w:color="auto" w:fill="auto"/>
            <w:vAlign w:val="bottom"/>
          </w:tcPr>
          <w:p w14:paraId="518B859D" w14:textId="77777777" w:rsidR="005C332D" w:rsidRDefault="005C332D">
            <w:pPr>
              <w:rPr>
                <w:rFonts w:ascii="宋体"/>
              </w:rPr>
            </w:pPr>
          </w:p>
        </w:tc>
      </w:tr>
      <w:tr w:rsidR="005C332D" w14:paraId="518B85A1" w14:textId="77777777">
        <w:tc>
          <w:tcPr>
            <w:tcW w:w="0" w:type="auto"/>
            <w:gridSpan w:val="3"/>
            <w:shd w:val="clear" w:color="auto" w:fill="auto"/>
            <w:tcMar>
              <w:top w:w="40" w:type="dxa"/>
              <w:left w:w="20" w:type="dxa"/>
              <w:bottom w:w="40" w:type="dxa"/>
              <w:right w:w="20" w:type="dxa"/>
            </w:tcMar>
          </w:tcPr>
          <w:p w14:paraId="518B859F" w14:textId="77777777" w:rsidR="005C332D" w:rsidRDefault="00B93EAE">
            <w:pPr>
              <w:jc w:val="cente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518B85A0" w14:textId="77777777" w:rsidR="005C332D" w:rsidRDefault="00B93EAE">
            <w:pPr>
              <w:textAlignment w:val="bottom"/>
            </w:pPr>
            <w:r>
              <w:rPr>
                <w:rFonts w:ascii="Times New Roman" w:eastAsia="宋体" w:hAnsi="Times New Roman"/>
                <w:color w:val="000000"/>
                <w:sz w:val="20"/>
                <w:szCs w:val="20"/>
              </w:rPr>
              <w:t>Indicates a management contract or compensatory plan or arrangement.</w:t>
            </w:r>
          </w:p>
        </w:tc>
      </w:tr>
    </w:tbl>
    <w:p w14:paraId="518B85A2" w14:textId="77777777" w:rsidR="005C332D" w:rsidRDefault="005C332D"/>
    <w:p w14:paraId="518B85A3" w14:textId="77777777" w:rsidR="005C332D" w:rsidRDefault="00B93EAE">
      <w:r>
        <w:rPr>
          <w:rFonts w:ascii="Times New Roman" w:eastAsia="宋体" w:hAnsi="Times New Roman"/>
          <w:color w:val="000000"/>
          <w:sz w:val="20"/>
          <w:szCs w:val="20"/>
        </w:rPr>
        <w:t> </w:t>
      </w:r>
    </w:p>
    <w:tbl>
      <w:tblPr>
        <w:tblW w:w="2478"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3084"/>
        <w:gridCol w:w="36"/>
      </w:tblGrid>
      <w:tr w:rsidR="005C332D" w14:paraId="518B85AA" w14:textId="77777777">
        <w:tc>
          <w:tcPr>
            <w:tcW w:w="50" w:type="pct"/>
            <w:shd w:val="clear" w:color="auto" w:fill="auto"/>
            <w:vAlign w:val="bottom"/>
          </w:tcPr>
          <w:p w14:paraId="518B85A4" w14:textId="77777777" w:rsidR="005C332D" w:rsidRDefault="005C332D">
            <w:pPr>
              <w:rPr>
                <w:rFonts w:ascii="宋体"/>
              </w:rPr>
            </w:pPr>
          </w:p>
        </w:tc>
        <w:tc>
          <w:tcPr>
            <w:tcW w:w="1124" w:type="pct"/>
            <w:shd w:val="clear" w:color="auto" w:fill="auto"/>
            <w:vAlign w:val="bottom"/>
          </w:tcPr>
          <w:p w14:paraId="518B85A5" w14:textId="77777777" w:rsidR="005C332D" w:rsidRDefault="005C332D">
            <w:pPr>
              <w:rPr>
                <w:rFonts w:ascii="宋体"/>
              </w:rPr>
            </w:pPr>
          </w:p>
        </w:tc>
        <w:tc>
          <w:tcPr>
            <w:tcW w:w="5" w:type="pct"/>
            <w:shd w:val="clear" w:color="auto" w:fill="auto"/>
            <w:vAlign w:val="bottom"/>
          </w:tcPr>
          <w:p w14:paraId="518B85A6" w14:textId="77777777" w:rsidR="005C332D" w:rsidRDefault="005C332D">
            <w:pPr>
              <w:rPr>
                <w:rFonts w:ascii="宋体"/>
              </w:rPr>
            </w:pPr>
          </w:p>
        </w:tc>
        <w:tc>
          <w:tcPr>
            <w:tcW w:w="50" w:type="pct"/>
            <w:shd w:val="clear" w:color="auto" w:fill="auto"/>
            <w:vAlign w:val="bottom"/>
          </w:tcPr>
          <w:p w14:paraId="518B85A7" w14:textId="77777777" w:rsidR="005C332D" w:rsidRDefault="005C332D">
            <w:pPr>
              <w:rPr>
                <w:rFonts w:ascii="宋体"/>
              </w:rPr>
            </w:pPr>
          </w:p>
        </w:tc>
        <w:tc>
          <w:tcPr>
            <w:tcW w:w="3765" w:type="pct"/>
            <w:shd w:val="clear" w:color="auto" w:fill="auto"/>
            <w:vAlign w:val="bottom"/>
          </w:tcPr>
          <w:p w14:paraId="518B85A8" w14:textId="77777777" w:rsidR="005C332D" w:rsidRDefault="005C332D">
            <w:pPr>
              <w:rPr>
                <w:rFonts w:ascii="宋体"/>
              </w:rPr>
            </w:pPr>
          </w:p>
        </w:tc>
        <w:tc>
          <w:tcPr>
            <w:tcW w:w="5" w:type="pct"/>
            <w:shd w:val="clear" w:color="auto" w:fill="auto"/>
            <w:vAlign w:val="bottom"/>
          </w:tcPr>
          <w:p w14:paraId="518B85A9" w14:textId="77777777" w:rsidR="005C332D" w:rsidRDefault="005C332D">
            <w:pPr>
              <w:rPr>
                <w:rFonts w:ascii="宋体"/>
              </w:rPr>
            </w:pPr>
          </w:p>
        </w:tc>
      </w:tr>
      <w:tr w:rsidR="005C332D" w14:paraId="518B85AD" w14:textId="77777777">
        <w:tc>
          <w:tcPr>
            <w:tcW w:w="0" w:type="auto"/>
            <w:gridSpan w:val="3"/>
            <w:shd w:val="clear" w:color="auto" w:fill="auto"/>
            <w:tcMar>
              <w:top w:w="40" w:type="dxa"/>
              <w:left w:w="20" w:type="dxa"/>
              <w:bottom w:w="40" w:type="dxa"/>
              <w:right w:w="20" w:type="dxa"/>
            </w:tcMar>
          </w:tcPr>
          <w:p w14:paraId="518B85AB" w14:textId="77777777" w:rsidR="005C332D" w:rsidRDefault="00B93EAE">
            <w:pPr>
              <w:textAlignment w:val="top"/>
            </w:pPr>
            <w:r>
              <w:rPr>
                <w:rFonts w:ascii="Times New Roman" w:eastAsia="宋体" w:hAnsi="Times New Roman"/>
                <w:b/>
                <w:bCs/>
                <w:color w:val="000000"/>
                <w:sz w:val="20"/>
                <w:szCs w:val="20"/>
              </w:rPr>
              <w:t>Item 16.</w:t>
            </w:r>
          </w:p>
        </w:tc>
        <w:tc>
          <w:tcPr>
            <w:tcW w:w="0" w:type="auto"/>
            <w:gridSpan w:val="3"/>
            <w:shd w:val="clear" w:color="auto" w:fill="auto"/>
            <w:tcMar>
              <w:top w:w="40" w:type="dxa"/>
              <w:left w:w="20" w:type="dxa"/>
              <w:bottom w:w="40" w:type="dxa"/>
              <w:right w:w="20" w:type="dxa"/>
            </w:tcMar>
          </w:tcPr>
          <w:p w14:paraId="518B85AC" w14:textId="77777777" w:rsidR="005C332D" w:rsidRDefault="00B93EAE">
            <w:pPr>
              <w:textAlignment w:val="top"/>
            </w:pPr>
            <w:r>
              <w:rPr>
                <w:rFonts w:ascii="Times New Roman" w:eastAsia="宋体" w:hAnsi="Times New Roman"/>
                <w:b/>
                <w:bCs/>
                <w:color w:val="000000"/>
                <w:sz w:val="20"/>
                <w:szCs w:val="20"/>
              </w:rPr>
              <w:t>Form 10-K Summary</w:t>
            </w:r>
          </w:p>
        </w:tc>
      </w:tr>
    </w:tbl>
    <w:p w14:paraId="518B85AE" w14:textId="77777777" w:rsidR="005C332D" w:rsidRDefault="00B93EAE">
      <w:pPr>
        <w:spacing w:before="120"/>
        <w:ind w:firstLine="450"/>
      </w:pPr>
      <w:r>
        <w:rPr>
          <w:rFonts w:ascii="Times New Roman" w:eastAsia="宋体" w:hAnsi="Times New Roman"/>
          <w:color w:val="000000"/>
          <w:sz w:val="20"/>
          <w:szCs w:val="20"/>
        </w:rPr>
        <w:t>None.</w:t>
      </w:r>
    </w:p>
    <w:p w14:paraId="518B85AF" w14:textId="77777777" w:rsidR="005C332D" w:rsidRDefault="005C332D"/>
    <w:p w14:paraId="518B85B0" w14:textId="77777777" w:rsidR="005C332D" w:rsidRDefault="00B93EAE">
      <w:pPr>
        <w:jc w:val="center"/>
      </w:pPr>
      <w:r>
        <w:rPr>
          <w:rFonts w:ascii="Times New Roman" w:eastAsia="宋体" w:hAnsi="Times New Roman"/>
          <w:color w:val="000000"/>
          <w:sz w:val="20"/>
          <w:szCs w:val="20"/>
        </w:rPr>
        <w:t>106</w:t>
      </w:r>
    </w:p>
    <w:p w14:paraId="518B85B1" w14:textId="77777777" w:rsidR="005C332D" w:rsidRDefault="00B93EAE">
      <w:r>
        <w:pict w14:anchorId="518B877F">
          <v:rect id="_x0000_i1132" style="width:415.3pt;height:1.5pt" o:hralign="center" o:hrstd="t" o:hr="t" fillcolor="#a0a0a0" stroked="f"/>
        </w:pict>
      </w:r>
    </w:p>
    <w:p w14:paraId="518B85B2" w14:textId="77777777" w:rsidR="005C332D" w:rsidRDefault="005C332D"/>
    <w:p w14:paraId="518B85B3" w14:textId="77777777" w:rsidR="005C332D" w:rsidRDefault="00B93EAE">
      <w:pPr>
        <w:jc w:val="center"/>
      </w:pPr>
      <w:r>
        <w:rPr>
          <w:rFonts w:ascii="Times New Roman" w:eastAsia="宋体" w:hAnsi="Times New Roman"/>
          <w:b/>
          <w:bCs/>
          <w:color w:val="000000"/>
          <w:sz w:val="20"/>
          <w:szCs w:val="20"/>
        </w:rPr>
        <w:t>SIGNATURES</w:t>
      </w:r>
    </w:p>
    <w:p w14:paraId="518B85B4" w14:textId="77777777" w:rsidR="005C332D" w:rsidRDefault="00B93EAE">
      <w:pPr>
        <w:spacing w:before="180"/>
        <w:ind w:firstLine="495"/>
        <w:jc w:val="both"/>
      </w:pPr>
      <w:r>
        <w:rPr>
          <w:rFonts w:ascii="Times New Roman" w:eastAsia="宋体" w:hAnsi="Times New Roman"/>
          <w:color w:val="000000"/>
          <w:sz w:val="20"/>
          <w:szCs w:val="20"/>
        </w:rPr>
        <w:t xml:space="preserve">Pursuant to the requirements of Section 13 or 15(d) of the Securities Exchange Act of 1934, the registrant has </w:t>
      </w:r>
      <w:r>
        <w:rPr>
          <w:rFonts w:ascii="Times New Roman" w:eastAsia="宋体" w:hAnsi="Times New Roman"/>
          <w:color w:val="000000"/>
          <w:sz w:val="20"/>
          <w:szCs w:val="20"/>
        </w:rPr>
        <w:t>duly caused this Report on Form 10-K to be signed on its behalf by the undersigned, thereunto duly authorized.</w:t>
      </w:r>
    </w:p>
    <w:p w14:paraId="518B85B5" w14:textId="77777777" w:rsidR="005C332D" w:rsidRDefault="00B93EAE">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58"/>
        <w:gridCol w:w="3505"/>
        <w:gridCol w:w="36"/>
        <w:gridCol w:w="36"/>
        <w:gridCol w:w="191"/>
        <w:gridCol w:w="36"/>
        <w:gridCol w:w="59"/>
        <w:gridCol w:w="407"/>
        <w:gridCol w:w="36"/>
        <w:gridCol w:w="36"/>
        <w:gridCol w:w="191"/>
        <w:gridCol w:w="36"/>
        <w:gridCol w:w="59"/>
        <w:gridCol w:w="3602"/>
        <w:gridCol w:w="36"/>
      </w:tblGrid>
      <w:tr w:rsidR="005C332D" w14:paraId="518B85C5" w14:textId="77777777">
        <w:tc>
          <w:tcPr>
            <w:tcW w:w="50" w:type="pct"/>
            <w:shd w:val="clear" w:color="auto" w:fill="auto"/>
            <w:vAlign w:val="bottom"/>
          </w:tcPr>
          <w:p w14:paraId="518B85B6" w14:textId="77777777" w:rsidR="005C332D" w:rsidRDefault="005C332D">
            <w:pPr>
              <w:rPr>
                <w:rFonts w:ascii="宋体"/>
              </w:rPr>
            </w:pPr>
          </w:p>
        </w:tc>
        <w:tc>
          <w:tcPr>
            <w:tcW w:w="2119" w:type="pct"/>
            <w:shd w:val="clear" w:color="auto" w:fill="auto"/>
            <w:vAlign w:val="bottom"/>
          </w:tcPr>
          <w:p w14:paraId="518B85B7" w14:textId="77777777" w:rsidR="005C332D" w:rsidRDefault="005C332D">
            <w:pPr>
              <w:rPr>
                <w:rFonts w:ascii="宋体"/>
              </w:rPr>
            </w:pPr>
          </w:p>
        </w:tc>
        <w:tc>
          <w:tcPr>
            <w:tcW w:w="5" w:type="pct"/>
            <w:shd w:val="clear" w:color="auto" w:fill="auto"/>
            <w:vAlign w:val="bottom"/>
          </w:tcPr>
          <w:p w14:paraId="518B85B8" w14:textId="77777777" w:rsidR="005C332D" w:rsidRDefault="005C332D">
            <w:pPr>
              <w:rPr>
                <w:rFonts w:ascii="宋体"/>
              </w:rPr>
            </w:pPr>
          </w:p>
        </w:tc>
        <w:tc>
          <w:tcPr>
            <w:tcW w:w="5" w:type="pct"/>
            <w:shd w:val="clear" w:color="auto" w:fill="auto"/>
            <w:vAlign w:val="bottom"/>
          </w:tcPr>
          <w:p w14:paraId="518B85B9" w14:textId="77777777" w:rsidR="005C332D" w:rsidRDefault="005C332D">
            <w:pPr>
              <w:rPr>
                <w:rFonts w:ascii="宋体"/>
              </w:rPr>
            </w:pPr>
          </w:p>
        </w:tc>
        <w:tc>
          <w:tcPr>
            <w:tcW w:w="129" w:type="pct"/>
            <w:shd w:val="clear" w:color="auto" w:fill="auto"/>
            <w:vAlign w:val="bottom"/>
          </w:tcPr>
          <w:p w14:paraId="518B85BA" w14:textId="77777777" w:rsidR="005C332D" w:rsidRDefault="005C332D">
            <w:pPr>
              <w:rPr>
                <w:rFonts w:ascii="宋体"/>
              </w:rPr>
            </w:pPr>
          </w:p>
        </w:tc>
        <w:tc>
          <w:tcPr>
            <w:tcW w:w="5" w:type="pct"/>
            <w:shd w:val="clear" w:color="auto" w:fill="auto"/>
            <w:vAlign w:val="bottom"/>
          </w:tcPr>
          <w:p w14:paraId="518B85BB" w14:textId="77777777" w:rsidR="005C332D" w:rsidRDefault="005C332D">
            <w:pPr>
              <w:rPr>
                <w:rFonts w:ascii="宋体"/>
              </w:rPr>
            </w:pPr>
          </w:p>
        </w:tc>
        <w:tc>
          <w:tcPr>
            <w:tcW w:w="50" w:type="pct"/>
            <w:shd w:val="clear" w:color="auto" w:fill="auto"/>
            <w:vAlign w:val="bottom"/>
          </w:tcPr>
          <w:p w14:paraId="518B85BC" w14:textId="77777777" w:rsidR="005C332D" w:rsidRDefault="005C332D">
            <w:pPr>
              <w:rPr>
                <w:rFonts w:ascii="宋体"/>
              </w:rPr>
            </w:pPr>
          </w:p>
        </w:tc>
        <w:tc>
          <w:tcPr>
            <w:tcW w:w="259" w:type="pct"/>
            <w:shd w:val="clear" w:color="auto" w:fill="auto"/>
            <w:vAlign w:val="bottom"/>
          </w:tcPr>
          <w:p w14:paraId="518B85BD" w14:textId="77777777" w:rsidR="005C332D" w:rsidRDefault="005C332D">
            <w:pPr>
              <w:rPr>
                <w:rFonts w:ascii="宋体"/>
              </w:rPr>
            </w:pPr>
          </w:p>
        </w:tc>
        <w:tc>
          <w:tcPr>
            <w:tcW w:w="5" w:type="pct"/>
            <w:shd w:val="clear" w:color="auto" w:fill="auto"/>
            <w:vAlign w:val="bottom"/>
          </w:tcPr>
          <w:p w14:paraId="518B85BE" w14:textId="77777777" w:rsidR="005C332D" w:rsidRDefault="005C332D">
            <w:pPr>
              <w:rPr>
                <w:rFonts w:ascii="宋体"/>
              </w:rPr>
            </w:pPr>
          </w:p>
        </w:tc>
        <w:tc>
          <w:tcPr>
            <w:tcW w:w="5" w:type="pct"/>
            <w:shd w:val="clear" w:color="auto" w:fill="auto"/>
            <w:vAlign w:val="bottom"/>
          </w:tcPr>
          <w:p w14:paraId="518B85BF" w14:textId="77777777" w:rsidR="005C332D" w:rsidRDefault="005C332D">
            <w:pPr>
              <w:rPr>
                <w:rFonts w:ascii="宋体"/>
              </w:rPr>
            </w:pPr>
          </w:p>
        </w:tc>
        <w:tc>
          <w:tcPr>
            <w:tcW w:w="129" w:type="pct"/>
            <w:shd w:val="clear" w:color="auto" w:fill="auto"/>
            <w:vAlign w:val="bottom"/>
          </w:tcPr>
          <w:p w14:paraId="518B85C0" w14:textId="77777777" w:rsidR="005C332D" w:rsidRDefault="005C332D">
            <w:pPr>
              <w:rPr>
                <w:rFonts w:ascii="宋体"/>
              </w:rPr>
            </w:pPr>
          </w:p>
        </w:tc>
        <w:tc>
          <w:tcPr>
            <w:tcW w:w="5" w:type="pct"/>
            <w:shd w:val="clear" w:color="auto" w:fill="auto"/>
            <w:vAlign w:val="bottom"/>
          </w:tcPr>
          <w:p w14:paraId="518B85C1" w14:textId="77777777" w:rsidR="005C332D" w:rsidRDefault="005C332D">
            <w:pPr>
              <w:rPr>
                <w:rFonts w:ascii="宋体"/>
              </w:rPr>
            </w:pPr>
          </w:p>
        </w:tc>
        <w:tc>
          <w:tcPr>
            <w:tcW w:w="50" w:type="pct"/>
            <w:shd w:val="clear" w:color="auto" w:fill="auto"/>
            <w:vAlign w:val="bottom"/>
          </w:tcPr>
          <w:p w14:paraId="518B85C2" w14:textId="77777777" w:rsidR="005C332D" w:rsidRDefault="005C332D">
            <w:pPr>
              <w:rPr>
                <w:rFonts w:ascii="宋体"/>
              </w:rPr>
            </w:pPr>
          </w:p>
        </w:tc>
        <w:tc>
          <w:tcPr>
            <w:tcW w:w="2177" w:type="pct"/>
            <w:shd w:val="clear" w:color="auto" w:fill="auto"/>
            <w:vAlign w:val="bottom"/>
          </w:tcPr>
          <w:p w14:paraId="518B85C3" w14:textId="77777777" w:rsidR="005C332D" w:rsidRDefault="005C332D">
            <w:pPr>
              <w:rPr>
                <w:rFonts w:ascii="宋体"/>
              </w:rPr>
            </w:pPr>
          </w:p>
        </w:tc>
        <w:tc>
          <w:tcPr>
            <w:tcW w:w="5" w:type="pct"/>
            <w:shd w:val="clear" w:color="auto" w:fill="auto"/>
            <w:vAlign w:val="bottom"/>
          </w:tcPr>
          <w:p w14:paraId="518B85C4" w14:textId="77777777" w:rsidR="005C332D" w:rsidRDefault="005C332D">
            <w:pPr>
              <w:rPr>
                <w:rFonts w:ascii="宋体"/>
              </w:rPr>
            </w:pPr>
          </w:p>
        </w:tc>
      </w:tr>
      <w:tr w:rsidR="005C332D" w14:paraId="518B85CB" w14:textId="77777777">
        <w:tc>
          <w:tcPr>
            <w:tcW w:w="0" w:type="auto"/>
            <w:gridSpan w:val="3"/>
            <w:shd w:val="clear" w:color="auto" w:fill="auto"/>
            <w:tcMar>
              <w:top w:w="40" w:type="dxa"/>
              <w:left w:w="20" w:type="dxa"/>
              <w:bottom w:w="40" w:type="dxa"/>
              <w:right w:w="20" w:type="dxa"/>
            </w:tcMar>
            <w:vAlign w:val="bottom"/>
          </w:tcPr>
          <w:p w14:paraId="518B85C6" w14:textId="77777777" w:rsidR="005C332D" w:rsidRDefault="00B93EAE">
            <w:pPr>
              <w:jc w:val="center"/>
              <w:textAlignment w:val="bottom"/>
            </w:pPr>
            <w:r>
              <w:rPr>
                <w:rFonts w:ascii="Times New Roman" w:eastAsia="宋体" w:hAnsi="Times New Roman"/>
                <w:color w:val="000000"/>
                <w:sz w:val="20"/>
                <w:szCs w:val="20"/>
              </w:rPr>
              <w:t>September 8, 2022</w:t>
            </w:r>
          </w:p>
        </w:tc>
        <w:tc>
          <w:tcPr>
            <w:tcW w:w="0" w:type="auto"/>
            <w:gridSpan w:val="3"/>
            <w:shd w:val="clear" w:color="auto" w:fill="auto"/>
            <w:tcMar>
              <w:top w:w="40" w:type="dxa"/>
              <w:left w:w="20" w:type="dxa"/>
              <w:bottom w:w="40" w:type="dxa"/>
              <w:right w:w="20" w:type="dxa"/>
            </w:tcMar>
            <w:vAlign w:val="bottom"/>
          </w:tcPr>
          <w:p w14:paraId="518B85C7"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18B85C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5C9"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18B85CA" w14:textId="77777777" w:rsidR="005C332D" w:rsidRDefault="00B93EAE">
            <w:pPr>
              <w:jc w:val="center"/>
              <w:textAlignment w:val="bottom"/>
            </w:pPr>
            <w:r>
              <w:rPr>
                <w:rFonts w:ascii="Times New Roman" w:eastAsia="宋体" w:hAnsi="Times New Roman"/>
                <w:color w:val="000000"/>
                <w:sz w:val="20"/>
                <w:szCs w:val="20"/>
              </w:rPr>
              <w:t>CISCO SYSTEMS, INC.</w:t>
            </w:r>
          </w:p>
        </w:tc>
      </w:tr>
      <w:tr w:rsidR="005C332D" w14:paraId="518B85D1" w14:textId="77777777">
        <w:trPr>
          <w:trHeight w:val="300"/>
        </w:trPr>
        <w:tc>
          <w:tcPr>
            <w:tcW w:w="0" w:type="auto"/>
            <w:gridSpan w:val="3"/>
            <w:shd w:val="clear" w:color="auto" w:fill="auto"/>
            <w:tcMar>
              <w:top w:w="0" w:type="dxa"/>
              <w:left w:w="20" w:type="dxa"/>
              <w:bottom w:w="0" w:type="dxa"/>
              <w:right w:w="20" w:type="dxa"/>
            </w:tcMar>
            <w:vAlign w:val="bottom"/>
          </w:tcPr>
          <w:p w14:paraId="518B85CC"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5CD"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5CE"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5CF"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5D0" w14:textId="77777777" w:rsidR="005C332D" w:rsidRDefault="005C332D">
            <w:pPr>
              <w:rPr>
                <w:rFonts w:ascii="宋体"/>
              </w:rPr>
            </w:pPr>
          </w:p>
        </w:tc>
      </w:tr>
      <w:tr w:rsidR="005C332D" w14:paraId="518B85D7" w14:textId="77777777">
        <w:tc>
          <w:tcPr>
            <w:tcW w:w="0" w:type="auto"/>
            <w:gridSpan w:val="3"/>
            <w:shd w:val="clear" w:color="auto" w:fill="auto"/>
            <w:tcMar>
              <w:top w:w="40" w:type="dxa"/>
              <w:left w:w="20" w:type="dxa"/>
              <w:bottom w:w="40" w:type="dxa"/>
              <w:right w:w="20" w:type="dxa"/>
            </w:tcMar>
          </w:tcPr>
          <w:p w14:paraId="518B85D2" w14:textId="77777777" w:rsidR="005C332D" w:rsidRDefault="00B93EAE">
            <w:pPr>
              <w:textAlignment w:val="top"/>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518B85D3"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18B85D4"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5D5"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18B85D6"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C</w:t>
            </w:r>
            <w:r>
              <w:rPr>
                <w:rFonts w:ascii="Times New Roman" w:eastAsia="宋体" w:hAnsi="Times New Roman"/>
                <w:color w:val="000000"/>
                <w:sz w:val="18"/>
                <w:szCs w:val="18"/>
              </w:rPr>
              <w:t xml:space="preserve">HARLES </w:t>
            </w:r>
            <w:r>
              <w:rPr>
                <w:rFonts w:ascii="Times New Roman" w:eastAsia="宋体" w:hAnsi="Times New Roman"/>
                <w:color w:val="000000"/>
                <w:sz w:val="20"/>
                <w:szCs w:val="20"/>
              </w:rPr>
              <w:t>H</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R</w:t>
            </w:r>
            <w:r>
              <w:rPr>
                <w:rFonts w:ascii="Times New Roman" w:eastAsia="宋体" w:hAnsi="Times New Roman"/>
                <w:color w:val="000000"/>
                <w:sz w:val="18"/>
                <w:szCs w:val="18"/>
              </w:rPr>
              <w:t>OBBINS</w:t>
            </w:r>
          </w:p>
        </w:tc>
      </w:tr>
      <w:tr w:rsidR="005C332D" w14:paraId="518B85DD" w14:textId="77777777">
        <w:tc>
          <w:tcPr>
            <w:tcW w:w="0" w:type="auto"/>
            <w:gridSpan w:val="3"/>
            <w:shd w:val="clear" w:color="auto" w:fill="auto"/>
            <w:tcMar>
              <w:top w:w="0" w:type="dxa"/>
              <w:left w:w="20" w:type="dxa"/>
              <w:bottom w:w="0" w:type="dxa"/>
              <w:right w:w="20" w:type="dxa"/>
            </w:tcMar>
            <w:vAlign w:val="bottom"/>
          </w:tcPr>
          <w:p w14:paraId="518B85D8"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5D9"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18B85DA"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5DB" w14:textId="77777777" w:rsidR="005C332D" w:rsidRDefault="00B93EA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5DC" w14:textId="77777777" w:rsidR="005C332D" w:rsidRDefault="00B93EAE">
            <w:pPr>
              <w:jc w:val="center"/>
              <w:textAlignment w:val="bottom"/>
            </w:pPr>
            <w:r>
              <w:rPr>
                <w:rFonts w:ascii="Times New Roman" w:eastAsia="宋体" w:hAnsi="Times New Roman"/>
                <w:b/>
                <w:bCs/>
                <w:color w:val="000000"/>
                <w:sz w:val="20"/>
                <w:szCs w:val="20"/>
              </w:rPr>
              <w:t>Charles H. Robbins</w:t>
            </w:r>
          </w:p>
        </w:tc>
      </w:tr>
      <w:tr w:rsidR="005C332D" w14:paraId="518B85E3" w14:textId="77777777">
        <w:tc>
          <w:tcPr>
            <w:tcW w:w="0" w:type="auto"/>
            <w:gridSpan w:val="3"/>
            <w:shd w:val="clear" w:color="auto" w:fill="auto"/>
            <w:tcMar>
              <w:top w:w="0" w:type="dxa"/>
              <w:left w:w="20" w:type="dxa"/>
              <w:bottom w:w="0" w:type="dxa"/>
              <w:right w:w="20" w:type="dxa"/>
            </w:tcMar>
            <w:vAlign w:val="bottom"/>
          </w:tcPr>
          <w:p w14:paraId="518B85DE"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5DF"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518B85E0" w14:textId="77777777" w:rsidR="005C332D" w:rsidRDefault="005C332D">
            <w:pPr>
              <w:rPr>
                <w:rFonts w:ascii="宋体"/>
              </w:rPr>
            </w:pPr>
          </w:p>
        </w:tc>
        <w:tc>
          <w:tcPr>
            <w:tcW w:w="0" w:type="auto"/>
            <w:gridSpan w:val="3"/>
            <w:shd w:val="clear" w:color="auto" w:fill="auto"/>
            <w:tcMar>
              <w:top w:w="40" w:type="dxa"/>
              <w:left w:w="20" w:type="dxa"/>
              <w:bottom w:w="40" w:type="dxa"/>
              <w:right w:w="20" w:type="dxa"/>
            </w:tcMar>
            <w:vAlign w:val="bottom"/>
          </w:tcPr>
          <w:p w14:paraId="518B85E1" w14:textId="77777777" w:rsidR="005C332D" w:rsidRDefault="00B93EAE">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518B85E2" w14:textId="77777777" w:rsidR="005C332D" w:rsidRDefault="00B93EAE">
            <w:pPr>
              <w:jc w:val="center"/>
              <w:textAlignment w:val="bottom"/>
            </w:pPr>
            <w:r>
              <w:rPr>
                <w:rFonts w:ascii="Times New Roman" w:eastAsia="宋体" w:hAnsi="Times New Roman"/>
                <w:b/>
                <w:bCs/>
                <w:color w:val="000000"/>
                <w:sz w:val="20"/>
                <w:szCs w:val="20"/>
              </w:rPr>
              <w:t xml:space="preserve">Chair and </w:t>
            </w:r>
            <w:r>
              <w:rPr>
                <w:rFonts w:ascii="Times New Roman" w:eastAsia="宋体" w:hAnsi="Times New Roman"/>
                <w:b/>
                <w:bCs/>
                <w:color w:val="000000"/>
                <w:sz w:val="20"/>
                <w:szCs w:val="20"/>
              </w:rPr>
              <w:t>Chief Executive Officer</w:t>
            </w:r>
          </w:p>
        </w:tc>
      </w:tr>
    </w:tbl>
    <w:p w14:paraId="518B85E4" w14:textId="77777777" w:rsidR="005C332D" w:rsidRDefault="00B93EAE">
      <w:pPr>
        <w:spacing w:before="280"/>
        <w:jc w:val="center"/>
      </w:pPr>
      <w:r>
        <w:rPr>
          <w:rFonts w:ascii="Times New Roman" w:eastAsia="宋体" w:hAnsi="Times New Roman"/>
          <w:b/>
          <w:bCs/>
          <w:color w:val="000000"/>
          <w:sz w:val="20"/>
          <w:szCs w:val="20"/>
        </w:rPr>
        <w:t>POWER OF ATTORNEY</w:t>
      </w:r>
    </w:p>
    <w:p w14:paraId="518B85E5" w14:textId="77777777" w:rsidR="005C332D" w:rsidRDefault="00B93EAE">
      <w:pPr>
        <w:spacing w:before="180"/>
        <w:ind w:firstLine="495"/>
        <w:jc w:val="both"/>
      </w:pPr>
      <w:r>
        <w:rPr>
          <w:rFonts w:ascii="Times New Roman" w:eastAsia="宋体" w:hAnsi="Times New Roman"/>
          <w:color w:val="000000"/>
          <w:sz w:val="20"/>
          <w:szCs w:val="20"/>
        </w:rPr>
        <w:t xml:space="preserve">KNOW ALL PERSONS BY THESE PRESENTS, that each person whose signature appears below constitutes and appoints Charles H. Robbins and R. Scott Herren, jointly and severally, his attorney-in-fact, each with the </w:t>
      </w:r>
      <w:r>
        <w:rPr>
          <w:rFonts w:ascii="Times New Roman" w:eastAsia="宋体" w:hAnsi="Times New Roman"/>
          <w:color w:val="000000"/>
          <w:sz w:val="20"/>
          <w:szCs w:val="20"/>
        </w:rPr>
        <w:t xml:space="preserve">full power of substitution, for such person, in any and all capacities, to sign any and all amendments to this Annual Report on Form 10-K, and to file the same, with all exhibits thereto and other documents in connection therewith, with the Securities and </w:t>
      </w:r>
      <w:r>
        <w:rPr>
          <w:rFonts w:ascii="Times New Roman" w:eastAsia="宋体" w:hAnsi="Times New Roman"/>
          <w:color w:val="000000"/>
          <w:sz w:val="20"/>
          <w:szCs w:val="20"/>
        </w:rPr>
        <w:t>Exchange Commission, granting unto said attorney-in-fact and agent full power and authority to do and perform each and every act and thing requisite and necessary to be done in connection therewith, as fully to all intents and purposes as he might do or co</w:t>
      </w:r>
      <w:r>
        <w:rPr>
          <w:rFonts w:ascii="Times New Roman" w:eastAsia="宋体" w:hAnsi="Times New Roman"/>
          <w:color w:val="000000"/>
          <w:sz w:val="20"/>
          <w:szCs w:val="20"/>
        </w:rPr>
        <w:t>uld do in person hereby ratifying and confirming all that each of said attorneys-in-fact and agents, or his substitute, may do or cause to be done by virtue hereof.</w:t>
      </w:r>
    </w:p>
    <w:p w14:paraId="518B85E6" w14:textId="77777777" w:rsidR="005C332D" w:rsidRDefault="00B93EAE">
      <w:pPr>
        <w:spacing w:before="180" w:after="180"/>
        <w:ind w:firstLine="495"/>
        <w:jc w:val="both"/>
      </w:pPr>
      <w:r>
        <w:rPr>
          <w:rFonts w:ascii="Times New Roman" w:eastAsia="宋体" w:hAnsi="Times New Roman"/>
          <w:color w:val="000000"/>
          <w:sz w:val="20"/>
          <w:szCs w:val="20"/>
        </w:rPr>
        <w:t>Pursuant to the requirements of the Securities Exchange Act of 1934, this Report on Form 10</w:t>
      </w:r>
      <w:r>
        <w:rPr>
          <w:rFonts w:ascii="Times New Roman" w:eastAsia="宋体" w:hAnsi="Times New Roman"/>
          <w:color w:val="000000"/>
          <w:sz w:val="20"/>
          <w:szCs w:val="20"/>
        </w:rPr>
        <w:t>-K has been signed below by the following persons on behalf of the registrant and in the capacities and on the dates indicated.</w:t>
      </w:r>
    </w:p>
    <w:p w14:paraId="518B85E7" w14:textId="77777777" w:rsidR="005C332D" w:rsidRDefault="00B93EAE">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2734"/>
        <w:gridCol w:w="36"/>
        <w:gridCol w:w="69"/>
        <w:gridCol w:w="3537"/>
        <w:gridCol w:w="37"/>
        <w:gridCol w:w="70"/>
        <w:gridCol w:w="1748"/>
        <w:gridCol w:w="36"/>
      </w:tblGrid>
      <w:tr w:rsidR="005C332D" w14:paraId="518B85F1" w14:textId="77777777">
        <w:tc>
          <w:tcPr>
            <w:tcW w:w="50" w:type="pct"/>
            <w:shd w:val="clear" w:color="auto" w:fill="auto"/>
            <w:vAlign w:val="bottom"/>
          </w:tcPr>
          <w:p w14:paraId="518B85E8" w14:textId="77777777" w:rsidR="005C332D" w:rsidRDefault="005C332D">
            <w:pPr>
              <w:rPr>
                <w:rFonts w:ascii="宋体"/>
              </w:rPr>
            </w:pPr>
          </w:p>
        </w:tc>
        <w:tc>
          <w:tcPr>
            <w:tcW w:w="1648" w:type="pct"/>
            <w:shd w:val="clear" w:color="auto" w:fill="auto"/>
            <w:vAlign w:val="bottom"/>
          </w:tcPr>
          <w:p w14:paraId="518B85E9" w14:textId="77777777" w:rsidR="005C332D" w:rsidRDefault="005C332D">
            <w:pPr>
              <w:rPr>
                <w:rFonts w:ascii="宋体"/>
              </w:rPr>
            </w:pPr>
          </w:p>
        </w:tc>
        <w:tc>
          <w:tcPr>
            <w:tcW w:w="5" w:type="pct"/>
            <w:shd w:val="clear" w:color="auto" w:fill="auto"/>
            <w:vAlign w:val="bottom"/>
          </w:tcPr>
          <w:p w14:paraId="518B85EA" w14:textId="77777777" w:rsidR="005C332D" w:rsidRDefault="005C332D">
            <w:pPr>
              <w:rPr>
                <w:rFonts w:ascii="宋体"/>
              </w:rPr>
            </w:pPr>
          </w:p>
        </w:tc>
        <w:tc>
          <w:tcPr>
            <w:tcW w:w="50" w:type="pct"/>
            <w:shd w:val="clear" w:color="auto" w:fill="auto"/>
            <w:vAlign w:val="bottom"/>
          </w:tcPr>
          <w:p w14:paraId="518B85EB" w14:textId="77777777" w:rsidR="005C332D" w:rsidRDefault="005C332D">
            <w:pPr>
              <w:rPr>
                <w:rFonts w:ascii="宋体"/>
              </w:rPr>
            </w:pPr>
          </w:p>
        </w:tc>
        <w:tc>
          <w:tcPr>
            <w:tcW w:w="2130" w:type="pct"/>
            <w:shd w:val="clear" w:color="auto" w:fill="auto"/>
            <w:vAlign w:val="bottom"/>
          </w:tcPr>
          <w:p w14:paraId="518B85EC" w14:textId="77777777" w:rsidR="005C332D" w:rsidRDefault="005C332D">
            <w:pPr>
              <w:rPr>
                <w:rFonts w:ascii="宋体"/>
              </w:rPr>
            </w:pPr>
          </w:p>
        </w:tc>
        <w:tc>
          <w:tcPr>
            <w:tcW w:w="5" w:type="pct"/>
            <w:shd w:val="clear" w:color="auto" w:fill="auto"/>
            <w:vAlign w:val="bottom"/>
          </w:tcPr>
          <w:p w14:paraId="518B85ED" w14:textId="77777777" w:rsidR="005C332D" w:rsidRDefault="005C332D">
            <w:pPr>
              <w:rPr>
                <w:rFonts w:ascii="宋体"/>
              </w:rPr>
            </w:pPr>
          </w:p>
        </w:tc>
        <w:tc>
          <w:tcPr>
            <w:tcW w:w="50" w:type="pct"/>
            <w:shd w:val="clear" w:color="auto" w:fill="auto"/>
            <w:vAlign w:val="bottom"/>
          </w:tcPr>
          <w:p w14:paraId="518B85EE" w14:textId="77777777" w:rsidR="005C332D" w:rsidRDefault="005C332D">
            <w:pPr>
              <w:rPr>
                <w:rFonts w:ascii="宋体"/>
              </w:rPr>
            </w:pPr>
          </w:p>
        </w:tc>
        <w:tc>
          <w:tcPr>
            <w:tcW w:w="1056" w:type="pct"/>
            <w:shd w:val="clear" w:color="auto" w:fill="auto"/>
            <w:vAlign w:val="bottom"/>
          </w:tcPr>
          <w:p w14:paraId="518B85EF" w14:textId="77777777" w:rsidR="005C332D" w:rsidRDefault="005C332D">
            <w:pPr>
              <w:rPr>
                <w:rFonts w:ascii="宋体"/>
              </w:rPr>
            </w:pPr>
          </w:p>
        </w:tc>
        <w:tc>
          <w:tcPr>
            <w:tcW w:w="5" w:type="pct"/>
            <w:shd w:val="clear" w:color="auto" w:fill="auto"/>
            <w:vAlign w:val="bottom"/>
          </w:tcPr>
          <w:p w14:paraId="518B85F0" w14:textId="77777777" w:rsidR="005C332D" w:rsidRDefault="005C332D">
            <w:pPr>
              <w:rPr>
                <w:rFonts w:ascii="宋体"/>
              </w:rPr>
            </w:pPr>
          </w:p>
        </w:tc>
      </w:tr>
      <w:tr w:rsidR="005C332D" w14:paraId="518B85F5" w14:textId="77777777">
        <w:tc>
          <w:tcPr>
            <w:tcW w:w="0" w:type="auto"/>
            <w:gridSpan w:val="3"/>
            <w:shd w:val="clear" w:color="auto" w:fill="auto"/>
            <w:tcMar>
              <w:top w:w="40" w:type="dxa"/>
              <w:left w:w="20" w:type="dxa"/>
              <w:bottom w:w="40" w:type="dxa"/>
              <w:right w:w="20" w:type="dxa"/>
            </w:tcMar>
            <w:vAlign w:val="bottom"/>
          </w:tcPr>
          <w:p w14:paraId="518B85F2" w14:textId="77777777" w:rsidR="005C332D" w:rsidRDefault="00B93EAE">
            <w:pPr>
              <w:jc w:val="center"/>
              <w:textAlignment w:val="bottom"/>
            </w:pPr>
            <w:r>
              <w:rPr>
                <w:rFonts w:ascii="Times New Roman" w:eastAsia="宋体" w:hAnsi="Times New Roman"/>
                <w:b/>
                <w:bCs/>
                <w:color w:val="000000"/>
                <w:sz w:val="20"/>
                <w:szCs w:val="20"/>
                <w:u w:val="single"/>
              </w:rPr>
              <w:t>Signature</w:t>
            </w:r>
          </w:p>
        </w:tc>
        <w:tc>
          <w:tcPr>
            <w:tcW w:w="0" w:type="auto"/>
            <w:gridSpan w:val="3"/>
            <w:shd w:val="clear" w:color="auto" w:fill="auto"/>
            <w:tcMar>
              <w:top w:w="40" w:type="dxa"/>
              <w:left w:w="20" w:type="dxa"/>
              <w:bottom w:w="40" w:type="dxa"/>
              <w:right w:w="20" w:type="dxa"/>
            </w:tcMar>
            <w:vAlign w:val="bottom"/>
          </w:tcPr>
          <w:p w14:paraId="518B85F3" w14:textId="77777777" w:rsidR="005C332D" w:rsidRDefault="00B93EAE">
            <w:pPr>
              <w:jc w:val="center"/>
              <w:textAlignment w:val="bottom"/>
            </w:pPr>
            <w:r>
              <w:rPr>
                <w:rFonts w:ascii="Times New Roman" w:eastAsia="宋体" w:hAnsi="Times New Roman"/>
                <w:b/>
                <w:bCs/>
                <w:color w:val="000000"/>
                <w:sz w:val="20"/>
                <w:szCs w:val="20"/>
                <w:u w:val="single"/>
              </w:rPr>
              <w:t>Title</w:t>
            </w:r>
          </w:p>
        </w:tc>
        <w:tc>
          <w:tcPr>
            <w:tcW w:w="0" w:type="auto"/>
            <w:gridSpan w:val="3"/>
            <w:shd w:val="clear" w:color="auto" w:fill="auto"/>
            <w:tcMar>
              <w:top w:w="40" w:type="dxa"/>
              <w:left w:w="20" w:type="dxa"/>
              <w:bottom w:w="40" w:type="dxa"/>
              <w:right w:w="20" w:type="dxa"/>
            </w:tcMar>
            <w:vAlign w:val="bottom"/>
          </w:tcPr>
          <w:p w14:paraId="518B85F4" w14:textId="77777777" w:rsidR="005C332D" w:rsidRDefault="00B93EAE">
            <w:pPr>
              <w:jc w:val="center"/>
              <w:textAlignment w:val="bottom"/>
            </w:pPr>
            <w:r>
              <w:rPr>
                <w:rFonts w:ascii="Times New Roman" w:eastAsia="宋体" w:hAnsi="Times New Roman"/>
                <w:b/>
                <w:bCs/>
                <w:color w:val="000000"/>
                <w:sz w:val="20"/>
                <w:szCs w:val="20"/>
                <w:u w:val="single"/>
              </w:rPr>
              <w:t>Date</w:t>
            </w:r>
          </w:p>
        </w:tc>
      </w:tr>
      <w:tr w:rsidR="005C332D" w14:paraId="518B85F9" w14:textId="77777777">
        <w:trPr>
          <w:trHeight w:val="340"/>
        </w:trPr>
        <w:tc>
          <w:tcPr>
            <w:tcW w:w="0" w:type="auto"/>
            <w:gridSpan w:val="3"/>
            <w:shd w:val="clear" w:color="auto" w:fill="auto"/>
            <w:tcMar>
              <w:top w:w="0" w:type="dxa"/>
              <w:left w:w="20" w:type="dxa"/>
              <w:bottom w:w="0" w:type="dxa"/>
              <w:right w:w="20" w:type="dxa"/>
            </w:tcMar>
            <w:vAlign w:val="bottom"/>
          </w:tcPr>
          <w:p w14:paraId="518B85F6"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5F7"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5F8" w14:textId="77777777" w:rsidR="005C332D" w:rsidRDefault="005C332D">
            <w:pPr>
              <w:rPr>
                <w:rFonts w:ascii="宋体"/>
              </w:rPr>
            </w:pPr>
          </w:p>
        </w:tc>
      </w:tr>
      <w:tr w:rsidR="005C332D" w14:paraId="518B85FD" w14:textId="77777777">
        <w:tc>
          <w:tcPr>
            <w:tcW w:w="0" w:type="auto"/>
            <w:gridSpan w:val="3"/>
            <w:shd w:val="clear" w:color="auto" w:fill="auto"/>
            <w:tcMar>
              <w:top w:w="40" w:type="dxa"/>
              <w:left w:w="20" w:type="dxa"/>
              <w:bottom w:w="40" w:type="dxa"/>
              <w:right w:w="20" w:type="dxa"/>
            </w:tcMar>
            <w:vAlign w:val="bottom"/>
          </w:tcPr>
          <w:p w14:paraId="518B85FA"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C</w:t>
            </w:r>
            <w:r>
              <w:rPr>
                <w:rFonts w:ascii="Times New Roman" w:eastAsia="宋体" w:hAnsi="Times New Roman"/>
                <w:color w:val="000000"/>
                <w:sz w:val="18"/>
                <w:szCs w:val="18"/>
              </w:rPr>
              <w:t xml:space="preserve">HARLES </w:t>
            </w:r>
            <w:r>
              <w:rPr>
                <w:rFonts w:ascii="Times New Roman" w:eastAsia="宋体" w:hAnsi="Times New Roman"/>
                <w:color w:val="000000"/>
                <w:sz w:val="20"/>
                <w:szCs w:val="20"/>
              </w:rPr>
              <w:t>H</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R</w:t>
            </w:r>
            <w:r>
              <w:rPr>
                <w:rFonts w:ascii="Times New Roman" w:eastAsia="宋体" w:hAnsi="Times New Roman"/>
                <w:color w:val="000000"/>
                <w:sz w:val="18"/>
                <w:szCs w:val="18"/>
              </w:rPr>
              <w:t>OBBINS</w:t>
            </w:r>
          </w:p>
        </w:tc>
        <w:tc>
          <w:tcPr>
            <w:tcW w:w="0" w:type="auto"/>
            <w:gridSpan w:val="3"/>
            <w:shd w:val="clear" w:color="auto" w:fill="auto"/>
            <w:tcMar>
              <w:top w:w="40" w:type="dxa"/>
              <w:left w:w="20" w:type="dxa"/>
              <w:bottom w:w="40" w:type="dxa"/>
              <w:right w:w="20" w:type="dxa"/>
            </w:tcMar>
            <w:vAlign w:val="bottom"/>
          </w:tcPr>
          <w:p w14:paraId="518B85FB" w14:textId="77777777" w:rsidR="005C332D" w:rsidRDefault="00B93EAE">
            <w:pPr>
              <w:jc w:val="center"/>
              <w:textAlignment w:val="bottom"/>
            </w:pPr>
            <w:r>
              <w:rPr>
                <w:rFonts w:ascii="Times New Roman" w:eastAsia="宋体" w:hAnsi="Times New Roman"/>
                <w:color w:val="000000"/>
                <w:sz w:val="20"/>
                <w:szCs w:val="20"/>
              </w:rPr>
              <w:t>Chair and Chief Executive Officer</w:t>
            </w:r>
          </w:p>
        </w:tc>
        <w:tc>
          <w:tcPr>
            <w:tcW w:w="0" w:type="auto"/>
            <w:gridSpan w:val="3"/>
            <w:shd w:val="clear" w:color="auto" w:fill="auto"/>
            <w:tcMar>
              <w:top w:w="40" w:type="dxa"/>
              <w:left w:w="20" w:type="dxa"/>
              <w:bottom w:w="40" w:type="dxa"/>
              <w:right w:w="20" w:type="dxa"/>
            </w:tcMar>
            <w:vAlign w:val="bottom"/>
          </w:tcPr>
          <w:p w14:paraId="518B85FC"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01"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5FE" w14:textId="77777777" w:rsidR="005C332D" w:rsidRDefault="00B93EAE">
            <w:pPr>
              <w:jc w:val="center"/>
              <w:textAlignment w:val="bottom"/>
            </w:pPr>
            <w:r>
              <w:rPr>
                <w:rFonts w:ascii="Times New Roman" w:eastAsia="宋体" w:hAnsi="Times New Roman"/>
                <w:b/>
                <w:bCs/>
                <w:color w:val="000000"/>
                <w:sz w:val="20"/>
                <w:szCs w:val="20"/>
              </w:rPr>
              <w:t xml:space="preserve">Charles H. </w:t>
            </w:r>
            <w:r>
              <w:rPr>
                <w:rFonts w:ascii="Times New Roman" w:eastAsia="宋体" w:hAnsi="Times New Roman"/>
                <w:b/>
                <w:bCs/>
                <w:color w:val="000000"/>
                <w:sz w:val="20"/>
                <w:szCs w:val="20"/>
              </w:rPr>
              <w:t>Robbins</w:t>
            </w:r>
          </w:p>
        </w:tc>
        <w:tc>
          <w:tcPr>
            <w:tcW w:w="0" w:type="auto"/>
            <w:gridSpan w:val="3"/>
            <w:shd w:val="clear" w:color="auto" w:fill="auto"/>
            <w:tcMar>
              <w:top w:w="40" w:type="dxa"/>
              <w:left w:w="20" w:type="dxa"/>
              <w:bottom w:w="40" w:type="dxa"/>
              <w:right w:w="20" w:type="dxa"/>
            </w:tcMar>
            <w:vAlign w:val="bottom"/>
          </w:tcPr>
          <w:p w14:paraId="518B85FF" w14:textId="77777777" w:rsidR="005C332D" w:rsidRDefault="00B93EAE">
            <w:pPr>
              <w:jc w:val="center"/>
              <w:textAlignment w:val="bottom"/>
            </w:pPr>
            <w:r>
              <w:rPr>
                <w:rFonts w:ascii="Times New Roman" w:eastAsia="宋体" w:hAnsi="Times New Roman"/>
                <w:color w:val="000000"/>
                <w:sz w:val="20"/>
                <w:szCs w:val="20"/>
              </w:rPr>
              <w:t>(Principal Executive Officer)</w:t>
            </w:r>
          </w:p>
        </w:tc>
        <w:tc>
          <w:tcPr>
            <w:tcW w:w="0" w:type="auto"/>
            <w:gridSpan w:val="3"/>
            <w:shd w:val="clear" w:color="auto" w:fill="auto"/>
            <w:tcMar>
              <w:top w:w="0" w:type="dxa"/>
              <w:left w:w="20" w:type="dxa"/>
              <w:bottom w:w="0" w:type="dxa"/>
              <w:right w:w="20" w:type="dxa"/>
            </w:tcMar>
            <w:vAlign w:val="bottom"/>
          </w:tcPr>
          <w:p w14:paraId="518B8600" w14:textId="77777777" w:rsidR="005C332D" w:rsidRDefault="005C332D">
            <w:pPr>
              <w:rPr>
                <w:rFonts w:ascii="宋体"/>
              </w:rPr>
            </w:pPr>
          </w:p>
        </w:tc>
      </w:tr>
      <w:tr w:rsidR="005C332D" w14:paraId="518B8605" w14:textId="77777777">
        <w:trPr>
          <w:trHeight w:val="340"/>
        </w:trPr>
        <w:tc>
          <w:tcPr>
            <w:tcW w:w="0" w:type="auto"/>
            <w:gridSpan w:val="3"/>
            <w:shd w:val="clear" w:color="auto" w:fill="auto"/>
            <w:tcMar>
              <w:top w:w="0" w:type="dxa"/>
              <w:left w:w="20" w:type="dxa"/>
              <w:bottom w:w="0" w:type="dxa"/>
              <w:right w:w="20" w:type="dxa"/>
            </w:tcMar>
            <w:vAlign w:val="bottom"/>
          </w:tcPr>
          <w:p w14:paraId="518B8602"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0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04" w14:textId="77777777" w:rsidR="005C332D" w:rsidRDefault="005C332D">
            <w:pPr>
              <w:rPr>
                <w:rFonts w:ascii="宋体"/>
              </w:rPr>
            </w:pPr>
          </w:p>
        </w:tc>
      </w:tr>
      <w:tr w:rsidR="005C332D" w14:paraId="518B8609" w14:textId="77777777">
        <w:tc>
          <w:tcPr>
            <w:tcW w:w="0" w:type="auto"/>
            <w:gridSpan w:val="3"/>
            <w:shd w:val="clear" w:color="auto" w:fill="auto"/>
            <w:tcMar>
              <w:top w:w="40" w:type="dxa"/>
              <w:left w:w="20" w:type="dxa"/>
              <w:bottom w:w="40" w:type="dxa"/>
              <w:right w:w="20" w:type="dxa"/>
            </w:tcMar>
            <w:vAlign w:val="bottom"/>
          </w:tcPr>
          <w:p w14:paraId="518B8606"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R.</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SCOTT</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HERREN</w:t>
            </w:r>
          </w:p>
        </w:tc>
        <w:tc>
          <w:tcPr>
            <w:tcW w:w="0" w:type="auto"/>
            <w:gridSpan w:val="3"/>
            <w:shd w:val="clear" w:color="auto" w:fill="auto"/>
            <w:tcMar>
              <w:top w:w="40" w:type="dxa"/>
              <w:left w:w="20" w:type="dxa"/>
              <w:bottom w:w="40" w:type="dxa"/>
              <w:right w:w="20" w:type="dxa"/>
            </w:tcMar>
            <w:vAlign w:val="bottom"/>
          </w:tcPr>
          <w:p w14:paraId="518B8607" w14:textId="77777777" w:rsidR="005C332D" w:rsidRDefault="00B93EAE">
            <w:pPr>
              <w:jc w:val="center"/>
              <w:textAlignment w:val="bottom"/>
            </w:pPr>
            <w:r>
              <w:rPr>
                <w:rFonts w:ascii="Times New Roman" w:eastAsia="宋体" w:hAnsi="Times New Roman"/>
                <w:color w:val="000000"/>
                <w:sz w:val="20"/>
                <w:szCs w:val="20"/>
              </w:rPr>
              <w:t>Executive Vice President and Chief Financial Officer</w:t>
            </w:r>
          </w:p>
        </w:tc>
        <w:tc>
          <w:tcPr>
            <w:tcW w:w="0" w:type="auto"/>
            <w:gridSpan w:val="3"/>
            <w:shd w:val="clear" w:color="auto" w:fill="auto"/>
            <w:tcMar>
              <w:top w:w="40" w:type="dxa"/>
              <w:left w:w="20" w:type="dxa"/>
              <w:bottom w:w="40" w:type="dxa"/>
              <w:right w:w="20" w:type="dxa"/>
            </w:tcMar>
            <w:vAlign w:val="bottom"/>
          </w:tcPr>
          <w:p w14:paraId="518B8608"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0D"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0A" w14:textId="77777777" w:rsidR="005C332D" w:rsidRDefault="00B93EAE">
            <w:pPr>
              <w:jc w:val="center"/>
              <w:textAlignment w:val="bottom"/>
            </w:pPr>
            <w:r>
              <w:rPr>
                <w:rFonts w:ascii="Times New Roman" w:eastAsia="宋体" w:hAnsi="Times New Roman"/>
                <w:b/>
                <w:bCs/>
                <w:color w:val="000000"/>
                <w:sz w:val="20"/>
                <w:szCs w:val="20"/>
              </w:rPr>
              <w:t>R. Scott Herren</w:t>
            </w:r>
          </w:p>
        </w:tc>
        <w:tc>
          <w:tcPr>
            <w:tcW w:w="0" w:type="auto"/>
            <w:gridSpan w:val="3"/>
            <w:shd w:val="clear" w:color="auto" w:fill="auto"/>
            <w:tcMar>
              <w:top w:w="40" w:type="dxa"/>
              <w:left w:w="20" w:type="dxa"/>
              <w:bottom w:w="40" w:type="dxa"/>
              <w:right w:w="20" w:type="dxa"/>
            </w:tcMar>
            <w:vAlign w:val="bottom"/>
          </w:tcPr>
          <w:p w14:paraId="518B860B" w14:textId="77777777" w:rsidR="005C332D" w:rsidRDefault="00B93EAE">
            <w:pPr>
              <w:jc w:val="center"/>
              <w:textAlignment w:val="bottom"/>
            </w:pPr>
            <w:r>
              <w:rPr>
                <w:rFonts w:ascii="Times New Roman" w:eastAsia="宋体" w:hAnsi="Times New Roman"/>
                <w:color w:val="000000"/>
                <w:sz w:val="20"/>
                <w:szCs w:val="20"/>
              </w:rPr>
              <w:t>(Principal Financial Officer)</w:t>
            </w:r>
          </w:p>
        </w:tc>
        <w:tc>
          <w:tcPr>
            <w:tcW w:w="0" w:type="auto"/>
            <w:gridSpan w:val="3"/>
            <w:shd w:val="clear" w:color="auto" w:fill="auto"/>
            <w:tcMar>
              <w:top w:w="0" w:type="dxa"/>
              <w:left w:w="20" w:type="dxa"/>
              <w:bottom w:w="0" w:type="dxa"/>
              <w:right w:w="20" w:type="dxa"/>
            </w:tcMar>
            <w:vAlign w:val="bottom"/>
          </w:tcPr>
          <w:p w14:paraId="518B860C" w14:textId="77777777" w:rsidR="005C332D" w:rsidRDefault="005C332D">
            <w:pPr>
              <w:rPr>
                <w:rFonts w:ascii="宋体"/>
              </w:rPr>
            </w:pPr>
          </w:p>
        </w:tc>
      </w:tr>
      <w:tr w:rsidR="005C332D" w14:paraId="518B8611" w14:textId="77777777">
        <w:trPr>
          <w:trHeight w:val="340"/>
        </w:trPr>
        <w:tc>
          <w:tcPr>
            <w:tcW w:w="0" w:type="auto"/>
            <w:gridSpan w:val="3"/>
            <w:shd w:val="clear" w:color="auto" w:fill="auto"/>
            <w:tcMar>
              <w:top w:w="0" w:type="dxa"/>
              <w:left w:w="20" w:type="dxa"/>
              <w:bottom w:w="0" w:type="dxa"/>
              <w:right w:w="20" w:type="dxa"/>
            </w:tcMar>
            <w:vAlign w:val="bottom"/>
          </w:tcPr>
          <w:p w14:paraId="518B860E"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0F"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10" w14:textId="77777777" w:rsidR="005C332D" w:rsidRDefault="005C332D">
            <w:pPr>
              <w:rPr>
                <w:rFonts w:ascii="宋体"/>
              </w:rPr>
            </w:pPr>
          </w:p>
        </w:tc>
      </w:tr>
      <w:tr w:rsidR="005C332D" w14:paraId="518B8615" w14:textId="77777777">
        <w:tc>
          <w:tcPr>
            <w:tcW w:w="0" w:type="auto"/>
            <w:gridSpan w:val="3"/>
            <w:shd w:val="clear" w:color="auto" w:fill="auto"/>
            <w:tcMar>
              <w:top w:w="40" w:type="dxa"/>
              <w:left w:w="20" w:type="dxa"/>
              <w:bottom w:w="40" w:type="dxa"/>
              <w:right w:w="20" w:type="dxa"/>
            </w:tcMar>
            <w:vAlign w:val="bottom"/>
          </w:tcPr>
          <w:p w14:paraId="518B8612"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P</w:t>
            </w:r>
            <w:r>
              <w:rPr>
                <w:rFonts w:ascii="Times New Roman" w:eastAsia="宋体" w:hAnsi="Times New Roman"/>
                <w:color w:val="000000"/>
                <w:sz w:val="18"/>
                <w:szCs w:val="18"/>
              </w:rPr>
              <w:t xml:space="preserve">RAT </w:t>
            </w:r>
            <w:r>
              <w:rPr>
                <w:rFonts w:ascii="Times New Roman" w:eastAsia="宋体" w:hAnsi="Times New Roman"/>
                <w:color w:val="000000"/>
                <w:sz w:val="20"/>
                <w:szCs w:val="20"/>
              </w:rPr>
              <w:t>S</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B</w:t>
            </w:r>
            <w:r>
              <w:rPr>
                <w:rFonts w:ascii="Times New Roman" w:eastAsia="宋体" w:hAnsi="Times New Roman"/>
                <w:color w:val="000000"/>
                <w:sz w:val="18"/>
                <w:szCs w:val="18"/>
              </w:rPr>
              <w:t>HATT</w:t>
            </w:r>
          </w:p>
        </w:tc>
        <w:tc>
          <w:tcPr>
            <w:tcW w:w="0" w:type="auto"/>
            <w:gridSpan w:val="3"/>
            <w:shd w:val="clear" w:color="auto" w:fill="auto"/>
            <w:tcMar>
              <w:top w:w="40" w:type="dxa"/>
              <w:left w:w="20" w:type="dxa"/>
              <w:bottom w:w="40" w:type="dxa"/>
              <w:right w:w="20" w:type="dxa"/>
            </w:tcMar>
            <w:vAlign w:val="bottom"/>
          </w:tcPr>
          <w:p w14:paraId="518B8613" w14:textId="77777777" w:rsidR="005C332D" w:rsidRDefault="00B93EAE">
            <w:pPr>
              <w:jc w:val="center"/>
              <w:textAlignment w:val="bottom"/>
            </w:pPr>
            <w:r>
              <w:rPr>
                <w:rFonts w:ascii="Times New Roman" w:eastAsia="宋体" w:hAnsi="Times New Roman"/>
                <w:color w:val="000000"/>
                <w:sz w:val="20"/>
                <w:szCs w:val="20"/>
              </w:rPr>
              <w:t xml:space="preserve">Senior Vice President and Chief </w:t>
            </w:r>
            <w:r>
              <w:rPr>
                <w:rFonts w:ascii="Times New Roman" w:eastAsia="宋体" w:hAnsi="Times New Roman"/>
                <w:color w:val="000000"/>
                <w:sz w:val="20"/>
                <w:szCs w:val="20"/>
              </w:rPr>
              <w:t>Accounting Officer</w:t>
            </w:r>
          </w:p>
        </w:tc>
        <w:tc>
          <w:tcPr>
            <w:tcW w:w="0" w:type="auto"/>
            <w:gridSpan w:val="3"/>
            <w:shd w:val="clear" w:color="auto" w:fill="auto"/>
            <w:tcMar>
              <w:top w:w="40" w:type="dxa"/>
              <w:left w:w="20" w:type="dxa"/>
              <w:bottom w:w="40" w:type="dxa"/>
              <w:right w:w="20" w:type="dxa"/>
            </w:tcMar>
            <w:vAlign w:val="bottom"/>
          </w:tcPr>
          <w:p w14:paraId="518B8614"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19"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16" w14:textId="77777777" w:rsidR="005C332D" w:rsidRDefault="00B93EAE">
            <w:pPr>
              <w:jc w:val="center"/>
              <w:textAlignment w:val="bottom"/>
            </w:pPr>
            <w:r>
              <w:rPr>
                <w:rFonts w:ascii="Times New Roman" w:eastAsia="宋体" w:hAnsi="Times New Roman"/>
                <w:b/>
                <w:bCs/>
                <w:color w:val="000000"/>
                <w:sz w:val="20"/>
                <w:szCs w:val="20"/>
              </w:rPr>
              <w:t>Prat S. Bhatt</w:t>
            </w:r>
          </w:p>
        </w:tc>
        <w:tc>
          <w:tcPr>
            <w:tcW w:w="0" w:type="auto"/>
            <w:gridSpan w:val="3"/>
            <w:shd w:val="clear" w:color="auto" w:fill="auto"/>
            <w:tcMar>
              <w:top w:w="40" w:type="dxa"/>
              <w:left w:w="20" w:type="dxa"/>
              <w:bottom w:w="40" w:type="dxa"/>
              <w:right w:w="20" w:type="dxa"/>
            </w:tcMar>
            <w:vAlign w:val="bottom"/>
          </w:tcPr>
          <w:p w14:paraId="518B8617" w14:textId="77777777" w:rsidR="005C332D" w:rsidRDefault="00B93EAE">
            <w:pPr>
              <w:jc w:val="center"/>
              <w:textAlignment w:val="bottom"/>
            </w:pPr>
            <w:r>
              <w:rPr>
                <w:rFonts w:ascii="Times New Roman" w:eastAsia="宋体" w:hAnsi="Times New Roman"/>
                <w:color w:val="000000"/>
                <w:sz w:val="20"/>
                <w:szCs w:val="20"/>
              </w:rPr>
              <w:t>(Principal Accounting Officer)</w:t>
            </w:r>
          </w:p>
        </w:tc>
        <w:tc>
          <w:tcPr>
            <w:tcW w:w="0" w:type="auto"/>
            <w:gridSpan w:val="3"/>
            <w:shd w:val="clear" w:color="auto" w:fill="auto"/>
            <w:tcMar>
              <w:top w:w="0" w:type="dxa"/>
              <w:left w:w="20" w:type="dxa"/>
              <w:bottom w:w="0" w:type="dxa"/>
              <w:right w:w="20" w:type="dxa"/>
            </w:tcMar>
            <w:vAlign w:val="bottom"/>
          </w:tcPr>
          <w:p w14:paraId="518B8618" w14:textId="77777777" w:rsidR="005C332D" w:rsidRDefault="005C332D">
            <w:pPr>
              <w:rPr>
                <w:rFonts w:ascii="宋体"/>
              </w:rPr>
            </w:pPr>
          </w:p>
        </w:tc>
      </w:tr>
      <w:tr w:rsidR="005C332D" w14:paraId="518B861D" w14:textId="77777777">
        <w:trPr>
          <w:trHeight w:val="340"/>
        </w:trPr>
        <w:tc>
          <w:tcPr>
            <w:tcW w:w="0" w:type="auto"/>
            <w:gridSpan w:val="3"/>
            <w:shd w:val="clear" w:color="auto" w:fill="auto"/>
            <w:tcMar>
              <w:top w:w="0" w:type="dxa"/>
              <w:left w:w="20" w:type="dxa"/>
              <w:bottom w:w="0" w:type="dxa"/>
              <w:right w:w="20" w:type="dxa"/>
            </w:tcMar>
            <w:vAlign w:val="bottom"/>
          </w:tcPr>
          <w:p w14:paraId="518B861A"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1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1C" w14:textId="77777777" w:rsidR="005C332D" w:rsidRDefault="005C332D">
            <w:pPr>
              <w:rPr>
                <w:rFonts w:ascii="宋体"/>
              </w:rPr>
            </w:pPr>
          </w:p>
        </w:tc>
      </w:tr>
      <w:tr w:rsidR="005C332D" w14:paraId="518B8621" w14:textId="77777777">
        <w:trPr>
          <w:hidden/>
        </w:trPr>
        <w:tc>
          <w:tcPr>
            <w:tcW w:w="0" w:type="auto"/>
            <w:gridSpan w:val="3"/>
            <w:shd w:val="clear" w:color="auto" w:fill="auto"/>
            <w:vAlign w:val="bottom"/>
          </w:tcPr>
          <w:p w14:paraId="518B861E" w14:textId="77777777" w:rsidR="005C332D" w:rsidRDefault="005C332D">
            <w:pPr>
              <w:rPr>
                <w:rFonts w:ascii="宋体"/>
                <w:vanish/>
              </w:rPr>
            </w:pPr>
          </w:p>
        </w:tc>
        <w:tc>
          <w:tcPr>
            <w:tcW w:w="0" w:type="auto"/>
            <w:gridSpan w:val="3"/>
            <w:shd w:val="clear" w:color="auto" w:fill="auto"/>
            <w:vAlign w:val="bottom"/>
          </w:tcPr>
          <w:p w14:paraId="518B861F" w14:textId="77777777" w:rsidR="005C332D" w:rsidRDefault="005C332D">
            <w:pPr>
              <w:rPr>
                <w:rFonts w:ascii="宋体"/>
                <w:vanish/>
              </w:rPr>
            </w:pPr>
          </w:p>
        </w:tc>
        <w:tc>
          <w:tcPr>
            <w:tcW w:w="0" w:type="auto"/>
            <w:gridSpan w:val="3"/>
            <w:shd w:val="clear" w:color="auto" w:fill="auto"/>
            <w:vAlign w:val="bottom"/>
          </w:tcPr>
          <w:p w14:paraId="518B8620" w14:textId="77777777" w:rsidR="005C332D" w:rsidRDefault="005C332D">
            <w:pPr>
              <w:rPr>
                <w:rFonts w:ascii="宋体"/>
                <w:vanish/>
              </w:rPr>
            </w:pPr>
          </w:p>
        </w:tc>
      </w:tr>
      <w:tr w:rsidR="005C332D" w14:paraId="518B8625" w14:textId="77777777">
        <w:trPr>
          <w:hidden/>
        </w:trPr>
        <w:tc>
          <w:tcPr>
            <w:tcW w:w="0" w:type="auto"/>
            <w:gridSpan w:val="3"/>
            <w:shd w:val="clear" w:color="auto" w:fill="auto"/>
            <w:vAlign w:val="bottom"/>
          </w:tcPr>
          <w:p w14:paraId="518B8622" w14:textId="77777777" w:rsidR="005C332D" w:rsidRDefault="005C332D">
            <w:pPr>
              <w:rPr>
                <w:rFonts w:ascii="宋体"/>
                <w:vanish/>
              </w:rPr>
            </w:pPr>
          </w:p>
        </w:tc>
        <w:tc>
          <w:tcPr>
            <w:tcW w:w="0" w:type="auto"/>
            <w:gridSpan w:val="3"/>
            <w:shd w:val="clear" w:color="auto" w:fill="auto"/>
            <w:vAlign w:val="bottom"/>
          </w:tcPr>
          <w:p w14:paraId="518B8623" w14:textId="77777777" w:rsidR="005C332D" w:rsidRDefault="005C332D">
            <w:pPr>
              <w:rPr>
                <w:rFonts w:ascii="宋体"/>
                <w:vanish/>
              </w:rPr>
            </w:pPr>
          </w:p>
        </w:tc>
        <w:tc>
          <w:tcPr>
            <w:tcW w:w="0" w:type="auto"/>
            <w:gridSpan w:val="3"/>
            <w:shd w:val="clear" w:color="auto" w:fill="auto"/>
            <w:vAlign w:val="bottom"/>
          </w:tcPr>
          <w:p w14:paraId="518B8624" w14:textId="77777777" w:rsidR="005C332D" w:rsidRDefault="005C332D">
            <w:pPr>
              <w:rPr>
                <w:rFonts w:ascii="宋体"/>
                <w:vanish/>
              </w:rPr>
            </w:pPr>
          </w:p>
        </w:tc>
      </w:tr>
      <w:tr w:rsidR="005C332D" w14:paraId="518B8629" w14:textId="77777777">
        <w:trPr>
          <w:hidden/>
        </w:trPr>
        <w:tc>
          <w:tcPr>
            <w:tcW w:w="0" w:type="auto"/>
            <w:gridSpan w:val="3"/>
            <w:shd w:val="clear" w:color="auto" w:fill="auto"/>
            <w:vAlign w:val="bottom"/>
          </w:tcPr>
          <w:p w14:paraId="518B8626" w14:textId="77777777" w:rsidR="005C332D" w:rsidRDefault="005C332D">
            <w:pPr>
              <w:rPr>
                <w:rFonts w:ascii="宋体"/>
                <w:vanish/>
              </w:rPr>
            </w:pPr>
          </w:p>
        </w:tc>
        <w:tc>
          <w:tcPr>
            <w:tcW w:w="0" w:type="auto"/>
            <w:gridSpan w:val="3"/>
            <w:shd w:val="clear" w:color="auto" w:fill="auto"/>
            <w:vAlign w:val="bottom"/>
          </w:tcPr>
          <w:p w14:paraId="518B8627" w14:textId="77777777" w:rsidR="005C332D" w:rsidRDefault="005C332D">
            <w:pPr>
              <w:rPr>
                <w:rFonts w:ascii="宋体"/>
                <w:vanish/>
              </w:rPr>
            </w:pPr>
          </w:p>
        </w:tc>
        <w:tc>
          <w:tcPr>
            <w:tcW w:w="0" w:type="auto"/>
            <w:gridSpan w:val="3"/>
            <w:shd w:val="clear" w:color="auto" w:fill="auto"/>
            <w:vAlign w:val="bottom"/>
          </w:tcPr>
          <w:p w14:paraId="518B8628" w14:textId="77777777" w:rsidR="005C332D" w:rsidRDefault="005C332D">
            <w:pPr>
              <w:rPr>
                <w:rFonts w:ascii="宋体"/>
                <w:vanish/>
              </w:rPr>
            </w:pPr>
          </w:p>
        </w:tc>
      </w:tr>
      <w:tr w:rsidR="005C332D" w14:paraId="518B862D" w14:textId="77777777">
        <w:trPr>
          <w:hidden/>
        </w:trPr>
        <w:tc>
          <w:tcPr>
            <w:tcW w:w="0" w:type="auto"/>
            <w:gridSpan w:val="3"/>
            <w:shd w:val="clear" w:color="auto" w:fill="auto"/>
            <w:vAlign w:val="bottom"/>
          </w:tcPr>
          <w:p w14:paraId="518B862A" w14:textId="77777777" w:rsidR="005C332D" w:rsidRDefault="005C332D">
            <w:pPr>
              <w:rPr>
                <w:rFonts w:ascii="宋体"/>
                <w:vanish/>
              </w:rPr>
            </w:pPr>
          </w:p>
        </w:tc>
        <w:tc>
          <w:tcPr>
            <w:tcW w:w="0" w:type="auto"/>
            <w:gridSpan w:val="3"/>
            <w:shd w:val="clear" w:color="auto" w:fill="auto"/>
            <w:vAlign w:val="bottom"/>
          </w:tcPr>
          <w:p w14:paraId="518B862B" w14:textId="77777777" w:rsidR="005C332D" w:rsidRDefault="005C332D">
            <w:pPr>
              <w:rPr>
                <w:rFonts w:ascii="宋体"/>
                <w:vanish/>
              </w:rPr>
            </w:pPr>
          </w:p>
        </w:tc>
        <w:tc>
          <w:tcPr>
            <w:tcW w:w="0" w:type="auto"/>
            <w:gridSpan w:val="3"/>
            <w:shd w:val="clear" w:color="auto" w:fill="auto"/>
            <w:vAlign w:val="bottom"/>
          </w:tcPr>
          <w:p w14:paraId="518B862C" w14:textId="77777777" w:rsidR="005C332D" w:rsidRDefault="005C332D">
            <w:pPr>
              <w:rPr>
                <w:rFonts w:ascii="宋体"/>
                <w:vanish/>
              </w:rPr>
            </w:pPr>
          </w:p>
        </w:tc>
      </w:tr>
      <w:tr w:rsidR="005C332D" w14:paraId="518B8631" w14:textId="77777777">
        <w:trPr>
          <w:hidden/>
        </w:trPr>
        <w:tc>
          <w:tcPr>
            <w:tcW w:w="0" w:type="auto"/>
            <w:gridSpan w:val="3"/>
            <w:shd w:val="clear" w:color="auto" w:fill="auto"/>
            <w:vAlign w:val="bottom"/>
          </w:tcPr>
          <w:p w14:paraId="518B862E" w14:textId="77777777" w:rsidR="005C332D" w:rsidRDefault="005C332D">
            <w:pPr>
              <w:rPr>
                <w:rFonts w:ascii="宋体"/>
                <w:vanish/>
              </w:rPr>
            </w:pPr>
          </w:p>
        </w:tc>
        <w:tc>
          <w:tcPr>
            <w:tcW w:w="0" w:type="auto"/>
            <w:gridSpan w:val="3"/>
            <w:shd w:val="clear" w:color="auto" w:fill="auto"/>
            <w:vAlign w:val="bottom"/>
          </w:tcPr>
          <w:p w14:paraId="518B862F" w14:textId="77777777" w:rsidR="005C332D" w:rsidRDefault="005C332D">
            <w:pPr>
              <w:rPr>
                <w:rFonts w:ascii="宋体"/>
                <w:vanish/>
              </w:rPr>
            </w:pPr>
          </w:p>
        </w:tc>
        <w:tc>
          <w:tcPr>
            <w:tcW w:w="0" w:type="auto"/>
            <w:gridSpan w:val="3"/>
            <w:shd w:val="clear" w:color="auto" w:fill="auto"/>
            <w:vAlign w:val="bottom"/>
          </w:tcPr>
          <w:p w14:paraId="518B8630" w14:textId="77777777" w:rsidR="005C332D" w:rsidRDefault="005C332D">
            <w:pPr>
              <w:rPr>
                <w:rFonts w:ascii="宋体"/>
                <w:vanish/>
              </w:rPr>
            </w:pPr>
          </w:p>
        </w:tc>
      </w:tr>
    </w:tbl>
    <w:p w14:paraId="518B8632" w14:textId="77777777" w:rsidR="005C332D" w:rsidRDefault="00B93EAE">
      <w:pPr>
        <w:jc w:val="center"/>
      </w:pPr>
      <w:r>
        <w:rPr>
          <w:rFonts w:ascii="Times New Roman" w:eastAsia="宋体" w:hAnsi="Times New Roman"/>
          <w:color w:val="000000"/>
          <w:sz w:val="20"/>
          <w:szCs w:val="20"/>
        </w:rPr>
        <w:t>107</w:t>
      </w:r>
    </w:p>
    <w:p w14:paraId="518B8633" w14:textId="77777777" w:rsidR="005C332D" w:rsidRDefault="00B93EAE">
      <w:r>
        <w:pict w14:anchorId="518B8780">
          <v:rect id="_x0000_i1133" style="width:415.3pt;height:1.5pt" o:hralign="center" o:hrstd="t" o:hr="t" fillcolor="#a0a0a0" stroked="f"/>
        </w:pict>
      </w:r>
    </w:p>
    <w:p w14:paraId="518B8634" w14:textId="77777777" w:rsidR="005C332D" w:rsidRDefault="005C332D"/>
    <w:tbl>
      <w:tblPr>
        <w:tblW w:w="5000" w:type="pct"/>
        <w:tblCellMar>
          <w:top w:w="15" w:type="dxa"/>
          <w:left w:w="15" w:type="dxa"/>
          <w:bottom w:w="15" w:type="dxa"/>
          <w:right w:w="15" w:type="dxa"/>
        </w:tblCellMar>
        <w:tblLook w:val="04A0" w:firstRow="1" w:lastRow="0" w:firstColumn="1" w:lastColumn="0" w:noHBand="0" w:noVBand="1"/>
      </w:tblPr>
      <w:tblGrid>
        <w:gridCol w:w="69"/>
        <w:gridCol w:w="2734"/>
        <w:gridCol w:w="38"/>
        <w:gridCol w:w="69"/>
        <w:gridCol w:w="3537"/>
        <w:gridCol w:w="36"/>
        <w:gridCol w:w="69"/>
        <w:gridCol w:w="1748"/>
        <w:gridCol w:w="36"/>
      </w:tblGrid>
      <w:tr w:rsidR="005C332D" w14:paraId="518B863E" w14:textId="77777777">
        <w:tc>
          <w:tcPr>
            <w:tcW w:w="50" w:type="pct"/>
            <w:shd w:val="clear" w:color="auto" w:fill="auto"/>
            <w:vAlign w:val="bottom"/>
          </w:tcPr>
          <w:p w14:paraId="518B8635" w14:textId="77777777" w:rsidR="005C332D" w:rsidRDefault="005C332D">
            <w:pPr>
              <w:rPr>
                <w:rFonts w:ascii="宋体"/>
              </w:rPr>
            </w:pPr>
          </w:p>
        </w:tc>
        <w:tc>
          <w:tcPr>
            <w:tcW w:w="1648" w:type="pct"/>
            <w:shd w:val="clear" w:color="auto" w:fill="auto"/>
            <w:vAlign w:val="bottom"/>
          </w:tcPr>
          <w:p w14:paraId="518B8636" w14:textId="77777777" w:rsidR="005C332D" w:rsidRDefault="005C332D">
            <w:pPr>
              <w:rPr>
                <w:rFonts w:ascii="宋体"/>
              </w:rPr>
            </w:pPr>
          </w:p>
        </w:tc>
        <w:tc>
          <w:tcPr>
            <w:tcW w:w="5" w:type="pct"/>
            <w:shd w:val="clear" w:color="auto" w:fill="auto"/>
            <w:vAlign w:val="bottom"/>
          </w:tcPr>
          <w:p w14:paraId="518B8637" w14:textId="77777777" w:rsidR="005C332D" w:rsidRDefault="005C332D">
            <w:pPr>
              <w:rPr>
                <w:rFonts w:ascii="宋体"/>
              </w:rPr>
            </w:pPr>
          </w:p>
        </w:tc>
        <w:tc>
          <w:tcPr>
            <w:tcW w:w="50" w:type="pct"/>
            <w:shd w:val="clear" w:color="auto" w:fill="auto"/>
            <w:vAlign w:val="bottom"/>
          </w:tcPr>
          <w:p w14:paraId="518B8638" w14:textId="77777777" w:rsidR="005C332D" w:rsidRDefault="005C332D">
            <w:pPr>
              <w:rPr>
                <w:rFonts w:ascii="宋体"/>
              </w:rPr>
            </w:pPr>
          </w:p>
        </w:tc>
        <w:tc>
          <w:tcPr>
            <w:tcW w:w="2130" w:type="pct"/>
            <w:shd w:val="clear" w:color="auto" w:fill="auto"/>
            <w:vAlign w:val="bottom"/>
          </w:tcPr>
          <w:p w14:paraId="518B8639" w14:textId="77777777" w:rsidR="005C332D" w:rsidRDefault="005C332D">
            <w:pPr>
              <w:rPr>
                <w:rFonts w:ascii="宋体"/>
              </w:rPr>
            </w:pPr>
          </w:p>
        </w:tc>
        <w:tc>
          <w:tcPr>
            <w:tcW w:w="5" w:type="pct"/>
            <w:shd w:val="clear" w:color="auto" w:fill="auto"/>
            <w:vAlign w:val="bottom"/>
          </w:tcPr>
          <w:p w14:paraId="518B863A" w14:textId="77777777" w:rsidR="005C332D" w:rsidRDefault="005C332D">
            <w:pPr>
              <w:rPr>
                <w:rFonts w:ascii="宋体"/>
              </w:rPr>
            </w:pPr>
          </w:p>
        </w:tc>
        <w:tc>
          <w:tcPr>
            <w:tcW w:w="50" w:type="pct"/>
            <w:shd w:val="clear" w:color="auto" w:fill="auto"/>
            <w:vAlign w:val="bottom"/>
          </w:tcPr>
          <w:p w14:paraId="518B863B" w14:textId="77777777" w:rsidR="005C332D" w:rsidRDefault="005C332D">
            <w:pPr>
              <w:rPr>
                <w:rFonts w:ascii="宋体"/>
              </w:rPr>
            </w:pPr>
          </w:p>
        </w:tc>
        <w:tc>
          <w:tcPr>
            <w:tcW w:w="1056" w:type="pct"/>
            <w:shd w:val="clear" w:color="auto" w:fill="auto"/>
            <w:vAlign w:val="bottom"/>
          </w:tcPr>
          <w:p w14:paraId="518B863C" w14:textId="77777777" w:rsidR="005C332D" w:rsidRDefault="005C332D">
            <w:pPr>
              <w:rPr>
                <w:rFonts w:ascii="宋体"/>
              </w:rPr>
            </w:pPr>
          </w:p>
        </w:tc>
        <w:tc>
          <w:tcPr>
            <w:tcW w:w="5" w:type="pct"/>
            <w:shd w:val="clear" w:color="auto" w:fill="auto"/>
            <w:vAlign w:val="bottom"/>
          </w:tcPr>
          <w:p w14:paraId="518B863D" w14:textId="77777777" w:rsidR="005C332D" w:rsidRDefault="005C332D">
            <w:pPr>
              <w:rPr>
                <w:rFonts w:ascii="宋体"/>
              </w:rPr>
            </w:pPr>
          </w:p>
        </w:tc>
      </w:tr>
      <w:tr w:rsidR="005C332D" w14:paraId="518B8642" w14:textId="77777777">
        <w:tc>
          <w:tcPr>
            <w:tcW w:w="0" w:type="auto"/>
            <w:gridSpan w:val="3"/>
            <w:shd w:val="clear" w:color="auto" w:fill="auto"/>
            <w:tcMar>
              <w:top w:w="40" w:type="dxa"/>
              <w:left w:w="20" w:type="dxa"/>
              <w:bottom w:w="40" w:type="dxa"/>
              <w:right w:w="20" w:type="dxa"/>
            </w:tcMar>
            <w:vAlign w:val="bottom"/>
          </w:tcPr>
          <w:p w14:paraId="518B863F" w14:textId="77777777" w:rsidR="005C332D" w:rsidRDefault="00B93EAE">
            <w:pPr>
              <w:jc w:val="center"/>
              <w:textAlignment w:val="bottom"/>
            </w:pPr>
            <w:r>
              <w:rPr>
                <w:rFonts w:ascii="Times New Roman" w:eastAsia="宋体" w:hAnsi="Times New Roman"/>
                <w:b/>
                <w:bCs/>
                <w:color w:val="000000"/>
                <w:sz w:val="20"/>
                <w:szCs w:val="20"/>
                <w:u w:val="single"/>
              </w:rPr>
              <w:t>Signature</w:t>
            </w:r>
          </w:p>
        </w:tc>
        <w:tc>
          <w:tcPr>
            <w:tcW w:w="0" w:type="auto"/>
            <w:gridSpan w:val="3"/>
            <w:shd w:val="clear" w:color="auto" w:fill="auto"/>
            <w:tcMar>
              <w:top w:w="40" w:type="dxa"/>
              <w:left w:w="20" w:type="dxa"/>
              <w:bottom w:w="40" w:type="dxa"/>
              <w:right w:w="20" w:type="dxa"/>
            </w:tcMar>
            <w:vAlign w:val="bottom"/>
          </w:tcPr>
          <w:p w14:paraId="518B8640" w14:textId="77777777" w:rsidR="005C332D" w:rsidRDefault="00B93EAE">
            <w:pPr>
              <w:jc w:val="center"/>
              <w:textAlignment w:val="bottom"/>
            </w:pPr>
            <w:r>
              <w:rPr>
                <w:rFonts w:ascii="Times New Roman" w:eastAsia="宋体" w:hAnsi="Times New Roman"/>
                <w:b/>
                <w:bCs/>
                <w:color w:val="000000"/>
                <w:sz w:val="20"/>
                <w:szCs w:val="20"/>
                <w:u w:val="single"/>
              </w:rPr>
              <w:t>Title</w:t>
            </w:r>
          </w:p>
        </w:tc>
        <w:tc>
          <w:tcPr>
            <w:tcW w:w="0" w:type="auto"/>
            <w:gridSpan w:val="3"/>
            <w:shd w:val="clear" w:color="auto" w:fill="auto"/>
            <w:tcMar>
              <w:top w:w="40" w:type="dxa"/>
              <w:left w:w="20" w:type="dxa"/>
              <w:bottom w:w="40" w:type="dxa"/>
              <w:right w:w="20" w:type="dxa"/>
            </w:tcMar>
            <w:vAlign w:val="bottom"/>
          </w:tcPr>
          <w:p w14:paraId="518B8641" w14:textId="77777777" w:rsidR="005C332D" w:rsidRDefault="00B93EAE">
            <w:pPr>
              <w:jc w:val="center"/>
              <w:textAlignment w:val="bottom"/>
            </w:pPr>
            <w:r>
              <w:rPr>
                <w:rFonts w:ascii="Times New Roman" w:eastAsia="宋体" w:hAnsi="Times New Roman"/>
                <w:b/>
                <w:bCs/>
                <w:color w:val="000000"/>
                <w:sz w:val="20"/>
                <w:szCs w:val="20"/>
                <w:u w:val="single"/>
              </w:rPr>
              <w:t>Date</w:t>
            </w:r>
          </w:p>
        </w:tc>
      </w:tr>
      <w:tr w:rsidR="005C332D" w14:paraId="518B8646" w14:textId="77777777">
        <w:trPr>
          <w:trHeight w:val="300"/>
        </w:trPr>
        <w:tc>
          <w:tcPr>
            <w:tcW w:w="0" w:type="auto"/>
            <w:gridSpan w:val="3"/>
            <w:shd w:val="clear" w:color="auto" w:fill="auto"/>
            <w:tcMar>
              <w:top w:w="0" w:type="dxa"/>
              <w:left w:w="20" w:type="dxa"/>
              <w:bottom w:w="0" w:type="dxa"/>
              <w:right w:w="20" w:type="dxa"/>
            </w:tcMar>
            <w:vAlign w:val="bottom"/>
          </w:tcPr>
          <w:p w14:paraId="518B864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4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45" w14:textId="77777777" w:rsidR="005C332D" w:rsidRDefault="005C332D">
            <w:pPr>
              <w:rPr>
                <w:rFonts w:ascii="宋体"/>
              </w:rPr>
            </w:pPr>
          </w:p>
        </w:tc>
      </w:tr>
      <w:tr w:rsidR="005C332D" w14:paraId="518B864A" w14:textId="77777777">
        <w:tc>
          <w:tcPr>
            <w:tcW w:w="0" w:type="auto"/>
            <w:gridSpan w:val="3"/>
            <w:shd w:val="clear" w:color="auto" w:fill="auto"/>
            <w:tcMar>
              <w:top w:w="40" w:type="dxa"/>
              <w:left w:w="20" w:type="dxa"/>
              <w:bottom w:w="40" w:type="dxa"/>
              <w:right w:w="20" w:type="dxa"/>
            </w:tcMar>
            <w:vAlign w:val="bottom"/>
          </w:tcPr>
          <w:p w14:paraId="518B8647"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M</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M</w:t>
            </w:r>
            <w:r>
              <w:rPr>
                <w:rFonts w:ascii="Times New Roman" w:eastAsia="宋体" w:hAnsi="Times New Roman"/>
                <w:color w:val="000000"/>
                <w:sz w:val="18"/>
                <w:szCs w:val="18"/>
              </w:rPr>
              <w:t xml:space="preserve">ICHELE </w:t>
            </w:r>
            <w:r>
              <w:rPr>
                <w:rFonts w:ascii="Times New Roman" w:eastAsia="宋体" w:hAnsi="Times New Roman"/>
                <w:color w:val="000000"/>
                <w:sz w:val="20"/>
                <w:szCs w:val="20"/>
              </w:rPr>
              <w:t>B</w:t>
            </w:r>
            <w:r>
              <w:rPr>
                <w:rFonts w:ascii="Times New Roman" w:eastAsia="宋体" w:hAnsi="Times New Roman"/>
                <w:color w:val="000000"/>
                <w:sz w:val="18"/>
                <w:szCs w:val="18"/>
              </w:rPr>
              <w:t>URNS</w:t>
            </w:r>
          </w:p>
        </w:tc>
        <w:tc>
          <w:tcPr>
            <w:tcW w:w="0" w:type="auto"/>
            <w:gridSpan w:val="3"/>
            <w:shd w:val="clear" w:color="auto" w:fill="auto"/>
            <w:tcMar>
              <w:top w:w="40" w:type="dxa"/>
              <w:left w:w="20" w:type="dxa"/>
              <w:bottom w:w="40" w:type="dxa"/>
              <w:right w:w="20" w:type="dxa"/>
            </w:tcMar>
            <w:vAlign w:val="bottom"/>
          </w:tcPr>
          <w:p w14:paraId="518B8648" w14:textId="77777777" w:rsidR="005C332D" w:rsidRDefault="00B93EAE">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518B8649"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4E"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4B" w14:textId="77777777" w:rsidR="005C332D" w:rsidRDefault="00B93EAE">
            <w:pPr>
              <w:jc w:val="center"/>
              <w:textAlignment w:val="bottom"/>
            </w:pPr>
            <w:r>
              <w:rPr>
                <w:rFonts w:ascii="Times New Roman" w:eastAsia="宋体" w:hAnsi="Times New Roman"/>
                <w:b/>
                <w:bCs/>
                <w:color w:val="000000"/>
                <w:sz w:val="20"/>
                <w:szCs w:val="20"/>
              </w:rPr>
              <w:t>M. Michele Burns</w:t>
            </w:r>
          </w:p>
        </w:tc>
        <w:tc>
          <w:tcPr>
            <w:tcW w:w="0" w:type="auto"/>
            <w:gridSpan w:val="3"/>
            <w:shd w:val="clear" w:color="auto" w:fill="auto"/>
            <w:tcMar>
              <w:top w:w="0" w:type="dxa"/>
              <w:left w:w="20" w:type="dxa"/>
              <w:bottom w:w="0" w:type="dxa"/>
              <w:right w:w="20" w:type="dxa"/>
            </w:tcMar>
            <w:vAlign w:val="bottom"/>
          </w:tcPr>
          <w:p w14:paraId="518B864C"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4D" w14:textId="77777777" w:rsidR="005C332D" w:rsidRDefault="005C332D">
            <w:pPr>
              <w:rPr>
                <w:rFonts w:ascii="宋体"/>
              </w:rPr>
            </w:pPr>
          </w:p>
        </w:tc>
      </w:tr>
      <w:tr w:rsidR="005C332D" w14:paraId="518B8652" w14:textId="77777777">
        <w:trPr>
          <w:trHeight w:val="300"/>
        </w:trPr>
        <w:tc>
          <w:tcPr>
            <w:tcW w:w="0" w:type="auto"/>
            <w:gridSpan w:val="3"/>
            <w:shd w:val="clear" w:color="auto" w:fill="auto"/>
            <w:tcMar>
              <w:top w:w="0" w:type="dxa"/>
              <w:left w:w="20" w:type="dxa"/>
              <w:bottom w:w="0" w:type="dxa"/>
              <w:right w:w="20" w:type="dxa"/>
            </w:tcMar>
            <w:vAlign w:val="bottom"/>
          </w:tcPr>
          <w:p w14:paraId="518B864F"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50"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51" w14:textId="77777777" w:rsidR="005C332D" w:rsidRDefault="005C332D">
            <w:pPr>
              <w:rPr>
                <w:rFonts w:ascii="宋体"/>
              </w:rPr>
            </w:pPr>
          </w:p>
        </w:tc>
      </w:tr>
      <w:tr w:rsidR="005C332D" w14:paraId="518B8656" w14:textId="77777777">
        <w:tc>
          <w:tcPr>
            <w:tcW w:w="0" w:type="auto"/>
            <w:gridSpan w:val="3"/>
            <w:shd w:val="clear" w:color="auto" w:fill="auto"/>
            <w:tcMar>
              <w:top w:w="40" w:type="dxa"/>
              <w:left w:w="20" w:type="dxa"/>
              <w:bottom w:w="40" w:type="dxa"/>
              <w:right w:w="20" w:type="dxa"/>
            </w:tcMar>
            <w:vAlign w:val="bottom"/>
          </w:tcPr>
          <w:p w14:paraId="518B8653"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W</w:t>
            </w:r>
            <w:r>
              <w:rPr>
                <w:rFonts w:ascii="Times New Roman" w:eastAsia="宋体" w:hAnsi="Times New Roman"/>
                <w:color w:val="000000"/>
                <w:sz w:val="18"/>
                <w:szCs w:val="18"/>
              </w:rPr>
              <w:t xml:space="preserve">ESLEY </w:t>
            </w:r>
            <w:r>
              <w:rPr>
                <w:rFonts w:ascii="Times New Roman" w:eastAsia="宋体" w:hAnsi="Times New Roman"/>
                <w:color w:val="000000"/>
                <w:sz w:val="20"/>
                <w:szCs w:val="20"/>
              </w:rPr>
              <w:t>G</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B</w:t>
            </w:r>
            <w:r>
              <w:rPr>
                <w:rFonts w:ascii="Times New Roman" w:eastAsia="宋体" w:hAnsi="Times New Roman"/>
                <w:color w:val="000000"/>
                <w:sz w:val="18"/>
                <w:szCs w:val="18"/>
              </w:rPr>
              <w:t>USH</w:t>
            </w:r>
          </w:p>
        </w:tc>
        <w:tc>
          <w:tcPr>
            <w:tcW w:w="0" w:type="auto"/>
            <w:gridSpan w:val="3"/>
            <w:shd w:val="clear" w:color="auto" w:fill="auto"/>
            <w:tcMar>
              <w:top w:w="40" w:type="dxa"/>
              <w:left w:w="20" w:type="dxa"/>
              <w:bottom w:w="40" w:type="dxa"/>
              <w:right w:w="20" w:type="dxa"/>
            </w:tcMar>
            <w:vAlign w:val="bottom"/>
          </w:tcPr>
          <w:p w14:paraId="518B8654" w14:textId="77777777" w:rsidR="005C332D" w:rsidRDefault="00B93EAE">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518B8655"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5A"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57" w14:textId="77777777" w:rsidR="005C332D" w:rsidRDefault="00B93EAE">
            <w:pPr>
              <w:jc w:val="center"/>
              <w:textAlignment w:val="bottom"/>
            </w:pPr>
            <w:r>
              <w:rPr>
                <w:rFonts w:ascii="Times New Roman" w:eastAsia="宋体" w:hAnsi="Times New Roman"/>
                <w:b/>
                <w:bCs/>
                <w:color w:val="000000"/>
                <w:sz w:val="20"/>
                <w:szCs w:val="20"/>
              </w:rPr>
              <w:t>Wesley G. Bush</w:t>
            </w:r>
          </w:p>
        </w:tc>
        <w:tc>
          <w:tcPr>
            <w:tcW w:w="0" w:type="auto"/>
            <w:gridSpan w:val="3"/>
            <w:shd w:val="clear" w:color="auto" w:fill="auto"/>
            <w:tcMar>
              <w:top w:w="0" w:type="dxa"/>
              <w:left w:w="20" w:type="dxa"/>
              <w:bottom w:w="0" w:type="dxa"/>
              <w:right w:w="20" w:type="dxa"/>
            </w:tcMar>
            <w:vAlign w:val="bottom"/>
          </w:tcPr>
          <w:p w14:paraId="518B8658"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59" w14:textId="77777777" w:rsidR="005C332D" w:rsidRDefault="005C332D">
            <w:pPr>
              <w:rPr>
                <w:rFonts w:ascii="宋体"/>
              </w:rPr>
            </w:pPr>
          </w:p>
        </w:tc>
      </w:tr>
      <w:tr w:rsidR="005C332D" w14:paraId="518B865E" w14:textId="77777777">
        <w:trPr>
          <w:trHeight w:val="300"/>
        </w:trPr>
        <w:tc>
          <w:tcPr>
            <w:tcW w:w="0" w:type="auto"/>
            <w:gridSpan w:val="3"/>
            <w:shd w:val="clear" w:color="auto" w:fill="auto"/>
            <w:tcMar>
              <w:top w:w="0" w:type="dxa"/>
              <w:left w:w="20" w:type="dxa"/>
              <w:bottom w:w="0" w:type="dxa"/>
              <w:right w:w="20" w:type="dxa"/>
            </w:tcMar>
            <w:vAlign w:val="bottom"/>
          </w:tcPr>
          <w:p w14:paraId="518B865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5C"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5D" w14:textId="77777777" w:rsidR="005C332D" w:rsidRDefault="005C332D">
            <w:pPr>
              <w:rPr>
                <w:rFonts w:ascii="宋体"/>
              </w:rPr>
            </w:pPr>
          </w:p>
        </w:tc>
      </w:tr>
      <w:tr w:rsidR="005C332D" w14:paraId="518B8662" w14:textId="77777777">
        <w:tc>
          <w:tcPr>
            <w:tcW w:w="0" w:type="auto"/>
            <w:gridSpan w:val="3"/>
            <w:shd w:val="clear" w:color="auto" w:fill="auto"/>
            <w:tcMar>
              <w:top w:w="40" w:type="dxa"/>
              <w:left w:w="20" w:type="dxa"/>
              <w:bottom w:w="40" w:type="dxa"/>
              <w:right w:w="20" w:type="dxa"/>
            </w:tcMar>
            <w:vAlign w:val="bottom"/>
          </w:tcPr>
          <w:p w14:paraId="518B865F"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M</w:t>
            </w:r>
            <w:r>
              <w:rPr>
                <w:rFonts w:ascii="Times New Roman" w:eastAsia="宋体" w:hAnsi="Times New Roman"/>
                <w:color w:val="000000"/>
                <w:sz w:val="18"/>
                <w:szCs w:val="18"/>
              </w:rPr>
              <w:t xml:space="preserve">ICHAEL </w:t>
            </w:r>
            <w:r>
              <w:rPr>
                <w:rFonts w:ascii="Times New Roman" w:eastAsia="宋体" w:hAnsi="Times New Roman"/>
                <w:color w:val="000000"/>
                <w:sz w:val="20"/>
                <w:szCs w:val="20"/>
              </w:rPr>
              <w:t>D</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C</w:t>
            </w:r>
            <w:r>
              <w:rPr>
                <w:rFonts w:ascii="Times New Roman" w:eastAsia="宋体" w:hAnsi="Times New Roman"/>
                <w:color w:val="000000"/>
                <w:sz w:val="18"/>
                <w:szCs w:val="18"/>
              </w:rPr>
              <w:t>APELLAS</w:t>
            </w:r>
          </w:p>
        </w:tc>
        <w:tc>
          <w:tcPr>
            <w:tcW w:w="0" w:type="auto"/>
            <w:gridSpan w:val="3"/>
            <w:shd w:val="clear" w:color="auto" w:fill="auto"/>
            <w:tcMar>
              <w:top w:w="40" w:type="dxa"/>
              <w:left w:w="20" w:type="dxa"/>
              <w:bottom w:w="40" w:type="dxa"/>
              <w:right w:w="20" w:type="dxa"/>
            </w:tcMar>
            <w:vAlign w:val="bottom"/>
          </w:tcPr>
          <w:p w14:paraId="518B8660" w14:textId="77777777" w:rsidR="005C332D" w:rsidRDefault="00B93EAE">
            <w:pPr>
              <w:jc w:val="center"/>
              <w:textAlignment w:val="bottom"/>
            </w:pPr>
            <w:r>
              <w:rPr>
                <w:rFonts w:ascii="Times New Roman" w:eastAsia="宋体" w:hAnsi="Times New Roman"/>
                <w:color w:val="000000"/>
                <w:sz w:val="20"/>
                <w:szCs w:val="20"/>
              </w:rPr>
              <w:t>Lead Independent Director</w:t>
            </w:r>
          </w:p>
        </w:tc>
        <w:tc>
          <w:tcPr>
            <w:tcW w:w="0" w:type="auto"/>
            <w:gridSpan w:val="3"/>
            <w:shd w:val="clear" w:color="auto" w:fill="auto"/>
            <w:tcMar>
              <w:top w:w="40" w:type="dxa"/>
              <w:left w:w="20" w:type="dxa"/>
              <w:bottom w:w="40" w:type="dxa"/>
              <w:right w:w="20" w:type="dxa"/>
            </w:tcMar>
            <w:vAlign w:val="bottom"/>
          </w:tcPr>
          <w:p w14:paraId="518B8661"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66"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63" w14:textId="77777777" w:rsidR="005C332D" w:rsidRDefault="00B93EAE">
            <w:pPr>
              <w:jc w:val="center"/>
              <w:textAlignment w:val="bottom"/>
            </w:pPr>
            <w:r>
              <w:rPr>
                <w:rFonts w:ascii="Times New Roman" w:eastAsia="宋体" w:hAnsi="Times New Roman"/>
                <w:b/>
                <w:bCs/>
                <w:color w:val="000000"/>
                <w:sz w:val="20"/>
                <w:szCs w:val="20"/>
              </w:rPr>
              <w:t>Michael D. Capellas</w:t>
            </w:r>
          </w:p>
        </w:tc>
        <w:tc>
          <w:tcPr>
            <w:tcW w:w="0" w:type="auto"/>
            <w:gridSpan w:val="3"/>
            <w:shd w:val="clear" w:color="auto" w:fill="auto"/>
            <w:tcMar>
              <w:top w:w="0" w:type="dxa"/>
              <w:left w:w="20" w:type="dxa"/>
              <w:bottom w:w="0" w:type="dxa"/>
              <w:right w:w="20" w:type="dxa"/>
            </w:tcMar>
            <w:vAlign w:val="bottom"/>
          </w:tcPr>
          <w:p w14:paraId="518B866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65" w14:textId="77777777" w:rsidR="005C332D" w:rsidRDefault="005C332D">
            <w:pPr>
              <w:rPr>
                <w:rFonts w:ascii="宋体"/>
              </w:rPr>
            </w:pPr>
          </w:p>
        </w:tc>
      </w:tr>
      <w:tr w:rsidR="005C332D" w14:paraId="518B866A" w14:textId="77777777">
        <w:trPr>
          <w:trHeight w:val="300"/>
        </w:trPr>
        <w:tc>
          <w:tcPr>
            <w:tcW w:w="0" w:type="auto"/>
            <w:gridSpan w:val="3"/>
            <w:shd w:val="clear" w:color="auto" w:fill="auto"/>
            <w:tcMar>
              <w:top w:w="0" w:type="dxa"/>
              <w:left w:w="20" w:type="dxa"/>
              <w:bottom w:w="0" w:type="dxa"/>
              <w:right w:w="20" w:type="dxa"/>
            </w:tcMar>
            <w:vAlign w:val="bottom"/>
          </w:tcPr>
          <w:p w14:paraId="518B8667"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68"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69" w14:textId="77777777" w:rsidR="005C332D" w:rsidRDefault="005C332D">
            <w:pPr>
              <w:rPr>
                <w:rFonts w:ascii="宋体"/>
              </w:rPr>
            </w:pPr>
          </w:p>
        </w:tc>
      </w:tr>
      <w:tr w:rsidR="005C332D" w14:paraId="518B866E" w14:textId="77777777">
        <w:tc>
          <w:tcPr>
            <w:tcW w:w="0" w:type="auto"/>
            <w:gridSpan w:val="3"/>
            <w:shd w:val="clear" w:color="auto" w:fill="auto"/>
            <w:tcMar>
              <w:top w:w="40" w:type="dxa"/>
              <w:left w:w="20" w:type="dxa"/>
              <w:bottom w:w="40" w:type="dxa"/>
              <w:right w:w="20" w:type="dxa"/>
            </w:tcMar>
            <w:vAlign w:val="bottom"/>
          </w:tcPr>
          <w:p w14:paraId="518B866B" w14:textId="77777777" w:rsidR="005C332D" w:rsidRDefault="00B93EAE">
            <w:pPr>
              <w:jc w:val="center"/>
              <w:textAlignment w:val="bottom"/>
            </w:pPr>
            <w:r>
              <w:rPr>
                <w:rFonts w:ascii="Times New Roman" w:eastAsia="宋体" w:hAnsi="Times New Roman"/>
                <w:color w:val="000000"/>
                <w:sz w:val="18"/>
                <w:szCs w:val="18"/>
              </w:rPr>
              <w:t>/S/</w:t>
            </w:r>
            <w:r>
              <w:rPr>
                <w:rFonts w:ascii="Times New Roman" w:eastAsia="宋体" w:hAnsi="Times New Roman"/>
                <w:color w:val="000000"/>
                <w:sz w:val="20"/>
                <w:szCs w:val="20"/>
              </w:rPr>
              <w:t xml:space="preserve"> M</w:t>
            </w:r>
            <w:r>
              <w:rPr>
                <w:rFonts w:ascii="Times New Roman" w:eastAsia="宋体" w:hAnsi="Times New Roman"/>
                <w:color w:val="000000"/>
                <w:sz w:val="18"/>
                <w:szCs w:val="18"/>
              </w:rPr>
              <w:t>ARK</w:t>
            </w:r>
            <w:r>
              <w:rPr>
                <w:rFonts w:ascii="Times New Roman" w:eastAsia="宋体" w:hAnsi="Times New Roman"/>
                <w:color w:val="000000"/>
                <w:sz w:val="20"/>
                <w:szCs w:val="20"/>
              </w:rPr>
              <w:t xml:space="preserve"> G</w:t>
            </w:r>
            <w:r>
              <w:rPr>
                <w:rFonts w:ascii="Times New Roman" w:eastAsia="宋体" w:hAnsi="Times New Roman"/>
                <w:color w:val="000000"/>
                <w:sz w:val="18"/>
                <w:szCs w:val="18"/>
              </w:rPr>
              <w:t>ARRETT</w:t>
            </w:r>
          </w:p>
        </w:tc>
        <w:tc>
          <w:tcPr>
            <w:tcW w:w="0" w:type="auto"/>
            <w:gridSpan w:val="3"/>
            <w:shd w:val="clear" w:color="auto" w:fill="auto"/>
            <w:tcMar>
              <w:top w:w="40" w:type="dxa"/>
              <w:left w:w="20" w:type="dxa"/>
              <w:bottom w:w="40" w:type="dxa"/>
              <w:right w:w="20" w:type="dxa"/>
            </w:tcMar>
            <w:vAlign w:val="bottom"/>
          </w:tcPr>
          <w:p w14:paraId="518B866C" w14:textId="77777777" w:rsidR="005C332D" w:rsidRDefault="00B93EAE">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518B866D"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72"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6F" w14:textId="77777777" w:rsidR="005C332D" w:rsidRDefault="00B93EAE">
            <w:pPr>
              <w:jc w:val="center"/>
              <w:textAlignment w:val="bottom"/>
            </w:pPr>
            <w:r>
              <w:rPr>
                <w:rFonts w:ascii="Times New Roman" w:eastAsia="宋体" w:hAnsi="Times New Roman"/>
                <w:b/>
                <w:bCs/>
                <w:color w:val="000000"/>
                <w:sz w:val="20"/>
                <w:szCs w:val="20"/>
              </w:rPr>
              <w:t>Mark Garrett</w:t>
            </w:r>
          </w:p>
        </w:tc>
        <w:tc>
          <w:tcPr>
            <w:tcW w:w="0" w:type="auto"/>
            <w:gridSpan w:val="3"/>
            <w:shd w:val="clear" w:color="auto" w:fill="auto"/>
            <w:tcMar>
              <w:top w:w="0" w:type="dxa"/>
              <w:left w:w="20" w:type="dxa"/>
              <w:bottom w:w="0" w:type="dxa"/>
              <w:right w:w="20" w:type="dxa"/>
            </w:tcMar>
            <w:vAlign w:val="bottom"/>
          </w:tcPr>
          <w:p w14:paraId="518B8670"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71" w14:textId="77777777" w:rsidR="005C332D" w:rsidRDefault="005C332D">
            <w:pPr>
              <w:rPr>
                <w:rFonts w:ascii="宋体"/>
              </w:rPr>
            </w:pPr>
          </w:p>
        </w:tc>
      </w:tr>
      <w:tr w:rsidR="005C332D" w14:paraId="518B8676" w14:textId="77777777">
        <w:trPr>
          <w:trHeight w:val="300"/>
        </w:trPr>
        <w:tc>
          <w:tcPr>
            <w:tcW w:w="0" w:type="auto"/>
            <w:gridSpan w:val="3"/>
            <w:shd w:val="clear" w:color="auto" w:fill="auto"/>
            <w:tcMar>
              <w:top w:w="0" w:type="dxa"/>
              <w:left w:w="20" w:type="dxa"/>
              <w:bottom w:w="0" w:type="dxa"/>
              <w:right w:w="20" w:type="dxa"/>
            </w:tcMar>
            <w:vAlign w:val="bottom"/>
          </w:tcPr>
          <w:p w14:paraId="518B867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7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75" w14:textId="77777777" w:rsidR="005C332D" w:rsidRDefault="005C332D">
            <w:pPr>
              <w:rPr>
                <w:rFonts w:ascii="宋体"/>
              </w:rPr>
            </w:pPr>
          </w:p>
        </w:tc>
      </w:tr>
      <w:tr w:rsidR="005C332D" w14:paraId="518B867A" w14:textId="77777777">
        <w:tc>
          <w:tcPr>
            <w:tcW w:w="0" w:type="auto"/>
            <w:gridSpan w:val="3"/>
            <w:shd w:val="clear" w:color="auto" w:fill="auto"/>
            <w:tcMar>
              <w:top w:w="40" w:type="dxa"/>
              <w:left w:w="20" w:type="dxa"/>
              <w:bottom w:w="40" w:type="dxa"/>
              <w:right w:w="20" w:type="dxa"/>
            </w:tcMar>
            <w:vAlign w:val="bottom"/>
          </w:tcPr>
          <w:p w14:paraId="518B8677" w14:textId="77777777" w:rsidR="005C332D" w:rsidRDefault="00B93EAE">
            <w:pPr>
              <w:jc w:val="center"/>
              <w:textAlignment w:val="bottom"/>
            </w:pPr>
            <w:r>
              <w:rPr>
                <w:rFonts w:ascii="Times New Roman" w:eastAsia="宋体" w:hAnsi="Times New Roman"/>
                <w:color w:val="000000"/>
                <w:sz w:val="18"/>
                <w:szCs w:val="18"/>
              </w:rPr>
              <w:t>/S/</w:t>
            </w:r>
            <w:r>
              <w:rPr>
                <w:rFonts w:ascii="Times New Roman" w:eastAsia="宋体" w:hAnsi="Times New Roman"/>
                <w:color w:val="000000"/>
                <w:sz w:val="20"/>
                <w:szCs w:val="20"/>
              </w:rPr>
              <w:t xml:space="preserve"> J</w:t>
            </w:r>
            <w:r>
              <w:rPr>
                <w:rFonts w:ascii="Times New Roman" w:eastAsia="宋体" w:hAnsi="Times New Roman"/>
                <w:color w:val="000000"/>
                <w:sz w:val="18"/>
                <w:szCs w:val="18"/>
              </w:rPr>
              <w:t>OHN</w:t>
            </w:r>
            <w:r>
              <w:rPr>
                <w:rFonts w:ascii="Times New Roman" w:eastAsia="宋体" w:hAnsi="Times New Roman"/>
                <w:color w:val="000000"/>
                <w:sz w:val="20"/>
                <w:szCs w:val="20"/>
              </w:rPr>
              <w:t xml:space="preserve"> D. H</w:t>
            </w:r>
            <w:r>
              <w:rPr>
                <w:rFonts w:ascii="Times New Roman" w:eastAsia="宋体" w:hAnsi="Times New Roman"/>
                <w:color w:val="000000"/>
                <w:sz w:val="18"/>
                <w:szCs w:val="18"/>
              </w:rPr>
              <w:t>ARRIS</w:t>
            </w:r>
            <w:r>
              <w:rPr>
                <w:rFonts w:ascii="Times New Roman" w:eastAsia="宋体" w:hAnsi="Times New Roman"/>
                <w:color w:val="000000"/>
                <w:sz w:val="20"/>
                <w:szCs w:val="20"/>
              </w:rPr>
              <w:t xml:space="preserve"> II</w:t>
            </w:r>
          </w:p>
        </w:tc>
        <w:tc>
          <w:tcPr>
            <w:tcW w:w="0" w:type="auto"/>
            <w:gridSpan w:val="3"/>
            <w:shd w:val="clear" w:color="auto" w:fill="auto"/>
            <w:tcMar>
              <w:top w:w="40" w:type="dxa"/>
              <w:left w:w="20" w:type="dxa"/>
              <w:bottom w:w="40" w:type="dxa"/>
              <w:right w:w="20" w:type="dxa"/>
            </w:tcMar>
            <w:vAlign w:val="bottom"/>
          </w:tcPr>
          <w:p w14:paraId="518B8678" w14:textId="77777777" w:rsidR="005C332D" w:rsidRDefault="00B93EAE">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518B8679"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7E"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7B" w14:textId="77777777" w:rsidR="005C332D" w:rsidRDefault="00B93EAE">
            <w:pPr>
              <w:jc w:val="center"/>
              <w:textAlignment w:val="bottom"/>
            </w:pPr>
            <w:r>
              <w:rPr>
                <w:rFonts w:ascii="Times New Roman" w:eastAsia="宋体" w:hAnsi="Times New Roman"/>
                <w:b/>
                <w:bCs/>
                <w:color w:val="000000"/>
                <w:sz w:val="20"/>
                <w:szCs w:val="20"/>
              </w:rPr>
              <w:t>John D. Harris II</w:t>
            </w:r>
          </w:p>
        </w:tc>
        <w:tc>
          <w:tcPr>
            <w:tcW w:w="0" w:type="auto"/>
            <w:gridSpan w:val="3"/>
            <w:shd w:val="clear" w:color="auto" w:fill="auto"/>
            <w:tcMar>
              <w:top w:w="0" w:type="dxa"/>
              <w:left w:w="20" w:type="dxa"/>
              <w:bottom w:w="0" w:type="dxa"/>
              <w:right w:w="20" w:type="dxa"/>
            </w:tcMar>
            <w:vAlign w:val="bottom"/>
          </w:tcPr>
          <w:p w14:paraId="518B867C"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7D" w14:textId="77777777" w:rsidR="005C332D" w:rsidRDefault="005C332D">
            <w:pPr>
              <w:rPr>
                <w:rFonts w:ascii="宋体"/>
              </w:rPr>
            </w:pPr>
          </w:p>
        </w:tc>
      </w:tr>
      <w:tr w:rsidR="005C332D" w14:paraId="518B8682" w14:textId="77777777">
        <w:trPr>
          <w:trHeight w:val="300"/>
        </w:trPr>
        <w:tc>
          <w:tcPr>
            <w:tcW w:w="0" w:type="auto"/>
            <w:gridSpan w:val="3"/>
            <w:shd w:val="clear" w:color="auto" w:fill="auto"/>
            <w:tcMar>
              <w:top w:w="0" w:type="dxa"/>
              <w:left w:w="20" w:type="dxa"/>
              <w:bottom w:w="0" w:type="dxa"/>
              <w:right w:w="20" w:type="dxa"/>
            </w:tcMar>
            <w:vAlign w:val="bottom"/>
          </w:tcPr>
          <w:p w14:paraId="518B867F"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80"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81" w14:textId="77777777" w:rsidR="005C332D" w:rsidRDefault="005C332D">
            <w:pPr>
              <w:rPr>
                <w:rFonts w:ascii="宋体"/>
              </w:rPr>
            </w:pPr>
          </w:p>
        </w:tc>
      </w:tr>
      <w:tr w:rsidR="005C332D" w14:paraId="518B8686" w14:textId="77777777">
        <w:tc>
          <w:tcPr>
            <w:tcW w:w="0" w:type="auto"/>
            <w:gridSpan w:val="3"/>
            <w:shd w:val="clear" w:color="auto" w:fill="auto"/>
            <w:tcMar>
              <w:top w:w="40" w:type="dxa"/>
              <w:left w:w="20" w:type="dxa"/>
              <w:bottom w:w="40" w:type="dxa"/>
              <w:right w:w="20" w:type="dxa"/>
            </w:tcMar>
            <w:vAlign w:val="bottom"/>
          </w:tcPr>
          <w:p w14:paraId="518B8683"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K</w:t>
            </w:r>
            <w:r>
              <w:rPr>
                <w:rFonts w:ascii="Times New Roman" w:eastAsia="宋体" w:hAnsi="Times New Roman"/>
                <w:color w:val="000000"/>
                <w:sz w:val="18"/>
                <w:szCs w:val="18"/>
              </w:rPr>
              <w:t xml:space="preserve">RISTINA </w:t>
            </w:r>
            <w:r>
              <w:rPr>
                <w:rFonts w:ascii="Times New Roman" w:eastAsia="宋体" w:hAnsi="Times New Roman"/>
                <w:color w:val="000000"/>
                <w:sz w:val="20"/>
                <w:szCs w:val="20"/>
              </w:rPr>
              <w:t>M</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J</w:t>
            </w:r>
            <w:r>
              <w:rPr>
                <w:rFonts w:ascii="Times New Roman" w:eastAsia="宋体" w:hAnsi="Times New Roman"/>
                <w:color w:val="000000"/>
                <w:sz w:val="18"/>
                <w:szCs w:val="18"/>
              </w:rPr>
              <w:t>OHNSON</w:t>
            </w:r>
          </w:p>
        </w:tc>
        <w:tc>
          <w:tcPr>
            <w:tcW w:w="0" w:type="auto"/>
            <w:gridSpan w:val="3"/>
            <w:shd w:val="clear" w:color="auto" w:fill="auto"/>
            <w:tcMar>
              <w:top w:w="40" w:type="dxa"/>
              <w:left w:w="20" w:type="dxa"/>
              <w:bottom w:w="40" w:type="dxa"/>
              <w:right w:w="20" w:type="dxa"/>
            </w:tcMar>
            <w:vAlign w:val="bottom"/>
          </w:tcPr>
          <w:p w14:paraId="518B8684" w14:textId="77777777" w:rsidR="005C332D" w:rsidRDefault="00B93EAE">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518B8685"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8A"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87" w14:textId="77777777" w:rsidR="005C332D" w:rsidRDefault="00B93EAE">
            <w:pPr>
              <w:jc w:val="center"/>
              <w:textAlignment w:val="bottom"/>
            </w:pPr>
            <w:r>
              <w:rPr>
                <w:rFonts w:ascii="Times New Roman" w:eastAsia="宋体" w:hAnsi="Times New Roman"/>
                <w:b/>
                <w:bCs/>
                <w:color w:val="000000"/>
                <w:sz w:val="20"/>
                <w:szCs w:val="20"/>
              </w:rPr>
              <w:t>Dr. Kristina M. Johnson</w:t>
            </w:r>
          </w:p>
        </w:tc>
        <w:tc>
          <w:tcPr>
            <w:tcW w:w="0" w:type="auto"/>
            <w:gridSpan w:val="3"/>
            <w:shd w:val="clear" w:color="auto" w:fill="auto"/>
            <w:tcMar>
              <w:top w:w="0" w:type="dxa"/>
              <w:left w:w="20" w:type="dxa"/>
              <w:bottom w:w="0" w:type="dxa"/>
              <w:right w:w="20" w:type="dxa"/>
            </w:tcMar>
            <w:vAlign w:val="bottom"/>
          </w:tcPr>
          <w:p w14:paraId="518B8688"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89" w14:textId="77777777" w:rsidR="005C332D" w:rsidRDefault="005C332D">
            <w:pPr>
              <w:rPr>
                <w:rFonts w:ascii="宋体"/>
              </w:rPr>
            </w:pPr>
          </w:p>
        </w:tc>
      </w:tr>
      <w:tr w:rsidR="005C332D" w14:paraId="518B868E" w14:textId="77777777">
        <w:trPr>
          <w:trHeight w:val="300"/>
        </w:trPr>
        <w:tc>
          <w:tcPr>
            <w:tcW w:w="0" w:type="auto"/>
            <w:gridSpan w:val="3"/>
            <w:shd w:val="clear" w:color="auto" w:fill="auto"/>
            <w:tcMar>
              <w:top w:w="0" w:type="dxa"/>
              <w:left w:w="20" w:type="dxa"/>
              <w:bottom w:w="0" w:type="dxa"/>
              <w:right w:w="20" w:type="dxa"/>
            </w:tcMar>
            <w:vAlign w:val="bottom"/>
          </w:tcPr>
          <w:p w14:paraId="518B868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8C"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8D" w14:textId="77777777" w:rsidR="005C332D" w:rsidRDefault="005C332D">
            <w:pPr>
              <w:rPr>
                <w:rFonts w:ascii="宋体"/>
              </w:rPr>
            </w:pPr>
          </w:p>
        </w:tc>
      </w:tr>
      <w:tr w:rsidR="005C332D" w14:paraId="518B8692" w14:textId="77777777">
        <w:tc>
          <w:tcPr>
            <w:tcW w:w="0" w:type="auto"/>
            <w:gridSpan w:val="3"/>
            <w:shd w:val="clear" w:color="auto" w:fill="auto"/>
            <w:tcMar>
              <w:top w:w="40" w:type="dxa"/>
              <w:left w:w="20" w:type="dxa"/>
              <w:bottom w:w="40" w:type="dxa"/>
              <w:right w:w="20" w:type="dxa"/>
            </w:tcMar>
            <w:vAlign w:val="bottom"/>
          </w:tcPr>
          <w:p w14:paraId="518B868F"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R</w:t>
            </w:r>
            <w:r>
              <w:rPr>
                <w:rFonts w:ascii="Times New Roman" w:eastAsia="宋体" w:hAnsi="Times New Roman"/>
                <w:color w:val="000000"/>
                <w:sz w:val="18"/>
                <w:szCs w:val="18"/>
              </w:rPr>
              <w:t>ODERICK</w:t>
            </w:r>
            <w:r>
              <w:rPr>
                <w:rFonts w:ascii="Times New Roman" w:eastAsia="宋体" w:hAnsi="Times New Roman"/>
                <w:color w:val="000000"/>
                <w:sz w:val="20"/>
                <w:szCs w:val="20"/>
              </w:rPr>
              <w:t xml:space="preserve"> C. M</w:t>
            </w:r>
            <w:r>
              <w:rPr>
                <w:rFonts w:ascii="Times New Roman" w:eastAsia="宋体" w:hAnsi="Times New Roman"/>
                <w:color w:val="000000"/>
                <w:sz w:val="18"/>
                <w:szCs w:val="18"/>
              </w:rPr>
              <w:t>CGEARY</w:t>
            </w:r>
          </w:p>
        </w:tc>
        <w:tc>
          <w:tcPr>
            <w:tcW w:w="0" w:type="auto"/>
            <w:gridSpan w:val="3"/>
            <w:shd w:val="clear" w:color="auto" w:fill="auto"/>
            <w:tcMar>
              <w:top w:w="40" w:type="dxa"/>
              <w:left w:w="20" w:type="dxa"/>
              <w:bottom w:w="40" w:type="dxa"/>
              <w:right w:w="20" w:type="dxa"/>
            </w:tcMar>
            <w:vAlign w:val="bottom"/>
          </w:tcPr>
          <w:p w14:paraId="518B8690" w14:textId="77777777" w:rsidR="005C332D" w:rsidRDefault="00B93EAE">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518B8691"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96"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93" w14:textId="77777777" w:rsidR="005C332D" w:rsidRDefault="00B93EAE">
            <w:pPr>
              <w:jc w:val="center"/>
              <w:textAlignment w:val="bottom"/>
            </w:pPr>
            <w:r>
              <w:rPr>
                <w:rFonts w:ascii="Times New Roman" w:eastAsia="宋体" w:hAnsi="Times New Roman"/>
                <w:b/>
                <w:bCs/>
                <w:color w:val="000000"/>
                <w:sz w:val="20"/>
                <w:szCs w:val="20"/>
              </w:rPr>
              <w:t>Roderick C. McGeary</w:t>
            </w:r>
          </w:p>
        </w:tc>
        <w:tc>
          <w:tcPr>
            <w:tcW w:w="0" w:type="auto"/>
            <w:gridSpan w:val="3"/>
            <w:shd w:val="clear" w:color="auto" w:fill="auto"/>
            <w:tcMar>
              <w:top w:w="0" w:type="dxa"/>
              <w:left w:w="20" w:type="dxa"/>
              <w:bottom w:w="0" w:type="dxa"/>
              <w:right w:w="20" w:type="dxa"/>
            </w:tcMar>
            <w:vAlign w:val="bottom"/>
          </w:tcPr>
          <w:p w14:paraId="518B869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95" w14:textId="77777777" w:rsidR="005C332D" w:rsidRDefault="005C332D">
            <w:pPr>
              <w:rPr>
                <w:rFonts w:ascii="宋体"/>
              </w:rPr>
            </w:pPr>
          </w:p>
        </w:tc>
      </w:tr>
      <w:tr w:rsidR="005C332D" w14:paraId="518B869A" w14:textId="77777777">
        <w:trPr>
          <w:trHeight w:val="300"/>
        </w:trPr>
        <w:tc>
          <w:tcPr>
            <w:tcW w:w="0" w:type="auto"/>
            <w:gridSpan w:val="3"/>
            <w:shd w:val="clear" w:color="auto" w:fill="auto"/>
            <w:tcMar>
              <w:top w:w="0" w:type="dxa"/>
              <w:left w:w="20" w:type="dxa"/>
              <w:bottom w:w="0" w:type="dxa"/>
              <w:right w:w="20" w:type="dxa"/>
            </w:tcMar>
            <w:vAlign w:val="bottom"/>
          </w:tcPr>
          <w:p w14:paraId="518B8697"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98"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99" w14:textId="77777777" w:rsidR="005C332D" w:rsidRDefault="005C332D">
            <w:pPr>
              <w:rPr>
                <w:rFonts w:ascii="宋体"/>
              </w:rPr>
            </w:pPr>
          </w:p>
        </w:tc>
      </w:tr>
      <w:tr w:rsidR="005C332D" w14:paraId="518B869E" w14:textId="77777777">
        <w:tc>
          <w:tcPr>
            <w:tcW w:w="0" w:type="auto"/>
            <w:gridSpan w:val="3"/>
            <w:shd w:val="clear" w:color="auto" w:fill="auto"/>
            <w:tcMar>
              <w:top w:w="40" w:type="dxa"/>
              <w:left w:w="20" w:type="dxa"/>
              <w:bottom w:w="40" w:type="dxa"/>
              <w:right w:w="20" w:type="dxa"/>
            </w:tcMar>
            <w:vAlign w:val="bottom"/>
          </w:tcPr>
          <w:p w14:paraId="518B869B"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S</w:t>
            </w:r>
            <w:r>
              <w:rPr>
                <w:rFonts w:ascii="Times New Roman" w:eastAsia="宋体" w:hAnsi="Times New Roman"/>
                <w:color w:val="000000"/>
                <w:sz w:val="18"/>
                <w:szCs w:val="18"/>
              </w:rPr>
              <w:t>ARAH</w:t>
            </w:r>
            <w:r>
              <w:rPr>
                <w:rFonts w:ascii="Times New Roman" w:eastAsia="宋体" w:hAnsi="Times New Roman"/>
                <w:color w:val="000000"/>
                <w:sz w:val="20"/>
                <w:szCs w:val="20"/>
              </w:rPr>
              <w:t xml:space="preserve"> R</w:t>
            </w:r>
            <w:r>
              <w:rPr>
                <w:rFonts w:ascii="Times New Roman" w:eastAsia="宋体" w:hAnsi="Times New Roman"/>
                <w:color w:val="000000"/>
                <w:sz w:val="18"/>
                <w:szCs w:val="18"/>
              </w:rPr>
              <w:t>AE</w:t>
            </w:r>
            <w:r>
              <w:rPr>
                <w:rFonts w:ascii="Times New Roman" w:eastAsia="宋体" w:hAnsi="Times New Roman"/>
                <w:color w:val="000000"/>
                <w:sz w:val="20"/>
                <w:szCs w:val="20"/>
              </w:rPr>
              <w:t xml:space="preserve"> M</w:t>
            </w:r>
            <w:r>
              <w:rPr>
                <w:rFonts w:ascii="Times New Roman" w:eastAsia="宋体" w:hAnsi="Times New Roman"/>
                <w:color w:val="000000"/>
                <w:sz w:val="18"/>
                <w:szCs w:val="18"/>
              </w:rPr>
              <w:t>URPHY</w:t>
            </w:r>
          </w:p>
        </w:tc>
        <w:tc>
          <w:tcPr>
            <w:tcW w:w="0" w:type="auto"/>
            <w:gridSpan w:val="3"/>
            <w:shd w:val="clear" w:color="auto" w:fill="auto"/>
            <w:tcMar>
              <w:top w:w="40" w:type="dxa"/>
              <w:left w:w="20" w:type="dxa"/>
              <w:bottom w:w="40" w:type="dxa"/>
              <w:right w:w="20" w:type="dxa"/>
            </w:tcMar>
            <w:vAlign w:val="bottom"/>
          </w:tcPr>
          <w:p w14:paraId="518B869C" w14:textId="77777777" w:rsidR="005C332D" w:rsidRDefault="00B93EAE">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518B869D" w14:textId="77777777" w:rsidR="005C332D" w:rsidRDefault="00B93EAE">
            <w:pPr>
              <w:jc w:val="center"/>
              <w:textAlignment w:val="bottom"/>
            </w:pPr>
            <w:r>
              <w:rPr>
                <w:rFonts w:ascii="Times New Roman" w:eastAsia="宋体" w:hAnsi="Times New Roman"/>
                <w:color w:val="000000"/>
                <w:sz w:val="20"/>
                <w:szCs w:val="20"/>
              </w:rPr>
              <w:t xml:space="preserve">September 8, </w:t>
            </w:r>
            <w:r>
              <w:rPr>
                <w:rFonts w:ascii="Times New Roman" w:eastAsia="宋体" w:hAnsi="Times New Roman"/>
                <w:color w:val="000000"/>
                <w:sz w:val="20"/>
                <w:szCs w:val="20"/>
              </w:rPr>
              <w:t>2022</w:t>
            </w:r>
          </w:p>
        </w:tc>
      </w:tr>
      <w:tr w:rsidR="005C332D" w14:paraId="518B86A2"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9F" w14:textId="77777777" w:rsidR="005C332D" w:rsidRDefault="00B93EAE">
            <w:pPr>
              <w:jc w:val="center"/>
              <w:textAlignment w:val="bottom"/>
            </w:pPr>
            <w:r>
              <w:rPr>
                <w:rFonts w:ascii="Times New Roman" w:eastAsia="宋体" w:hAnsi="Times New Roman"/>
                <w:b/>
                <w:bCs/>
                <w:color w:val="000000"/>
                <w:sz w:val="20"/>
                <w:szCs w:val="20"/>
              </w:rPr>
              <w:t>Sarah Rae Murphy</w:t>
            </w:r>
          </w:p>
        </w:tc>
        <w:tc>
          <w:tcPr>
            <w:tcW w:w="0" w:type="auto"/>
            <w:gridSpan w:val="3"/>
            <w:shd w:val="clear" w:color="auto" w:fill="auto"/>
            <w:tcMar>
              <w:top w:w="0" w:type="dxa"/>
              <w:left w:w="20" w:type="dxa"/>
              <w:bottom w:w="0" w:type="dxa"/>
              <w:right w:w="20" w:type="dxa"/>
            </w:tcMar>
            <w:vAlign w:val="bottom"/>
          </w:tcPr>
          <w:p w14:paraId="518B86A0"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A1" w14:textId="77777777" w:rsidR="005C332D" w:rsidRDefault="005C332D">
            <w:pPr>
              <w:rPr>
                <w:rFonts w:ascii="宋体"/>
              </w:rPr>
            </w:pPr>
          </w:p>
        </w:tc>
      </w:tr>
      <w:tr w:rsidR="005C332D" w14:paraId="518B86A6" w14:textId="77777777">
        <w:trPr>
          <w:trHeight w:val="300"/>
        </w:trPr>
        <w:tc>
          <w:tcPr>
            <w:tcW w:w="0" w:type="auto"/>
            <w:gridSpan w:val="3"/>
            <w:shd w:val="clear" w:color="auto" w:fill="auto"/>
            <w:tcMar>
              <w:top w:w="0" w:type="dxa"/>
              <w:left w:w="20" w:type="dxa"/>
              <w:bottom w:w="0" w:type="dxa"/>
              <w:right w:w="20" w:type="dxa"/>
            </w:tcMar>
            <w:vAlign w:val="bottom"/>
          </w:tcPr>
          <w:p w14:paraId="518B86A3"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A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A5" w14:textId="77777777" w:rsidR="005C332D" w:rsidRDefault="005C332D">
            <w:pPr>
              <w:rPr>
                <w:rFonts w:ascii="宋体"/>
              </w:rPr>
            </w:pPr>
          </w:p>
        </w:tc>
      </w:tr>
      <w:tr w:rsidR="005C332D" w14:paraId="518B86AA" w14:textId="77777777">
        <w:tc>
          <w:tcPr>
            <w:tcW w:w="0" w:type="auto"/>
            <w:gridSpan w:val="3"/>
            <w:shd w:val="clear" w:color="auto" w:fill="auto"/>
            <w:tcMar>
              <w:top w:w="40" w:type="dxa"/>
              <w:left w:w="20" w:type="dxa"/>
              <w:bottom w:w="40" w:type="dxa"/>
              <w:right w:w="20" w:type="dxa"/>
            </w:tcMar>
            <w:vAlign w:val="bottom"/>
          </w:tcPr>
          <w:p w14:paraId="518B86A7"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B</w:t>
            </w:r>
            <w:r>
              <w:rPr>
                <w:rFonts w:ascii="Times New Roman" w:eastAsia="宋体" w:hAnsi="Times New Roman"/>
                <w:color w:val="000000"/>
                <w:sz w:val="18"/>
                <w:szCs w:val="18"/>
              </w:rPr>
              <w:t xml:space="preserve">RENTON </w:t>
            </w:r>
            <w:r>
              <w:rPr>
                <w:rFonts w:ascii="Times New Roman" w:eastAsia="宋体" w:hAnsi="Times New Roman"/>
                <w:color w:val="000000"/>
                <w:sz w:val="20"/>
                <w:szCs w:val="20"/>
              </w:rPr>
              <w:t>L</w:t>
            </w:r>
            <w:r>
              <w:rPr>
                <w:rFonts w:ascii="Times New Roman" w:eastAsia="宋体" w:hAnsi="Times New Roman"/>
                <w:color w:val="000000"/>
                <w:sz w:val="18"/>
                <w:szCs w:val="18"/>
              </w:rPr>
              <w:t xml:space="preserve">. </w:t>
            </w:r>
            <w:r>
              <w:rPr>
                <w:rFonts w:ascii="Times New Roman" w:eastAsia="宋体" w:hAnsi="Times New Roman"/>
                <w:color w:val="000000"/>
                <w:sz w:val="20"/>
                <w:szCs w:val="20"/>
              </w:rPr>
              <w:t>S</w:t>
            </w:r>
            <w:r>
              <w:rPr>
                <w:rFonts w:ascii="Times New Roman" w:eastAsia="宋体" w:hAnsi="Times New Roman"/>
                <w:color w:val="000000"/>
                <w:sz w:val="18"/>
                <w:szCs w:val="18"/>
              </w:rPr>
              <w:t>AUNDERS</w:t>
            </w:r>
          </w:p>
        </w:tc>
        <w:tc>
          <w:tcPr>
            <w:tcW w:w="0" w:type="auto"/>
            <w:gridSpan w:val="3"/>
            <w:shd w:val="clear" w:color="auto" w:fill="auto"/>
            <w:tcMar>
              <w:top w:w="40" w:type="dxa"/>
              <w:left w:w="20" w:type="dxa"/>
              <w:bottom w:w="40" w:type="dxa"/>
              <w:right w:w="20" w:type="dxa"/>
            </w:tcMar>
            <w:vAlign w:val="bottom"/>
          </w:tcPr>
          <w:p w14:paraId="518B86A8" w14:textId="77777777" w:rsidR="005C332D" w:rsidRDefault="00B93EAE">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518B86A9"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AE"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AB" w14:textId="77777777" w:rsidR="005C332D" w:rsidRDefault="00B93EAE">
            <w:pPr>
              <w:jc w:val="center"/>
              <w:textAlignment w:val="bottom"/>
            </w:pPr>
            <w:r>
              <w:rPr>
                <w:rFonts w:ascii="Times New Roman" w:eastAsia="宋体" w:hAnsi="Times New Roman"/>
                <w:b/>
                <w:bCs/>
                <w:color w:val="000000"/>
                <w:sz w:val="20"/>
                <w:szCs w:val="20"/>
              </w:rPr>
              <w:t>Brenton L. Saunders</w:t>
            </w:r>
          </w:p>
        </w:tc>
        <w:tc>
          <w:tcPr>
            <w:tcW w:w="0" w:type="auto"/>
            <w:gridSpan w:val="3"/>
            <w:shd w:val="clear" w:color="auto" w:fill="auto"/>
            <w:tcMar>
              <w:top w:w="0" w:type="dxa"/>
              <w:left w:w="20" w:type="dxa"/>
              <w:bottom w:w="0" w:type="dxa"/>
              <w:right w:w="20" w:type="dxa"/>
            </w:tcMar>
            <w:vAlign w:val="bottom"/>
          </w:tcPr>
          <w:p w14:paraId="518B86AC"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AD" w14:textId="77777777" w:rsidR="005C332D" w:rsidRDefault="005C332D">
            <w:pPr>
              <w:rPr>
                <w:rFonts w:ascii="宋体"/>
              </w:rPr>
            </w:pPr>
          </w:p>
        </w:tc>
      </w:tr>
      <w:tr w:rsidR="005C332D" w14:paraId="518B86B2" w14:textId="77777777">
        <w:trPr>
          <w:trHeight w:val="300"/>
        </w:trPr>
        <w:tc>
          <w:tcPr>
            <w:tcW w:w="0" w:type="auto"/>
            <w:gridSpan w:val="3"/>
            <w:shd w:val="clear" w:color="auto" w:fill="auto"/>
            <w:tcMar>
              <w:top w:w="0" w:type="dxa"/>
              <w:left w:w="20" w:type="dxa"/>
              <w:bottom w:w="0" w:type="dxa"/>
              <w:right w:w="20" w:type="dxa"/>
            </w:tcMar>
            <w:vAlign w:val="bottom"/>
          </w:tcPr>
          <w:p w14:paraId="518B86AF"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B0"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B1" w14:textId="77777777" w:rsidR="005C332D" w:rsidRDefault="005C332D">
            <w:pPr>
              <w:rPr>
                <w:rFonts w:ascii="宋体"/>
              </w:rPr>
            </w:pPr>
          </w:p>
        </w:tc>
      </w:tr>
      <w:tr w:rsidR="005C332D" w14:paraId="518B86B6" w14:textId="77777777">
        <w:tc>
          <w:tcPr>
            <w:tcW w:w="0" w:type="auto"/>
            <w:gridSpan w:val="3"/>
            <w:shd w:val="clear" w:color="auto" w:fill="auto"/>
            <w:tcMar>
              <w:top w:w="40" w:type="dxa"/>
              <w:left w:w="20" w:type="dxa"/>
              <w:bottom w:w="40" w:type="dxa"/>
              <w:right w:w="20" w:type="dxa"/>
            </w:tcMar>
            <w:vAlign w:val="bottom"/>
          </w:tcPr>
          <w:p w14:paraId="518B86B3"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L</w:t>
            </w:r>
            <w:r>
              <w:rPr>
                <w:rFonts w:ascii="Times New Roman" w:eastAsia="宋体" w:hAnsi="Times New Roman"/>
                <w:color w:val="000000"/>
                <w:sz w:val="18"/>
                <w:szCs w:val="18"/>
              </w:rPr>
              <w:t xml:space="preserve">ISA T. </w:t>
            </w:r>
            <w:r>
              <w:rPr>
                <w:rFonts w:ascii="Times New Roman" w:eastAsia="宋体" w:hAnsi="Times New Roman"/>
                <w:color w:val="000000"/>
                <w:sz w:val="20"/>
                <w:szCs w:val="20"/>
              </w:rPr>
              <w:t>S</w:t>
            </w:r>
            <w:r>
              <w:rPr>
                <w:rFonts w:ascii="Times New Roman" w:eastAsia="宋体" w:hAnsi="Times New Roman"/>
                <w:color w:val="000000"/>
                <w:sz w:val="18"/>
                <w:szCs w:val="18"/>
              </w:rPr>
              <w:t>U</w:t>
            </w:r>
          </w:p>
        </w:tc>
        <w:tc>
          <w:tcPr>
            <w:tcW w:w="0" w:type="auto"/>
            <w:gridSpan w:val="3"/>
            <w:shd w:val="clear" w:color="auto" w:fill="auto"/>
            <w:tcMar>
              <w:top w:w="40" w:type="dxa"/>
              <w:left w:w="20" w:type="dxa"/>
              <w:bottom w:w="40" w:type="dxa"/>
              <w:right w:w="20" w:type="dxa"/>
            </w:tcMar>
            <w:vAlign w:val="bottom"/>
          </w:tcPr>
          <w:p w14:paraId="518B86B4" w14:textId="77777777" w:rsidR="005C332D" w:rsidRDefault="00B93EAE">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518B86B5"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BA"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B7" w14:textId="77777777" w:rsidR="005C332D" w:rsidRDefault="00B93EAE">
            <w:pPr>
              <w:jc w:val="center"/>
              <w:textAlignment w:val="bottom"/>
            </w:pPr>
            <w:r>
              <w:rPr>
                <w:rFonts w:ascii="Times New Roman" w:eastAsia="宋体" w:hAnsi="Times New Roman"/>
                <w:b/>
                <w:bCs/>
                <w:color w:val="000000"/>
                <w:sz w:val="20"/>
                <w:szCs w:val="20"/>
              </w:rPr>
              <w:t>Dr. Lisa T. Su</w:t>
            </w:r>
          </w:p>
        </w:tc>
        <w:tc>
          <w:tcPr>
            <w:tcW w:w="0" w:type="auto"/>
            <w:gridSpan w:val="3"/>
            <w:shd w:val="clear" w:color="auto" w:fill="auto"/>
            <w:tcMar>
              <w:top w:w="0" w:type="dxa"/>
              <w:left w:w="20" w:type="dxa"/>
              <w:bottom w:w="0" w:type="dxa"/>
              <w:right w:w="20" w:type="dxa"/>
            </w:tcMar>
            <w:vAlign w:val="bottom"/>
          </w:tcPr>
          <w:p w14:paraId="518B86B8"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B9" w14:textId="77777777" w:rsidR="005C332D" w:rsidRDefault="005C332D">
            <w:pPr>
              <w:rPr>
                <w:rFonts w:ascii="宋体"/>
              </w:rPr>
            </w:pPr>
          </w:p>
        </w:tc>
      </w:tr>
      <w:tr w:rsidR="005C332D" w14:paraId="518B86BE" w14:textId="77777777">
        <w:trPr>
          <w:trHeight w:val="300"/>
        </w:trPr>
        <w:tc>
          <w:tcPr>
            <w:tcW w:w="0" w:type="auto"/>
            <w:gridSpan w:val="3"/>
            <w:shd w:val="clear" w:color="auto" w:fill="auto"/>
            <w:tcMar>
              <w:top w:w="0" w:type="dxa"/>
              <w:left w:w="20" w:type="dxa"/>
              <w:bottom w:w="0" w:type="dxa"/>
              <w:right w:w="20" w:type="dxa"/>
            </w:tcMar>
            <w:vAlign w:val="bottom"/>
          </w:tcPr>
          <w:p w14:paraId="518B86BB"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BC"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BD" w14:textId="77777777" w:rsidR="005C332D" w:rsidRDefault="005C332D">
            <w:pPr>
              <w:rPr>
                <w:rFonts w:ascii="宋体"/>
              </w:rPr>
            </w:pPr>
          </w:p>
        </w:tc>
      </w:tr>
      <w:tr w:rsidR="005C332D" w14:paraId="518B86C2" w14:textId="77777777">
        <w:tc>
          <w:tcPr>
            <w:tcW w:w="0" w:type="auto"/>
            <w:gridSpan w:val="3"/>
            <w:shd w:val="clear" w:color="auto" w:fill="auto"/>
            <w:tcMar>
              <w:top w:w="40" w:type="dxa"/>
              <w:left w:w="20" w:type="dxa"/>
              <w:bottom w:w="40" w:type="dxa"/>
              <w:right w:w="20" w:type="dxa"/>
            </w:tcMar>
            <w:vAlign w:val="bottom"/>
          </w:tcPr>
          <w:p w14:paraId="518B86BF" w14:textId="77777777" w:rsidR="005C332D" w:rsidRDefault="00B93EAE">
            <w:pPr>
              <w:jc w:val="center"/>
              <w:textAlignment w:val="bottom"/>
            </w:pPr>
            <w:r>
              <w:rPr>
                <w:rFonts w:ascii="Times New Roman" w:eastAsia="宋体" w:hAnsi="Times New Roman"/>
                <w:color w:val="000000"/>
                <w:sz w:val="18"/>
                <w:szCs w:val="18"/>
              </w:rPr>
              <w:t xml:space="preserve">/S/ </w:t>
            </w:r>
            <w:r>
              <w:rPr>
                <w:rFonts w:ascii="Times New Roman" w:eastAsia="宋体" w:hAnsi="Times New Roman"/>
                <w:color w:val="000000"/>
                <w:sz w:val="20"/>
                <w:szCs w:val="20"/>
              </w:rPr>
              <w:t>M</w:t>
            </w:r>
            <w:r>
              <w:rPr>
                <w:rFonts w:ascii="Times New Roman" w:eastAsia="宋体" w:hAnsi="Times New Roman"/>
                <w:color w:val="000000"/>
                <w:sz w:val="18"/>
                <w:szCs w:val="18"/>
              </w:rPr>
              <w:t xml:space="preserve">ARIANNA </w:t>
            </w:r>
            <w:r>
              <w:rPr>
                <w:rFonts w:ascii="Times New Roman" w:eastAsia="宋体" w:hAnsi="Times New Roman"/>
                <w:color w:val="000000"/>
                <w:sz w:val="20"/>
                <w:szCs w:val="20"/>
              </w:rPr>
              <w:t>T</w:t>
            </w:r>
            <w:r>
              <w:rPr>
                <w:rFonts w:ascii="Times New Roman" w:eastAsia="宋体" w:hAnsi="Times New Roman"/>
                <w:color w:val="000000"/>
                <w:sz w:val="18"/>
                <w:szCs w:val="18"/>
              </w:rPr>
              <w:t>ESSEL</w:t>
            </w:r>
          </w:p>
        </w:tc>
        <w:tc>
          <w:tcPr>
            <w:tcW w:w="0" w:type="auto"/>
            <w:gridSpan w:val="3"/>
            <w:shd w:val="clear" w:color="auto" w:fill="auto"/>
            <w:tcMar>
              <w:top w:w="40" w:type="dxa"/>
              <w:left w:w="20" w:type="dxa"/>
              <w:bottom w:w="40" w:type="dxa"/>
              <w:right w:w="20" w:type="dxa"/>
            </w:tcMar>
            <w:vAlign w:val="bottom"/>
          </w:tcPr>
          <w:p w14:paraId="518B86C0" w14:textId="77777777" w:rsidR="005C332D" w:rsidRDefault="00B93EAE">
            <w:pPr>
              <w:jc w:val="center"/>
              <w:textAlignment w:val="bottom"/>
            </w:pPr>
            <w:r>
              <w:rPr>
                <w:rFonts w:ascii="Times New Roman" w:eastAsia="宋体" w:hAnsi="Times New Roman"/>
                <w:color w:val="000000"/>
                <w:sz w:val="20"/>
                <w:szCs w:val="20"/>
              </w:rPr>
              <w:t>Director</w:t>
            </w:r>
          </w:p>
        </w:tc>
        <w:tc>
          <w:tcPr>
            <w:tcW w:w="0" w:type="auto"/>
            <w:gridSpan w:val="3"/>
            <w:shd w:val="clear" w:color="auto" w:fill="auto"/>
            <w:tcMar>
              <w:top w:w="40" w:type="dxa"/>
              <w:left w:w="20" w:type="dxa"/>
              <w:bottom w:w="40" w:type="dxa"/>
              <w:right w:w="20" w:type="dxa"/>
            </w:tcMar>
            <w:vAlign w:val="bottom"/>
          </w:tcPr>
          <w:p w14:paraId="518B86C1" w14:textId="77777777" w:rsidR="005C332D" w:rsidRDefault="00B93EAE">
            <w:pPr>
              <w:jc w:val="center"/>
              <w:textAlignment w:val="bottom"/>
            </w:pPr>
            <w:r>
              <w:rPr>
                <w:rFonts w:ascii="Times New Roman" w:eastAsia="宋体" w:hAnsi="Times New Roman"/>
                <w:color w:val="000000"/>
                <w:sz w:val="20"/>
                <w:szCs w:val="20"/>
              </w:rPr>
              <w:t>September 8, 2022</w:t>
            </w:r>
          </w:p>
        </w:tc>
      </w:tr>
      <w:tr w:rsidR="005C332D" w14:paraId="518B86C6"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518B86C3" w14:textId="77777777" w:rsidR="005C332D" w:rsidRDefault="00B93EAE">
            <w:pPr>
              <w:jc w:val="center"/>
              <w:textAlignment w:val="bottom"/>
            </w:pPr>
            <w:r>
              <w:rPr>
                <w:rFonts w:ascii="Times New Roman" w:eastAsia="宋体" w:hAnsi="Times New Roman"/>
                <w:b/>
                <w:bCs/>
                <w:color w:val="000000"/>
                <w:sz w:val="20"/>
                <w:szCs w:val="20"/>
              </w:rPr>
              <w:t>Marianna Tessel</w:t>
            </w:r>
          </w:p>
        </w:tc>
        <w:tc>
          <w:tcPr>
            <w:tcW w:w="0" w:type="auto"/>
            <w:gridSpan w:val="3"/>
            <w:shd w:val="clear" w:color="auto" w:fill="auto"/>
            <w:tcMar>
              <w:top w:w="0" w:type="dxa"/>
              <w:left w:w="20" w:type="dxa"/>
              <w:bottom w:w="0" w:type="dxa"/>
              <w:right w:w="20" w:type="dxa"/>
            </w:tcMar>
            <w:vAlign w:val="bottom"/>
          </w:tcPr>
          <w:p w14:paraId="518B86C4" w14:textId="77777777" w:rsidR="005C332D" w:rsidRDefault="005C332D">
            <w:pPr>
              <w:rPr>
                <w:rFonts w:ascii="宋体"/>
              </w:rPr>
            </w:pPr>
          </w:p>
        </w:tc>
        <w:tc>
          <w:tcPr>
            <w:tcW w:w="0" w:type="auto"/>
            <w:gridSpan w:val="3"/>
            <w:shd w:val="clear" w:color="auto" w:fill="auto"/>
            <w:tcMar>
              <w:top w:w="0" w:type="dxa"/>
              <w:left w:w="20" w:type="dxa"/>
              <w:bottom w:w="0" w:type="dxa"/>
              <w:right w:w="20" w:type="dxa"/>
            </w:tcMar>
            <w:vAlign w:val="bottom"/>
          </w:tcPr>
          <w:p w14:paraId="518B86C5" w14:textId="77777777" w:rsidR="005C332D" w:rsidRDefault="005C332D">
            <w:pPr>
              <w:rPr>
                <w:rFonts w:ascii="宋体"/>
              </w:rPr>
            </w:pPr>
          </w:p>
        </w:tc>
      </w:tr>
    </w:tbl>
    <w:p w14:paraId="518B86C7" w14:textId="77777777" w:rsidR="005C332D" w:rsidRDefault="005C332D"/>
    <w:p w14:paraId="518B86C8" w14:textId="77777777" w:rsidR="005C332D" w:rsidRDefault="00B93EAE">
      <w:pPr>
        <w:jc w:val="center"/>
      </w:pPr>
      <w:r>
        <w:rPr>
          <w:rFonts w:ascii="Times New Roman" w:eastAsia="宋体" w:hAnsi="Times New Roman"/>
          <w:color w:val="000000"/>
          <w:sz w:val="20"/>
          <w:szCs w:val="20"/>
        </w:rPr>
        <w:t>108</w:t>
      </w:r>
    </w:p>
    <w:p w14:paraId="518B86C9" w14:textId="77777777" w:rsidR="005C332D" w:rsidRDefault="00B93EA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18B8781" wp14:editId="518B8782">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6CB" w14:textId="77777777">
        <w:trPr>
          <w:tblCellSpacing w:w="15" w:type="dxa"/>
        </w:trPr>
        <w:tc>
          <w:tcPr>
            <w:tcW w:w="0" w:type="auto"/>
            <w:shd w:val="clear" w:color="auto" w:fill="auto"/>
            <w:vAlign w:val="center"/>
          </w:tcPr>
          <w:p w14:paraId="518B86CA" w14:textId="77777777" w:rsidR="005C332D" w:rsidRDefault="005C332D">
            <w:pPr>
              <w:rPr>
                <w:rFonts w:ascii="宋体"/>
              </w:rPr>
            </w:pPr>
          </w:p>
        </w:tc>
      </w:tr>
    </w:tbl>
    <w:p w14:paraId="518B86CC" w14:textId="77777777" w:rsidR="005C332D" w:rsidRDefault="005C33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6CE" w14:textId="77777777">
        <w:trPr>
          <w:tblCellSpacing w:w="15" w:type="dxa"/>
        </w:trPr>
        <w:tc>
          <w:tcPr>
            <w:tcW w:w="0" w:type="auto"/>
            <w:shd w:val="clear" w:color="auto" w:fill="auto"/>
            <w:vAlign w:val="center"/>
          </w:tcPr>
          <w:p w14:paraId="518B86CD" w14:textId="77777777" w:rsidR="005C332D" w:rsidRDefault="005C332D">
            <w:pPr>
              <w:rPr>
                <w:rFonts w:ascii="宋体"/>
              </w:rPr>
            </w:pPr>
          </w:p>
        </w:tc>
      </w:tr>
    </w:tbl>
    <w:p w14:paraId="518B86CF" w14:textId="77777777" w:rsidR="005C332D" w:rsidRDefault="005C33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6D1" w14:textId="77777777">
        <w:trPr>
          <w:tblCellSpacing w:w="15" w:type="dxa"/>
        </w:trPr>
        <w:tc>
          <w:tcPr>
            <w:tcW w:w="0" w:type="auto"/>
            <w:shd w:val="clear" w:color="auto" w:fill="auto"/>
            <w:vAlign w:val="center"/>
          </w:tcPr>
          <w:p w14:paraId="518B86D0" w14:textId="77777777" w:rsidR="005C332D" w:rsidRDefault="005C332D">
            <w:pPr>
              <w:rPr>
                <w:rFonts w:ascii="宋体"/>
              </w:rPr>
            </w:pPr>
          </w:p>
        </w:tc>
      </w:tr>
    </w:tbl>
    <w:p w14:paraId="518B86D2" w14:textId="77777777" w:rsidR="005C332D" w:rsidRDefault="005C33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6D4" w14:textId="77777777">
        <w:trPr>
          <w:tblCellSpacing w:w="15" w:type="dxa"/>
        </w:trPr>
        <w:tc>
          <w:tcPr>
            <w:tcW w:w="0" w:type="auto"/>
            <w:shd w:val="clear" w:color="auto" w:fill="auto"/>
            <w:vAlign w:val="center"/>
          </w:tcPr>
          <w:p w14:paraId="518B86D3" w14:textId="77777777" w:rsidR="005C332D" w:rsidRDefault="005C332D">
            <w:pPr>
              <w:rPr>
                <w:rFonts w:ascii="宋体"/>
              </w:rPr>
            </w:pPr>
          </w:p>
        </w:tc>
      </w:tr>
    </w:tbl>
    <w:p w14:paraId="518B86D5" w14:textId="77777777" w:rsidR="005C332D" w:rsidRDefault="00B93EAE">
      <w:r>
        <w:rPr>
          <w:rFonts w:ascii="宋体" w:eastAsia="宋体" w:hAnsi="宋体" w:cs="宋体"/>
        </w:rPr>
        <w:t xml:space="preserve">Previous Next </w:t>
      </w:r>
    </w:p>
    <w:p w14:paraId="518B86D6" w14:textId="77777777" w:rsidR="005C332D" w:rsidRDefault="00B93EAE">
      <w:pPr>
        <w:pStyle w:val="a3"/>
      </w:pPr>
      <w:r>
        <w:t>Settings</w:t>
      </w:r>
    </w:p>
    <w:p w14:paraId="518B86D7" w14:textId="77777777" w:rsidR="005C332D" w:rsidRDefault="00B93EAE">
      <w:pPr>
        <w:pStyle w:val="Style4"/>
      </w:pPr>
      <w:r>
        <w:t>窗体顶端</w:t>
      </w:r>
    </w:p>
    <w:p w14:paraId="518B86D8" w14:textId="77777777" w:rsidR="005C332D" w:rsidRDefault="00B93EA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18B8783" wp14:editId="518B8784">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18B86D9" w14:textId="77777777" w:rsidR="005C332D" w:rsidRDefault="00B93EA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18B8785" wp14:editId="518B8786">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518B86DA" w14:textId="77777777" w:rsidR="005C332D" w:rsidRDefault="00B93EAE">
      <w:r>
        <w:pict w14:anchorId="518B8787">
          <v:rect id="_x0000_i1134" style="width:415.3pt;height:1.5pt" o:hralign="center" o:hrstd="t" o:hr="t" fillcolor="#a0a0a0" stroked="f"/>
        </w:pict>
      </w:r>
    </w:p>
    <w:p w14:paraId="518B86DB" w14:textId="77777777" w:rsidR="005C332D" w:rsidRDefault="00B93EAE">
      <w:r>
        <w:rPr>
          <w:rFonts w:ascii="宋体" w:eastAsia="宋体" w:hAnsi="宋体" w:cs="宋体"/>
        </w:rPr>
        <w:t xml:space="preserve">Tagged Data </w:t>
      </w:r>
    </w:p>
    <w:p w14:paraId="518B86DC" w14:textId="77777777" w:rsidR="005C332D" w:rsidRDefault="00B93EAE">
      <w:r>
        <w:rPr>
          <w:rFonts w:ascii="monospace" w:eastAsia="monospace" w:hAnsi="monospace" w:cs="monospace"/>
          <w:noProof/>
        </w:rPr>
        <mc:AlternateContent>
          <mc:Choice Requires="wps">
            <w:drawing>
              <wp:inline distT="0" distB="0" distL="114300" distR="114300" wp14:anchorId="518B8788" wp14:editId="518B8789">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18B86DD" w14:textId="77777777" w:rsidR="005C332D" w:rsidRDefault="00B93EAE">
      <w:r>
        <w:rPr>
          <w:rFonts w:ascii="宋体" w:eastAsia="宋体" w:hAnsi="宋体" w:cs="宋体"/>
        </w:rPr>
        <w:t>Save</w:t>
      </w:r>
    </w:p>
    <w:p w14:paraId="518B86DE" w14:textId="77777777" w:rsidR="005C332D" w:rsidRDefault="00B93EAE">
      <w:r>
        <w:rPr>
          <w:rFonts w:ascii="宋体" w:eastAsia="宋体" w:hAnsi="宋体" w:cs="宋体"/>
        </w:rPr>
        <w:t>Reset</w:t>
      </w:r>
    </w:p>
    <w:p w14:paraId="518B86DF" w14:textId="77777777" w:rsidR="005C332D" w:rsidRDefault="00B93EAE">
      <w:r>
        <w:pict w14:anchorId="518B878A">
          <v:rect id="_x0000_i1135" style="width:415.3pt;height:1.5pt" o:hralign="center" o:hrstd="t" o:hr="t" fillcolor="#a0a0a0" stroked="f"/>
        </w:pict>
      </w:r>
    </w:p>
    <w:p w14:paraId="518B86E0" w14:textId="77777777" w:rsidR="005C332D" w:rsidRDefault="00B93EAE">
      <w:r>
        <w:rPr>
          <w:rFonts w:ascii="宋体" w:eastAsia="宋体" w:hAnsi="宋体" w:cs="宋体"/>
        </w:rPr>
        <w:t xml:space="preserve">Search Results </w:t>
      </w:r>
    </w:p>
    <w:p w14:paraId="518B86E1" w14:textId="77777777" w:rsidR="005C332D" w:rsidRDefault="00B93EAE">
      <w:r>
        <w:rPr>
          <w:rFonts w:ascii="monospace" w:eastAsia="monospace" w:hAnsi="monospace" w:cs="monospace"/>
          <w:noProof/>
        </w:rPr>
        <mc:AlternateContent>
          <mc:Choice Requires="wps">
            <w:drawing>
              <wp:inline distT="0" distB="0" distL="114300" distR="114300" wp14:anchorId="518B878B" wp14:editId="518B878C">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18B86E2" w14:textId="77777777" w:rsidR="005C332D" w:rsidRDefault="00B93EAE">
      <w:r>
        <w:rPr>
          <w:rFonts w:ascii="宋体" w:eastAsia="宋体" w:hAnsi="宋体" w:cs="宋体"/>
        </w:rPr>
        <w:t>Save</w:t>
      </w:r>
    </w:p>
    <w:p w14:paraId="518B86E3" w14:textId="77777777" w:rsidR="005C332D" w:rsidRDefault="00B93EAE">
      <w:r>
        <w:rPr>
          <w:rFonts w:ascii="宋体" w:eastAsia="宋体" w:hAnsi="宋体" w:cs="宋体"/>
        </w:rPr>
        <w:t>Reset</w:t>
      </w:r>
    </w:p>
    <w:p w14:paraId="518B86E4" w14:textId="77777777" w:rsidR="005C332D" w:rsidRDefault="00B93EAE">
      <w:r>
        <w:pict w14:anchorId="518B878D">
          <v:rect id="_x0000_i1136" style="width:415.3pt;height:1.5pt" o:hralign="center" o:hrstd="t" o:hr="t" fillcolor="#a0a0a0" stroked="f"/>
        </w:pict>
      </w:r>
    </w:p>
    <w:p w14:paraId="518B86E5" w14:textId="77777777" w:rsidR="005C332D" w:rsidRDefault="00B93EAE">
      <w:r>
        <w:rPr>
          <w:rFonts w:ascii="宋体" w:eastAsia="宋体" w:hAnsi="宋体" w:cs="宋体"/>
        </w:rPr>
        <w:t xml:space="preserve">Selected Fact </w:t>
      </w:r>
    </w:p>
    <w:p w14:paraId="518B86E6" w14:textId="77777777" w:rsidR="005C332D" w:rsidRDefault="00B93EAE">
      <w:r>
        <w:rPr>
          <w:rFonts w:ascii="monospace" w:eastAsia="monospace" w:hAnsi="monospace" w:cs="monospace"/>
          <w:noProof/>
        </w:rPr>
        <mc:AlternateContent>
          <mc:Choice Requires="wps">
            <w:drawing>
              <wp:inline distT="0" distB="0" distL="114300" distR="114300" wp14:anchorId="518B878E" wp14:editId="518B878F">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18B86E7" w14:textId="77777777" w:rsidR="005C332D" w:rsidRDefault="00B93EAE">
      <w:r>
        <w:rPr>
          <w:rFonts w:ascii="宋体" w:eastAsia="宋体" w:hAnsi="宋体" w:cs="宋体"/>
        </w:rPr>
        <w:t>Save</w:t>
      </w:r>
    </w:p>
    <w:p w14:paraId="518B86E8" w14:textId="77777777" w:rsidR="005C332D" w:rsidRDefault="00B93EAE">
      <w:r>
        <w:rPr>
          <w:rFonts w:ascii="宋体" w:eastAsia="宋体" w:hAnsi="宋体" w:cs="宋体"/>
        </w:rPr>
        <w:t>Reset</w:t>
      </w:r>
    </w:p>
    <w:p w14:paraId="518B86E9" w14:textId="77777777" w:rsidR="005C332D" w:rsidRDefault="00B93EAE">
      <w:r>
        <w:pict w14:anchorId="518B8790">
          <v:rect id="_x0000_i1137" style="width:415.3pt;height:1.5pt" o:hralign="center" o:hrstd="t" o:hr="t" fillcolor="#a0a0a0" stroked="f"/>
        </w:pict>
      </w:r>
    </w:p>
    <w:p w14:paraId="518B86EA" w14:textId="77777777" w:rsidR="005C332D" w:rsidRDefault="00B93EAE">
      <w:r>
        <w:rPr>
          <w:rFonts w:ascii="宋体" w:eastAsia="宋体" w:hAnsi="宋体" w:cs="宋体"/>
        </w:rPr>
        <w:t xml:space="preserve">Tag Shading (hover) </w:t>
      </w:r>
    </w:p>
    <w:p w14:paraId="518B86EB" w14:textId="77777777" w:rsidR="005C332D" w:rsidRDefault="00B93EAE">
      <w:r>
        <w:rPr>
          <w:rFonts w:ascii="monospace" w:eastAsia="monospace" w:hAnsi="monospace" w:cs="monospace"/>
          <w:noProof/>
        </w:rPr>
        <mc:AlternateContent>
          <mc:Choice Requires="wps">
            <w:drawing>
              <wp:inline distT="0" distB="0" distL="114300" distR="114300" wp14:anchorId="518B8791" wp14:editId="518B8792">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18B86EC" w14:textId="77777777" w:rsidR="005C332D" w:rsidRDefault="00B93EAE">
      <w:r>
        <w:rPr>
          <w:rFonts w:ascii="宋体" w:eastAsia="宋体" w:hAnsi="宋体" w:cs="宋体"/>
        </w:rPr>
        <w:t>Save</w:t>
      </w:r>
    </w:p>
    <w:p w14:paraId="518B86ED" w14:textId="77777777" w:rsidR="005C332D" w:rsidRDefault="00B93EAE">
      <w:r>
        <w:rPr>
          <w:rFonts w:ascii="宋体" w:eastAsia="宋体" w:hAnsi="宋体" w:cs="宋体"/>
        </w:rPr>
        <w:t>Reset</w:t>
      </w:r>
    </w:p>
    <w:p w14:paraId="518B86EE" w14:textId="77777777" w:rsidR="005C332D" w:rsidRDefault="00B93EAE">
      <w:pPr>
        <w:pStyle w:val="Style5"/>
      </w:pPr>
      <w:r>
        <w:t>窗体底端</w:t>
      </w:r>
    </w:p>
    <w:p w14:paraId="518B86EF" w14:textId="77777777" w:rsidR="005C332D" w:rsidRDefault="00B93EA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18B8793" wp14:editId="518B8794">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6F1" w14:textId="77777777">
        <w:trPr>
          <w:tblCellSpacing w:w="15" w:type="dxa"/>
        </w:trPr>
        <w:tc>
          <w:tcPr>
            <w:tcW w:w="0" w:type="auto"/>
            <w:shd w:val="clear" w:color="auto" w:fill="auto"/>
            <w:vAlign w:val="center"/>
          </w:tcPr>
          <w:p w14:paraId="518B86F0" w14:textId="77777777" w:rsidR="005C332D" w:rsidRDefault="005C332D">
            <w:pPr>
              <w:rPr>
                <w:rFonts w:ascii="宋体"/>
              </w:rPr>
            </w:pPr>
          </w:p>
        </w:tc>
      </w:tr>
    </w:tbl>
    <w:p w14:paraId="518B86F2" w14:textId="77777777" w:rsidR="005C332D" w:rsidRDefault="005C33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6F4" w14:textId="77777777">
        <w:trPr>
          <w:tblCellSpacing w:w="15" w:type="dxa"/>
        </w:trPr>
        <w:tc>
          <w:tcPr>
            <w:tcW w:w="0" w:type="auto"/>
            <w:shd w:val="clear" w:color="auto" w:fill="auto"/>
            <w:vAlign w:val="center"/>
          </w:tcPr>
          <w:p w14:paraId="518B86F3" w14:textId="77777777" w:rsidR="005C332D" w:rsidRDefault="005C332D">
            <w:pPr>
              <w:rPr>
                <w:rFonts w:ascii="宋体"/>
              </w:rPr>
            </w:pPr>
          </w:p>
        </w:tc>
      </w:tr>
    </w:tbl>
    <w:p w14:paraId="518B86F5" w14:textId="77777777" w:rsidR="005C332D" w:rsidRDefault="005C33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6F7" w14:textId="77777777">
        <w:trPr>
          <w:tblCellSpacing w:w="15" w:type="dxa"/>
        </w:trPr>
        <w:tc>
          <w:tcPr>
            <w:tcW w:w="0" w:type="auto"/>
            <w:shd w:val="clear" w:color="auto" w:fill="auto"/>
            <w:vAlign w:val="center"/>
          </w:tcPr>
          <w:p w14:paraId="518B86F6" w14:textId="77777777" w:rsidR="005C332D" w:rsidRDefault="005C332D">
            <w:pPr>
              <w:rPr>
                <w:rFonts w:ascii="宋体"/>
              </w:rPr>
            </w:pPr>
          </w:p>
        </w:tc>
      </w:tr>
    </w:tbl>
    <w:p w14:paraId="518B86F8" w14:textId="77777777" w:rsidR="005C332D" w:rsidRDefault="005C33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6FA" w14:textId="77777777">
        <w:trPr>
          <w:tblCellSpacing w:w="15" w:type="dxa"/>
        </w:trPr>
        <w:tc>
          <w:tcPr>
            <w:tcW w:w="0" w:type="auto"/>
            <w:shd w:val="clear" w:color="auto" w:fill="auto"/>
            <w:vAlign w:val="center"/>
          </w:tcPr>
          <w:p w14:paraId="518B86F9" w14:textId="77777777" w:rsidR="005C332D" w:rsidRDefault="005C332D">
            <w:pPr>
              <w:rPr>
                <w:rFonts w:ascii="宋体"/>
              </w:rPr>
            </w:pPr>
          </w:p>
        </w:tc>
      </w:tr>
    </w:tbl>
    <w:p w14:paraId="518B86FB" w14:textId="77777777" w:rsidR="005C332D" w:rsidRDefault="00B93EAE">
      <w:r>
        <w:rPr>
          <w:rFonts w:ascii="宋体" w:eastAsia="宋体" w:hAnsi="宋体" w:cs="宋体"/>
        </w:rPr>
        <w:t xml:space="preserve">Previous Next </w:t>
      </w:r>
    </w:p>
    <w:p w14:paraId="518B86FC" w14:textId="77777777" w:rsidR="005C332D" w:rsidRDefault="00B93EAE">
      <w:pPr>
        <w:pStyle w:val="a3"/>
      </w:pPr>
      <w:r>
        <w:t xml:space="preserve">Nested Facts / </w:t>
      </w:r>
    </w:p>
    <w:p w14:paraId="518B86FD" w14:textId="77777777" w:rsidR="005C332D" w:rsidRDefault="00B93EAE">
      <w:r>
        <w:rPr>
          <w:rFonts w:ascii="宋体" w:eastAsia="宋体" w:hAnsi="宋体" w:cs="宋体"/>
        </w:rPr>
        <w:t xml:space="preserve">Previous Next </w:t>
      </w:r>
    </w:p>
    <w:p w14:paraId="518B86FE" w14:textId="77777777" w:rsidR="005C332D" w:rsidRDefault="00B93EA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18B8795" wp14:editId="518B8796">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700" w14:textId="77777777">
        <w:trPr>
          <w:tblCellSpacing w:w="15" w:type="dxa"/>
        </w:trPr>
        <w:tc>
          <w:tcPr>
            <w:tcW w:w="0" w:type="auto"/>
            <w:shd w:val="clear" w:color="auto" w:fill="auto"/>
            <w:vAlign w:val="center"/>
          </w:tcPr>
          <w:p w14:paraId="518B86FF" w14:textId="77777777" w:rsidR="005C332D" w:rsidRDefault="005C332D">
            <w:pPr>
              <w:rPr>
                <w:rFonts w:ascii="宋体"/>
              </w:rPr>
            </w:pPr>
          </w:p>
        </w:tc>
      </w:tr>
    </w:tbl>
    <w:p w14:paraId="518B8701" w14:textId="77777777" w:rsidR="005C332D" w:rsidRDefault="005C33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703" w14:textId="77777777">
        <w:trPr>
          <w:tblCellSpacing w:w="15" w:type="dxa"/>
        </w:trPr>
        <w:tc>
          <w:tcPr>
            <w:tcW w:w="0" w:type="auto"/>
            <w:shd w:val="clear" w:color="auto" w:fill="auto"/>
            <w:vAlign w:val="center"/>
          </w:tcPr>
          <w:p w14:paraId="518B8702" w14:textId="77777777" w:rsidR="005C332D" w:rsidRDefault="005C332D">
            <w:pPr>
              <w:rPr>
                <w:rFonts w:ascii="宋体"/>
              </w:rPr>
            </w:pPr>
          </w:p>
        </w:tc>
      </w:tr>
    </w:tbl>
    <w:p w14:paraId="518B8704" w14:textId="77777777" w:rsidR="005C332D" w:rsidRDefault="005C33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706" w14:textId="77777777">
        <w:trPr>
          <w:tblCellSpacing w:w="15" w:type="dxa"/>
        </w:trPr>
        <w:tc>
          <w:tcPr>
            <w:tcW w:w="0" w:type="auto"/>
            <w:shd w:val="clear" w:color="auto" w:fill="auto"/>
            <w:vAlign w:val="center"/>
          </w:tcPr>
          <w:p w14:paraId="518B8705" w14:textId="77777777" w:rsidR="005C332D" w:rsidRDefault="005C332D">
            <w:pPr>
              <w:rPr>
                <w:rFonts w:ascii="宋体"/>
              </w:rPr>
            </w:pPr>
          </w:p>
        </w:tc>
      </w:tr>
    </w:tbl>
    <w:p w14:paraId="518B8707" w14:textId="77777777" w:rsidR="005C332D" w:rsidRDefault="005C33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32D" w14:paraId="518B8709" w14:textId="77777777">
        <w:trPr>
          <w:tblCellSpacing w:w="15" w:type="dxa"/>
        </w:trPr>
        <w:tc>
          <w:tcPr>
            <w:tcW w:w="0" w:type="auto"/>
            <w:shd w:val="clear" w:color="auto" w:fill="auto"/>
            <w:vAlign w:val="center"/>
          </w:tcPr>
          <w:p w14:paraId="518B8708" w14:textId="77777777" w:rsidR="005C332D" w:rsidRDefault="005C332D">
            <w:pPr>
              <w:rPr>
                <w:rFonts w:ascii="宋体"/>
              </w:rPr>
            </w:pPr>
          </w:p>
        </w:tc>
      </w:tr>
    </w:tbl>
    <w:p w14:paraId="518B870A" w14:textId="77777777" w:rsidR="005C332D" w:rsidRDefault="00B93EAE">
      <w:r>
        <w:rPr>
          <w:rFonts w:ascii="宋体" w:eastAsia="宋体" w:hAnsi="宋体" w:cs="宋体"/>
        </w:rPr>
        <w:t xml:space="preserve">Previous Next </w:t>
      </w:r>
    </w:p>
    <w:p w14:paraId="518B870B" w14:textId="77777777" w:rsidR="005C332D" w:rsidRDefault="005C332D"/>
    <w:sectPr w:rsidR="005C332D">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F5F2D" w14:textId="77777777" w:rsidR="00B93EAE" w:rsidRDefault="00B93EAE" w:rsidP="00B93EAE">
      <w:r>
        <w:separator/>
      </w:r>
    </w:p>
  </w:endnote>
  <w:endnote w:type="continuationSeparator" w:id="0">
    <w:p w14:paraId="58C61949" w14:textId="77777777" w:rsidR="00B93EAE" w:rsidRDefault="00B93EAE" w:rsidP="00B9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74D3" w14:textId="77777777" w:rsidR="00B93EAE" w:rsidRDefault="00B93EAE" w:rsidP="00B93EAE">
      <w:r>
        <w:separator/>
      </w:r>
    </w:p>
  </w:footnote>
  <w:footnote w:type="continuationSeparator" w:id="0">
    <w:p w14:paraId="23770F18" w14:textId="77777777" w:rsidR="00B93EAE" w:rsidRDefault="00B93EAE" w:rsidP="00B93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FFF4548"/>
    <w:rsid w:val="EFFF4548"/>
    <w:rsid w:val="005C332D"/>
    <w:rsid w:val="00B93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8B4187"/>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B93EA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93EAE"/>
    <w:rPr>
      <w:rFonts w:asciiTheme="minorEastAsia" w:hAnsiTheme="minorEastAsia" w:cs="Times New Roman"/>
      <w:sz w:val="18"/>
      <w:szCs w:val="18"/>
    </w:rPr>
  </w:style>
  <w:style w:type="paragraph" w:styleId="a8">
    <w:name w:val="footer"/>
    <w:basedOn w:val="a"/>
    <w:link w:val="a9"/>
    <w:rsid w:val="00B93EAE"/>
    <w:pPr>
      <w:tabs>
        <w:tab w:val="center" w:pos="4153"/>
        <w:tab w:val="right" w:pos="8306"/>
      </w:tabs>
      <w:snapToGrid w:val="0"/>
    </w:pPr>
    <w:rPr>
      <w:sz w:val="18"/>
      <w:szCs w:val="18"/>
    </w:rPr>
  </w:style>
  <w:style w:type="character" w:customStyle="1" w:styleId="a9">
    <w:name w:val="页脚 字符"/>
    <w:basedOn w:val="a0"/>
    <w:link w:val="a8"/>
    <w:rsid w:val="00B93EA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858877/000085887722000013/csco-20220730.htm" TargetMode="External"/><Relationship Id="rId21" Type="http://schemas.openxmlformats.org/officeDocument/2006/relationships/hyperlink" Target="https://www.sec.gov/ix?doc=/Archives/edgar/data/858877/000085887722000013/csco-20220730.htm" TargetMode="External"/><Relationship Id="rId42" Type="http://schemas.openxmlformats.org/officeDocument/2006/relationships/hyperlink" Target="https://www.sec.gov/ix?doc=/Archives/edgar/data/858877/000085887722000013/csco-20220730.htm" TargetMode="External"/><Relationship Id="rId63" Type="http://schemas.openxmlformats.org/officeDocument/2006/relationships/hyperlink" Target="https://www.sec.gov/ix?doc=/Archives/edgar/data/858877/000085887722000013/csco-20220730.htm" TargetMode="External"/><Relationship Id="rId84" Type="http://schemas.openxmlformats.org/officeDocument/2006/relationships/hyperlink" Target="https://www.sec.gov/ix?doc=/Archives/edgar/data/858877/000085887722000013/csco-20220730.htm" TargetMode="External"/><Relationship Id="rId138" Type="http://schemas.openxmlformats.org/officeDocument/2006/relationships/hyperlink" Target="https://www.sec.gov/ix?doc=/Archives/edgar/data/858877/000085887722000013/csco-20220730.htm" TargetMode="External"/><Relationship Id="rId159" Type="http://schemas.openxmlformats.org/officeDocument/2006/relationships/hyperlink" Target="https://www.sec.gov/ix?doc=/Archives/edgar/data/858877/000085887722000013/csco-20220730.htm" TargetMode="External"/><Relationship Id="rId170" Type="http://schemas.openxmlformats.org/officeDocument/2006/relationships/hyperlink" Target="https://www.sec.gov/ix?doc=/Archives/edgar/data/858877/000085887722000013/csco-20220730.htm" TargetMode="External"/><Relationship Id="rId191" Type="http://schemas.openxmlformats.org/officeDocument/2006/relationships/hyperlink" Target="http://www.sec.gov/Archives/edgar/data/858877/000119312514079163/d683411dex42.htm" TargetMode="External"/><Relationship Id="rId205" Type="http://schemas.openxmlformats.org/officeDocument/2006/relationships/hyperlink" Target="https://www.sec.gov/Archives/edgar/data/858877/000085887721000018/exh101-letterofengagement.htm" TargetMode="External"/><Relationship Id="rId107" Type="http://schemas.openxmlformats.org/officeDocument/2006/relationships/hyperlink" Target="https://www.sec.gov/ix?doc=/Archives/edgar/data/858877/000085887722000013/csco-20220730.htm" TargetMode="External"/><Relationship Id="rId11" Type="http://schemas.openxmlformats.org/officeDocument/2006/relationships/hyperlink" Target="https://www.sec.gov/ix?doc=/Archives/edgar/data/858877/000085887722000013/csco-20220730.htm" TargetMode="External"/><Relationship Id="rId32" Type="http://schemas.openxmlformats.org/officeDocument/2006/relationships/hyperlink" Target="https://www.sec.gov/ix?doc=/Archives/edgar/data/858877/000085887722000013/csco-20220730.htm" TargetMode="External"/><Relationship Id="rId53" Type="http://schemas.openxmlformats.org/officeDocument/2006/relationships/hyperlink" Target="https://www.sec.gov/ix?doc=/Archives/edgar/data/858877/000085887722000013/csco-20220730.htm" TargetMode="External"/><Relationship Id="rId74" Type="http://schemas.openxmlformats.org/officeDocument/2006/relationships/hyperlink" Target="https://www.sec.gov/ix?doc=/Archives/edgar/data/858877/000085887722000013/csco-20220730.htm" TargetMode="External"/><Relationship Id="rId128" Type="http://schemas.openxmlformats.org/officeDocument/2006/relationships/hyperlink" Target="https://www.sec.gov/ix?doc=/Archives/edgar/data/858877/000085887722000013/csco-20220730.htm" TargetMode="External"/><Relationship Id="rId149" Type="http://schemas.openxmlformats.org/officeDocument/2006/relationships/hyperlink" Target="https://www.sec.gov/ix?doc=/Archives/edgar/data/858877/000085887722000013/csco-20220730.htm" TargetMode="External"/><Relationship Id="rId5" Type="http://schemas.openxmlformats.org/officeDocument/2006/relationships/endnotes" Target="endnotes.xml"/><Relationship Id="rId95" Type="http://schemas.openxmlformats.org/officeDocument/2006/relationships/hyperlink" Target="https://www.sec.gov/ix?doc=/Archives/edgar/data/858877/000085887722000013/csco-20220730.htm" TargetMode="External"/><Relationship Id="rId160" Type="http://schemas.openxmlformats.org/officeDocument/2006/relationships/hyperlink" Target="https://www.sec.gov/ix?doc=/Archives/edgar/data/858877/000085887722000013/csco-20220730.htm" TargetMode="External"/><Relationship Id="rId181" Type="http://schemas.openxmlformats.org/officeDocument/2006/relationships/hyperlink" Target="https://www.sec.gov/Archives/edgar/data/858877/000119312521016255/d104712dex31.htm" TargetMode="External"/><Relationship Id="rId22" Type="http://schemas.openxmlformats.org/officeDocument/2006/relationships/hyperlink" Target="https://www.sec.gov/ix?doc=/Archives/edgar/data/858877/000085887722000013/csco-20220730.htm" TargetMode="External"/><Relationship Id="rId43" Type="http://schemas.openxmlformats.org/officeDocument/2006/relationships/hyperlink" Target="https://www.sec.gov/ix?doc=/Archives/edgar/data/858877/000085887722000013/csco-20220730.htm" TargetMode="External"/><Relationship Id="rId64" Type="http://schemas.openxmlformats.org/officeDocument/2006/relationships/hyperlink" Target="https://www.sec.gov/ix?doc=/Archives/edgar/data/858877/000085887722000013/csco-20220730.htm" TargetMode="External"/><Relationship Id="rId118" Type="http://schemas.openxmlformats.org/officeDocument/2006/relationships/hyperlink" Target="https://www.sec.gov/ix?doc=/Archives/edgar/data/858877/000085887722000013/csco-20220730.htm" TargetMode="External"/><Relationship Id="rId139" Type="http://schemas.openxmlformats.org/officeDocument/2006/relationships/hyperlink" Target="https://www.sec.gov/ix?doc=/Archives/edgar/data/858877/000085887722000013/csco-20220730.htm" TargetMode="External"/><Relationship Id="rId85" Type="http://schemas.openxmlformats.org/officeDocument/2006/relationships/hyperlink" Target="https://www.sec.gov/ix?doc=/Archives/edgar/data/858877/000085887722000013/csco-20220730.htm" TargetMode="External"/><Relationship Id="rId150" Type="http://schemas.openxmlformats.org/officeDocument/2006/relationships/hyperlink" Target="https://www.sec.gov/ix?doc=/Archives/edgar/data/858877/000085887722000013/csco-20220730.htm" TargetMode="External"/><Relationship Id="rId171" Type="http://schemas.openxmlformats.org/officeDocument/2006/relationships/hyperlink" Target="https://www.sec.gov/ix?doc=/Archives/edgar/data/858877/000085887722000013/csco-20220730.htm" TargetMode="External"/><Relationship Id="rId192" Type="http://schemas.openxmlformats.org/officeDocument/2006/relationships/hyperlink" Target="http://www.sec.gov/Archives/edgar/data/858877/000119312515227387/d945296dex41.htm" TargetMode="External"/><Relationship Id="rId206" Type="http://schemas.openxmlformats.org/officeDocument/2006/relationships/hyperlink" Target="https://www.sec.gov/Archives/edgar/data/858877/000085887722000013/exh211subsidiariesofthereg.htm" TargetMode="External"/><Relationship Id="rId12" Type="http://schemas.openxmlformats.org/officeDocument/2006/relationships/hyperlink" Target="https://www.sec.gov/ix?doc=/Archives/edgar/data/858877/000085887722000013/csco-20220730.htm" TargetMode="External"/><Relationship Id="rId33" Type="http://schemas.openxmlformats.org/officeDocument/2006/relationships/hyperlink" Target="https://www.sec.gov/ix?doc=/Archives/edgar/data/858877/000085887722000013/csco-20220730.htm" TargetMode="External"/><Relationship Id="rId108" Type="http://schemas.openxmlformats.org/officeDocument/2006/relationships/hyperlink" Target="https://www.sec.gov/ix?doc=/Archives/edgar/data/858877/000085887722000013/csco-20220730.htm" TargetMode="External"/><Relationship Id="rId129" Type="http://schemas.openxmlformats.org/officeDocument/2006/relationships/hyperlink" Target="https://www.sec.gov/ix?doc=/Archives/edgar/data/858877/000085887722000013/csco-20220730.htm" TargetMode="External"/><Relationship Id="rId54" Type="http://schemas.openxmlformats.org/officeDocument/2006/relationships/hyperlink" Target="https://www.sec.gov/ix?doc=/Archives/edgar/data/858877/000085887722000013/csco-20220730.htm" TargetMode="External"/><Relationship Id="rId75" Type="http://schemas.openxmlformats.org/officeDocument/2006/relationships/hyperlink" Target="https://www.sec.gov/ix?doc=/Archives/edgar/data/858877/000085887722000013/csco-20220730.htm" TargetMode="External"/><Relationship Id="rId96" Type="http://schemas.openxmlformats.org/officeDocument/2006/relationships/hyperlink" Target="https://www.sec.gov/ix?doc=/Archives/edgar/data/858877/000085887722000013/csco-20220730.htm" TargetMode="External"/><Relationship Id="rId140" Type="http://schemas.openxmlformats.org/officeDocument/2006/relationships/hyperlink" Target="https://www.sec.gov/ix?doc=/Archives/edgar/data/858877/000085887722000013/csco-20220730.htm" TargetMode="External"/><Relationship Id="rId161" Type="http://schemas.openxmlformats.org/officeDocument/2006/relationships/hyperlink" Target="https://www.sec.gov/ix?doc=/Archives/edgar/data/858877/000085887722000013/csco-20220730.htm" TargetMode="External"/><Relationship Id="rId182" Type="http://schemas.openxmlformats.org/officeDocument/2006/relationships/hyperlink" Target="https://www.sec.gov/Archives/edgar/data/858877/000119312521016255/d104712dex32.htm" TargetMode="External"/><Relationship Id="rId23" Type="http://schemas.openxmlformats.org/officeDocument/2006/relationships/hyperlink" Target="https://www.sec.gov/ix?doc=/Archives/edgar/data/858877/000085887722000013/csco-20220730.htm" TargetMode="External"/><Relationship Id="rId119" Type="http://schemas.openxmlformats.org/officeDocument/2006/relationships/hyperlink" Target="https://www.sec.gov/ix?doc=/Archives/edgar/data/858877/000085887722000013/csco-20220730.htm" TargetMode="External"/><Relationship Id="rId44" Type="http://schemas.openxmlformats.org/officeDocument/2006/relationships/hyperlink" Target="https://www.sec.gov/ix?doc=/Archives/edgar/data/858877/000085887722000013/csco-20220730.htm" TargetMode="External"/><Relationship Id="rId65" Type="http://schemas.openxmlformats.org/officeDocument/2006/relationships/hyperlink" Target="https://www.sec.gov/ix?doc=/Archives/edgar/data/858877/000085887722000013/csco-20220730.htm" TargetMode="External"/><Relationship Id="rId86" Type="http://schemas.openxmlformats.org/officeDocument/2006/relationships/hyperlink" Target="https://www.sec.gov/ix?doc=/Archives/edgar/data/858877/000085887722000013/csco-20220730.htm" TargetMode="External"/><Relationship Id="rId130" Type="http://schemas.openxmlformats.org/officeDocument/2006/relationships/hyperlink" Target="https://www.sec.gov/ix?doc=/Archives/edgar/data/858877/000085887722000013/csco-20220730.htm" TargetMode="External"/><Relationship Id="rId151" Type="http://schemas.openxmlformats.org/officeDocument/2006/relationships/hyperlink" Target="https://www.sec.gov/ix?doc=/Archives/edgar/data/858877/000085887722000013/csco-20220730.htm" TargetMode="External"/><Relationship Id="rId172" Type="http://schemas.openxmlformats.org/officeDocument/2006/relationships/hyperlink" Target="https://www.sec.gov/ix?doc=/Archives/edgar/data/858877/000085887722000013/csco-20220730.htm" TargetMode="External"/><Relationship Id="rId193" Type="http://schemas.openxmlformats.org/officeDocument/2006/relationships/hyperlink" Target="http://www.sec.gov/Archives/edgar/data/858877/000119312516483780/d150284dex41.htm" TargetMode="External"/><Relationship Id="rId207" Type="http://schemas.openxmlformats.org/officeDocument/2006/relationships/hyperlink" Target="https://www.sec.gov/Archives/edgar/data/858877/000085887722000013/exh231consentofindependent.htm" TargetMode="External"/><Relationship Id="rId13" Type="http://schemas.openxmlformats.org/officeDocument/2006/relationships/hyperlink" Target="https://www.sec.gov/ix?doc=/Archives/edgar/data/858877/000085887722000013/csco-20220730.htm" TargetMode="External"/><Relationship Id="rId109" Type="http://schemas.openxmlformats.org/officeDocument/2006/relationships/hyperlink" Target="https://www.sec.gov/ix?doc=/Archives/edgar/data/858877/000085887722000013/csco-20220730.htm" TargetMode="External"/><Relationship Id="rId34" Type="http://schemas.openxmlformats.org/officeDocument/2006/relationships/hyperlink" Target="https://www.sec.gov/ix?doc=/Archives/edgar/data/858877/000085887722000013/csco-20220730.htm" TargetMode="External"/><Relationship Id="rId55" Type="http://schemas.openxmlformats.org/officeDocument/2006/relationships/hyperlink" Target="https://www.sec.gov/ix?doc=/Archives/edgar/data/858877/000085887722000013/csco-20220730.htm" TargetMode="External"/><Relationship Id="rId76" Type="http://schemas.openxmlformats.org/officeDocument/2006/relationships/hyperlink" Target="https://www.sec.gov/ix?doc=/Archives/edgar/data/858877/000085887722000013/csco-20220730.htm" TargetMode="External"/><Relationship Id="rId97" Type="http://schemas.openxmlformats.org/officeDocument/2006/relationships/hyperlink" Target="https://www.sec.gov/ix?doc=/Archives/edgar/data/858877/000085887722000013/csco-20220730.htm" TargetMode="External"/><Relationship Id="rId120" Type="http://schemas.openxmlformats.org/officeDocument/2006/relationships/hyperlink" Target="https://www.sec.gov/ix?doc=/Archives/edgar/data/858877/000085887722000013/csco-20220730.htm" TargetMode="External"/><Relationship Id="rId141" Type="http://schemas.openxmlformats.org/officeDocument/2006/relationships/hyperlink" Target="https://www.sec.gov/ix?doc=/Archives/edgar/data/858877/000085887722000013/csco-20220730.htm" TargetMode="External"/><Relationship Id="rId7" Type="http://schemas.openxmlformats.org/officeDocument/2006/relationships/hyperlink" Target="https://www.sec.gov/ix?doc=/Archives/edgar/data/858877/000085887722000013/csco-20220730.htm" TargetMode="External"/><Relationship Id="rId162" Type="http://schemas.openxmlformats.org/officeDocument/2006/relationships/hyperlink" Target="https://www.sec.gov/ix?doc=/Archives/edgar/data/858877/000085887722000013/csco-20220730.htm" TargetMode="External"/><Relationship Id="rId183" Type="http://schemas.openxmlformats.org/officeDocument/2006/relationships/hyperlink" Target="https://www.sec.gov/Archives/edgar/data/858877/000119312509030546/dex41.htm" TargetMode="External"/><Relationship Id="rId24" Type="http://schemas.openxmlformats.org/officeDocument/2006/relationships/hyperlink" Target="https://www.sec.gov/ix?doc=/Archives/edgar/data/858877/000085887722000013/csco-20220730.htm" TargetMode="External"/><Relationship Id="rId45" Type="http://schemas.openxmlformats.org/officeDocument/2006/relationships/hyperlink" Target="https://www.sec.gov/ix?doc=/Archives/edgar/data/858877/000085887722000013/csco-20220730.htm" TargetMode="External"/><Relationship Id="rId66" Type="http://schemas.openxmlformats.org/officeDocument/2006/relationships/hyperlink" Target="https://www.sec.gov/ix?doc=/Archives/edgar/data/858877/000085887722000013/csco-20220730.htm" TargetMode="External"/><Relationship Id="rId87" Type="http://schemas.openxmlformats.org/officeDocument/2006/relationships/hyperlink" Target="https://www.sec.gov/ix?doc=/Archives/edgar/data/858877/000085887722000013/csco-20220730.htm" TargetMode="External"/><Relationship Id="rId110" Type="http://schemas.openxmlformats.org/officeDocument/2006/relationships/hyperlink" Target="https://www.sec.gov/ix?doc=/Archives/edgar/data/858877/000085887722000013/csco-20220730.htm" TargetMode="External"/><Relationship Id="rId131" Type="http://schemas.openxmlformats.org/officeDocument/2006/relationships/hyperlink" Target="https://www.sec.gov/ix?doc=/Archives/edgar/data/858877/000085887722000013/csco-20220730.htm" TargetMode="External"/><Relationship Id="rId152" Type="http://schemas.openxmlformats.org/officeDocument/2006/relationships/hyperlink" Target="https://www.sec.gov/ix?doc=/Archives/edgar/data/858877/000085887722000013/csco-20220730.htm" TargetMode="External"/><Relationship Id="rId173" Type="http://schemas.openxmlformats.org/officeDocument/2006/relationships/hyperlink" Target="https://www.sec.gov/ix?doc=/Archives/edgar/data/858877/000085887722000013/csco-20220730.htm" TargetMode="External"/><Relationship Id="rId194" Type="http://schemas.openxmlformats.org/officeDocument/2006/relationships/hyperlink" Target="http://www.sec.gov/Archives/edgar/data/858877/000119312516714189/d229817dex41.htm" TargetMode="External"/><Relationship Id="rId208" Type="http://schemas.openxmlformats.org/officeDocument/2006/relationships/hyperlink" Target="https://www.sec.gov/ix?doc=/Archives/edgar/data/858877/000085887722000013/csco-20220730.htm" TargetMode="External"/><Relationship Id="rId19" Type="http://schemas.openxmlformats.org/officeDocument/2006/relationships/hyperlink" Target="https://www.sec.gov/ix?doc=/Archives/edgar/data/858877/000085887722000013/csco-20220730.htm" TargetMode="External"/><Relationship Id="rId14" Type="http://schemas.openxmlformats.org/officeDocument/2006/relationships/hyperlink" Target="https://www.sec.gov/ix?doc=/Archives/edgar/data/858877/000085887722000013/csco-20220730.htm" TargetMode="External"/><Relationship Id="rId30" Type="http://schemas.openxmlformats.org/officeDocument/2006/relationships/hyperlink" Target="https://www.sec.gov/ix?doc=/Archives/edgar/data/858877/000085887722000013/csco-20220730.htm" TargetMode="External"/><Relationship Id="rId35" Type="http://schemas.openxmlformats.org/officeDocument/2006/relationships/hyperlink" Target="https://www.sec.gov/ix?doc=/Archives/edgar/data/858877/000085887722000013/csco-20220730.htm" TargetMode="External"/><Relationship Id="rId56" Type="http://schemas.openxmlformats.org/officeDocument/2006/relationships/hyperlink" Target="https://www.sec.gov/ix?doc=/Archives/edgar/data/858877/000085887722000013/csco-20220730.htm" TargetMode="External"/><Relationship Id="rId77" Type="http://schemas.openxmlformats.org/officeDocument/2006/relationships/hyperlink" Target="https://www.sec.gov/ix?doc=/Archives/edgar/data/858877/000085887722000013/csco-20220730.htm" TargetMode="External"/><Relationship Id="rId100" Type="http://schemas.openxmlformats.org/officeDocument/2006/relationships/hyperlink" Target="https://www.sec.gov/ix?doc=/Archives/edgar/data/858877/000085887722000013/csco-20220730.htm" TargetMode="External"/><Relationship Id="rId105" Type="http://schemas.openxmlformats.org/officeDocument/2006/relationships/hyperlink" Target="https://www.sec.gov/ix?doc=/Archives/edgar/data/858877/000085887722000013/csco-20220730.htm" TargetMode="External"/><Relationship Id="rId126" Type="http://schemas.openxmlformats.org/officeDocument/2006/relationships/hyperlink" Target="https://www.sec.gov/ix?doc=/Archives/edgar/data/858877/000085887722000013/csco-20220730.htm" TargetMode="External"/><Relationship Id="rId147" Type="http://schemas.openxmlformats.org/officeDocument/2006/relationships/hyperlink" Target="https://www.sec.gov/ix?doc=/Archives/edgar/data/858877/000085887722000013/csco-20220730.htm" TargetMode="External"/><Relationship Id="rId168" Type="http://schemas.openxmlformats.org/officeDocument/2006/relationships/hyperlink" Target="https://www.sec.gov/ix?doc=/Archives/edgar/data/858877/000085887722000013/csco-20220730.htm" TargetMode="External"/><Relationship Id="rId8" Type="http://schemas.openxmlformats.org/officeDocument/2006/relationships/hyperlink" Target="https://www.sec.gov/ix?doc=/Archives/edgar/data/858877/000085887722000013/csco-20220730.htm" TargetMode="External"/><Relationship Id="rId51" Type="http://schemas.openxmlformats.org/officeDocument/2006/relationships/hyperlink" Target="https://www.sec.gov/ix?doc=/Archives/edgar/data/858877/000085887722000013/csco-20220730.htm" TargetMode="External"/><Relationship Id="rId72" Type="http://schemas.openxmlformats.org/officeDocument/2006/relationships/hyperlink" Target="https://www.sec.gov/ix?doc=/Archives/edgar/data/858877/000085887722000013/csco-20220730.htm" TargetMode="External"/><Relationship Id="rId93" Type="http://schemas.openxmlformats.org/officeDocument/2006/relationships/hyperlink" Target="https://www.sec.gov/ix?doc=/Archives/edgar/data/858877/000085887722000013/csco-20220730.htm" TargetMode="External"/><Relationship Id="rId98" Type="http://schemas.openxmlformats.org/officeDocument/2006/relationships/hyperlink" Target="https://www.sec.gov/ix?doc=/Archives/edgar/data/858877/000085887722000013/csco-20220730.htm" TargetMode="External"/><Relationship Id="rId121" Type="http://schemas.openxmlformats.org/officeDocument/2006/relationships/hyperlink" Target="https://www.sec.gov/ix?doc=/Archives/edgar/data/858877/000085887722000013/csco-20220730.htm" TargetMode="External"/><Relationship Id="rId142" Type="http://schemas.openxmlformats.org/officeDocument/2006/relationships/hyperlink" Target="https://www.sec.gov/ix?doc=/Archives/edgar/data/858877/000085887722000013/csco-20220730.htm" TargetMode="External"/><Relationship Id="rId163" Type="http://schemas.openxmlformats.org/officeDocument/2006/relationships/hyperlink" Target="https://www.sec.gov/ix?doc=/Archives/edgar/data/858877/000085887722000013/csco-20220730.htm" TargetMode="External"/><Relationship Id="rId184" Type="http://schemas.openxmlformats.org/officeDocument/2006/relationships/hyperlink" Target="https://www.sec.gov/Archives/edgar/data/858877/000119312509236335/dex41.htm" TargetMode="External"/><Relationship Id="rId189" Type="http://schemas.openxmlformats.org/officeDocument/2006/relationships/hyperlink" Target="http://www.sec.gov/Archives/edgar/data/858877/000119312509030546/dex41.htm" TargetMode="External"/><Relationship Id="rId3" Type="http://schemas.openxmlformats.org/officeDocument/2006/relationships/webSettings" Target="webSettings.xml"/><Relationship Id="rId214" Type="http://schemas.openxmlformats.org/officeDocument/2006/relationships/theme" Target="theme/theme1.xml"/><Relationship Id="rId25" Type="http://schemas.openxmlformats.org/officeDocument/2006/relationships/hyperlink" Target="https://www.sec.gov/ix?doc=/Archives/edgar/data/858877/000085887722000013/csco-20220730.htm" TargetMode="External"/><Relationship Id="rId46" Type="http://schemas.openxmlformats.org/officeDocument/2006/relationships/hyperlink" Target="https://www.sec.gov/ix?doc=/Archives/edgar/data/858877/000085887722000013/csco-20220730.htm" TargetMode="External"/><Relationship Id="rId67" Type="http://schemas.openxmlformats.org/officeDocument/2006/relationships/hyperlink" Target="https://www.sec.gov/ix?doc=/Archives/edgar/data/858877/000085887722000013/csco-20220730.htm" TargetMode="External"/><Relationship Id="rId116" Type="http://schemas.openxmlformats.org/officeDocument/2006/relationships/hyperlink" Target="https://www.sec.gov/ix?doc=/Archives/edgar/data/858877/000085887722000013/csco-20220730.htm" TargetMode="External"/><Relationship Id="rId137" Type="http://schemas.openxmlformats.org/officeDocument/2006/relationships/hyperlink" Target="https://www.sec.gov/ix?doc=/Archives/edgar/data/858877/000085887722000013/csco-20220730.htm" TargetMode="External"/><Relationship Id="rId158" Type="http://schemas.openxmlformats.org/officeDocument/2006/relationships/hyperlink" Target="https://www.sec.gov/ix?doc=/Archives/edgar/data/858877/000085887722000013/csco-20220730.htm" TargetMode="External"/><Relationship Id="rId20" Type="http://schemas.openxmlformats.org/officeDocument/2006/relationships/hyperlink" Target="https://www.sec.gov/ix?doc=/Archives/edgar/data/858877/000085887722000013/csco-20220730.htm" TargetMode="External"/><Relationship Id="rId41" Type="http://schemas.openxmlformats.org/officeDocument/2006/relationships/hyperlink" Target="https://www.sec.gov/ix?doc=/Archives/edgar/data/858877/000085887722000013/csco-20220730.htm" TargetMode="External"/><Relationship Id="rId62" Type="http://schemas.openxmlformats.org/officeDocument/2006/relationships/hyperlink" Target="https://www.sec.gov/ix?doc=/Archives/edgar/data/858877/000085887722000013/csco-20220730.htm" TargetMode="External"/><Relationship Id="rId83" Type="http://schemas.openxmlformats.org/officeDocument/2006/relationships/hyperlink" Target="https://www.sec.gov/ix?doc=/Archives/edgar/data/858877/000085887722000013/csco-20220730.htm" TargetMode="External"/><Relationship Id="rId88" Type="http://schemas.openxmlformats.org/officeDocument/2006/relationships/hyperlink" Target="https://www.sec.gov/ix?doc=/Archives/edgar/data/858877/000085887722000013/csco-20220730.htm" TargetMode="External"/><Relationship Id="rId111" Type="http://schemas.openxmlformats.org/officeDocument/2006/relationships/hyperlink" Target="https://www.sec.gov/ix?doc=/Archives/edgar/data/858877/000085887722000013/csco-20220730.htm" TargetMode="External"/><Relationship Id="rId132" Type="http://schemas.openxmlformats.org/officeDocument/2006/relationships/hyperlink" Target="https://www.sec.gov/ix?doc=/Archives/edgar/data/858877/000085887722000013/csco-20220730.htm" TargetMode="External"/><Relationship Id="rId153" Type="http://schemas.openxmlformats.org/officeDocument/2006/relationships/hyperlink" Target="https://www.sec.gov/ix?doc=/Archives/edgar/data/858877/000085887722000013/csco-20220730.htm" TargetMode="External"/><Relationship Id="rId174" Type="http://schemas.openxmlformats.org/officeDocument/2006/relationships/hyperlink" Target="https://www.sec.gov/ix?doc=/Archives/edgar/data/858877/000085887722000013/csco-20220730.htm" TargetMode="External"/><Relationship Id="rId179" Type="http://schemas.openxmlformats.org/officeDocument/2006/relationships/hyperlink" Target="https://www.sec.gov/ix?doc=/Archives/edgar/data/858877/000085887722000013/csco-20220730.htm" TargetMode="External"/><Relationship Id="rId195" Type="http://schemas.openxmlformats.org/officeDocument/2006/relationships/hyperlink" Target="https://www.sec.gov/Archives/edgar/data/858877/000085887721000013/exh413descriptionofsecurit.htm" TargetMode="External"/><Relationship Id="rId209" Type="http://schemas.openxmlformats.org/officeDocument/2006/relationships/hyperlink" Target="https://www.sec.gov/Archives/edgar/data/858877/000085887722000013/exh311rule13a-14a15dx14ace.htm" TargetMode="External"/><Relationship Id="rId190" Type="http://schemas.openxmlformats.org/officeDocument/2006/relationships/hyperlink" Target="http://www.sec.gov/Archives/edgar/data/858877/000119312509236335/dex41.htm" TargetMode="External"/><Relationship Id="rId204" Type="http://schemas.openxmlformats.org/officeDocument/2006/relationships/hyperlink" Target="https://www.sec.gov/Archives/edgar/data/858877/000119312520293020/d57787dex101.htm" TargetMode="External"/><Relationship Id="rId15" Type="http://schemas.openxmlformats.org/officeDocument/2006/relationships/hyperlink" Target="https://www.sec.gov/ix?doc=/Archives/edgar/data/858877/000085887722000013/csco-20220730.htm" TargetMode="External"/><Relationship Id="rId36" Type="http://schemas.openxmlformats.org/officeDocument/2006/relationships/hyperlink" Target="https://www.sec.gov/ix?doc=/Archives/edgar/data/858877/000085887722000013/csco-20220730.htm" TargetMode="External"/><Relationship Id="rId57" Type="http://schemas.openxmlformats.org/officeDocument/2006/relationships/hyperlink" Target="https://www.sec.gov/ix?doc=/Archives/edgar/data/858877/000085887722000013/csco-20220730.htm" TargetMode="External"/><Relationship Id="rId106" Type="http://schemas.openxmlformats.org/officeDocument/2006/relationships/hyperlink" Target="https://www.sec.gov/ix?doc=/Archives/edgar/data/858877/000085887722000013/csco-20220730.htm" TargetMode="External"/><Relationship Id="rId127" Type="http://schemas.openxmlformats.org/officeDocument/2006/relationships/hyperlink" Target="https://www.sec.gov/ix?doc=/Archives/edgar/data/858877/000085887722000013/csco-20220730.htm" TargetMode="External"/><Relationship Id="rId10" Type="http://schemas.openxmlformats.org/officeDocument/2006/relationships/hyperlink" Target="https://www.sec.gov/ix?doc=/Archives/edgar/data/858877/000085887722000013/csco-20220730.htm" TargetMode="External"/><Relationship Id="rId31" Type="http://schemas.openxmlformats.org/officeDocument/2006/relationships/hyperlink" Target="https://www.sec.gov/ix?doc=/Archives/edgar/data/858877/000085887722000013/csco-20220730.htm" TargetMode="External"/><Relationship Id="rId52" Type="http://schemas.openxmlformats.org/officeDocument/2006/relationships/hyperlink" Target="https://www.sec.gov/ix?doc=/Archives/edgar/data/858877/000085887722000013/csco-20220730.htm" TargetMode="External"/><Relationship Id="rId73" Type="http://schemas.openxmlformats.org/officeDocument/2006/relationships/hyperlink" Target="https://www.sec.gov/ix?doc=/Archives/edgar/data/858877/000085887722000013/csco-20220730.htm" TargetMode="External"/><Relationship Id="rId78" Type="http://schemas.openxmlformats.org/officeDocument/2006/relationships/hyperlink" Target="https://www.sec.gov/ix?doc=/Archives/edgar/data/858877/000085887722000013/csco-20220730.htm" TargetMode="External"/><Relationship Id="rId94" Type="http://schemas.openxmlformats.org/officeDocument/2006/relationships/hyperlink" Target="https://www.sec.gov/ix?doc=/Archives/edgar/data/858877/000085887722000013/csco-20220730.htm" TargetMode="External"/><Relationship Id="rId99" Type="http://schemas.openxmlformats.org/officeDocument/2006/relationships/hyperlink" Target="https://www.sec.gov/ix?doc=/Archives/edgar/data/858877/000085887722000013/csco-20220730.htm" TargetMode="External"/><Relationship Id="rId101" Type="http://schemas.openxmlformats.org/officeDocument/2006/relationships/hyperlink" Target="https://www.sec.gov/ix?doc=/Archives/edgar/data/858877/000085887722000013/csco-20220730.htm" TargetMode="External"/><Relationship Id="rId122" Type="http://schemas.openxmlformats.org/officeDocument/2006/relationships/hyperlink" Target="https://www.sec.gov/ix?doc=/Archives/edgar/data/858877/000085887722000013/csco-20220730.htm" TargetMode="External"/><Relationship Id="rId143" Type="http://schemas.openxmlformats.org/officeDocument/2006/relationships/hyperlink" Target="https://www.sec.gov/ix?doc=/Archives/edgar/data/858877/000085887722000013/csco-20220730.htm" TargetMode="External"/><Relationship Id="rId148" Type="http://schemas.openxmlformats.org/officeDocument/2006/relationships/hyperlink" Target="https://www.sec.gov/ix?doc=/Archives/edgar/data/858877/000085887722000013/csco-20220730.htm" TargetMode="External"/><Relationship Id="rId164" Type="http://schemas.openxmlformats.org/officeDocument/2006/relationships/hyperlink" Target="https://www.sec.gov/ix?doc=/Archives/edgar/data/858877/000085887722000013/csco-20220730.htm" TargetMode="External"/><Relationship Id="rId169" Type="http://schemas.openxmlformats.org/officeDocument/2006/relationships/hyperlink" Target="https://www.sec.gov/ix?doc=/Archives/edgar/data/858877/000085887722000013/csco-20220730.htm" TargetMode="External"/><Relationship Id="rId185" Type="http://schemas.openxmlformats.org/officeDocument/2006/relationships/hyperlink" Target="https://www.sec.gov/Archives/edgar/data/858877/000119312514079163/d683411dex41.htm" TargetMode="External"/><Relationship Id="rId4" Type="http://schemas.openxmlformats.org/officeDocument/2006/relationships/footnotes" Target="footnotes.xml"/><Relationship Id="rId9" Type="http://schemas.openxmlformats.org/officeDocument/2006/relationships/hyperlink" Target="https://www.sec.gov/ix?doc=/Archives/edgar/data/858877/000085887722000013/csco-20220730.htm" TargetMode="External"/><Relationship Id="rId180" Type="http://schemas.openxmlformats.org/officeDocument/2006/relationships/hyperlink" Target="https://www.sec.gov/ix?doc=/Archives/edgar/data/858877/000085887722000013/csco-20220730.htm" TargetMode="External"/><Relationship Id="rId210" Type="http://schemas.openxmlformats.org/officeDocument/2006/relationships/hyperlink" Target="https://www.sec.gov/Archives/edgar/data/858877/000085887722000013/exh312rule13a-14a15dx14ace.htm" TargetMode="External"/><Relationship Id="rId26" Type="http://schemas.openxmlformats.org/officeDocument/2006/relationships/hyperlink" Target="https://www.sec.gov/ix?doc=/Archives/edgar/data/858877/000085887722000013/csco-20220730.htm" TargetMode="External"/><Relationship Id="rId47" Type="http://schemas.openxmlformats.org/officeDocument/2006/relationships/hyperlink" Target="https://www.sec.gov/ix?doc=/Archives/edgar/data/858877/000085887722000013/csco-20220730.htm" TargetMode="External"/><Relationship Id="rId68" Type="http://schemas.openxmlformats.org/officeDocument/2006/relationships/hyperlink" Target="https://www.sec.gov/ix?doc=/Archives/edgar/data/858877/000085887722000013/csco-20220730.htm" TargetMode="External"/><Relationship Id="rId89" Type="http://schemas.openxmlformats.org/officeDocument/2006/relationships/hyperlink" Target="https://www.sec.gov/ix?doc=/Archives/edgar/data/858877/000085887722000013/csco-20220730.htm" TargetMode="External"/><Relationship Id="rId112" Type="http://schemas.openxmlformats.org/officeDocument/2006/relationships/hyperlink" Target="https://www.sec.gov/ix?doc=/Archives/edgar/data/858877/000085887722000013/csco-20220730.htm" TargetMode="External"/><Relationship Id="rId133" Type="http://schemas.openxmlformats.org/officeDocument/2006/relationships/hyperlink" Target="https://www.sec.gov/ix?doc=/Archives/edgar/data/858877/000085887722000013/csco-20220730.htm" TargetMode="External"/><Relationship Id="rId154" Type="http://schemas.openxmlformats.org/officeDocument/2006/relationships/hyperlink" Target="https://www.sec.gov/ix?doc=/Archives/edgar/data/858877/000085887722000013/csco-20220730.htm" TargetMode="External"/><Relationship Id="rId175" Type="http://schemas.openxmlformats.org/officeDocument/2006/relationships/hyperlink" Target="https://www.sec.gov/ix?doc=/Archives/edgar/data/858877/000085887722000013/csco-20220730.htm" TargetMode="External"/><Relationship Id="rId196" Type="http://schemas.openxmlformats.org/officeDocument/2006/relationships/hyperlink" Target="https://www.sec.gov/Archives/edgar/data/858877/000085887722000009/exh101ciscosip2005q322.htm" TargetMode="External"/><Relationship Id="rId200" Type="http://schemas.openxmlformats.org/officeDocument/2006/relationships/hyperlink" Target="https://www.sec.gov/Archives/edgar/data/858877/000119312521016255/d104712dex101.htm" TargetMode="External"/><Relationship Id="rId16" Type="http://schemas.openxmlformats.org/officeDocument/2006/relationships/hyperlink" Target="https://www.sec.gov/ix?doc=/Archives/edgar/data/858877/000085887722000013/csco-20220730.htm" TargetMode="External"/><Relationship Id="rId37" Type="http://schemas.openxmlformats.org/officeDocument/2006/relationships/hyperlink" Target="https://www.sec.gov/ix?doc=/Archives/edgar/data/858877/000085887722000013/csco-20220730.htm" TargetMode="External"/><Relationship Id="rId58" Type="http://schemas.openxmlformats.org/officeDocument/2006/relationships/hyperlink" Target="https://www.sec.gov/ix?doc=/Archives/edgar/data/858877/000085887722000013/csco-20220730.htm" TargetMode="External"/><Relationship Id="rId79" Type="http://schemas.openxmlformats.org/officeDocument/2006/relationships/hyperlink" Target="https://www.sec.gov/ix?doc=/Archives/edgar/data/858877/000085887722000013/csco-20220730.htm" TargetMode="External"/><Relationship Id="rId102" Type="http://schemas.openxmlformats.org/officeDocument/2006/relationships/hyperlink" Target="https://www.sec.gov/ix?doc=/Archives/edgar/data/858877/000085887722000013/csco-20220730.htm" TargetMode="External"/><Relationship Id="rId123" Type="http://schemas.openxmlformats.org/officeDocument/2006/relationships/hyperlink" Target="https://www.sec.gov/ix?doc=/Archives/edgar/data/858877/000085887722000013/csco-20220730.htm" TargetMode="External"/><Relationship Id="rId144" Type="http://schemas.openxmlformats.org/officeDocument/2006/relationships/hyperlink" Target="https://www.sec.gov/ix?doc=/Archives/edgar/data/858877/000085887722000013/csco-20220730.htm" TargetMode="External"/><Relationship Id="rId90" Type="http://schemas.openxmlformats.org/officeDocument/2006/relationships/hyperlink" Target="https://www.sec.gov/ix?doc=/Archives/edgar/data/858877/000085887722000013/csco-20220730.htm" TargetMode="External"/><Relationship Id="rId165" Type="http://schemas.openxmlformats.org/officeDocument/2006/relationships/hyperlink" Target="https://www.sec.gov/ix?doc=/Archives/edgar/data/858877/000085887722000013/csco-20220730.htm" TargetMode="External"/><Relationship Id="rId186" Type="http://schemas.openxmlformats.org/officeDocument/2006/relationships/hyperlink" Target="https://www.sec.gov/Archives/edgar/data/858877/000085887721000004/exh41supplementalindenture.htm" TargetMode="External"/><Relationship Id="rId211" Type="http://schemas.openxmlformats.org/officeDocument/2006/relationships/hyperlink" Target="https://www.sec.gov/Archives/edgar/data/858877/000085887722000013/exh321section1350certifica.htm" TargetMode="External"/><Relationship Id="rId27" Type="http://schemas.openxmlformats.org/officeDocument/2006/relationships/hyperlink" Target="https://www.sec.gov/ix?doc=/Archives/edgar/data/858877/000085887722000013/csco-20220730.htm" TargetMode="External"/><Relationship Id="rId48" Type="http://schemas.openxmlformats.org/officeDocument/2006/relationships/hyperlink" Target="https://www.sec.gov/ix?doc=/Archives/edgar/data/858877/000085887722000013/csco-20220730.htm" TargetMode="External"/><Relationship Id="rId69" Type="http://schemas.openxmlformats.org/officeDocument/2006/relationships/hyperlink" Target="https://www.sec.gov/ix?doc=/Archives/edgar/data/858877/000085887722000013/csco-20220730.htm" TargetMode="External"/><Relationship Id="rId113" Type="http://schemas.openxmlformats.org/officeDocument/2006/relationships/hyperlink" Target="https://www.sec.gov/ix?doc=/Archives/edgar/data/858877/000085887722000013/csco-20220730.htm" TargetMode="External"/><Relationship Id="rId134" Type="http://schemas.openxmlformats.org/officeDocument/2006/relationships/hyperlink" Target="https://www.sec.gov/ix?doc=/Archives/edgar/data/858877/000085887722000013/csco-20220730.htm" TargetMode="External"/><Relationship Id="rId80" Type="http://schemas.openxmlformats.org/officeDocument/2006/relationships/hyperlink" Target="https://www.sec.gov/ix?doc=/Archives/edgar/data/858877/000085887722000013/csco-20220730.htm" TargetMode="External"/><Relationship Id="rId155" Type="http://schemas.openxmlformats.org/officeDocument/2006/relationships/hyperlink" Target="https://www.sec.gov/ix?doc=/Archives/edgar/data/858877/000085887722000013/csco-20220730.htm" TargetMode="External"/><Relationship Id="rId176" Type="http://schemas.openxmlformats.org/officeDocument/2006/relationships/hyperlink" Target="https://www.sec.gov/ix?doc=/Archives/edgar/data/858877/000085887722000013/csco-20220730.htm" TargetMode="External"/><Relationship Id="rId197" Type="http://schemas.openxmlformats.org/officeDocument/2006/relationships/hyperlink" Target="https://www.sec.gov/Archives/edgar/data/858877/000085887721000004/exh107esppq221.htm" TargetMode="External"/><Relationship Id="rId201" Type="http://schemas.openxmlformats.org/officeDocument/2006/relationships/hyperlink" Target="https://www.sec.gov/Archives/edgar/data/858877/000119312521162081/d461773dex101.htm" TargetMode="External"/><Relationship Id="rId17" Type="http://schemas.openxmlformats.org/officeDocument/2006/relationships/hyperlink" Target="https://www.sec.gov/ix?doc=/Archives/edgar/data/858877/000085887722000013/csco-20220730.htm" TargetMode="External"/><Relationship Id="rId38" Type="http://schemas.openxmlformats.org/officeDocument/2006/relationships/hyperlink" Target="https://www.sec.gov/ix?doc=/Archives/edgar/data/858877/000085887722000013/csco-20220730.htm" TargetMode="External"/><Relationship Id="rId59" Type="http://schemas.openxmlformats.org/officeDocument/2006/relationships/hyperlink" Target="https://www.sec.gov/ix?doc=/Archives/edgar/data/858877/000085887722000013/csco-20220730.htm" TargetMode="External"/><Relationship Id="rId103" Type="http://schemas.openxmlformats.org/officeDocument/2006/relationships/hyperlink" Target="https://www.sec.gov/ix?doc=/Archives/edgar/data/858877/000085887722000013/csco-20220730.htm" TargetMode="External"/><Relationship Id="rId124" Type="http://schemas.openxmlformats.org/officeDocument/2006/relationships/hyperlink" Target="https://www.sec.gov/ix?doc=/Archives/edgar/data/858877/000085887722000013/csco-20220730.htm" TargetMode="External"/><Relationship Id="rId70" Type="http://schemas.openxmlformats.org/officeDocument/2006/relationships/hyperlink" Target="https://www.sec.gov/ix?doc=/Archives/edgar/data/858877/000085887722000013/csco-20220730.htm" TargetMode="External"/><Relationship Id="rId91" Type="http://schemas.openxmlformats.org/officeDocument/2006/relationships/hyperlink" Target="https://www.sec.gov/ix?doc=/Archives/edgar/data/858877/000085887722000013/csco-20220730.htm" TargetMode="External"/><Relationship Id="rId145" Type="http://schemas.openxmlformats.org/officeDocument/2006/relationships/hyperlink" Target="https://www.sec.gov/ix?doc=/Archives/edgar/data/858877/000085887722000013/csco-20220730.htm" TargetMode="External"/><Relationship Id="rId166" Type="http://schemas.openxmlformats.org/officeDocument/2006/relationships/hyperlink" Target="https://www.sec.gov/ix?doc=/Archives/edgar/data/858877/000085887722000013/csco-20220730.htm" TargetMode="External"/><Relationship Id="rId187" Type="http://schemas.openxmlformats.org/officeDocument/2006/relationships/hyperlink" Target="https://www.sec.gov/Archives/edgar/data/858877/000085887721000004/exh42supplementalindenture.htm" TargetMode="External"/><Relationship Id="rId1" Type="http://schemas.openxmlformats.org/officeDocument/2006/relationships/styles" Target="styles.xml"/><Relationship Id="rId212" Type="http://schemas.openxmlformats.org/officeDocument/2006/relationships/hyperlink" Target="https://www.sec.gov/Archives/edgar/data/858877/000085887722000013/exh322section1350certifica.htm" TargetMode="External"/><Relationship Id="rId28" Type="http://schemas.openxmlformats.org/officeDocument/2006/relationships/hyperlink" Target="https://www.sec.gov/ix?doc=/Archives/edgar/data/858877/000085887722000013/csco-20220730.htm" TargetMode="External"/><Relationship Id="rId49" Type="http://schemas.openxmlformats.org/officeDocument/2006/relationships/hyperlink" Target="https://www.sec.gov/ix?doc=/Archives/edgar/data/858877/000085887722000013/csco-20220730.htm" TargetMode="External"/><Relationship Id="rId114" Type="http://schemas.openxmlformats.org/officeDocument/2006/relationships/hyperlink" Target="https://www.sec.gov/ix?doc=/Archives/edgar/data/858877/000085887722000013/csco-20220730.htm" TargetMode="External"/><Relationship Id="rId60" Type="http://schemas.openxmlformats.org/officeDocument/2006/relationships/hyperlink" Target="https://www.sec.gov/ix?doc=/Archives/edgar/data/858877/000085887722000013/csco-20220730.htm" TargetMode="External"/><Relationship Id="rId81" Type="http://schemas.openxmlformats.org/officeDocument/2006/relationships/hyperlink" Target="https://www.sec.gov/ix?doc=/Archives/edgar/data/858877/000085887722000013/csco-20220730.htm" TargetMode="External"/><Relationship Id="rId135" Type="http://schemas.openxmlformats.org/officeDocument/2006/relationships/hyperlink" Target="https://www.sec.gov/ix?doc=/Archives/edgar/data/858877/000085887722000013/csco-20220730.htm" TargetMode="External"/><Relationship Id="rId156" Type="http://schemas.openxmlformats.org/officeDocument/2006/relationships/hyperlink" Target="https://www.sec.gov/ix?doc=/Archives/edgar/data/858877/000085887722000013/csco-20220730.htm" TargetMode="External"/><Relationship Id="rId177" Type="http://schemas.openxmlformats.org/officeDocument/2006/relationships/hyperlink" Target="https://www.sec.gov/ix?doc=/Archives/edgar/data/858877/000085887722000013/csco-20220730.htm" TargetMode="External"/><Relationship Id="rId198" Type="http://schemas.openxmlformats.org/officeDocument/2006/relationships/hyperlink" Target="https://www.sec.gov/Archives/edgar/data/858877/000085887721000004/exh106dcpasamendedq221.htm" TargetMode="External"/><Relationship Id="rId202" Type="http://schemas.openxmlformats.org/officeDocument/2006/relationships/hyperlink" Target="http://www.sec.gov/Archives/edgar/data/858877/000119312511042813/dex101.htm" TargetMode="External"/><Relationship Id="rId18" Type="http://schemas.openxmlformats.org/officeDocument/2006/relationships/hyperlink" Target="https://www.sec.gov/ix?doc=/Archives/edgar/data/858877/000085887722000013/csco-20220730.htm" TargetMode="External"/><Relationship Id="rId39" Type="http://schemas.openxmlformats.org/officeDocument/2006/relationships/hyperlink" Target="https://www.sec.gov/ix?doc=/Archives/edgar/data/858877/000085887722000013/csco-20220730.htm" TargetMode="External"/><Relationship Id="rId50" Type="http://schemas.openxmlformats.org/officeDocument/2006/relationships/hyperlink" Target="https://www.sec.gov/ix?doc=/Archives/edgar/data/858877/000085887722000013/csco-20220730.htm" TargetMode="External"/><Relationship Id="rId104" Type="http://schemas.openxmlformats.org/officeDocument/2006/relationships/hyperlink" Target="https://www.sec.gov/ix?doc=/Archives/edgar/data/858877/000085887722000013/csco-20220730.htm" TargetMode="External"/><Relationship Id="rId125" Type="http://schemas.openxmlformats.org/officeDocument/2006/relationships/hyperlink" Target="https://www.sec.gov/ix?doc=/Archives/edgar/data/858877/000085887722000013/csco-20220730.htm" TargetMode="External"/><Relationship Id="rId146" Type="http://schemas.openxmlformats.org/officeDocument/2006/relationships/hyperlink" Target="https://www.sec.gov/ix?doc=/Archives/edgar/data/858877/000085887722000013/csco-20220730.htm" TargetMode="External"/><Relationship Id="rId167" Type="http://schemas.openxmlformats.org/officeDocument/2006/relationships/hyperlink" Target="https://www.sec.gov/ix?doc=/Archives/edgar/data/858877/000085887722000013/csco-20220730.htm" TargetMode="External"/><Relationship Id="rId188" Type="http://schemas.openxmlformats.org/officeDocument/2006/relationships/hyperlink" Target="https://www.sec.gov/Archives/edgar/data/858877/000085887721000004/exh43supplementalindenture.htm" TargetMode="External"/><Relationship Id="rId71" Type="http://schemas.openxmlformats.org/officeDocument/2006/relationships/hyperlink" Target="https://www.sec.gov/ix?doc=/Archives/edgar/data/858877/000085887722000013/csco-20220730.htm" TargetMode="External"/><Relationship Id="rId92" Type="http://schemas.openxmlformats.org/officeDocument/2006/relationships/hyperlink" Target="https://www.sec.gov/ix?doc=/Archives/edgar/data/858877/000085887722000013/csco-20220730.htm" TargetMode="External"/><Relationship Id="rId21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www.sec.gov/ix?doc=/Archives/edgar/data/858877/000085887722000013/csco-20220730.htm" TargetMode="External"/><Relationship Id="rId40" Type="http://schemas.openxmlformats.org/officeDocument/2006/relationships/hyperlink" Target="https://www.sec.gov/ix?doc=/Archives/edgar/data/858877/000085887722000013/csco-20220730.htm" TargetMode="External"/><Relationship Id="rId115" Type="http://schemas.openxmlformats.org/officeDocument/2006/relationships/hyperlink" Target="https://www.sec.gov/ix?doc=/Archives/edgar/data/858877/000085887722000013/csco-20220730.htm" TargetMode="External"/><Relationship Id="rId136" Type="http://schemas.openxmlformats.org/officeDocument/2006/relationships/hyperlink" Target="https://www.sec.gov/ix?doc=/Archives/edgar/data/858877/000085887722000013/csco-20220730.htm" TargetMode="External"/><Relationship Id="rId157" Type="http://schemas.openxmlformats.org/officeDocument/2006/relationships/hyperlink" Target="https://www.sec.gov/ix?doc=/Archives/edgar/data/858877/000085887722000013/csco-20220730.htm" TargetMode="External"/><Relationship Id="rId178" Type="http://schemas.openxmlformats.org/officeDocument/2006/relationships/hyperlink" Target="https://www.sec.gov/ix?doc=/Archives/edgar/data/858877/000085887722000013/csco-20220730.htm" TargetMode="External"/><Relationship Id="rId61" Type="http://schemas.openxmlformats.org/officeDocument/2006/relationships/hyperlink" Target="https://www.sec.gov/ix?doc=/Archives/edgar/data/858877/000085887722000013/csco-20220730.htm" TargetMode="External"/><Relationship Id="rId82" Type="http://schemas.openxmlformats.org/officeDocument/2006/relationships/hyperlink" Target="https://www.sec.gov/ix?doc=/Archives/edgar/data/858877/000085887722000013/csco-20220730.htm" TargetMode="External"/><Relationship Id="rId199" Type="http://schemas.openxmlformats.org/officeDocument/2006/relationships/hyperlink" Target="http://www.sec.gov/Archives/edgar/data/858877/000119312517367515/d468248dex102.htm" TargetMode="External"/><Relationship Id="rId203" Type="http://schemas.openxmlformats.org/officeDocument/2006/relationships/hyperlink" Target="http://www.sec.gov/Archives/edgar/data/858877/000119312511042813/dex1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68278</Words>
  <Characters>389187</Characters>
  <Application>Microsoft Office Word</Application>
  <DocSecurity>0</DocSecurity>
  <Lines>3243</Lines>
  <Paragraphs>913</Paragraphs>
  <ScaleCrop>false</ScaleCrop>
  <Company/>
  <LinksUpToDate>false</LinksUpToDate>
  <CharactersWithSpaces>456552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2023-02-11T02:07:00Z</dcterms:created>
  <dcterms:modified xsi:type="dcterms:W3CDTF">2023-02-13T13:02:00Z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ADAF554B6575170EFC87E6635F1893E4</vt:lpwstr>
  </property>
</Properties>
</file>