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64763">
      <w:pPr>
        <w:divId w:val="1142579748"/>
        <w:rPr>
          <w:rFonts w:eastAsia="Times New Roman"/>
          <w:vanish/>
          <w:sz w:val="20"/>
          <w:szCs w:val="20"/>
        </w:rPr>
      </w:pPr>
      <w:r>
        <w:rPr>
          <w:rFonts w:eastAsia="Times New Roman"/>
          <w:vanish/>
          <w:sz w:val="20"/>
          <w:szCs w:val="20"/>
        </w:rPr>
        <w:t xml:space="preserve">0001393548 false 2021 FY 0001393548 2020-10-01 2021-09-30 0001393548 2021-03-31 0001393548 2022-01-15 0001393548 2021-09-30 0001393548 2020-09-30 0001393548 us-gaap:SeriesAPreferredStockMember 2021-09-30 0001393548 </w:t>
      </w:r>
      <w:r>
        <w:rPr>
          <w:rFonts w:eastAsia="Times New Roman"/>
          <w:vanish/>
          <w:sz w:val="20"/>
          <w:szCs w:val="20"/>
        </w:rPr>
        <w:t>us-gaap:SeriesAPreferredStockMember 2020-09-30 0001393548 2019-10-01 2020-09-30 0001393548 us-gaap:CommonStockMember 2019-09-30 0001393548 CLIS:CommonStockIssuableMember 2019-09-30 0001393548 us-gaap:AdditionalPaidInCapitalMember 2019-09-30 0001393548 us-g</w:t>
      </w:r>
      <w:r>
        <w:rPr>
          <w:rFonts w:eastAsia="Times New Roman"/>
          <w:vanish/>
          <w:sz w:val="20"/>
          <w:szCs w:val="20"/>
        </w:rPr>
        <w:t>aap:RetainedEarningsMember 2019-09-30 0001393548 2019-09-30 0001393548 us-gaap:CommonStockMember 2020-09-30 0001393548 CLIS:CommonStockIssuableMember 2020-09-30 0001393548 us-gaap:AdditionalPaidInCapitalMember 2020-09-30 0001393548 us-gaap:RetainedEarnings</w:t>
      </w:r>
      <w:r>
        <w:rPr>
          <w:rFonts w:eastAsia="Times New Roman"/>
          <w:vanish/>
          <w:sz w:val="20"/>
          <w:szCs w:val="20"/>
        </w:rPr>
        <w:t>Member 2020-09-30 0001393548 us-gaap:CommonStockMember 2019-10-01 2020-09-30 0001393548 CLIS:CommonStockIssuableMember 2019-10-01 2020-09-30 0001393548 us-gaap:AdditionalPaidInCapitalMember 2019-10-01 2020-09-30 0001393548 us-gaap:RetainedEarningsMember 20</w:t>
      </w:r>
      <w:r>
        <w:rPr>
          <w:rFonts w:eastAsia="Times New Roman"/>
          <w:vanish/>
          <w:sz w:val="20"/>
          <w:szCs w:val="20"/>
        </w:rPr>
        <w:t xml:space="preserve">19-10-01 2020-09-30 0001393548 us-gaap:CommonStockMember 2020-10-01 2021-09-30 0001393548 CLIS:CommonStockIssuableMember 2020-10-01 2021-09-30 0001393548 us-gaap:AdditionalPaidInCapitalMember 2020-10-01 2021-09-30 0001393548 us-gaap:RetainedEarningsMember </w:t>
      </w:r>
      <w:r>
        <w:rPr>
          <w:rFonts w:eastAsia="Times New Roman"/>
          <w:vanish/>
          <w:sz w:val="20"/>
          <w:szCs w:val="20"/>
        </w:rPr>
        <w:t>2020-10-01 2021-09-30 0001393548 us-gaap:CommonStockMember 2021-09-30 0001393548 CLIS:CommonStockIssuableMember 2021-09-30 0001393548 us-gaap:AdditionalPaidInCapitalMember 2021-09-30 0001393548 us-gaap:RetainedEarningsMember 2021-09-30 0001393548 CLIS:Clic</w:t>
      </w:r>
      <w:r>
        <w:rPr>
          <w:rFonts w:eastAsia="Times New Roman"/>
          <w:vanish/>
          <w:sz w:val="20"/>
          <w:szCs w:val="20"/>
        </w:rPr>
        <w:t>kstreamCorporationMember 2020-10-01 2021-09-30 0001393548 CLIS:NebulaSoftwareCorp.Member 2020-10-01 2021-09-30 0001393548 CLIS:RebelBlockchainIncMember 2020-10-01 2021-09-30 0001393548 us-gaap:SeriesAPreferredStockMember 2020-10-01 2021-09-30 0001393548 us</w:t>
      </w:r>
      <w:r>
        <w:rPr>
          <w:rFonts w:eastAsia="Times New Roman"/>
          <w:vanish/>
          <w:sz w:val="20"/>
          <w:szCs w:val="20"/>
        </w:rPr>
        <w:t>-gaap:SeriesAPreferredStockMember 2019-10-01 2020-09-30 0001393548 CLIS:WinnersIncMember 2020-09-30 0001393548 2021-09-07 0001393548 2021-09-08 2021-09-30 0001393548 us-gaap:InvesteeMember 2020-10-01 2021-09-30 iso4217:USD xbrli:shares iso4217:USD xbrli:sh</w:t>
      </w:r>
      <w:r>
        <w:rPr>
          <w:rFonts w:eastAsia="Times New Roman"/>
          <w:vanish/>
          <w:sz w:val="20"/>
          <w:szCs w:val="20"/>
        </w:rPr>
        <w:t xml:space="preserve">ares xbrli:pure </w:t>
      </w:r>
    </w:p>
    <w:p w:rsidR="00000000" w:rsidRDefault="00B64763">
      <w:pPr>
        <w:divId w:val="876815244"/>
        <w:rPr>
          <w:rFonts w:eastAsia="Times New Roman"/>
          <w:sz w:val="2"/>
          <w:szCs w:val="2"/>
        </w:rPr>
      </w:pPr>
      <w:r>
        <w:rPr>
          <w:rFonts w:eastAsia="Times New Roman"/>
          <w:sz w:val="2"/>
          <w:szCs w:val="2"/>
        </w:rPr>
        <w:t> </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sz w:val="28"/>
          <w:szCs w:val="28"/>
        </w:rPr>
        <w:t>UNITED STATES</w:t>
      </w:r>
    </w:p>
    <w:p w:rsidR="00000000" w:rsidRDefault="00B64763">
      <w:pPr>
        <w:pStyle w:val="a3"/>
        <w:spacing w:before="0" w:beforeAutospacing="0" w:after="0" w:afterAutospacing="0"/>
        <w:jc w:val="center"/>
        <w:rPr>
          <w:sz w:val="20"/>
          <w:szCs w:val="20"/>
        </w:rPr>
      </w:pPr>
      <w:r>
        <w:rPr>
          <w:b/>
          <w:bCs/>
          <w:sz w:val="28"/>
          <w:szCs w:val="28"/>
        </w:rPr>
        <w:t>SECURITIES AND EXCHANGE COMMISSION</w:t>
      </w:r>
    </w:p>
    <w:p w:rsidR="00000000" w:rsidRDefault="00B64763">
      <w:pPr>
        <w:pStyle w:val="a3"/>
        <w:spacing w:before="0" w:beforeAutospacing="0" w:after="0" w:afterAutospacing="0"/>
        <w:jc w:val="center"/>
        <w:rPr>
          <w:sz w:val="20"/>
          <w:szCs w:val="20"/>
        </w:rPr>
      </w:pPr>
      <w:r>
        <w:rPr>
          <w:b/>
          <w:bCs/>
        </w:rPr>
        <w:t>Washington, D.C. 20549</w:t>
      </w:r>
    </w:p>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K</w:t>
      </w:r>
    </w:p>
    <w:p w:rsidR="00000000" w:rsidRDefault="00B6476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B64763">
            <w:pPr>
              <w:rPr>
                <w:rFonts w:eastAsia="Times New Roman"/>
                <w:sz w:val="20"/>
                <w:szCs w:val="20"/>
              </w:rPr>
            </w:pPr>
            <w:r>
              <w:rPr>
                <w:rFonts w:ascii="Segoe UI Symbol" w:eastAsia="Times New Roman" w:hAnsi="Segoe UI Symbol" w:cs="Segoe UI Symbol"/>
                <w:b/>
                <w:bCs/>
              </w:rPr>
              <w:t>☒</w:t>
            </w:r>
          </w:p>
        </w:tc>
        <w:tc>
          <w:tcPr>
            <w:tcW w:w="0" w:type="auto"/>
            <w:vAlign w:val="center"/>
            <w:hideMark/>
          </w:tcPr>
          <w:p w:rsidR="00000000" w:rsidRDefault="00B64763">
            <w:pPr>
              <w:jc w:val="both"/>
              <w:rPr>
                <w:rFonts w:eastAsia="Times New Roman"/>
                <w:sz w:val="20"/>
                <w:szCs w:val="20"/>
              </w:rPr>
            </w:pPr>
            <w:r>
              <w:rPr>
                <w:rFonts w:eastAsia="Times New Roman"/>
                <w:b/>
                <w:bCs/>
              </w:rPr>
              <w:t xml:space="preserve">ANNUAL REPORT PURSUANT TO SECTION 13 OR 15(d) OF THE SECURITIES EXCHANGE ACT OF 1934 </w:t>
            </w:r>
          </w:p>
        </w:tc>
      </w:tr>
      <w:tr w:rsidR="00000000">
        <w:tc>
          <w:tcPr>
            <w:tcW w:w="0" w:type="auto"/>
            <w:hideMark/>
          </w:tcPr>
          <w:p w:rsidR="00000000" w:rsidRDefault="00B64763">
            <w:pPr>
              <w:rPr>
                <w:rFonts w:eastAsia="Times New Roman"/>
                <w:sz w:val="20"/>
                <w:szCs w:val="20"/>
              </w:rPr>
            </w:pPr>
            <w:r>
              <w:rPr>
                <w:rFonts w:eastAsia="Times New Roman"/>
                <w:b/>
                <w:bCs/>
              </w:rPr>
              <w:t> </w:t>
            </w:r>
          </w:p>
        </w:tc>
        <w:tc>
          <w:tcPr>
            <w:tcW w:w="0" w:type="auto"/>
            <w:vAlign w:val="center"/>
            <w:hideMark/>
          </w:tcPr>
          <w:p w:rsidR="00000000" w:rsidRDefault="00B64763">
            <w:pPr>
              <w:jc w:val="both"/>
              <w:rPr>
                <w:rFonts w:eastAsia="Times New Roman"/>
                <w:sz w:val="20"/>
                <w:szCs w:val="20"/>
              </w:rPr>
            </w:pPr>
            <w:r>
              <w:rPr>
                <w:rFonts w:eastAsia="Times New Roman"/>
                <w:b/>
                <w:bCs/>
              </w:rPr>
              <w:t> </w:t>
            </w:r>
          </w:p>
        </w:tc>
      </w:tr>
      <w:tr w:rsidR="00000000">
        <w:tc>
          <w:tcPr>
            <w:tcW w:w="0" w:type="auto"/>
            <w:hideMark/>
          </w:tcPr>
          <w:p w:rsidR="00000000" w:rsidRDefault="00B64763">
            <w:pPr>
              <w:rPr>
                <w:rFonts w:eastAsia="Times New Roman"/>
                <w:sz w:val="20"/>
                <w:szCs w:val="20"/>
              </w:rPr>
            </w:pPr>
            <w:r>
              <w:rPr>
                <w:rFonts w:ascii="Segoe UI Symbol" w:eastAsia="Times New Roman" w:hAnsi="Segoe UI Symbol" w:cs="Segoe UI Symbol"/>
                <w:b/>
                <w:bCs/>
              </w:rPr>
              <w:t>☐</w:t>
            </w:r>
          </w:p>
        </w:tc>
        <w:tc>
          <w:tcPr>
            <w:tcW w:w="0" w:type="auto"/>
            <w:vAlign w:val="center"/>
            <w:hideMark/>
          </w:tcPr>
          <w:p w:rsidR="00000000" w:rsidRDefault="00B64763">
            <w:pPr>
              <w:jc w:val="both"/>
              <w:rPr>
                <w:rFonts w:eastAsia="Times New Roman"/>
                <w:sz w:val="20"/>
                <w:szCs w:val="20"/>
              </w:rPr>
            </w:pPr>
            <w:r>
              <w:rPr>
                <w:rFonts w:eastAsia="Times New Roman"/>
                <w:b/>
                <w:bCs/>
              </w:rPr>
              <w:t>TRANSITION REPORT PURSUANT TO SECTION 13 OR 15(d) OF</w:t>
            </w:r>
            <w:r>
              <w:rPr>
                <w:rFonts w:eastAsia="Times New Roman"/>
                <w:b/>
                <w:bCs/>
              </w:rPr>
              <w:t xml:space="preserve"> THE SECURITIES EXCHANGE ACT OF 1934 </w:t>
            </w:r>
          </w:p>
        </w:tc>
      </w:tr>
    </w:tbl>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sz w:val="20"/>
          <w:szCs w:val="20"/>
        </w:rPr>
        <w:t>For the fiscal year ended:</w:t>
      </w:r>
      <w:r>
        <w:rPr>
          <w:b/>
          <w:bCs/>
          <w:sz w:val="20"/>
          <w:szCs w:val="20"/>
        </w:rPr>
        <w:t xml:space="preserve"> </w:t>
      </w:r>
      <w:r>
        <w:rPr>
          <w:b/>
          <w:bCs/>
          <w:sz w:val="20"/>
          <w:szCs w:val="20"/>
        </w:rPr>
        <w:t>September 3</w:t>
      </w:r>
      <w:r>
        <w:rPr>
          <w:b/>
          <w:bCs/>
          <w:sz w:val="20"/>
          <w:szCs w:val="20"/>
        </w:rPr>
        <w:t>0</w:t>
      </w:r>
      <w:r>
        <w:rPr>
          <w:b/>
          <w:bCs/>
          <w:sz w:val="20"/>
          <w:szCs w:val="20"/>
        </w:rPr>
        <w:t>, 202</w:t>
      </w:r>
      <w:r>
        <w:rPr>
          <w:b/>
          <w:bCs/>
          <w:sz w:val="20"/>
          <w:szCs w:val="20"/>
        </w:rPr>
        <w:t>1</w:t>
      </w:r>
    </w:p>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sz w:val="20"/>
          <w:szCs w:val="20"/>
        </w:rPr>
        <w:t>For the transition period from _________ to _________</w:t>
      </w:r>
    </w:p>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000-5294</w:t>
      </w:r>
      <w:r>
        <w:rPr>
          <w:b/>
          <w:bCs/>
          <w:sz w:val="20"/>
          <w:szCs w:val="20"/>
        </w:rPr>
        <w:t>4</w:t>
      </w:r>
    </w:p>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sz w:val="48"/>
          <w:szCs w:val="48"/>
        </w:rPr>
        <w:t>Clickstream Corporatio</w:t>
      </w:r>
      <w:r>
        <w:rPr>
          <w:b/>
          <w:bCs/>
          <w:sz w:val="48"/>
          <w:szCs w:val="48"/>
        </w:rPr>
        <w:t>n</w:t>
      </w:r>
    </w:p>
    <w:p w:rsidR="00000000" w:rsidRDefault="00B64763">
      <w:pPr>
        <w:pStyle w:val="a3"/>
        <w:spacing w:before="0" w:beforeAutospacing="0" w:after="0" w:afterAutospacing="0"/>
        <w:jc w:val="center"/>
        <w:rPr>
          <w:sz w:val="20"/>
          <w:szCs w:val="20"/>
        </w:rPr>
      </w:pPr>
      <w:r>
        <w:rPr>
          <w:sz w:val="20"/>
          <w:szCs w:val="20"/>
        </w:rPr>
        <w:t> </w:t>
      </w:r>
      <w:r>
        <w:rPr>
          <w:b/>
          <w:bCs/>
          <w:sz w:val="20"/>
          <w:szCs w:val="20"/>
        </w:rPr>
        <w:t xml:space="preserve">(Exact </w:t>
      </w:r>
      <w:r>
        <w:rPr>
          <w:b/>
          <w:bCs/>
          <w:sz w:val="20"/>
          <w:szCs w:val="20"/>
        </w:rPr>
        <w:t>name of registrant as specified in its charter)</w:t>
      </w:r>
    </w:p>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sz w:val="20"/>
          <w:szCs w:val="20"/>
        </w:rPr>
        <w:t>Nevad</w:t>
      </w:r>
      <w:r>
        <w:rPr>
          <w:b/>
          <w:bCs/>
          <w:sz w:val="20"/>
          <w:szCs w:val="20"/>
        </w:rPr>
        <w:t>a</w:t>
      </w:r>
    </w:p>
    <w:p w:rsidR="00000000" w:rsidRDefault="00B64763">
      <w:pPr>
        <w:pStyle w:val="a3"/>
        <w:spacing w:before="0" w:beforeAutospacing="0" w:after="0" w:afterAutospacing="0"/>
        <w:jc w:val="center"/>
        <w:rPr>
          <w:sz w:val="20"/>
          <w:szCs w:val="20"/>
        </w:rPr>
      </w:pPr>
      <w:r>
        <w:rPr>
          <w:b/>
          <w:bCs/>
          <w:sz w:val="20"/>
          <w:szCs w:val="20"/>
        </w:rPr>
        <w:t>(State or other jurisdiction of</w:t>
      </w:r>
    </w:p>
    <w:p w:rsidR="00000000" w:rsidRDefault="00B64763">
      <w:pPr>
        <w:pStyle w:val="a3"/>
        <w:spacing w:before="0" w:beforeAutospacing="0" w:after="0" w:afterAutospacing="0"/>
        <w:jc w:val="center"/>
        <w:rPr>
          <w:sz w:val="20"/>
          <w:szCs w:val="20"/>
        </w:rPr>
      </w:pPr>
      <w:r>
        <w:rPr>
          <w:sz w:val="20"/>
          <w:szCs w:val="20"/>
        </w:rPr>
        <w:t> </w:t>
      </w:r>
      <w:r>
        <w:rPr>
          <w:b/>
          <w:bCs/>
          <w:sz w:val="20"/>
          <w:szCs w:val="20"/>
        </w:rPr>
        <w:t>incorporation or organization)</w:t>
      </w:r>
    </w:p>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sz w:val="20"/>
          <w:szCs w:val="20"/>
        </w:rPr>
        <w:t>46-558224</w:t>
      </w:r>
      <w:r>
        <w:rPr>
          <w:b/>
          <w:bCs/>
          <w:sz w:val="20"/>
          <w:szCs w:val="20"/>
        </w:rPr>
        <w:t>3</w:t>
      </w:r>
      <w:r>
        <w:rPr>
          <w:sz w:val="20"/>
          <w:szCs w:val="20"/>
        </w:rPr>
        <w:t> </w:t>
      </w:r>
    </w:p>
    <w:p w:rsidR="00000000" w:rsidRDefault="00B64763">
      <w:pPr>
        <w:pStyle w:val="a3"/>
        <w:spacing w:before="0" w:beforeAutospacing="0" w:after="0" w:afterAutospacing="0"/>
        <w:jc w:val="center"/>
        <w:rPr>
          <w:sz w:val="20"/>
          <w:szCs w:val="20"/>
        </w:rPr>
      </w:pPr>
      <w:r>
        <w:rPr>
          <w:b/>
          <w:bCs/>
          <w:sz w:val="20"/>
          <w:szCs w:val="20"/>
        </w:rPr>
        <w:t>(I.R.S. Employer</w:t>
      </w:r>
    </w:p>
    <w:p w:rsidR="00000000" w:rsidRDefault="00B64763">
      <w:pPr>
        <w:pStyle w:val="a3"/>
        <w:spacing w:before="0" w:beforeAutospacing="0" w:after="0" w:afterAutospacing="0"/>
        <w:jc w:val="center"/>
        <w:rPr>
          <w:sz w:val="20"/>
          <w:szCs w:val="20"/>
        </w:rPr>
      </w:pPr>
      <w:r>
        <w:rPr>
          <w:b/>
          <w:bCs/>
          <w:sz w:val="20"/>
          <w:szCs w:val="20"/>
        </w:rPr>
        <w:t>Identification No.)</w:t>
      </w:r>
    </w:p>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sz w:val="20"/>
          <w:szCs w:val="20"/>
        </w:rPr>
        <w:t>8549 Wilshire Boulevar</w:t>
      </w:r>
      <w:r>
        <w:rPr>
          <w:b/>
          <w:bCs/>
          <w:sz w:val="20"/>
          <w:szCs w:val="20"/>
        </w:rPr>
        <w:t>d</w:t>
      </w:r>
      <w:r>
        <w:rPr>
          <w:b/>
          <w:bCs/>
          <w:sz w:val="20"/>
          <w:szCs w:val="20"/>
        </w:rPr>
        <w:t>,</w:t>
      </w:r>
      <w:r>
        <w:rPr>
          <w:b/>
          <w:bCs/>
          <w:sz w:val="20"/>
          <w:szCs w:val="20"/>
        </w:rPr>
        <w:t xml:space="preserve"> </w:t>
      </w:r>
      <w:r>
        <w:rPr>
          <w:b/>
          <w:bCs/>
          <w:sz w:val="20"/>
          <w:szCs w:val="20"/>
        </w:rPr>
        <w:t>Suite 218</w:t>
      </w:r>
      <w:r>
        <w:rPr>
          <w:b/>
          <w:bCs/>
          <w:sz w:val="20"/>
          <w:szCs w:val="20"/>
        </w:rPr>
        <w:t>1</w:t>
      </w:r>
      <w:r>
        <w:rPr>
          <w:b/>
          <w:bCs/>
          <w:sz w:val="20"/>
          <w:szCs w:val="20"/>
        </w:rPr>
        <w:t>,</w:t>
      </w:r>
      <w:r>
        <w:rPr>
          <w:b/>
          <w:bCs/>
          <w:sz w:val="20"/>
          <w:szCs w:val="20"/>
        </w:rPr>
        <w:t xml:space="preserve"> </w:t>
      </w:r>
      <w:r>
        <w:rPr>
          <w:b/>
          <w:bCs/>
          <w:sz w:val="20"/>
          <w:szCs w:val="20"/>
        </w:rPr>
        <w:t>Beverly Hill</w:t>
      </w:r>
      <w:r>
        <w:rPr>
          <w:b/>
          <w:bCs/>
          <w:sz w:val="20"/>
          <w:szCs w:val="20"/>
        </w:rPr>
        <w:t>s</w:t>
      </w:r>
      <w:r>
        <w:rPr>
          <w:b/>
          <w:bCs/>
          <w:sz w:val="20"/>
          <w:szCs w:val="20"/>
        </w:rPr>
        <w:t>,</w:t>
      </w:r>
      <w:r>
        <w:rPr>
          <w:b/>
          <w:bCs/>
          <w:sz w:val="20"/>
          <w:szCs w:val="20"/>
        </w:rPr>
        <w:t xml:space="preserve"> </w:t>
      </w:r>
      <w:r>
        <w:rPr>
          <w:b/>
          <w:bCs/>
          <w:sz w:val="20"/>
          <w:szCs w:val="20"/>
        </w:rPr>
        <w:t>C</w:t>
      </w:r>
      <w:r>
        <w:rPr>
          <w:b/>
          <w:bCs/>
          <w:sz w:val="20"/>
          <w:szCs w:val="20"/>
        </w:rPr>
        <w:t>A</w:t>
      </w:r>
      <w:r>
        <w:rPr>
          <w:b/>
          <w:bCs/>
          <w:sz w:val="20"/>
          <w:szCs w:val="20"/>
        </w:rPr>
        <w:t xml:space="preserve"> </w:t>
      </w:r>
      <w:r>
        <w:rPr>
          <w:b/>
          <w:bCs/>
          <w:sz w:val="20"/>
          <w:szCs w:val="20"/>
        </w:rPr>
        <w:t>9021</w:t>
      </w:r>
      <w:r>
        <w:rPr>
          <w:b/>
          <w:bCs/>
          <w:sz w:val="20"/>
          <w:szCs w:val="20"/>
        </w:rPr>
        <w:t>1</w:t>
      </w:r>
    </w:p>
    <w:p w:rsidR="00000000" w:rsidRDefault="00B64763">
      <w:pPr>
        <w:pStyle w:val="a3"/>
        <w:spacing w:before="0" w:beforeAutospacing="0" w:after="0" w:afterAutospacing="0"/>
        <w:jc w:val="center"/>
        <w:rPr>
          <w:sz w:val="20"/>
          <w:szCs w:val="20"/>
        </w:rPr>
      </w:pPr>
      <w:r>
        <w:rPr>
          <w:b/>
          <w:bCs/>
          <w:sz w:val="20"/>
          <w:szCs w:val="20"/>
        </w:rPr>
        <w:t>(</w:t>
      </w:r>
      <w:r>
        <w:rPr>
          <w:b/>
          <w:bCs/>
          <w:sz w:val="20"/>
          <w:szCs w:val="20"/>
        </w:rPr>
        <w:t>21</w:t>
      </w:r>
      <w:r>
        <w:rPr>
          <w:b/>
          <w:bCs/>
          <w:sz w:val="20"/>
          <w:szCs w:val="20"/>
        </w:rPr>
        <w:t>3</w:t>
      </w:r>
      <w:r>
        <w:rPr>
          <w:b/>
          <w:bCs/>
          <w:sz w:val="20"/>
          <w:szCs w:val="20"/>
        </w:rPr>
        <w:t>)</w:t>
      </w:r>
      <w:r>
        <w:rPr>
          <w:b/>
          <w:bCs/>
          <w:sz w:val="20"/>
          <w:szCs w:val="20"/>
        </w:rPr>
        <w:t xml:space="preserve"> </w:t>
      </w:r>
      <w:r>
        <w:rPr>
          <w:b/>
          <w:bCs/>
          <w:sz w:val="20"/>
          <w:szCs w:val="20"/>
        </w:rPr>
        <w:t>205-068</w:t>
      </w:r>
      <w:r>
        <w:rPr>
          <w:b/>
          <w:bCs/>
          <w:sz w:val="20"/>
          <w:szCs w:val="20"/>
        </w:rPr>
        <w:t>4</w:t>
      </w:r>
    </w:p>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sz w:val="20"/>
          <w:szCs w:val="20"/>
        </w:rPr>
        <w:t>Secu</w:t>
      </w:r>
      <w:r>
        <w:rPr>
          <w:b/>
          <w:bCs/>
          <w:sz w:val="20"/>
          <w:szCs w:val="20"/>
        </w:rPr>
        <w:t>rities registered pursuant to Section 12(b) of the Act:</w:t>
      </w:r>
    </w:p>
    <w:p w:rsidR="00000000" w:rsidRDefault="00B64763">
      <w:pPr>
        <w:pStyle w:val="a3"/>
        <w:spacing w:before="0" w:beforeAutospacing="0" w:after="0" w:afterAutospacing="0"/>
        <w:jc w:val="center"/>
        <w:rPr>
          <w:sz w:val="20"/>
          <w:szCs w:val="20"/>
        </w:rPr>
      </w:pPr>
      <w:r>
        <w:rPr>
          <w:b/>
          <w:bCs/>
          <w:sz w:val="20"/>
          <w:szCs w:val="20"/>
        </w:rPr>
        <w:t>None</w:t>
      </w:r>
    </w:p>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sz w:val="20"/>
          <w:szCs w:val="20"/>
        </w:rPr>
        <w:t>Securities registered pursuant to Section 12(g) of the Act:</w:t>
      </w:r>
    </w:p>
    <w:p w:rsidR="00000000" w:rsidRDefault="00B6476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166"/>
        <w:gridCol w:w="2326"/>
        <w:gridCol w:w="166"/>
        <w:gridCol w:w="2907"/>
      </w:tblGrid>
      <w:tr w:rsidR="00000000">
        <w:tc>
          <w:tcPr>
            <w:tcW w:w="1650" w:type="pct"/>
            <w:tcBorders>
              <w:bottom w:val="single" w:sz="8" w:space="0" w:color="000000"/>
            </w:tcBorders>
            <w:hideMark/>
          </w:tcPr>
          <w:p w:rsidR="00000000" w:rsidRDefault="00B64763">
            <w:pPr>
              <w:spacing w:line="276" w:lineRule="auto"/>
              <w:jc w:val="center"/>
              <w:rPr>
                <w:rFonts w:eastAsia="Times New Roman"/>
                <w:sz w:val="20"/>
                <w:szCs w:val="20"/>
              </w:rPr>
            </w:pPr>
            <w:r>
              <w:rPr>
                <w:rFonts w:eastAsia="Times New Roman"/>
                <w:b/>
                <w:bCs/>
                <w:sz w:val="20"/>
                <w:szCs w:val="20"/>
              </w:rPr>
              <w:t>Title of Each Class</w:t>
            </w:r>
          </w:p>
        </w:tc>
        <w:tc>
          <w:tcPr>
            <w:tcW w:w="100" w:type="pct"/>
            <w:tcMar>
              <w:top w:w="0" w:type="dxa"/>
              <w:left w:w="0" w:type="dxa"/>
              <w:bottom w:w="20" w:type="dxa"/>
              <w:right w:w="0" w:type="dxa"/>
            </w:tcMar>
            <w:hideMark/>
          </w:tcPr>
          <w:p w:rsidR="00000000" w:rsidRDefault="00B64763">
            <w:pPr>
              <w:jc w:val="center"/>
              <w:rPr>
                <w:rFonts w:eastAsia="Times New Roman"/>
                <w:sz w:val="20"/>
                <w:szCs w:val="20"/>
              </w:rPr>
            </w:pPr>
            <w:r>
              <w:rPr>
                <w:rFonts w:eastAsia="Times New Roman"/>
                <w:sz w:val="20"/>
                <w:szCs w:val="20"/>
              </w:rPr>
              <w:t> </w:t>
            </w:r>
          </w:p>
        </w:tc>
        <w:tc>
          <w:tcPr>
            <w:tcW w:w="1400" w:type="pct"/>
            <w:tcBorders>
              <w:bottom w:val="single" w:sz="8" w:space="0" w:color="000000"/>
            </w:tcBorders>
            <w:hideMark/>
          </w:tcPr>
          <w:p w:rsidR="00000000" w:rsidRDefault="00B64763">
            <w:pPr>
              <w:spacing w:line="276" w:lineRule="auto"/>
              <w:jc w:val="center"/>
              <w:rPr>
                <w:rFonts w:eastAsia="Times New Roman"/>
                <w:sz w:val="20"/>
                <w:szCs w:val="20"/>
              </w:rPr>
            </w:pPr>
            <w:r>
              <w:rPr>
                <w:rFonts w:eastAsia="Times New Roman"/>
                <w:b/>
                <w:bCs/>
                <w:sz w:val="20"/>
                <w:szCs w:val="20"/>
              </w:rPr>
              <w:t>Trading Symbol</w:t>
            </w:r>
          </w:p>
        </w:tc>
        <w:tc>
          <w:tcPr>
            <w:tcW w:w="100" w:type="pct"/>
            <w:tcMar>
              <w:top w:w="0" w:type="dxa"/>
              <w:left w:w="0" w:type="dxa"/>
              <w:bottom w:w="20" w:type="dxa"/>
              <w:right w:w="0" w:type="dxa"/>
            </w:tcMar>
            <w:hideMark/>
          </w:tcPr>
          <w:p w:rsidR="00000000" w:rsidRDefault="00B64763">
            <w:pPr>
              <w:jc w:val="center"/>
              <w:rPr>
                <w:rFonts w:eastAsia="Times New Roman"/>
                <w:sz w:val="20"/>
                <w:szCs w:val="20"/>
              </w:rPr>
            </w:pPr>
            <w:r>
              <w:rPr>
                <w:rFonts w:eastAsia="Times New Roman"/>
                <w:sz w:val="20"/>
                <w:szCs w:val="20"/>
              </w:rPr>
              <w:t> </w:t>
            </w:r>
          </w:p>
        </w:tc>
        <w:tc>
          <w:tcPr>
            <w:tcW w:w="1750" w:type="pct"/>
            <w:tcBorders>
              <w:bottom w:val="single" w:sz="8" w:space="0" w:color="000000"/>
            </w:tcBorders>
            <w:hideMark/>
          </w:tcPr>
          <w:p w:rsidR="00000000" w:rsidRDefault="00B64763">
            <w:pPr>
              <w:spacing w:line="276" w:lineRule="auto"/>
              <w:jc w:val="center"/>
              <w:rPr>
                <w:rFonts w:eastAsia="Times New Roman"/>
                <w:sz w:val="20"/>
                <w:szCs w:val="20"/>
              </w:rPr>
            </w:pPr>
            <w:r>
              <w:rPr>
                <w:rFonts w:eastAsia="Times New Roman"/>
                <w:b/>
                <w:bCs/>
                <w:sz w:val="20"/>
                <w:szCs w:val="20"/>
              </w:rPr>
              <w:t>Name of Each Exchange on Which Registry</w:t>
            </w:r>
          </w:p>
        </w:tc>
      </w:tr>
      <w:tr w:rsidR="00000000">
        <w:tc>
          <w:tcPr>
            <w:tcW w:w="0" w:type="auto"/>
            <w:hideMark/>
          </w:tcPr>
          <w:p w:rsidR="00000000" w:rsidRDefault="00B64763">
            <w:pPr>
              <w:spacing w:line="276" w:lineRule="auto"/>
              <w:jc w:val="center"/>
              <w:rPr>
                <w:rFonts w:eastAsia="Times New Roman"/>
                <w:sz w:val="20"/>
                <w:szCs w:val="20"/>
              </w:rPr>
            </w:pPr>
            <w:r>
              <w:rPr>
                <w:rFonts w:eastAsia="Times New Roman"/>
                <w:sz w:val="20"/>
                <w:szCs w:val="20"/>
              </w:rPr>
              <w:t>Commo</w:t>
            </w:r>
            <w:r>
              <w:rPr>
                <w:rFonts w:eastAsia="Times New Roman"/>
                <w:sz w:val="20"/>
                <w:szCs w:val="20"/>
              </w:rPr>
              <w:t>n</w:t>
            </w:r>
          </w:p>
        </w:tc>
        <w:tc>
          <w:tcPr>
            <w:tcW w:w="0" w:type="auto"/>
            <w:hideMark/>
          </w:tcPr>
          <w:p w:rsidR="00000000" w:rsidRDefault="00B64763">
            <w:pPr>
              <w:jc w:val="center"/>
              <w:rPr>
                <w:rFonts w:eastAsia="Times New Roman"/>
                <w:sz w:val="20"/>
                <w:szCs w:val="20"/>
              </w:rPr>
            </w:pPr>
            <w:r>
              <w:rPr>
                <w:rFonts w:eastAsia="Times New Roman"/>
                <w:sz w:val="20"/>
                <w:szCs w:val="20"/>
              </w:rPr>
              <w:t> </w:t>
            </w:r>
          </w:p>
        </w:tc>
        <w:tc>
          <w:tcPr>
            <w:tcW w:w="0" w:type="auto"/>
            <w:hideMark/>
          </w:tcPr>
          <w:p w:rsidR="00000000" w:rsidRDefault="00B64763">
            <w:pPr>
              <w:spacing w:line="276" w:lineRule="auto"/>
              <w:jc w:val="center"/>
              <w:rPr>
                <w:rFonts w:eastAsia="Times New Roman"/>
                <w:sz w:val="20"/>
                <w:szCs w:val="20"/>
              </w:rPr>
            </w:pPr>
            <w:r>
              <w:rPr>
                <w:rFonts w:eastAsia="Times New Roman"/>
                <w:sz w:val="20"/>
                <w:szCs w:val="20"/>
              </w:rPr>
              <w:t>CLI</w:t>
            </w:r>
            <w:r>
              <w:rPr>
                <w:rFonts w:eastAsia="Times New Roman"/>
                <w:sz w:val="20"/>
                <w:szCs w:val="20"/>
              </w:rPr>
              <w:t>S</w:t>
            </w:r>
          </w:p>
        </w:tc>
        <w:tc>
          <w:tcPr>
            <w:tcW w:w="0" w:type="auto"/>
            <w:hideMark/>
          </w:tcPr>
          <w:p w:rsidR="00000000" w:rsidRDefault="00B64763">
            <w:pPr>
              <w:jc w:val="center"/>
              <w:rPr>
                <w:rFonts w:eastAsia="Times New Roman"/>
                <w:sz w:val="20"/>
                <w:szCs w:val="20"/>
              </w:rPr>
            </w:pPr>
            <w:r>
              <w:rPr>
                <w:rFonts w:eastAsia="Times New Roman"/>
                <w:sz w:val="20"/>
                <w:szCs w:val="20"/>
              </w:rPr>
              <w:t> </w:t>
            </w:r>
          </w:p>
        </w:tc>
        <w:tc>
          <w:tcPr>
            <w:tcW w:w="0" w:type="auto"/>
            <w:hideMark/>
          </w:tcPr>
          <w:p w:rsidR="00000000" w:rsidRDefault="00B64763">
            <w:pPr>
              <w:spacing w:line="276" w:lineRule="auto"/>
              <w:jc w:val="center"/>
              <w:rPr>
                <w:rFonts w:eastAsia="Times New Roman"/>
                <w:sz w:val="20"/>
                <w:szCs w:val="20"/>
              </w:rPr>
            </w:pPr>
            <w:r>
              <w:rPr>
                <w:rFonts w:eastAsia="Times New Roman"/>
                <w:sz w:val="20"/>
                <w:szCs w:val="20"/>
              </w:rPr>
              <w:t>N/A</w:t>
            </w:r>
          </w:p>
        </w:tc>
      </w:tr>
    </w:tbl>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Indicate </w:t>
      </w:r>
      <w:r>
        <w:rPr>
          <w:sz w:val="20"/>
          <w:szCs w:val="20"/>
        </w:rPr>
        <w:t>by check mark if the registrant is a well-known seasoned issuer, as defined in Rule 405 of the Securities Act. Yes  </w:t>
      </w:r>
      <w:r>
        <w:rPr>
          <w:rFonts w:ascii="Segoe UI Symbol" w:hAnsi="Segoe UI Symbol" w:cs="Segoe UI Symbol"/>
          <w:sz w:val="20"/>
          <w:szCs w:val="20"/>
        </w:rPr>
        <w:t>☐</w:t>
      </w:r>
      <w:r>
        <w:rPr>
          <w:sz w:val="20"/>
          <w:szCs w:val="20"/>
        </w:rPr>
        <w:t> </w:t>
      </w:r>
      <w:r>
        <w:rPr>
          <w:sz w:val="20"/>
          <w:szCs w:val="20"/>
        </w:rPr>
        <w:t> </w:t>
      </w:r>
      <w:r>
        <w:rPr>
          <w:sz w:val="20"/>
          <w:szCs w:val="20"/>
        </w:rPr>
        <w:t>N</w:t>
      </w:r>
      <w:r>
        <w:rPr>
          <w:sz w:val="20"/>
          <w:szCs w:val="20"/>
        </w:rPr>
        <w:t>o</w:t>
      </w:r>
      <w:r>
        <w:rPr>
          <w:sz w:val="20"/>
          <w:szCs w:val="20"/>
        </w:rPr>
        <w:t>  </w:t>
      </w:r>
      <w:r>
        <w:rPr>
          <w:rFonts w:ascii="Segoe UI Symbol" w:hAnsi="Segoe UI Symbol" w:cs="Segoe UI Symbol"/>
          <w:sz w:val="20"/>
          <w:szCs w:val="20"/>
        </w:rPr>
        <w:t>☒</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Indicate </w:t>
      </w:r>
      <w:r>
        <w:rPr>
          <w:sz w:val="20"/>
          <w:szCs w:val="20"/>
        </w:rPr>
        <w:t>by check mark if the registrant is not required to file reports pursuant to Section 13 or Section 15(d) of the Act. Yes  </w:t>
      </w:r>
      <w:r>
        <w:rPr>
          <w:rFonts w:ascii="Segoe UI Symbol" w:hAnsi="Segoe UI Symbol" w:cs="Segoe UI Symbol"/>
          <w:sz w:val="20"/>
          <w:szCs w:val="20"/>
        </w:rPr>
        <w:t>☐</w:t>
      </w:r>
      <w:r>
        <w:rPr>
          <w:sz w:val="20"/>
          <w:szCs w:val="20"/>
        </w:rPr>
        <w:t> </w:t>
      </w:r>
      <w:r>
        <w:rPr>
          <w:sz w:val="20"/>
          <w:szCs w:val="20"/>
        </w:rPr>
        <w:t> </w:t>
      </w:r>
      <w:r>
        <w:rPr>
          <w:sz w:val="20"/>
          <w:szCs w:val="20"/>
        </w:rPr>
        <w:t>N</w:t>
      </w:r>
      <w:r>
        <w:rPr>
          <w:sz w:val="20"/>
          <w:szCs w:val="20"/>
        </w:rPr>
        <w:t>o</w:t>
      </w:r>
      <w:r>
        <w:rPr>
          <w:sz w:val="20"/>
          <w:szCs w:val="20"/>
        </w:rPr>
        <w:t>  </w:t>
      </w:r>
      <w:r>
        <w:rPr>
          <w:rFonts w:ascii="Segoe UI Symbol" w:hAnsi="Segoe UI Symbol" w:cs="Segoe UI Symbol"/>
          <w:sz w:val="20"/>
          <w:szCs w:val="20"/>
        </w:rPr>
        <w:t>☒</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987628992"/>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lastRenderedPageBreak/>
        <w:t>Indicate by check mark whether the registrant (1) has filed all reports required to be filed by Section 13 or 15(d)</w:t>
      </w:r>
      <w:r>
        <w:rPr>
          <w:sz w:val="20"/>
          <w:szCs w:val="20"/>
        </w:rPr>
        <w:t xml:space="preserve"> of the Securities Exchange Act of 1934 during the preceding 12 months (or for such shorter period that the registrant was required to file such reports), and (2) has been subject to such filing requirements for the past 90 days.</w:t>
      </w:r>
      <w:r>
        <w:rPr>
          <w:sz w:val="20"/>
          <w:szCs w:val="20"/>
        </w:rPr>
        <w:t xml:space="preserve"> </w:t>
      </w:r>
      <w:r>
        <w:rPr>
          <w:sz w:val="20"/>
          <w:szCs w:val="20"/>
        </w:rPr>
        <w:t>Ye</w:t>
      </w:r>
      <w:r>
        <w:rPr>
          <w:sz w:val="20"/>
          <w:szCs w:val="20"/>
        </w:rPr>
        <w:t>s</w:t>
      </w:r>
      <w:r>
        <w:rPr>
          <w:sz w:val="20"/>
          <w:szCs w:val="20"/>
        </w:rPr>
        <w:t>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Indicate b</w:t>
      </w:r>
      <w:r>
        <w:rPr>
          <w:sz w:val="20"/>
          <w:szCs w:val="20"/>
        </w:rPr>
        <w:t>y check mark whether the registrant has submitted electronically every Interactive Data File required to be submitted pursuant to Rule 405 of Regulation S-T during the preceding 12 months (or for such shorter period that the registrant was required to subm</w:t>
      </w:r>
      <w:r>
        <w:rPr>
          <w:sz w:val="20"/>
          <w:szCs w:val="20"/>
        </w:rPr>
        <w:t>it such files).</w:t>
      </w:r>
      <w:r>
        <w:rPr>
          <w:sz w:val="20"/>
          <w:szCs w:val="20"/>
        </w:rPr>
        <w:t xml:space="preserve"> </w:t>
      </w:r>
      <w:r>
        <w:rPr>
          <w:sz w:val="20"/>
          <w:szCs w:val="20"/>
        </w:rPr>
        <w:t>Ye</w:t>
      </w:r>
      <w:r>
        <w:rPr>
          <w:sz w:val="20"/>
          <w:szCs w:val="20"/>
        </w:rPr>
        <w:t>s</w:t>
      </w:r>
      <w:r>
        <w:rPr>
          <w:sz w:val="20"/>
          <w:szCs w:val="20"/>
        </w:rPr>
        <w:t>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Indicate by check mark whether the Company is a large accelerated filer, an accelerated filer, a non-accelerated filer, or a smaller reporting company. See definitions of “large accelerated filer,” “accelerated filer,” and “</w:t>
      </w:r>
      <w:r>
        <w:rPr>
          <w:sz w:val="20"/>
          <w:szCs w:val="20"/>
        </w:rPr>
        <w:t>smaller reporting company” in Rule 12b-2 of the Exchange Act. (Check one):</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778"/>
        <w:gridCol w:w="360"/>
        <w:gridCol w:w="3648"/>
        <w:gridCol w:w="2160"/>
        <w:gridCol w:w="360"/>
      </w:tblGrid>
      <w:tr w:rsidR="00000000">
        <w:tc>
          <w:tcPr>
            <w:tcW w:w="0" w:type="auto"/>
            <w:vAlign w:val="center"/>
            <w:hideMark/>
          </w:tcPr>
          <w:p w:rsidR="00000000" w:rsidRDefault="00B64763">
            <w:pPr>
              <w:rPr>
                <w:rFonts w:eastAsia="Times New Roman"/>
                <w:sz w:val="20"/>
                <w:szCs w:val="20"/>
              </w:rPr>
            </w:pPr>
            <w:r>
              <w:rPr>
                <w:rFonts w:eastAsia="Times New Roman"/>
                <w:sz w:val="20"/>
                <w:szCs w:val="20"/>
              </w:rPr>
              <w:t>Large accelerated filer</w:t>
            </w:r>
          </w:p>
        </w:tc>
        <w:tc>
          <w:tcPr>
            <w:tcW w:w="360" w:type="dxa"/>
            <w:vAlign w:val="center"/>
            <w:hideMark/>
          </w:tcPr>
          <w:p w:rsidR="00000000" w:rsidRDefault="00B64763">
            <w:pPr>
              <w:rPr>
                <w:rFonts w:eastAsia="Times New Roman"/>
                <w:sz w:val="20"/>
                <w:szCs w:val="20"/>
              </w:rPr>
            </w:pPr>
            <w:r>
              <w:rPr>
                <w:rFonts w:ascii="Segoe UI Symbol" w:eastAsia="Times New Roman" w:hAnsi="Segoe UI Symbol" w:cs="Segoe UI Symbol"/>
                <w:sz w:val="20"/>
                <w:szCs w:val="20"/>
              </w:rPr>
              <w:t>☐</w:t>
            </w:r>
          </w:p>
        </w:tc>
        <w:tc>
          <w:tcPr>
            <w:tcW w:w="0" w:type="auto"/>
            <w:vAlign w:val="center"/>
            <w:hideMark/>
          </w:tcPr>
          <w:p w:rsidR="00000000" w:rsidRDefault="00B64763">
            <w:pPr>
              <w:rPr>
                <w:rFonts w:eastAsia="Times New Roman"/>
                <w:sz w:val="20"/>
                <w:szCs w:val="20"/>
              </w:rPr>
            </w:pPr>
            <w:r>
              <w:rPr>
                <w:rFonts w:eastAsia="Times New Roman"/>
                <w:sz w:val="20"/>
                <w:szCs w:val="20"/>
              </w:rPr>
              <w:t> </w:t>
            </w:r>
          </w:p>
        </w:tc>
        <w:tc>
          <w:tcPr>
            <w:tcW w:w="0" w:type="auto"/>
            <w:vAlign w:val="center"/>
            <w:hideMark/>
          </w:tcPr>
          <w:p w:rsidR="00000000" w:rsidRDefault="00B64763">
            <w:pPr>
              <w:rPr>
                <w:rFonts w:eastAsia="Times New Roman"/>
                <w:sz w:val="20"/>
                <w:szCs w:val="20"/>
              </w:rPr>
            </w:pPr>
            <w:r>
              <w:rPr>
                <w:rFonts w:eastAsia="Times New Roman"/>
                <w:sz w:val="20"/>
                <w:szCs w:val="20"/>
              </w:rPr>
              <w:t>Accelerated filer</w:t>
            </w:r>
          </w:p>
        </w:tc>
        <w:tc>
          <w:tcPr>
            <w:tcW w:w="360" w:type="dxa"/>
            <w:vAlign w:val="center"/>
            <w:hideMark/>
          </w:tcPr>
          <w:p w:rsidR="00000000" w:rsidRDefault="00B64763">
            <w:pPr>
              <w:rPr>
                <w:rFonts w:eastAsia="Times New Roman"/>
                <w:sz w:val="20"/>
                <w:szCs w:val="20"/>
              </w:rPr>
            </w:pPr>
            <w:r>
              <w:rPr>
                <w:rFonts w:ascii="Segoe UI Symbol" w:eastAsia="Times New Roman" w:hAnsi="Segoe UI Symbol" w:cs="Segoe UI Symbol"/>
                <w:sz w:val="20"/>
                <w:szCs w:val="20"/>
              </w:rPr>
              <w:t>☐</w:t>
            </w:r>
          </w:p>
        </w:tc>
      </w:tr>
      <w:tr w:rsidR="00000000">
        <w:tc>
          <w:tcPr>
            <w:tcW w:w="0" w:type="auto"/>
            <w:vAlign w:val="center"/>
            <w:hideMark/>
          </w:tcPr>
          <w:p w:rsidR="00000000" w:rsidRDefault="00B64763">
            <w:pPr>
              <w:rPr>
                <w:rFonts w:eastAsia="Times New Roman"/>
                <w:sz w:val="20"/>
                <w:szCs w:val="20"/>
              </w:rPr>
            </w:pPr>
            <w:r>
              <w:rPr>
                <w:rFonts w:eastAsia="Times New Roman"/>
                <w:sz w:val="20"/>
                <w:szCs w:val="20"/>
              </w:rPr>
              <w:t> </w:t>
            </w:r>
          </w:p>
        </w:tc>
        <w:tc>
          <w:tcPr>
            <w:tcW w:w="0" w:type="auto"/>
            <w:gridSpan w:val="2"/>
            <w:vAlign w:val="center"/>
            <w:hideMark/>
          </w:tcPr>
          <w:p w:rsidR="00000000" w:rsidRDefault="00B64763">
            <w:pPr>
              <w:rPr>
                <w:rFonts w:eastAsia="Times New Roman"/>
                <w:sz w:val="20"/>
                <w:szCs w:val="20"/>
              </w:rPr>
            </w:pPr>
            <w:r>
              <w:rPr>
                <w:rFonts w:eastAsia="Times New Roman"/>
                <w:sz w:val="20"/>
                <w:szCs w:val="20"/>
              </w:rPr>
              <w:t> </w:t>
            </w:r>
          </w:p>
        </w:tc>
        <w:tc>
          <w:tcPr>
            <w:tcW w:w="0" w:type="auto"/>
            <w:vAlign w:val="center"/>
            <w:hideMark/>
          </w:tcPr>
          <w:p w:rsidR="00000000" w:rsidRDefault="00B64763">
            <w:pPr>
              <w:rPr>
                <w:rFonts w:eastAsia="Times New Roman"/>
                <w:sz w:val="20"/>
                <w:szCs w:val="20"/>
              </w:rPr>
            </w:pPr>
            <w:r>
              <w:rPr>
                <w:rFonts w:eastAsia="Times New Roman"/>
                <w:sz w:val="20"/>
                <w:szCs w:val="20"/>
              </w:rPr>
              <w:t> </w:t>
            </w:r>
          </w:p>
        </w:tc>
        <w:tc>
          <w:tcPr>
            <w:tcW w:w="0" w:type="auto"/>
            <w:vAlign w:val="center"/>
            <w:hideMark/>
          </w:tcPr>
          <w:p w:rsidR="00000000" w:rsidRDefault="00B64763">
            <w:pPr>
              <w:rPr>
                <w:rFonts w:eastAsia="Times New Roman"/>
                <w:sz w:val="20"/>
                <w:szCs w:val="20"/>
              </w:rPr>
            </w:pPr>
            <w:r>
              <w:rPr>
                <w:rFonts w:eastAsia="Times New Roman"/>
                <w:sz w:val="20"/>
                <w:szCs w:val="20"/>
              </w:rPr>
              <w:t> </w:t>
            </w:r>
          </w:p>
        </w:tc>
      </w:tr>
      <w:tr w:rsidR="00000000">
        <w:tc>
          <w:tcPr>
            <w:tcW w:w="0" w:type="auto"/>
            <w:vAlign w:val="center"/>
            <w:hideMark/>
          </w:tcPr>
          <w:p w:rsidR="00000000" w:rsidRDefault="00B64763">
            <w:pPr>
              <w:rPr>
                <w:rFonts w:eastAsia="Times New Roman"/>
                <w:sz w:val="20"/>
                <w:szCs w:val="20"/>
              </w:rPr>
            </w:pPr>
            <w:r>
              <w:rPr>
                <w:rFonts w:eastAsia="Times New Roman"/>
                <w:sz w:val="20"/>
                <w:szCs w:val="20"/>
              </w:rPr>
              <w:t>Non-accelerated file</w:t>
            </w:r>
            <w:r>
              <w:rPr>
                <w:rFonts w:eastAsia="Times New Roman"/>
                <w:sz w:val="20"/>
                <w:szCs w:val="20"/>
              </w:rPr>
              <w:t>r</w:t>
            </w:r>
          </w:p>
        </w:tc>
        <w:tc>
          <w:tcPr>
            <w:tcW w:w="0" w:type="auto"/>
            <w:vAlign w:val="center"/>
            <w:hideMark/>
          </w:tcPr>
          <w:p w:rsidR="00000000" w:rsidRDefault="00B64763">
            <w:pPr>
              <w:rPr>
                <w:rFonts w:eastAsia="Times New Roman"/>
                <w:sz w:val="20"/>
                <w:szCs w:val="20"/>
              </w:rPr>
            </w:pPr>
            <w:r>
              <w:rPr>
                <w:rFonts w:ascii="Segoe UI Symbol" w:eastAsia="Times New Roman" w:hAnsi="Segoe UI Symbol" w:cs="Segoe UI Symbol"/>
                <w:sz w:val="20"/>
                <w:szCs w:val="20"/>
              </w:rPr>
              <w:t>☐</w:t>
            </w:r>
          </w:p>
        </w:tc>
        <w:tc>
          <w:tcPr>
            <w:tcW w:w="0" w:type="auto"/>
            <w:vAlign w:val="center"/>
            <w:hideMark/>
          </w:tcPr>
          <w:p w:rsidR="00000000" w:rsidRDefault="00B64763">
            <w:pPr>
              <w:rPr>
                <w:rFonts w:eastAsia="Times New Roman"/>
                <w:sz w:val="20"/>
                <w:szCs w:val="20"/>
              </w:rPr>
            </w:pPr>
            <w:r>
              <w:rPr>
                <w:rFonts w:eastAsia="Times New Roman"/>
                <w:sz w:val="20"/>
                <w:szCs w:val="20"/>
              </w:rPr>
              <w:t>(Do not check if a smaller reporting company)</w:t>
            </w:r>
          </w:p>
        </w:tc>
        <w:tc>
          <w:tcPr>
            <w:tcW w:w="0" w:type="auto"/>
            <w:vAlign w:val="center"/>
            <w:hideMark/>
          </w:tcPr>
          <w:p w:rsidR="00000000" w:rsidRDefault="00B64763">
            <w:pPr>
              <w:rPr>
                <w:rFonts w:eastAsia="Times New Roman"/>
                <w:sz w:val="20"/>
                <w:szCs w:val="20"/>
              </w:rPr>
            </w:pPr>
            <w:r>
              <w:rPr>
                <w:rFonts w:eastAsia="Times New Roman"/>
                <w:sz w:val="20"/>
                <w:szCs w:val="20"/>
              </w:rPr>
              <w:t>Smaller reporting company</w:t>
            </w:r>
          </w:p>
        </w:tc>
        <w:tc>
          <w:tcPr>
            <w:tcW w:w="0" w:type="auto"/>
            <w:vAlign w:val="center"/>
            <w:hideMark/>
          </w:tcPr>
          <w:p w:rsidR="00000000" w:rsidRDefault="00B64763">
            <w:pPr>
              <w:rPr>
                <w:rFonts w:eastAsia="Times New Roman"/>
                <w:sz w:val="20"/>
                <w:szCs w:val="20"/>
              </w:rPr>
            </w:pPr>
            <w:r>
              <w:rPr>
                <w:rFonts w:ascii="Segoe UI Symbol" w:eastAsia="Times New Roman" w:hAnsi="Segoe UI Symbol" w:cs="Segoe UI Symbol"/>
                <w:sz w:val="20"/>
                <w:szCs w:val="20"/>
              </w:rPr>
              <w:t>☒</w:t>
            </w:r>
          </w:p>
        </w:tc>
      </w:tr>
      <w:tr w:rsidR="00000000">
        <w:tc>
          <w:tcPr>
            <w:tcW w:w="0" w:type="auto"/>
            <w:gridSpan w:val="5"/>
            <w:hideMark/>
          </w:tcPr>
          <w:p w:rsidR="00000000" w:rsidRDefault="00B64763">
            <w:pPr>
              <w:rPr>
                <w:rFonts w:eastAsia="Times New Roman"/>
                <w:sz w:val="20"/>
                <w:szCs w:val="20"/>
              </w:rPr>
            </w:pPr>
            <w:r>
              <w:rPr>
                <w:rFonts w:eastAsia="Times New Roman"/>
                <w:sz w:val="20"/>
                <w:szCs w:val="20"/>
              </w:rPr>
              <w:t> </w:t>
            </w:r>
          </w:p>
        </w:tc>
      </w:tr>
      <w:tr w:rsidR="00000000">
        <w:tc>
          <w:tcPr>
            <w:tcW w:w="0" w:type="auto"/>
            <w:gridSpan w:val="5"/>
            <w:hideMark/>
          </w:tcPr>
          <w:p w:rsidR="00000000" w:rsidRDefault="00B64763">
            <w:pPr>
              <w:rPr>
                <w:rFonts w:eastAsia="Times New Roman"/>
                <w:sz w:val="20"/>
                <w:szCs w:val="20"/>
              </w:rPr>
            </w:pPr>
            <w:r>
              <w:rPr>
                <w:rFonts w:ascii="Segoe UI Symbol" w:eastAsia="Times New Roman" w:hAnsi="Segoe UI Symbol" w:cs="Segoe UI Symbol"/>
                <w:sz w:val="20"/>
                <w:szCs w:val="20"/>
              </w:rPr>
              <w:t>☐</w:t>
            </w:r>
            <w:r>
              <w:rPr>
                <w:rFonts w:eastAsia="Times New Roman"/>
                <w:sz w:val="20"/>
                <w:szCs w:val="20"/>
              </w:rPr>
              <w:t>  </w:t>
            </w:r>
            <w:r>
              <w:rPr>
                <w:rFonts w:eastAsia="Times New Roman"/>
                <w:sz w:val="20"/>
                <w:szCs w:val="20"/>
              </w:rPr>
              <w:t>Emerging growth company</w:t>
            </w:r>
          </w:p>
        </w:tc>
      </w:tr>
    </w:tbl>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If </w:t>
      </w:r>
      <w:r>
        <w:rPr>
          <w:sz w:val="20"/>
          <w:szCs w:val="20"/>
        </w:rPr>
        <w:t>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Ind</w:t>
      </w:r>
      <w:r>
        <w:rPr>
          <w:sz w:val="20"/>
          <w:szCs w:val="20"/>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sz w:val="20"/>
          <w:szCs w:val="20"/>
        </w:rPr>
        <w:t>registered public accounting firm that prepared or issued its audit report  </w:t>
      </w:r>
      <w:r>
        <w:rPr>
          <w:rFonts w:ascii="Segoe UI Symbol" w:hAnsi="Segoe UI Symbol" w:cs="Segoe UI Symbol"/>
          <w:sz w:val="20"/>
          <w:szCs w:val="20"/>
        </w:rPr>
        <w:t>☐</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Indicate by check mark whether the Company is a shell company (as defined in Rule 12b-2 of the Exchange Act). Yes  </w:t>
      </w:r>
      <w:r>
        <w:rPr>
          <w:rFonts w:ascii="Segoe UI Symbol" w:hAnsi="Segoe UI Symbol" w:cs="Segoe UI Symbol"/>
          <w:sz w:val="20"/>
          <w:szCs w:val="20"/>
        </w:rPr>
        <w:t>☐</w:t>
      </w:r>
      <w:r>
        <w:rPr>
          <w:sz w:val="20"/>
          <w:szCs w:val="20"/>
        </w:rPr>
        <w:t> </w:t>
      </w:r>
      <w:r>
        <w:rPr>
          <w:sz w:val="20"/>
          <w:szCs w:val="20"/>
        </w:rPr>
        <w:t> </w:t>
      </w:r>
      <w:r>
        <w:rPr>
          <w:sz w:val="20"/>
          <w:szCs w:val="20"/>
        </w:rPr>
        <w:t>N</w:t>
      </w:r>
      <w:r>
        <w:rPr>
          <w:sz w:val="20"/>
          <w:szCs w:val="20"/>
        </w:rPr>
        <w:t>o</w:t>
      </w:r>
      <w:r>
        <w:rPr>
          <w:sz w:val="20"/>
          <w:szCs w:val="20"/>
        </w:rPr>
        <w:t>  </w:t>
      </w:r>
      <w:r>
        <w:rPr>
          <w:rFonts w:ascii="Segoe UI Symbol" w:hAnsi="Segoe UI Symbol" w:cs="Segoe UI Symbol"/>
          <w:sz w:val="20"/>
          <w:szCs w:val="20"/>
        </w:rPr>
        <w:t>☒</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Approximate </w:t>
      </w:r>
      <w:r>
        <w:rPr>
          <w:sz w:val="20"/>
          <w:szCs w:val="20"/>
        </w:rPr>
        <w:t xml:space="preserve">aggregate market value of registrant’s common equity held by non-affiliates of the registrant computed by reference to the price at which the common equity was last sold, or the average bid and ask price of such equity as of the close of business on March </w:t>
      </w:r>
      <w:r>
        <w:rPr>
          <w:sz w:val="20"/>
          <w:szCs w:val="20"/>
        </w:rPr>
        <w:t xml:space="preserve">31, 2021, was </w:t>
      </w:r>
      <w:r>
        <w:rPr>
          <w:sz w:val="20"/>
          <w:szCs w:val="20"/>
        </w:rPr>
        <w:t>$</w:t>
      </w:r>
      <w:r>
        <w:rPr>
          <w:sz w:val="20"/>
          <w:szCs w:val="20"/>
        </w:rPr>
        <w:t>49,036,58</w:t>
      </w:r>
      <w:r>
        <w:rPr>
          <w:sz w:val="20"/>
          <w:szCs w:val="20"/>
        </w:rPr>
        <w:t>4</w:t>
      </w:r>
      <w:r>
        <w:rPr>
          <w:sz w:val="20"/>
          <w:szCs w:val="20"/>
        </w:rPr>
        <w:t>.</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As of January 15, 2022, there were</w:t>
      </w:r>
      <w:r>
        <w:rPr>
          <w:sz w:val="20"/>
          <w:szCs w:val="20"/>
        </w:rPr>
        <w:t xml:space="preserve"> </w:t>
      </w:r>
      <w:r>
        <w:rPr>
          <w:sz w:val="20"/>
          <w:szCs w:val="20"/>
        </w:rPr>
        <w:t>307,785,33</w:t>
      </w:r>
      <w:r>
        <w:rPr>
          <w:sz w:val="20"/>
          <w:szCs w:val="20"/>
        </w:rPr>
        <w:t>8</w:t>
      </w:r>
      <w:r>
        <w:rPr>
          <w:sz w:val="20"/>
          <w:szCs w:val="20"/>
        </w:rPr>
        <w:t xml:space="preserve"> shares of common stock outstanding .</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sz w:val="20"/>
          <w:szCs w:val="20"/>
        </w:rPr>
        <w:t>Documents Incorporated by Reference</w:t>
      </w:r>
    </w:p>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None.</w:t>
      </w:r>
    </w:p>
    <w:p w:rsidR="00000000" w:rsidRDefault="00B6476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1463622203"/>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2</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sz w:val="20"/>
          <w:szCs w:val="20"/>
        </w:rPr>
        <w:t>TABLE OF CONTENTS</w:t>
      </w:r>
    </w:p>
    <w:p w:rsidR="00000000" w:rsidRDefault="00B6476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930"/>
        <w:gridCol w:w="6656"/>
        <w:gridCol w:w="720"/>
      </w:tblGrid>
      <w:tr w:rsidR="00000000">
        <w:tc>
          <w:tcPr>
            <w:tcW w:w="930" w:type="dxa"/>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720" w:type="dxa"/>
            <w:tcBorders>
              <w:bottom w:val="single" w:sz="8" w:space="0" w:color="000000"/>
            </w:tcBorders>
            <w:vAlign w:val="bottom"/>
            <w:hideMark/>
          </w:tcPr>
          <w:p w:rsidR="00000000" w:rsidRDefault="00B64763">
            <w:pPr>
              <w:jc w:val="center"/>
              <w:rPr>
                <w:rFonts w:eastAsia="Times New Roman"/>
                <w:sz w:val="20"/>
                <w:szCs w:val="20"/>
              </w:rPr>
            </w:pPr>
            <w:r>
              <w:rPr>
                <w:rFonts w:eastAsia="Times New Roman"/>
                <w:b/>
                <w:bCs/>
                <w:sz w:val="20"/>
                <w:szCs w:val="20"/>
              </w:rPr>
              <w:t xml:space="preserve">Page </w:t>
            </w:r>
          </w:p>
        </w:tc>
      </w:tr>
      <w:tr w:rsidR="00000000">
        <w:tc>
          <w:tcPr>
            <w:tcW w:w="0" w:type="auto"/>
            <w:gridSpan w:val="2"/>
            <w:shd w:val="clear" w:color="auto" w:fill="CCEEFF"/>
            <w:hideMark/>
          </w:tcPr>
          <w:p w:rsidR="00000000" w:rsidRDefault="00B64763">
            <w:pPr>
              <w:rPr>
                <w:rFonts w:eastAsia="Times New Roman"/>
                <w:sz w:val="20"/>
                <w:szCs w:val="20"/>
              </w:rPr>
            </w:pPr>
            <w:hyperlink w:anchor="a_001" w:history="1">
              <w:r>
                <w:rPr>
                  <w:rStyle w:val="a4"/>
                  <w:rFonts w:eastAsia="Times New Roman"/>
                  <w:b/>
                  <w:bCs/>
                  <w:sz w:val="20"/>
                  <w:szCs w:val="20"/>
                </w:rPr>
                <w:t>Part I</w:t>
              </w:r>
            </w:hyperlink>
          </w:p>
        </w:tc>
        <w:tc>
          <w:tcPr>
            <w:tcW w:w="0" w:type="auto"/>
            <w:shd w:val="clear" w:color="auto" w:fill="CCEEFF"/>
            <w:vAlign w:val="bottom"/>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Item 1.</w:t>
            </w:r>
          </w:p>
        </w:tc>
        <w:tc>
          <w:tcPr>
            <w:tcW w:w="0" w:type="auto"/>
            <w:shd w:val="clear" w:color="auto" w:fill="FFFFFF"/>
            <w:hideMark/>
          </w:tcPr>
          <w:p w:rsidR="00000000" w:rsidRDefault="00B64763">
            <w:pPr>
              <w:rPr>
                <w:rFonts w:eastAsia="Times New Roman"/>
                <w:sz w:val="20"/>
                <w:szCs w:val="20"/>
              </w:rPr>
            </w:pPr>
            <w:hyperlink w:anchor="a_002" w:history="1">
              <w:r>
                <w:rPr>
                  <w:rStyle w:val="a4"/>
                  <w:rFonts w:eastAsia="Times New Roman"/>
                  <w:sz w:val="20"/>
                  <w:szCs w:val="20"/>
                </w:rPr>
                <w:t>Business</w:t>
              </w:r>
            </w:hyperlink>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5</w:t>
            </w:r>
          </w:p>
        </w:tc>
      </w:tr>
      <w:tr w:rsidR="00000000">
        <w:tc>
          <w:tcPr>
            <w:tcW w:w="0" w:type="auto"/>
            <w:shd w:val="clear" w:color="auto" w:fill="CCEEFF"/>
            <w:hideMark/>
          </w:tcPr>
          <w:p w:rsidR="00000000" w:rsidRDefault="00B64763">
            <w:pPr>
              <w:rPr>
                <w:rFonts w:eastAsia="Times New Roman"/>
                <w:sz w:val="20"/>
                <w:szCs w:val="20"/>
              </w:rPr>
            </w:pPr>
            <w:r>
              <w:rPr>
                <w:rFonts w:eastAsia="Times New Roman"/>
                <w:sz w:val="20"/>
                <w:szCs w:val="20"/>
              </w:rPr>
              <w:t>Item 1A.</w:t>
            </w:r>
          </w:p>
        </w:tc>
        <w:tc>
          <w:tcPr>
            <w:tcW w:w="0" w:type="auto"/>
            <w:shd w:val="clear" w:color="auto" w:fill="CCEEFF"/>
            <w:hideMark/>
          </w:tcPr>
          <w:p w:rsidR="00000000" w:rsidRDefault="00B64763">
            <w:pPr>
              <w:rPr>
                <w:rFonts w:eastAsia="Times New Roman"/>
                <w:sz w:val="20"/>
                <w:szCs w:val="20"/>
              </w:rPr>
            </w:pPr>
            <w:hyperlink w:anchor="a_003" w:history="1">
              <w:r>
                <w:rPr>
                  <w:rStyle w:val="a4"/>
                  <w:rFonts w:eastAsia="Times New Roman"/>
                  <w:sz w:val="20"/>
                  <w:szCs w:val="20"/>
                </w:rPr>
                <w:t>Risk Factors</w:t>
              </w:r>
            </w:hyperlink>
          </w:p>
        </w:tc>
        <w:tc>
          <w:tcPr>
            <w:tcW w:w="0" w:type="auto"/>
            <w:shd w:val="clear" w:color="auto" w:fill="CCEEFF"/>
            <w:vAlign w:val="bottom"/>
            <w:hideMark/>
          </w:tcPr>
          <w:p w:rsidR="00000000" w:rsidRDefault="00B64763">
            <w:pPr>
              <w:jc w:val="center"/>
              <w:rPr>
                <w:rFonts w:eastAsia="Times New Roman"/>
                <w:sz w:val="20"/>
                <w:szCs w:val="20"/>
              </w:rPr>
            </w:pPr>
            <w:r>
              <w:rPr>
                <w:rFonts w:eastAsia="Times New Roman"/>
                <w:sz w:val="20"/>
                <w:szCs w:val="20"/>
              </w:rPr>
              <w:t>7</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Item 1B.</w:t>
            </w:r>
          </w:p>
        </w:tc>
        <w:tc>
          <w:tcPr>
            <w:tcW w:w="0" w:type="auto"/>
            <w:shd w:val="clear" w:color="auto" w:fill="FFFFFF"/>
            <w:hideMark/>
          </w:tcPr>
          <w:p w:rsidR="00000000" w:rsidRDefault="00B64763">
            <w:pPr>
              <w:rPr>
                <w:rFonts w:eastAsia="Times New Roman"/>
                <w:sz w:val="20"/>
                <w:szCs w:val="20"/>
              </w:rPr>
            </w:pPr>
            <w:hyperlink w:anchor="a_004" w:history="1">
              <w:r>
                <w:rPr>
                  <w:rStyle w:val="a4"/>
                  <w:rFonts w:eastAsia="Times New Roman"/>
                  <w:sz w:val="20"/>
                  <w:szCs w:val="20"/>
                </w:rPr>
                <w:t>Unresolved Staff Comments</w:t>
              </w:r>
            </w:hyperlink>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17</w:t>
            </w:r>
          </w:p>
        </w:tc>
      </w:tr>
      <w:tr w:rsidR="00000000">
        <w:tc>
          <w:tcPr>
            <w:tcW w:w="0" w:type="auto"/>
            <w:shd w:val="clear" w:color="auto" w:fill="CCEEFF"/>
            <w:hideMark/>
          </w:tcPr>
          <w:p w:rsidR="00000000" w:rsidRDefault="00B64763">
            <w:pPr>
              <w:rPr>
                <w:rFonts w:eastAsia="Times New Roman"/>
                <w:sz w:val="20"/>
                <w:szCs w:val="20"/>
              </w:rPr>
            </w:pPr>
            <w:r>
              <w:rPr>
                <w:rFonts w:eastAsia="Times New Roman"/>
                <w:sz w:val="20"/>
                <w:szCs w:val="20"/>
              </w:rPr>
              <w:t>Item 2.</w:t>
            </w:r>
          </w:p>
        </w:tc>
        <w:tc>
          <w:tcPr>
            <w:tcW w:w="0" w:type="auto"/>
            <w:shd w:val="clear" w:color="auto" w:fill="CCEEFF"/>
            <w:hideMark/>
          </w:tcPr>
          <w:p w:rsidR="00000000" w:rsidRDefault="00B64763">
            <w:pPr>
              <w:rPr>
                <w:rFonts w:eastAsia="Times New Roman"/>
                <w:sz w:val="20"/>
                <w:szCs w:val="20"/>
              </w:rPr>
            </w:pPr>
            <w:hyperlink w:anchor="a_005" w:history="1">
              <w:r>
                <w:rPr>
                  <w:rStyle w:val="a4"/>
                  <w:rFonts w:eastAsia="Times New Roman"/>
                  <w:sz w:val="20"/>
                  <w:szCs w:val="20"/>
                </w:rPr>
                <w:t>Properties</w:t>
              </w:r>
            </w:hyperlink>
          </w:p>
        </w:tc>
        <w:tc>
          <w:tcPr>
            <w:tcW w:w="0" w:type="auto"/>
            <w:shd w:val="clear" w:color="auto" w:fill="CCEEFF"/>
            <w:vAlign w:val="bottom"/>
            <w:hideMark/>
          </w:tcPr>
          <w:p w:rsidR="00000000" w:rsidRDefault="00B64763">
            <w:pPr>
              <w:jc w:val="center"/>
              <w:rPr>
                <w:rFonts w:eastAsia="Times New Roman"/>
                <w:sz w:val="20"/>
                <w:szCs w:val="20"/>
              </w:rPr>
            </w:pPr>
            <w:r>
              <w:rPr>
                <w:rFonts w:eastAsia="Times New Roman"/>
                <w:sz w:val="20"/>
                <w:szCs w:val="20"/>
              </w:rPr>
              <w:t>17</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Item 3.</w:t>
            </w:r>
          </w:p>
        </w:tc>
        <w:tc>
          <w:tcPr>
            <w:tcW w:w="0" w:type="auto"/>
            <w:shd w:val="clear" w:color="auto" w:fill="FFFFFF"/>
            <w:hideMark/>
          </w:tcPr>
          <w:p w:rsidR="00000000" w:rsidRDefault="00B64763">
            <w:pPr>
              <w:rPr>
                <w:rFonts w:eastAsia="Times New Roman"/>
                <w:sz w:val="20"/>
                <w:szCs w:val="20"/>
              </w:rPr>
            </w:pPr>
            <w:hyperlink w:anchor="a_006" w:history="1">
              <w:r>
                <w:rPr>
                  <w:rStyle w:val="a4"/>
                  <w:rFonts w:eastAsia="Times New Roman"/>
                  <w:sz w:val="20"/>
                  <w:szCs w:val="20"/>
                </w:rPr>
                <w:t>Legal Proceedings</w:t>
              </w:r>
            </w:hyperlink>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17</w:t>
            </w:r>
          </w:p>
        </w:tc>
      </w:tr>
      <w:tr w:rsidR="00000000">
        <w:tc>
          <w:tcPr>
            <w:tcW w:w="0" w:type="auto"/>
            <w:shd w:val="clear" w:color="auto" w:fill="CCEEFF"/>
            <w:hideMark/>
          </w:tcPr>
          <w:p w:rsidR="00000000" w:rsidRDefault="00B64763">
            <w:pPr>
              <w:rPr>
                <w:rFonts w:eastAsia="Times New Roman"/>
                <w:sz w:val="20"/>
                <w:szCs w:val="20"/>
              </w:rPr>
            </w:pPr>
            <w:r>
              <w:rPr>
                <w:rFonts w:eastAsia="Times New Roman"/>
                <w:sz w:val="20"/>
                <w:szCs w:val="20"/>
              </w:rPr>
              <w:t>Item 4.</w:t>
            </w:r>
          </w:p>
        </w:tc>
        <w:tc>
          <w:tcPr>
            <w:tcW w:w="0" w:type="auto"/>
            <w:shd w:val="clear" w:color="auto" w:fill="CCEEFF"/>
            <w:hideMark/>
          </w:tcPr>
          <w:p w:rsidR="00000000" w:rsidRDefault="00B64763">
            <w:pPr>
              <w:rPr>
                <w:rFonts w:eastAsia="Times New Roman"/>
                <w:sz w:val="20"/>
                <w:szCs w:val="20"/>
              </w:rPr>
            </w:pPr>
            <w:hyperlink w:anchor="a_007" w:history="1">
              <w:r>
                <w:rPr>
                  <w:rStyle w:val="a4"/>
                  <w:rFonts w:eastAsia="Times New Roman"/>
                  <w:sz w:val="20"/>
                  <w:szCs w:val="20"/>
                </w:rPr>
                <w:t>Mine Safety Disclosures</w:t>
              </w:r>
            </w:hyperlink>
          </w:p>
        </w:tc>
        <w:tc>
          <w:tcPr>
            <w:tcW w:w="0" w:type="auto"/>
            <w:shd w:val="clear" w:color="auto" w:fill="CCEEFF"/>
            <w:vAlign w:val="bottom"/>
            <w:hideMark/>
          </w:tcPr>
          <w:p w:rsidR="00000000" w:rsidRDefault="00B64763">
            <w:pPr>
              <w:jc w:val="center"/>
              <w:rPr>
                <w:rFonts w:eastAsia="Times New Roman"/>
                <w:sz w:val="20"/>
                <w:szCs w:val="20"/>
              </w:rPr>
            </w:pPr>
            <w:r>
              <w:rPr>
                <w:rFonts w:eastAsia="Times New Roman"/>
                <w:sz w:val="20"/>
                <w:szCs w:val="20"/>
              </w:rPr>
              <w:t>17</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gridSpan w:val="2"/>
            <w:shd w:val="clear" w:color="auto" w:fill="CCEEFF"/>
            <w:hideMark/>
          </w:tcPr>
          <w:p w:rsidR="00000000" w:rsidRDefault="00B64763">
            <w:pPr>
              <w:rPr>
                <w:rFonts w:eastAsia="Times New Roman"/>
                <w:sz w:val="20"/>
                <w:szCs w:val="20"/>
              </w:rPr>
            </w:pPr>
            <w:hyperlink w:anchor="a_008" w:history="1">
              <w:r>
                <w:rPr>
                  <w:rStyle w:val="a4"/>
                  <w:rFonts w:eastAsia="Times New Roman"/>
                  <w:b/>
                  <w:bCs/>
                  <w:sz w:val="20"/>
                  <w:szCs w:val="20"/>
                </w:rPr>
                <w:t>Part II</w:t>
              </w:r>
            </w:hyperlink>
          </w:p>
        </w:tc>
        <w:tc>
          <w:tcPr>
            <w:tcW w:w="0" w:type="auto"/>
            <w:shd w:val="clear" w:color="auto" w:fill="CCEEFF"/>
            <w:vAlign w:val="bottom"/>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Item 5.</w:t>
            </w:r>
          </w:p>
        </w:tc>
        <w:tc>
          <w:tcPr>
            <w:tcW w:w="0" w:type="auto"/>
            <w:shd w:val="clear" w:color="auto" w:fill="FFFFFF"/>
            <w:hideMark/>
          </w:tcPr>
          <w:p w:rsidR="00000000" w:rsidRDefault="00B64763">
            <w:pPr>
              <w:rPr>
                <w:rFonts w:eastAsia="Times New Roman"/>
                <w:sz w:val="20"/>
                <w:szCs w:val="20"/>
              </w:rPr>
            </w:pPr>
            <w:hyperlink w:anchor="a_009" w:history="1">
              <w:r>
                <w:rPr>
                  <w:rStyle w:val="a4"/>
                  <w:rFonts w:eastAsia="Times New Roman"/>
                  <w:sz w:val="20"/>
                  <w:szCs w:val="20"/>
                </w:rPr>
                <w:t xml:space="preserve">Market for Registrant’s Common Equity, Related Stockholder </w:t>
              </w:r>
              <w:r>
                <w:rPr>
                  <w:rStyle w:val="a4"/>
                  <w:rFonts w:eastAsia="Times New Roman"/>
                  <w:sz w:val="20"/>
                  <w:szCs w:val="20"/>
                </w:rPr>
                <w:t>Matters, and Issuer Purchases of Equity Securities</w:t>
              </w:r>
            </w:hyperlink>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17</w:t>
            </w:r>
          </w:p>
        </w:tc>
      </w:tr>
      <w:tr w:rsidR="00000000">
        <w:tc>
          <w:tcPr>
            <w:tcW w:w="0" w:type="auto"/>
            <w:shd w:val="clear" w:color="auto" w:fill="CCEEFF"/>
            <w:hideMark/>
          </w:tcPr>
          <w:p w:rsidR="00000000" w:rsidRDefault="00B64763">
            <w:pPr>
              <w:rPr>
                <w:rFonts w:eastAsia="Times New Roman"/>
                <w:sz w:val="20"/>
                <w:szCs w:val="20"/>
              </w:rPr>
            </w:pPr>
            <w:r>
              <w:rPr>
                <w:rFonts w:eastAsia="Times New Roman"/>
                <w:sz w:val="20"/>
                <w:szCs w:val="20"/>
              </w:rPr>
              <w:t>Item 6.</w:t>
            </w:r>
          </w:p>
        </w:tc>
        <w:tc>
          <w:tcPr>
            <w:tcW w:w="0" w:type="auto"/>
            <w:shd w:val="clear" w:color="auto" w:fill="CCEEFF"/>
            <w:hideMark/>
          </w:tcPr>
          <w:p w:rsidR="00000000" w:rsidRDefault="00B64763">
            <w:pPr>
              <w:rPr>
                <w:rFonts w:eastAsia="Times New Roman"/>
                <w:sz w:val="20"/>
                <w:szCs w:val="20"/>
              </w:rPr>
            </w:pPr>
            <w:hyperlink w:anchor="a_010" w:history="1">
              <w:r>
                <w:rPr>
                  <w:rStyle w:val="a4"/>
                  <w:rFonts w:eastAsia="Times New Roman"/>
                  <w:sz w:val="20"/>
                  <w:szCs w:val="20"/>
                </w:rPr>
                <w:t>Selected Financial Data</w:t>
              </w:r>
            </w:hyperlink>
          </w:p>
        </w:tc>
        <w:tc>
          <w:tcPr>
            <w:tcW w:w="0" w:type="auto"/>
            <w:shd w:val="clear" w:color="auto" w:fill="CCEEFF"/>
            <w:vAlign w:val="bottom"/>
            <w:hideMark/>
          </w:tcPr>
          <w:p w:rsidR="00000000" w:rsidRDefault="00B64763">
            <w:pPr>
              <w:jc w:val="center"/>
              <w:rPr>
                <w:rFonts w:eastAsia="Times New Roman"/>
                <w:sz w:val="20"/>
                <w:szCs w:val="20"/>
              </w:rPr>
            </w:pPr>
            <w:r>
              <w:rPr>
                <w:rFonts w:eastAsia="Times New Roman"/>
                <w:sz w:val="20"/>
                <w:szCs w:val="20"/>
              </w:rPr>
              <w:t>18</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Item 7.</w:t>
            </w:r>
          </w:p>
        </w:tc>
        <w:tc>
          <w:tcPr>
            <w:tcW w:w="0" w:type="auto"/>
            <w:shd w:val="clear" w:color="auto" w:fill="FFFFFF"/>
            <w:hideMark/>
          </w:tcPr>
          <w:p w:rsidR="00000000" w:rsidRDefault="00B64763">
            <w:pPr>
              <w:rPr>
                <w:rFonts w:eastAsia="Times New Roman"/>
                <w:sz w:val="20"/>
                <w:szCs w:val="20"/>
              </w:rPr>
            </w:pPr>
            <w:hyperlink w:anchor="a_011" w:history="1">
              <w:r>
                <w:rPr>
                  <w:rStyle w:val="a4"/>
                  <w:rFonts w:eastAsia="Times New Roman"/>
                  <w:sz w:val="20"/>
                  <w:szCs w:val="20"/>
                </w:rPr>
                <w:t>Management’</w:t>
              </w:r>
              <w:r>
                <w:rPr>
                  <w:rStyle w:val="a4"/>
                  <w:rFonts w:eastAsia="Times New Roman"/>
                  <w:sz w:val="20"/>
                  <w:szCs w:val="20"/>
                </w:rPr>
                <w:t>s Discussion and Analysis of Financial Condition and Results of Operations</w:t>
              </w:r>
            </w:hyperlink>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18</w:t>
            </w:r>
          </w:p>
        </w:tc>
      </w:tr>
      <w:tr w:rsidR="00000000">
        <w:tc>
          <w:tcPr>
            <w:tcW w:w="0" w:type="auto"/>
            <w:shd w:val="clear" w:color="auto" w:fill="CCEEFF"/>
            <w:hideMark/>
          </w:tcPr>
          <w:p w:rsidR="00000000" w:rsidRDefault="00B64763">
            <w:pPr>
              <w:rPr>
                <w:rFonts w:eastAsia="Times New Roman"/>
                <w:sz w:val="20"/>
                <w:szCs w:val="20"/>
              </w:rPr>
            </w:pPr>
            <w:r>
              <w:rPr>
                <w:rFonts w:eastAsia="Times New Roman"/>
                <w:sz w:val="20"/>
                <w:szCs w:val="20"/>
              </w:rPr>
              <w:t>Item 7A.</w:t>
            </w:r>
          </w:p>
        </w:tc>
        <w:tc>
          <w:tcPr>
            <w:tcW w:w="0" w:type="auto"/>
            <w:shd w:val="clear" w:color="auto" w:fill="CCEEFF"/>
            <w:hideMark/>
          </w:tcPr>
          <w:p w:rsidR="00000000" w:rsidRDefault="00B64763">
            <w:pPr>
              <w:rPr>
                <w:rFonts w:eastAsia="Times New Roman"/>
                <w:sz w:val="20"/>
                <w:szCs w:val="20"/>
              </w:rPr>
            </w:pPr>
            <w:hyperlink w:anchor="a_012"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B64763">
            <w:pPr>
              <w:jc w:val="center"/>
              <w:rPr>
                <w:rFonts w:eastAsia="Times New Roman"/>
                <w:sz w:val="20"/>
                <w:szCs w:val="20"/>
              </w:rPr>
            </w:pPr>
            <w:r>
              <w:rPr>
                <w:rFonts w:eastAsia="Times New Roman"/>
                <w:sz w:val="20"/>
                <w:szCs w:val="20"/>
              </w:rPr>
              <w:t>21</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Item 8.</w:t>
            </w:r>
          </w:p>
        </w:tc>
        <w:tc>
          <w:tcPr>
            <w:tcW w:w="0" w:type="auto"/>
            <w:shd w:val="clear" w:color="auto" w:fill="FFFFFF"/>
            <w:hideMark/>
          </w:tcPr>
          <w:p w:rsidR="00000000" w:rsidRDefault="00B64763">
            <w:pPr>
              <w:rPr>
                <w:rFonts w:eastAsia="Times New Roman"/>
                <w:sz w:val="20"/>
                <w:szCs w:val="20"/>
              </w:rPr>
            </w:pPr>
            <w:hyperlink w:anchor="a_013" w:history="1">
              <w:r>
                <w:rPr>
                  <w:rStyle w:val="a4"/>
                  <w:rFonts w:eastAsia="Times New Roman"/>
                  <w:sz w:val="20"/>
                  <w:szCs w:val="20"/>
                </w:rPr>
                <w:t>Financial Statements and Supplementary Da</w:t>
              </w:r>
              <w:r>
                <w:rPr>
                  <w:rStyle w:val="a4"/>
                  <w:rFonts w:eastAsia="Times New Roman"/>
                  <w:sz w:val="20"/>
                  <w:szCs w:val="20"/>
                </w:rPr>
                <w:t>ta</w:t>
              </w:r>
            </w:hyperlink>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21</w:t>
            </w:r>
          </w:p>
        </w:tc>
      </w:tr>
      <w:tr w:rsidR="00000000">
        <w:tc>
          <w:tcPr>
            <w:tcW w:w="0" w:type="auto"/>
            <w:shd w:val="clear" w:color="auto" w:fill="CCEEFF"/>
            <w:hideMark/>
          </w:tcPr>
          <w:p w:rsidR="00000000" w:rsidRDefault="00B64763">
            <w:pPr>
              <w:rPr>
                <w:rFonts w:eastAsia="Times New Roman"/>
                <w:sz w:val="20"/>
                <w:szCs w:val="20"/>
              </w:rPr>
            </w:pPr>
            <w:r>
              <w:rPr>
                <w:rFonts w:eastAsia="Times New Roman"/>
                <w:sz w:val="20"/>
                <w:szCs w:val="20"/>
              </w:rPr>
              <w:t>Item 9.</w:t>
            </w:r>
          </w:p>
        </w:tc>
        <w:tc>
          <w:tcPr>
            <w:tcW w:w="0" w:type="auto"/>
            <w:shd w:val="clear" w:color="auto" w:fill="CCEEFF"/>
            <w:hideMark/>
          </w:tcPr>
          <w:p w:rsidR="00000000" w:rsidRDefault="00B64763">
            <w:pPr>
              <w:rPr>
                <w:rFonts w:eastAsia="Times New Roman"/>
                <w:sz w:val="20"/>
                <w:szCs w:val="20"/>
              </w:rPr>
            </w:pPr>
            <w:hyperlink w:anchor="a_014" w:history="1">
              <w:r>
                <w:rPr>
                  <w:rStyle w:val="a4"/>
                  <w:rFonts w:eastAsia="Times New Roman"/>
                  <w:sz w:val="20"/>
                  <w:szCs w:val="20"/>
                </w:rPr>
                <w:t>Changes in and Disagreements with Accountants on Accounting and Financial Disclosure</w:t>
              </w:r>
            </w:hyperlink>
          </w:p>
        </w:tc>
        <w:tc>
          <w:tcPr>
            <w:tcW w:w="0" w:type="auto"/>
            <w:shd w:val="clear" w:color="auto" w:fill="CCEEFF"/>
            <w:vAlign w:val="bottom"/>
            <w:hideMark/>
          </w:tcPr>
          <w:p w:rsidR="00000000" w:rsidRDefault="00B64763">
            <w:pPr>
              <w:jc w:val="center"/>
              <w:rPr>
                <w:rFonts w:eastAsia="Times New Roman"/>
                <w:sz w:val="20"/>
                <w:szCs w:val="20"/>
              </w:rPr>
            </w:pPr>
            <w:r>
              <w:rPr>
                <w:rFonts w:eastAsia="Times New Roman"/>
                <w:sz w:val="20"/>
                <w:szCs w:val="20"/>
              </w:rPr>
              <w:t>21</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Item 9A.</w:t>
            </w:r>
          </w:p>
        </w:tc>
        <w:tc>
          <w:tcPr>
            <w:tcW w:w="0" w:type="auto"/>
            <w:shd w:val="clear" w:color="auto" w:fill="FFFFFF"/>
            <w:hideMark/>
          </w:tcPr>
          <w:p w:rsidR="00000000" w:rsidRDefault="00B64763">
            <w:pPr>
              <w:rPr>
                <w:rFonts w:eastAsia="Times New Roman"/>
                <w:sz w:val="20"/>
                <w:szCs w:val="20"/>
              </w:rPr>
            </w:pPr>
            <w:hyperlink w:anchor="a_015" w:history="1">
              <w:r>
                <w:rPr>
                  <w:rStyle w:val="a4"/>
                  <w:rFonts w:eastAsia="Times New Roman"/>
                  <w:sz w:val="20"/>
                  <w:szCs w:val="20"/>
                </w:rPr>
                <w:t>Controls and Procedures</w:t>
              </w:r>
            </w:hyperlink>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21</w:t>
            </w:r>
          </w:p>
        </w:tc>
      </w:tr>
      <w:tr w:rsidR="00000000">
        <w:tc>
          <w:tcPr>
            <w:tcW w:w="0" w:type="auto"/>
            <w:shd w:val="clear" w:color="auto" w:fill="CCEEFF"/>
            <w:hideMark/>
          </w:tcPr>
          <w:p w:rsidR="00000000" w:rsidRDefault="00B64763">
            <w:pPr>
              <w:rPr>
                <w:rFonts w:eastAsia="Times New Roman"/>
                <w:sz w:val="20"/>
                <w:szCs w:val="20"/>
              </w:rPr>
            </w:pPr>
            <w:r>
              <w:rPr>
                <w:rFonts w:eastAsia="Times New Roman"/>
                <w:sz w:val="20"/>
                <w:szCs w:val="20"/>
              </w:rPr>
              <w:t>Item 9B.</w:t>
            </w:r>
          </w:p>
        </w:tc>
        <w:tc>
          <w:tcPr>
            <w:tcW w:w="0" w:type="auto"/>
            <w:shd w:val="clear" w:color="auto" w:fill="CCEEFF"/>
            <w:hideMark/>
          </w:tcPr>
          <w:p w:rsidR="00000000" w:rsidRDefault="00B64763">
            <w:pPr>
              <w:rPr>
                <w:rFonts w:eastAsia="Times New Roman"/>
                <w:sz w:val="20"/>
                <w:szCs w:val="20"/>
              </w:rPr>
            </w:pPr>
            <w:hyperlink w:anchor="a_016" w:history="1">
              <w:r>
                <w:rPr>
                  <w:rStyle w:val="a4"/>
                  <w:rFonts w:eastAsia="Times New Roman"/>
                  <w:sz w:val="20"/>
                  <w:szCs w:val="20"/>
                </w:rPr>
                <w:t>Other Information</w:t>
              </w:r>
            </w:hyperlink>
          </w:p>
        </w:tc>
        <w:tc>
          <w:tcPr>
            <w:tcW w:w="0" w:type="auto"/>
            <w:shd w:val="clear" w:color="auto" w:fill="CCEEFF"/>
            <w:vAlign w:val="bottom"/>
            <w:hideMark/>
          </w:tcPr>
          <w:p w:rsidR="00000000" w:rsidRDefault="00B64763">
            <w:pPr>
              <w:jc w:val="center"/>
              <w:rPr>
                <w:rFonts w:eastAsia="Times New Roman"/>
                <w:sz w:val="20"/>
                <w:szCs w:val="20"/>
              </w:rPr>
            </w:pPr>
            <w:r>
              <w:rPr>
                <w:rFonts w:eastAsia="Times New Roman"/>
                <w:sz w:val="20"/>
                <w:szCs w:val="20"/>
              </w:rPr>
              <w:t>22</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gridSpan w:val="2"/>
            <w:shd w:val="clear" w:color="auto" w:fill="CCEEFF"/>
            <w:hideMark/>
          </w:tcPr>
          <w:p w:rsidR="00000000" w:rsidRDefault="00B64763">
            <w:pPr>
              <w:rPr>
                <w:rFonts w:eastAsia="Times New Roman"/>
                <w:sz w:val="20"/>
                <w:szCs w:val="20"/>
              </w:rPr>
            </w:pPr>
            <w:hyperlink w:anchor="a_017" w:history="1">
              <w:r>
                <w:rPr>
                  <w:rStyle w:val="a4"/>
                  <w:rFonts w:eastAsia="Times New Roman"/>
                  <w:b/>
                  <w:bCs/>
                  <w:sz w:val="20"/>
                  <w:szCs w:val="20"/>
                </w:rPr>
                <w:t>Part III</w:t>
              </w:r>
            </w:hyperlink>
          </w:p>
        </w:tc>
        <w:tc>
          <w:tcPr>
            <w:tcW w:w="0" w:type="auto"/>
            <w:shd w:val="clear" w:color="auto" w:fill="CCEEFF"/>
            <w:vAlign w:val="bottom"/>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Item 10.</w:t>
            </w:r>
          </w:p>
        </w:tc>
        <w:tc>
          <w:tcPr>
            <w:tcW w:w="0" w:type="auto"/>
            <w:shd w:val="clear" w:color="auto" w:fill="FFFFFF"/>
            <w:hideMark/>
          </w:tcPr>
          <w:p w:rsidR="00000000" w:rsidRDefault="00B64763">
            <w:pPr>
              <w:rPr>
                <w:rFonts w:eastAsia="Times New Roman"/>
                <w:sz w:val="20"/>
                <w:szCs w:val="20"/>
              </w:rPr>
            </w:pPr>
            <w:hyperlink w:anchor="a_018" w:history="1">
              <w:r>
                <w:rPr>
                  <w:rStyle w:val="a4"/>
                  <w:rFonts w:eastAsia="Times New Roman"/>
                  <w:sz w:val="20"/>
                  <w:szCs w:val="20"/>
                </w:rPr>
                <w:t>Directors, Executive Officers and Corporate Governance</w:t>
              </w:r>
            </w:hyperlink>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23</w:t>
            </w:r>
          </w:p>
        </w:tc>
      </w:tr>
      <w:tr w:rsidR="00000000">
        <w:tc>
          <w:tcPr>
            <w:tcW w:w="0" w:type="auto"/>
            <w:shd w:val="clear" w:color="auto" w:fill="CCEEFF"/>
            <w:hideMark/>
          </w:tcPr>
          <w:p w:rsidR="00000000" w:rsidRDefault="00B64763">
            <w:pPr>
              <w:rPr>
                <w:rFonts w:eastAsia="Times New Roman"/>
                <w:sz w:val="20"/>
                <w:szCs w:val="20"/>
              </w:rPr>
            </w:pPr>
            <w:r>
              <w:rPr>
                <w:rFonts w:eastAsia="Times New Roman"/>
                <w:sz w:val="20"/>
                <w:szCs w:val="20"/>
              </w:rPr>
              <w:t>Item 11.</w:t>
            </w:r>
          </w:p>
        </w:tc>
        <w:tc>
          <w:tcPr>
            <w:tcW w:w="0" w:type="auto"/>
            <w:shd w:val="clear" w:color="auto" w:fill="CCEEFF"/>
            <w:hideMark/>
          </w:tcPr>
          <w:p w:rsidR="00000000" w:rsidRDefault="00B64763">
            <w:pPr>
              <w:rPr>
                <w:rFonts w:eastAsia="Times New Roman"/>
                <w:sz w:val="20"/>
                <w:szCs w:val="20"/>
              </w:rPr>
            </w:pPr>
            <w:hyperlink w:anchor="a_019" w:history="1">
              <w:r>
                <w:rPr>
                  <w:rStyle w:val="a4"/>
                  <w:rFonts w:eastAsia="Times New Roman"/>
                  <w:sz w:val="20"/>
                  <w:szCs w:val="20"/>
                </w:rPr>
                <w:t>Executive Compensation</w:t>
              </w:r>
            </w:hyperlink>
          </w:p>
        </w:tc>
        <w:tc>
          <w:tcPr>
            <w:tcW w:w="0" w:type="auto"/>
            <w:shd w:val="clear" w:color="auto" w:fill="CCEEFF"/>
            <w:vAlign w:val="bottom"/>
            <w:hideMark/>
          </w:tcPr>
          <w:p w:rsidR="00000000" w:rsidRDefault="00B64763">
            <w:pPr>
              <w:jc w:val="center"/>
              <w:rPr>
                <w:rFonts w:eastAsia="Times New Roman"/>
                <w:sz w:val="20"/>
                <w:szCs w:val="20"/>
              </w:rPr>
            </w:pPr>
            <w:r>
              <w:rPr>
                <w:rFonts w:eastAsia="Times New Roman"/>
                <w:sz w:val="20"/>
                <w:szCs w:val="20"/>
              </w:rPr>
              <w:t>25</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Item 12.</w:t>
            </w:r>
          </w:p>
        </w:tc>
        <w:tc>
          <w:tcPr>
            <w:tcW w:w="0" w:type="auto"/>
            <w:shd w:val="clear" w:color="auto" w:fill="FFFFFF"/>
            <w:hideMark/>
          </w:tcPr>
          <w:p w:rsidR="00000000" w:rsidRDefault="00B64763">
            <w:pPr>
              <w:rPr>
                <w:rFonts w:eastAsia="Times New Roman"/>
                <w:sz w:val="20"/>
                <w:szCs w:val="20"/>
              </w:rPr>
            </w:pPr>
            <w:hyperlink w:anchor="a_020" w:history="1">
              <w:r>
                <w:rPr>
                  <w:rStyle w:val="a4"/>
                  <w:rFonts w:eastAsia="Times New Roman"/>
                  <w:sz w:val="20"/>
                  <w:szCs w:val="20"/>
                </w:rPr>
                <w:t>Security O</w:t>
              </w:r>
              <w:r>
                <w:rPr>
                  <w:rStyle w:val="a4"/>
                  <w:rFonts w:eastAsia="Times New Roman"/>
                  <w:sz w:val="20"/>
                  <w:szCs w:val="20"/>
                </w:rPr>
                <w:t>wnership of Certain Beneficial Owners and Management and Related Stockholder Matters</w:t>
              </w:r>
            </w:hyperlink>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26</w:t>
            </w:r>
          </w:p>
        </w:tc>
      </w:tr>
      <w:tr w:rsidR="00000000">
        <w:tc>
          <w:tcPr>
            <w:tcW w:w="0" w:type="auto"/>
            <w:shd w:val="clear" w:color="auto" w:fill="CCEEFF"/>
            <w:hideMark/>
          </w:tcPr>
          <w:p w:rsidR="00000000" w:rsidRDefault="00B64763">
            <w:pPr>
              <w:rPr>
                <w:rFonts w:eastAsia="Times New Roman"/>
                <w:sz w:val="20"/>
                <w:szCs w:val="20"/>
              </w:rPr>
            </w:pPr>
            <w:r>
              <w:rPr>
                <w:rFonts w:eastAsia="Times New Roman"/>
                <w:sz w:val="20"/>
                <w:szCs w:val="20"/>
              </w:rPr>
              <w:t>Item 13.</w:t>
            </w:r>
          </w:p>
        </w:tc>
        <w:tc>
          <w:tcPr>
            <w:tcW w:w="0" w:type="auto"/>
            <w:shd w:val="clear" w:color="auto" w:fill="CCEEFF"/>
            <w:hideMark/>
          </w:tcPr>
          <w:p w:rsidR="00000000" w:rsidRDefault="00B64763">
            <w:pPr>
              <w:rPr>
                <w:rFonts w:eastAsia="Times New Roman"/>
                <w:sz w:val="20"/>
                <w:szCs w:val="20"/>
              </w:rPr>
            </w:pPr>
            <w:hyperlink w:anchor="a_021" w:history="1">
              <w:r>
                <w:rPr>
                  <w:rStyle w:val="a4"/>
                  <w:rFonts w:eastAsia="Times New Roman"/>
                  <w:sz w:val="20"/>
                  <w:szCs w:val="20"/>
                </w:rPr>
                <w:t>Certain Relationships and Related Transactions, and Director Independence</w:t>
              </w:r>
            </w:hyperlink>
          </w:p>
        </w:tc>
        <w:tc>
          <w:tcPr>
            <w:tcW w:w="0" w:type="auto"/>
            <w:shd w:val="clear" w:color="auto" w:fill="CCEEFF"/>
            <w:vAlign w:val="bottom"/>
            <w:hideMark/>
          </w:tcPr>
          <w:p w:rsidR="00000000" w:rsidRDefault="00B64763">
            <w:pPr>
              <w:jc w:val="center"/>
              <w:rPr>
                <w:rFonts w:eastAsia="Times New Roman"/>
                <w:sz w:val="20"/>
                <w:szCs w:val="20"/>
              </w:rPr>
            </w:pPr>
            <w:r>
              <w:rPr>
                <w:rFonts w:eastAsia="Times New Roman"/>
                <w:sz w:val="20"/>
                <w:szCs w:val="20"/>
              </w:rPr>
              <w:t>28</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Item 14.</w:t>
            </w:r>
          </w:p>
        </w:tc>
        <w:tc>
          <w:tcPr>
            <w:tcW w:w="0" w:type="auto"/>
            <w:shd w:val="clear" w:color="auto" w:fill="FFFFFF"/>
            <w:hideMark/>
          </w:tcPr>
          <w:p w:rsidR="00000000" w:rsidRDefault="00B64763">
            <w:pPr>
              <w:rPr>
                <w:rFonts w:eastAsia="Times New Roman"/>
                <w:sz w:val="20"/>
                <w:szCs w:val="20"/>
              </w:rPr>
            </w:pPr>
            <w:hyperlink w:anchor="a_022" w:history="1">
              <w:r>
                <w:rPr>
                  <w:rStyle w:val="a4"/>
                  <w:rFonts w:eastAsia="Times New Roman"/>
                  <w:sz w:val="20"/>
                  <w:szCs w:val="20"/>
                </w:rPr>
                <w:t>Principal Accounting Fees and Services</w:t>
              </w:r>
            </w:hyperlink>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31</w:t>
            </w:r>
          </w:p>
        </w:tc>
      </w:tr>
      <w:tr w:rsidR="00000000">
        <w:tc>
          <w:tcPr>
            <w:tcW w:w="0" w:type="auto"/>
            <w:shd w:val="clear" w:color="auto" w:fill="CCEEFF"/>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gridSpan w:val="2"/>
            <w:shd w:val="clear" w:color="auto" w:fill="FFFFFF"/>
            <w:hideMark/>
          </w:tcPr>
          <w:p w:rsidR="00000000" w:rsidRDefault="00B64763">
            <w:pPr>
              <w:rPr>
                <w:rFonts w:eastAsia="Times New Roman"/>
                <w:sz w:val="20"/>
                <w:szCs w:val="20"/>
              </w:rPr>
            </w:pPr>
            <w:hyperlink w:anchor="a_023" w:history="1">
              <w:r>
                <w:rPr>
                  <w:rStyle w:val="a4"/>
                  <w:rFonts w:eastAsia="Times New Roman"/>
                  <w:b/>
                  <w:bCs/>
                  <w:sz w:val="20"/>
                  <w:szCs w:val="20"/>
                </w:rPr>
                <w:t>Part IV</w:t>
              </w:r>
            </w:hyperlink>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B64763">
            <w:pPr>
              <w:rPr>
                <w:rFonts w:eastAsia="Times New Roman"/>
                <w:sz w:val="20"/>
                <w:szCs w:val="20"/>
              </w:rPr>
            </w:pPr>
            <w:r>
              <w:rPr>
                <w:rFonts w:eastAsia="Times New Roman"/>
                <w:sz w:val="20"/>
                <w:szCs w:val="20"/>
              </w:rPr>
              <w:t>Item 15.</w:t>
            </w:r>
          </w:p>
        </w:tc>
        <w:tc>
          <w:tcPr>
            <w:tcW w:w="0" w:type="auto"/>
            <w:shd w:val="clear" w:color="auto" w:fill="CCEEFF"/>
            <w:hideMark/>
          </w:tcPr>
          <w:p w:rsidR="00000000" w:rsidRDefault="00B64763">
            <w:pPr>
              <w:rPr>
                <w:rFonts w:eastAsia="Times New Roman"/>
                <w:sz w:val="20"/>
                <w:szCs w:val="20"/>
              </w:rPr>
            </w:pPr>
            <w:hyperlink w:anchor="a_024" w:history="1">
              <w:r>
                <w:rPr>
                  <w:rStyle w:val="a4"/>
                  <w:rFonts w:eastAsia="Times New Roman"/>
                  <w:sz w:val="20"/>
                  <w:szCs w:val="20"/>
                </w:rPr>
                <w:t>Exhibits, Financial Statement Schedules</w:t>
              </w:r>
            </w:hyperlink>
          </w:p>
        </w:tc>
        <w:tc>
          <w:tcPr>
            <w:tcW w:w="0" w:type="auto"/>
            <w:shd w:val="clear" w:color="auto" w:fill="CCEEFF"/>
            <w:vAlign w:val="bottom"/>
            <w:hideMark/>
          </w:tcPr>
          <w:p w:rsidR="00000000" w:rsidRDefault="00B64763">
            <w:pPr>
              <w:jc w:val="center"/>
              <w:rPr>
                <w:rFonts w:eastAsia="Times New Roman"/>
                <w:sz w:val="20"/>
                <w:szCs w:val="20"/>
              </w:rPr>
            </w:pPr>
            <w:r>
              <w:rPr>
                <w:rFonts w:eastAsia="Times New Roman"/>
                <w:sz w:val="20"/>
                <w:szCs w:val="20"/>
              </w:rPr>
              <w:t>31</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Item 16.</w:t>
            </w:r>
          </w:p>
        </w:tc>
        <w:tc>
          <w:tcPr>
            <w:tcW w:w="0" w:type="auto"/>
            <w:shd w:val="clear" w:color="auto" w:fill="FFFFFF"/>
            <w:hideMark/>
          </w:tcPr>
          <w:p w:rsidR="00000000" w:rsidRDefault="00B64763">
            <w:pPr>
              <w:rPr>
                <w:rFonts w:eastAsia="Times New Roman"/>
                <w:sz w:val="20"/>
                <w:szCs w:val="20"/>
              </w:rPr>
            </w:pPr>
            <w:hyperlink w:anchor="a_025" w:history="1">
              <w:r>
                <w:rPr>
                  <w:rStyle w:val="a4"/>
                  <w:rFonts w:eastAsia="Times New Roman"/>
                  <w:sz w:val="20"/>
                  <w:szCs w:val="20"/>
                </w:rPr>
                <w:t>Form 10-K Summary</w:t>
              </w:r>
            </w:hyperlink>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32</w:t>
            </w:r>
          </w:p>
        </w:tc>
      </w:tr>
      <w:tr w:rsidR="00000000">
        <w:tc>
          <w:tcPr>
            <w:tcW w:w="0" w:type="auto"/>
            <w:shd w:val="clear" w:color="auto" w:fill="CCEEFF"/>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gridSpan w:val="2"/>
            <w:shd w:val="clear" w:color="auto" w:fill="FFFFFF"/>
            <w:hideMark/>
          </w:tcPr>
          <w:p w:rsidR="00000000" w:rsidRDefault="00B64763">
            <w:pPr>
              <w:rPr>
                <w:rFonts w:eastAsia="Times New Roman"/>
                <w:sz w:val="20"/>
                <w:szCs w:val="20"/>
              </w:rPr>
            </w:pPr>
            <w:hyperlink w:anchor="a_026" w:history="1">
              <w:r>
                <w:rPr>
                  <w:rStyle w:val="a4"/>
                  <w:rFonts w:eastAsia="Times New Roman"/>
                  <w:sz w:val="20"/>
                  <w:szCs w:val="20"/>
                </w:rPr>
                <w:t>Signatures</w:t>
              </w:r>
            </w:hyperlink>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33</w:t>
            </w:r>
          </w:p>
        </w:tc>
      </w:tr>
      <w:tr w:rsidR="00000000">
        <w:tc>
          <w:tcPr>
            <w:tcW w:w="0" w:type="auto"/>
            <w:gridSpan w:val="2"/>
            <w:shd w:val="clear" w:color="auto" w:fill="CCEEFF"/>
            <w:hideMark/>
          </w:tcPr>
          <w:p w:rsidR="00000000" w:rsidRDefault="00B64763">
            <w:pPr>
              <w:rPr>
                <w:rFonts w:eastAsia="Times New Roman"/>
                <w:sz w:val="20"/>
                <w:szCs w:val="20"/>
              </w:rPr>
            </w:pPr>
            <w:r>
              <w:rPr>
                <w:rFonts w:eastAsia="Times New Roman"/>
                <w:sz w:val="20"/>
                <w:szCs w:val="20"/>
              </w:rPr>
              <w:t>Index to Consolidated Financial Statements</w:t>
            </w:r>
          </w:p>
        </w:tc>
        <w:tc>
          <w:tcPr>
            <w:tcW w:w="0" w:type="auto"/>
            <w:shd w:val="clear" w:color="auto" w:fill="CCEEFF"/>
            <w:vAlign w:val="bottom"/>
            <w:hideMark/>
          </w:tcPr>
          <w:p w:rsidR="00000000" w:rsidRDefault="00B64763">
            <w:pPr>
              <w:jc w:val="center"/>
              <w:rPr>
                <w:rFonts w:eastAsia="Times New Roman"/>
                <w:sz w:val="20"/>
                <w:szCs w:val="20"/>
              </w:rPr>
            </w:pPr>
            <w:r>
              <w:rPr>
                <w:rFonts w:eastAsia="Times New Roman"/>
                <w:sz w:val="20"/>
                <w:szCs w:val="20"/>
              </w:rPr>
              <w:t>F-1</w:t>
            </w:r>
          </w:p>
        </w:tc>
      </w:tr>
    </w:tbl>
    <w:p w:rsidR="00000000" w:rsidRDefault="00B64763">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1971932104"/>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3</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sz w:val="20"/>
          <w:szCs w:val="20"/>
        </w:rPr>
        <w:t>Cautionary Note on Forward-Looking Statements</w:t>
      </w:r>
    </w:p>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This annual report on form 10-K (“Annual Report”</w:t>
      </w:r>
      <w:r>
        <w:rPr>
          <w:sz w:val="20"/>
          <w:szCs w:val="20"/>
        </w:rPr>
        <w:t>) contains forward-looking statements. Such forward-looking statements include those that express plans, anticipation, intent, contingency, goals, targets or future development and/or otherwise are not statements of historical fact. These forward-looking s</w:t>
      </w:r>
      <w:r>
        <w:rPr>
          <w:sz w:val="20"/>
          <w:szCs w:val="20"/>
        </w:rPr>
        <w:t>tatements are based on our current expectations and projections about future events and they are subject to risks and uncertainties known and unknown that could cause actual results and developments to differ materially from those expressed or implied in s</w:t>
      </w:r>
      <w:r>
        <w:rPr>
          <w:sz w:val="20"/>
          <w:szCs w:val="20"/>
        </w:rPr>
        <w:t>uch statements.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All statements other than historical facts contained in this Annual Report, including statements regarding our future financial position, capital expenditures, cash flows, business strategy and plans and objectives of management for futur</w:t>
      </w:r>
      <w:r>
        <w:rPr>
          <w:sz w:val="20"/>
          <w:szCs w:val="20"/>
        </w:rPr>
        <w:t>e operations are forward-looking statements. The words “anticipated,” “believe,” “expect,” “plan,” “intend,” “seek,” “estimate,” “project,” “could,” “may,” and similar expressions are intended to identify forward-looking statements. These statements includ</w:t>
      </w:r>
      <w:r>
        <w:rPr>
          <w:sz w:val="20"/>
          <w:szCs w:val="20"/>
        </w:rPr>
        <w:t>e, among others, information regarding future operations, future capital expenditures, and future net cash flow. Such statements reflect our management’s current views with respect to future events and financial performance and involve risks and uncertaint</w:t>
      </w:r>
      <w:r>
        <w:rPr>
          <w:sz w:val="20"/>
          <w:szCs w:val="20"/>
        </w:rPr>
        <w:t>ies, including, without limitation, our ability to raise additional capital to fund our operations, market acceptance of our products, our dependence on licenses for certain of our products, our reliance on the expected growth in demand for our products, d</w:t>
      </w:r>
      <w:r>
        <w:rPr>
          <w:sz w:val="20"/>
          <w:szCs w:val="20"/>
        </w:rPr>
        <w:t>evelopment of a public trading market for our securities, and various other matters, many of which are beyond our control.</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Should one or more of these risks or uncertainties occur, or should underlying assumptions prove to be incorrect, actual results ma</w:t>
      </w:r>
      <w:r>
        <w:rPr>
          <w:sz w:val="20"/>
          <w:szCs w:val="20"/>
        </w:rPr>
        <w:t xml:space="preserve">y vary materially and adversely from those anticipated, believed, estimated or otherwise indicated. Consequently, all of the forward-looking statements made in this Annual Report are qualified by these cautionary statements and accordingly there can be no </w:t>
      </w:r>
      <w:r>
        <w:rPr>
          <w:sz w:val="20"/>
          <w:szCs w:val="20"/>
        </w:rPr>
        <w:t xml:space="preserve">assurances made with respect to the actual results or developments. We undertake no obligation to revise or publicly </w:t>
      </w:r>
      <w:r>
        <w:rPr>
          <w:sz w:val="20"/>
          <w:szCs w:val="20"/>
        </w:rPr>
        <w:lastRenderedPageBreak/>
        <w:t>release the results of any revision to these forward-looking statements, except as required by law. Given these risks and uncertainties, re</w:t>
      </w:r>
      <w:r>
        <w:rPr>
          <w:sz w:val="20"/>
          <w:szCs w:val="20"/>
        </w:rPr>
        <w:t>aders are cautioned not to place undue reliance on such forward-looking statements.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Unless expressly indicated or the context requires otherwise, the terms “Company,” “we,” “us,” and “our” in this document refer to Clickstream Corporation, a Nevada corpo</w:t>
      </w:r>
      <w:r>
        <w:rPr>
          <w:sz w:val="20"/>
          <w:szCs w:val="20"/>
        </w:rPr>
        <w:t>ration, and, our wholly owned subsidiaries, as defined under Part I, Item 1-“Business” in this Annual Report.</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281349618"/>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4</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sz w:val="20"/>
          <w:szCs w:val="20"/>
        </w:rPr>
        <w:t>PART I</w:t>
      </w:r>
    </w:p>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1.</w:t>
      </w:r>
      <w:r>
        <w:rPr>
          <w:b/>
          <w:bCs/>
          <w:sz w:val="20"/>
          <w:szCs w:val="20"/>
        </w:rPr>
        <w:t xml:space="preserve"> </w:t>
      </w:r>
      <w:r>
        <w:rPr>
          <w:b/>
          <w:bCs/>
          <w:i/>
          <w:iCs/>
          <w:sz w:val="20"/>
          <w:szCs w:val="20"/>
        </w:rPr>
        <w:t>Business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Description of Our Business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sz w:val="20"/>
          <w:szCs w:val="20"/>
        </w:rPr>
        <w:t>Our corporate history</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We were incorporated in Nevada on September 30, 2005, and previously operated under the name of Peak Resource Incorporated. In Au</w:t>
      </w:r>
      <w:r>
        <w:rPr>
          <w:color w:val="000000"/>
          <w:sz w:val="20"/>
          <w:szCs w:val="20"/>
        </w:rPr>
        <w:t>gust 2008, we changed our name to “Mine Clearing Corporation”. We had been operating as an exploration division in the mining s</w:t>
      </w:r>
      <w:r>
        <w:rPr>
          <w:color w:val="000000"/>
          <w:sz w:val="20"/>
          <w:szCs w:val="20"/>
        </w:rPr>
        <w:t>ector until May 2014. On May 2, 2014, we acquired all of the shares of Clickstream Corporation, a Nevada corporation. Subsequent to the acquisition, we were operating as a data analytics tool developer and had sought to further develop and exploit our data</w:t>
      </w:r>
      <w:r>
        <w:rPr>
          <w:color w:val="000000"/>
          <w:sz w:val="20"/>
          <w:szCs w:val="20"/>
        </w:rPr>
        <w:t xml:space="preserve"> analytics technology and proprietary algorithms. Currently, we are </w:t>
      </w:r>
      <w:r>
        <w:rPr>
          <w:rFonts w:ascii="Nunito..." w:hAnsi="Nunito..."/>
          <w:color w:val="000000"/>
          <w:sz w:val="20"/>
          <w:szCs w:val="20"/>
          <w:shd w:val="clear" w:color="auto" w:fill="FFFFFF"/>
        </w:rPr>
        <w:t>a technology company focused on developing apps and digital platforms</w:t>
      </w:r>
      <w:r>
        <w:rPr>
          <w:rFonts w:ascii="Nunito..." w:hAnsi="Nunito..."/>
          <w:color w:val="000000"/>
          <w:sz w:val="20"/>
          <w:szCs w:val="20"/>
          <w:shd w:val="clear" w:color="auto" w:fill="FFFFFF"/>
        </w:rPr>
        <w:t xml:space="preserve"> </w:t>
      </w:r>
      <w:r>
        <w:rPr>
          <w:rFonts w:ascii="Nunito..." w:hAnsi="Nunito..."/>
          <w:color w:val="000000"/>
          <w:sz w:val="20"/>
          <w:szCs w:val="20"/>
          <w:shd w:val="clear" w:color="auto" w:fill="FFFFFF"/>
        </w:rPr>
        <w:t>that disrupt conventional industries.</w:t>
      </w:r>
      <w:r>
        <w:rPr>
          <w:rFonts w:ascii="Nunito..." w:hAnsi="Nunito..."/>
          <w:color w:val="000000"/>
          <w:sz w:val="20"/>
          <w:szCs w:val="20"/>
          <w:shd w:val="clear" w:color="auto" w:fill="FFFFFF"/>
        </w:rPr>
        <w:t xml:space="preserve"> </w:t>
      </w:r>
      <w:r>
        <w:rPr>
          <w:color w:val="000000"/>
          <w:sz w:val="20"/>
          <w:szCs w:val="20"/>
          <w:shd w:val="clear" w:color="auto" w:fill="FFFFFF"/>
        </w:rPr>
        <w:t xml:space="preserve">We’re </w:t>
      </w:r>
      <w:r>
        <w:rPr>
          <w:rFonts w:ascii="Nunito..." w:hAnsi="Nunito..."/>
          <w:color w:val="000000"/>
          <w:sz w:val="20"/>
          <w:szCs w:val="20"/>
          <w:shd w:val="clear" w:color="auto" w:fill="FFFFFF"/>
        </w:rPr>
        <w:t>currently</w:t>
      </w:r>
      <w:r>
        <w:rPr>
          <w:rFonts w:ascii="Nunito..." w:hAnsi="Nunito..."/>
          <w:color w:val="000000"/>
          <w:sz w:val="20"/>
          <w:szCs w:val="20"/>
          <w:shd w:val="clear" w:color="auto" w:fill="FFFFFF"/>
        </w:rPr>
        <w:t xml:space="preserve"> </w:t>
      </w:r>
      <w:r>
        <w:rPr>
          <w:rFonts w:ascii="Nunito..." w:hAnsi="Nunito..."/>
          <w:color w:val="000000"/>
          <w:sz w:val="20"/>
          <w:szCs w:val="20"/>
          <w:shd w:val="clear" w:color="auto" w:fill="FFFFFF"/>
        </w:rPr>
        <w:t>marketing and developing WinQuik, HeyPal, Nifter</w:t>
      </w:r>
      <w:r>
        <w:rPr>
          <w:rFonts w:ascii="Nunito..." w:hAnsi="Nunito..."/>
          <w:color w:val="000000"/>
          <w:sz w:val="20"/>
          <w:szCs w:val="20"/>
          <w:shd w:val="clear" w:color="auto" w:fill="FFFFFF"/>
        </w:rPr>
        <w:t xml:space="preserve"> </w:t>
      </w:r>
      <w:r>
        <w:rPr>
          <w:rFonts w:ascii="Nunito..." w:hAnsi="Nunito..."/>
          <w:color w:val="000000"/>
          <w:sz w:val="20"/>
          <w:szCs w:val="20"/>
          <w:shd w:val="clear" w:color="auto" w:fill="FFFFFF"/>
        </w:rPr>
        <w:t>&amp;</w:t>
      </w:r>
      <w:r>
        <w:rPr>
          <w:rFonts w:ascii="Nunito..." w:hAnsi="Nunito..."/>
          <w:color w:val="000000"/>
          <w:sz w:val="20"/>
          <w:szCs w:val="20"/>
          <w:shd w:val="clear" w:color="auto" w:fill="FFFFFF"/>
        </w:rPr>
        <w:t xml:space="preserve"> </w:t>
      </w:r>
      <w:r>
        <w:rPr>
          <w:rFonts w:ascii="Nunito..." w:hAnsi="Nunito..."/>
          <w:color w:val="000000"/>
          <w:sz w:val="20"/>
          <w:szCs w:val="20"/>
          <w:shd w:val="clear" w:color="auto" w:fill="FFFFFF"/>
        </w:rPr>
        <w:t>Joey</w:t>
      </w:r>
      <w:r>
        <w:rPr>
          <w:color w:val="000000"/>
          <w:sz w:val="20"/>
          <w:szCs w:val="20"/>
          <w:shd w:val="clear" w:color="auto" w:fill="FFFFFF"/>
        </w:rPr>
        <w:t>’</w:t>
      </w:r>
      <w:r>
        <w:rPr>
          <w:rFonts w:ascii="Nunito..." w:hAnsi="Nunito..."/>
          <w:color w:val="000000"/>
          <w:sz w:val="20"/>
          <w:szCs w:val="20"/>
          <w:shd w:val="clear" w:color="auto" w:fill="FFFFFF"/>
        </w:rPr>
        <w:t>s Animal</w:t>
      </w:r>
      <w:r>
        <w:rPr>
          <w:rFonts w:ascii="Nunito..." w:hAnsi="Nunito..."/>
          <w:color w:val="000000"/>
          <w:sz w:val="20"/>
          <w:szCs w:val="20"/>
          <w:shd w:val="clear" w:color="auto" w:fill="FFFFFF"/>
        </w:rPr>
        <w:t xml:space="preserve"> Kingdom respectively.</w:t>
      </w:r>
    </w:p>
    <w:p w:rsidR="00000000" w:rsidRDefault="00B64763">
      <w:pPr>
        <w:pStyle w:val="a3"/>
        <w:spacing w:before="0" w:beforeAutospacing="0" w:after="0" w:afterAutospacing="0"/>
        <w:rPr>
          <w:sz w:val="20"/>
          <w:szCs w:val="20"/>
        </w:rPr>
      </w:pPr>
      <w:r>
        <w:rPr>
          <w:color w:val="000000"/>
          <w:sz w:val="20"/>
          <w:szCs w:val="20"/>
        </w:rPr>
        <w:t> </w:t>
      </w:r>
    </w:p>
    <w:p w:rsidR="00000000" w:rsidRDefault="00B64763">
      <w:pPr>
        <w:pStyle w:val="a3"/>
        <w:spacing w:before="0" w:beforeAutospacing="0" w:after="0" w:afterAutospacing="0"/>
        <w:rPr>
          <w:sz w:val="20"/>
          <w:szCs w:val="20"/>
        </w:rPr>
      </w:pPr>
      <w:r>
        <w:rPr>
          <w:color w:val="000000"/>
          <w:sz w:val="20"/>
          <w:szCs w:val="20"/>
        </w:rPr>
        <w:t>The address of our virtual executive office is 8549 Wilshire Blvd., Suite 2181, Beverly Hills, Cali</w:t>
      </w:r>
      <w:r>
        <w:rPr>
          <w:sz w:val="20"/>
          <w:szCs w:val="20"/>
        </w:rPr>
        <w:t>fornia 90211, and our telephone number is (213) 205-0684.</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sz w:val="20"/>
          <w:szCs w:val="20"/>
        </w:rPr>
        <w:t>Overview</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Over the last few years, there has been a substantial increas</w:t>
      </w:r>
      <w:r>
        <w:rPr>
          <w:sz w:val="20"/>
          <w:szCs w:val="20"/>
        </w:rPr>
        <w:t xml:space="preserve">e in the availability and quality of applications readily available from sources such as Google Play Store and Apple Play Store for various types of gaming. The initial objective of the Company is to develop apps and digital </w:t>
      </w:r>
      <w:r>
        <w:rPr>
          <w:color w:val="000000"/>
          <w:sz w:val="20"/>
          <w:szCs w:val="20"/>
        </w:rPr>
        <w:t>platforms that disrupt conventi</w:t>
      </w:r>
      <w:r>
        <w:rPr>
          <w:color w:val="000000"/>
          <w:sz w:val="20"/>
          <w:szCs w:val="20"/>
        </w:rPr>
        <w:t>onal industries. The Company is currently marketing and developing WinQuik™, HeyPal™, Nifter™ and Joeys Animal Kingdon™ respectively. WinQuik™, is a free-to-play synchronized mobile app and digital gaming platform. The platform is designed to enable WinQui</w:t>
      </w:r>
      <w:r>
        <w:rPr>
          <w:color w:val="000000"/>
          <w:sz w:val="20"/>
          <w:szCs w:val="20"/>
        </w:rPr>
        <w:t xml:space="preserve">k™ users to have fun, interact and compete in order to win real money and prizes. </w:t>
      </w:r>
      <w:r>
        <w:rPr>
          <w:rFonts w:ascii="Source..." w:hAnsi="Source..."/>
          <w:color w:val="000000"/>
          <w:sz w:val="20"/>
          <w:szCs w:val="20"/>
          <w:shd w:val="clear" w:color="auto" w:fill="FFFFFF"/>
        </w:rPr>
        <w:t>WinQuik™</w:t>
      </w:r>
      <w:r>
        <w:rPr>
          <w:rFonts w:ascii="Source..." w:hAnsi="Source..."/>
          <w:color w:val="000000"/>
          <w:sz w:val="20"/>
          <w:szCs w:val="20"/>
          <w:shd w:val="clear" w:color="auto" w:fill="FFFFFF"/>
        </w:rPr>
        <w:t xml:space="preserve"> </w:t>
      </w:r>
      <w:r>
        <w:rPr>
          <w:color w:val="000000"/>
          <w:sz w:val="20"/>
          <w:szCs w:val="20"/>
          <w:shd w:val="clear" w:color="auto" w:fill="FFFFFF"/>
        </w:rPr>
        <w:t xml:space="preserve">website </w:t>
      </w:r>
      <w:r>
        <w:rPr>
          <w:rFonts w:ascii="Source..." w:hAnsi="Source..."/>
          <w:color w:val="000000"/>
          <w:sz w:val="20"/>
          <w:szCs w:val="20"/>
          <w:shd w:val="clear" w:color="auto" w:fill="FFFFFF"/>
        </w:rPr>
        <w:t>is currently under construction</w:t>
      </w:r>
      <w:r>
        <w:rPr>
          <w:rFonts w:ascii="Source..." w:hAnsi="Source..."/>
          <w:color w:val="000000"/>
          <w:sz w:val="20"/>
          <w:szCs w:val="20"/>
          <w:shd w:val="clear" w:color="auto" w:fill="FFFFFF"/>
        </w:rPr>
        <w:t xml:space="preserve"> </w:t>
      </w:r>
      <w:r>
        <w:rPr>
          <w:rFonts w:ascii="Source..." w:hAnsi="Source..."/>
          <w:color w:val="000000"/>
          <w:sz w:val="20"/>
          <w:szCs w:val="20"/>
          <w:shd w:val="clear" w:color="auto" w:fill="FFFFFF"/>
        </w:rPr>
        <w:t>as ClickStream considers revamping the Platform to give it a new improved form, structure and appearance.</w:t>
      </w:r>
      <w:r>
        <w:rPr>
          <w:sz w:val="20"/>
          <w:szCs w:val="20"/>
        </w:rPr>
        <w:t xml:space="preserve"> </w:t>
      </w:r>
      <w:r>
        <w:rPr>
          <w:color w:val="000000"/>
          <w:sz w:val="20"/>
          <w:szCs w:val="20"/>
        </w:rPr>
        <w:t xml:space="preserve">HeyPal™, a unit of </w:t>
      </w:r>
      <w:r>
        <w:rPr>
          <w:color w:val="000000"/>
          <w:sz w:val="20"/>
          <w:szCs w:val="20"/>
        </w:rPr>
        <w:t>our subsidiary Nebula Software Corp., is a language learning app that focuses on “language exchanging” between users around the world. Nifter™, by way of ClickStream subsidiary Rebel Blockchain Inc., is a music NFT marketplace that allows artists to create</w:t>
      </w:r>
      <w:r>
        <w:rPr>
          <w:color w:val="000000"/>
          <w:sz w:val="20"/>
          <w:szCs w:val="20"/>
        </w:rPr>
        <w:t>, sell and discover unique music and sound NFTs on the Nifter™ marketplace. Joey’s Animal Kingdom™ is a children’s entertainment and education app that takes kids all around this amazing planet to see incredible animals and creatures</w:t>
      </w:r>
      <w:r>
        <w:rPr>
          <w:sz w:val="20"/>
          <w:szCs w:val="20"/>
        </w:rPr>
        <w:t>.</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 xml:space="preserve">In September 2021, </w:t>
      </w:r>
      <w:r>
        <w:rPr>
          <w:sz w:val="20"/>
          <w:szCs w:val="20"/>
        </w:rPr>
        <w:t>the Company acquired approximately 53% of Winners, Inc. (WNRS) which together with its prior holdings gives an approximate 55% interest in the common stock of WNRS. Due to the existence of super-voting preferred stock of WNRS, the Company has a vote of app</w:t>
      </w:r>
      <w:r>
        <w:rPr>
          <w:sz w:val="20"/>
          <w:szCs w:val="20"/>
        </w:rPr>
        <w:t>roximately 5%. However, management has concluded that Winners, Inc and its subsidiary VegasWinners, Inc. should be considered as an investment in equity method investee.</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sz w:val="20"/>
          <w:szCs w:val="20"/>
        </w:rPr>
        <w:t>Business Plan</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The company currently has four product lines.</w:t>
      </w:r>
    </w:p>
    <w:p w:rsidR="00000000" w:rsidRDefault="00B64763">
      <w:pPr>
        <w:pStyle w:val="a3"/>
        <w:spacing w:before="0" w:beforeAutospacing="0" w:after="0" w:afterAutospacing="0"/>
        <w:jc w:val="both"/>
        <w:rPr>
          <w:sz w:val="20"/>
          <w:szCs w:val="20"/>
        </w:rPr>
      </w:pPr>
      <w:r>
        <w:rPr>
          <w:sz w:val="20"/>
          <w:szCs w:val="20"/>
        </w:rPr>
        <w:lastRenderedPageBreak/>
        <w:t> </w:t>
      </w:r>
    </w:p>
    <w:p w:rsidR="00000000" w:rsidRDefault="00B64763">
      <w:pPr>
        <w:pStyle w:val="a3"/>
        <w:spacing w:before="0" w:beforeAutospacing="0" w:after="0" w:afterAutospacing="0"/>
        <w:rPr>
          <w:sz w:val="20"/>
          <w:szCs w:val="20"/>
        </w:rPr>
      </w:pPr>
      <w:r>
        <w:rPr>
          <w:b/>
          <w:bCs/>
          <w:sz w:val="20"/>
          <w:szCs w:val="20"/>
        </w:rPr>
        <w:t>WinQuik™</w:t>
      </w:r>
      <w:r>
        <w:rPr>
          <w:sz w:val="20"/>
          <w:szCs w:val="20"/>
        </w:rPr>
        <w:t>, is a free-</w:t>
      </w:r>
      <w:r>
        <w:rPr>
          <w:sz w:val="20"/>
          <w:szCs w:val="20"/>
        </w:rPr>
        <w:t>to-play synchronized mobile app and digital gaming platform. The platform is designed to enable WinQuik™ users to have fun, interact and compete in order to win real money and prizes. WinQuik™ website is currently under construction as we consider revampin</w:t>
      </w:r>
      <w:r>
        <w:rPr>
          <w:sz w:val="20"/>
          <w:szCs w:val="20"/>
        </w:rPr>
        <w:t>g the platform to give it a new improved form, structure and appeal.</w:t>
      </w:r>
    </w:p>
    <w:p w:rsidR="00000000" w:rsidRDefault="00B6476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1213736506"/>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5</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sz w:val="20"/>
          <w:szCs w:val="20"/>
        </w:rPr>
        <w:t>HeyPal™</w:t>
      </w:r>
      <w:r>
        <w:rPr>
          <w:sz w:val="20"/>
          <w:szCs w:val="20"/>
        </w:rPr>
        <w:t xml:space="preserve">, by way of ClickStream subsidiary Nebula Software Corp., is a language learning app that focuses on “language exchanging” </w:t>
      </w:r>
      <w:r>
        <w:rPr>
          <w:sz w:val="20"/>
          <w:szCs w:val="20"/>
        </w:rPr>
        <w:t>between users around the world. As opposed to quizzes, flash cards and other traditional language studying tools, HeyPal™’s approach to helping its users learn a new language is by matching them together with native speakers of their target language. For e</w:t>
      </w:r>
      <w:r>
        <w:rPr>
          <w:sz w:val="20"/>
          <w:szCs w:val="20"/>
        </w:rPr>
        <w:t xml:space="preserve">xample, if User A speaks English, and wants to learn French, HeyPal™ will match the user with User B who speaks fluent French and wishes to learn English. This approach makes the language learning process more fun, engaging, and encourages faster learning </w:t>
      </w:r>
      <w:r>
        <w:rPr>
          <w:sz w:val="20"/>
          <w:szCs w:val="20"/>
        </w:rPr>
        <w:t>speed. HeyPal™ also has many social media features, including posts and media uploading to “language boards”, allowing users to post original content and be immersed completely in the language they are learning. Nebula intends to monetize HeyPal™ by integr</w:t>
      </w:r>
      <w:r>
        <w:rPr>
          <w:sz w:val="20"/>
          <w:szCs w:val="20"/>
        </w:rPr>
        <w:t>ating a unique and effective premium subscription model that will allow users to gain access to certain features that will enhance their social language experience. For more information about HeyPal™, please visit website at www. heypalapp.com and social m</w:t>
      </w:r>
      <w:r>
        <w:rPr>
          <w:sz w:val="20"/>
          <w:szCs w:val="20"/>
        </w:rPr>
        <w:t>edia on Instagram: https://www.instagram.com/heypalapp/ Instagram:</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sz w:val="20"/>
          <w:szCs w:val="20"/>
        </w:rPr>
        <w:t xml:space="preserve">Nifter™ </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On March 19, 2021, we acquired Rebel Blockchain, Inc., which is the creator of Nifter</w:t>
      </w:r>
      <w:r>
        <w:rPr>
          <w:b/>
          <w:bCs/>
          <w:sz w:val="20"/>
          <w:szCs w:val="20"/>
        </w:rPr>
        <w:t>™</w:t>
      </w:r>
      <w:r>
        <w:rPr>
          <w:sz w:val="20"/>
          <w:szCs w:val="20"/>
        </w:rPr>
        <w:t>, a marketplace for non-fungible tokens on the Ethereum blockchain. At the time of the acq</w:t>
      </w:r>
      <w:r>
        <w:rPr>
          <w:sz w:val="20"/>
          <w:szCs w:val="20"/>
        </w:rPr>
        <w:t>uisition, Rebel Blockchain had nominal assets and no operations. The development of the platform will include front-end, back-end and blockchain smart-contract development, and, upon launch, the platform will be “live” for users to access and use the platf</w:t>
      </w:r>
      <w:r>
        <w:rPr>
          <w:sz w:val="20"/>
          <w:szCs w:val="20"/>
        </w:rPr>
        <w:t>orm It is expected that as of the launch Rebel Blockchain will have no customers or commitments from customers.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sz w:val="20"/>
          <w:szCs w:val="20"/>
        </w:rPr>
        <w:t>Joey’s Animal Kingdom™:</w:t>
      </w:r>
    </w:p>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rPr>
          <w:sz w:val="20"/>
          <w:szCs w:val="20"/>
        </w:rPr>
      </w:pPr>
      <w:r>
        <w:rPr>
          <w:sz w:val="20"/>
          <w:szCs w:val="20"/>
        </w:rPr>
        <w:t>On or about April 14, 2020, we formed Joey’s Animal Kingdom™, a children’s entertainment and education app that take</w:t>
      </w:r>
      <w:r>
        <w:rPr>
          <w:sz w:val="20"/>
          <w:szCs w:val="20"/>
        </w:rPr>
        <w:t>s kids all around this amazing planet to see incredible animals and creatures. WOWEEAPP.COM is not just a place to watch videos and learn about animals, but it has many other features such as live quizzes and games as well as kid profiles and VS games. Joe</w:t>
      </w:r>
      <w:r>
        <w:rPr>
          <w:sz w:val="20"/>
          <w:szCs w:val="20"/>
        </w:rPr>
        <w:t>y is a little boy who lives in the jungle with his pet and best friend, Mochi, a chimpanzee. Joey has spent his younger life traveling the world with his parents’ visiting zoos and helping animals all around the world. His passion for animals has now led h</w:t>
      </w:r>
      <w:r>
        <w:rPr>
          <w:sz w:val="20"/>
          <w:szCs w:val="20"/>
        </w:rPr>
        <w:t>im to help educate other kids about the amazing planet we live on and all the animals that need our help!</w:t>
      </w:r>
    </w:p>
    <w:p w:rsidR="00000000" w:rsidRDefault="00B6476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1484396051"/>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6</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right="315"/>
        <w:jc w:val="both"/>
        <w:rPr>
          <w:color w:val="1E1E1E"/>
          <w:sz w:val="20"/>
          <w:szCs w:val="20"/>
        </w:rPr>
      </w:pPr>
      <w:r>
        <w:rPr>
          <w:color w:val="1E1E1E"/>
          <w:sz w:val="20"/>
          <w:szCs w:val="20"/>
        </w:rPr>
        <w:t> </w:t>
      </w:r>
    </w:p>
    <w:p w:rsidR="00000000" w:rsidRDefault="00B64763">
      <w:pPr>
        <w:pStyle w:val="a3"/>
        <w:spacing w:before="0" w:beforeAutospacing="0" w:after="0" w:afterAutospacing="0"/>
        <w:rPr>
          <w:sz w:val="20"/>
          <w:szCs w:val="20"/>
        </w:rPr>
      </w:pPr>
      <w:r>
        <w:rPr>
          <w:b/>
          <w:bCs/>
          <w:sz w:val="20"/>
          <w:szCs w:val="20"/>
        </w:rPr>
        <w:t>Litigation</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We are not engaged in any litigation at the date of this Annual Report. We may be engaged in litigation from time to time in the normal course of business, including claims for injury and damage alleged to be caused by use of our planned products.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sz w:val="20"/>
          <w:szCs w:val="20"/>
        </w:rPr>
        <w:t>Proper</w:t>
      </w:r>
      <w:r>
        <w:rPr>
          <w:b/>
          <w:bCs/>
          <w:sz w:val="20"/>
          <w:szCs w:val="20"/>
        </w:rPr>
        <w:t>ties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We do not own or lease any offices at this time other than a “virtual office” at the address set forth on the cover page of this Annual Report. We plan to lease general office space sufficient for our current needs and additional needs of additional</w:t>
      </w:r>
      <w:r>
        <w:rPr>
          <w:sz w:val="20"/>
          <w:szCs w:val="20"/>
        </w:rPr>
        <w:t xml:space="preserve"> personnel in the foreseeable future.</w:t>
      </w:r>
    </w:p>
    <w:p w:rsidR="00000000" w:rsidRDefault="00B64763">
      <w:pPr>
        <w:pStyle w:val="a3"/>
        <w:spacing w:before="0" w:beforeAutospacing="0" w:after="0" w:afterAutospacing="0"/>
        <w:rPr>
          <w:sz w:val="20"/>
          <w:szCs w:val="20"/>
        </w:rPr>
      </w:pPr>
      <w:r>
        <w:rPr>
          <w:sz w:val="20"/>
          <w:szCs w:val="20"/>
        </w:rPr>
        <w:lastRenderedPageBreak/>
        <w:t> </w:t>
      </w:r>
    </w:p>
    <w:p w:rsidR="00000000" w:rsidRDefault="00B64763">
      <w:pPr>
        <w:pStyle w:val="a3"/>
        <w:spacing w:before="0" w:beforeAutospacing="0" w:after="0" w:afterAutospacing="0"/>
        <w:rPr>
          <w:sz w:val="20"/>
          <w:szCs w:val="20"/>
        </w:rPr>
      </w:pPr>
      <w:r>
        <w:rPr>
          <w:b/>
          <w:bCs/>
          <w:sz w:val="20"/>
          <w:szCs w:val="20"/>
        </w:rPr>
        <w:t>Governmental and Industry Regulation</w:t>
      </w:r>
    </w:p>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rPr>
          <w:sz w:val="20"/>
          <w:szCs w:val="20"/>
        </w:rPr>
      </w:pPr>
      <w:r>
        <w:rPr>
          <w:sz w:val="20"/>
          <w:szCs w:val="20"/>
        </w:rPr>
        <w:t>We are subject to federal and state laws and regulations that relate directly or indirectly to our operations, including privacy laws and federal securities laws.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sz w:val="20"/>
          <w:szCs w:val="20"/>
        </w:rPr>
        <w:t>Compliance w</w:t>
      </w:r>
      <w:r>
        <w:rPr>
          <w:b/>
          <w:bCs/>
          <w:sz w:val="20"/>
          <w:szCs w:val="20"/>
        </w:rPr>
        <w:t>ith Environmental Laws</w:t>
      </w:r>
    </w:p>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rPr>
          <w:sz w:val="20"/>
          <w:szCs w:val="20"/>
        </w:rPr>
      </w:pPr>
      <w:r>
        <w:rPr>
          <w:sz w:val="20"/>
          <w:szCs w:val="20"/>
        </w:rPr>
        <w:t>Our current operations are not subject to any environmental laws.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sz w:val="20"/>
          <w:szCs w:val="20"/>
        </w:rPr>
        <w:t>EMPLOYEES AND HUMAN CAPITAL</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rPr>
          <w:sz w:val="20"/>
          <w:szCs w:val="20"/>
        </w:rPr>
      </w:pPr>
      <w:r>
        <w:rPr>
          <w:sz w:val="20"/>
          <w:szCs w:val="20"/>
        </w:rPr>
        <w:t xml:space="preserve">We currently have three part-time employees and no full-time employees. Michael Handelman has been appointed our Secretary and Chief </w:t>
      </w:r>
      <w:r>
        <w:rPr>
          <w:sz w:val="20"/>
          <w:szCs w:val="20"/>
        </w:rPr>
        <w:t xml:space="preserve">Financial Officer, Frank Magliochetti has been appointed our Chief Executive Officer, and Thomas Terwilliger has been appointed our Controller, with each such individual retained on an independent contractor basis. Each of Messrs. Handelman, Magliochetti, </w:t>
      </w:r>
      <w:r>
        <w:rPr>
          <w:sz w:val="20"/>
          <w:szCs w:val="20"/>
        </w:rPr>
        <w:t>and Terwilliger work at their own offices, make their own schedules and work with other clients. Messrs. Handelman, Magliochetti and Terwilliger spend approximately 20 hours per week on our matters with the expectation that Mr. Magliochetti’s and Mr. Hande</w:t>
      </w:r>
      <w:r>
        <w:rPr>
          <w:sz w:val="20"/>
          <w:szCs w:val="20"/>
        </w:rPr>
        <w:t>lman’s time commitment will increase as our business grows. However, we do plan to hire a full-time Chief Executive Officer when we have the financial resources to do so.</w:t>
      </w:r>
    </w:p>
    <w:p w:rsidR="00000000" w:rsidRDefault="00B64763">
      <w:pPr>
        <w:pStyle w:val="a3"/>
        <w:spacing w:before="0" w:beforeAutospacing="0" w:after="0" w:afterAutospacing="0"/>
        <w:ind w:firstLine="720"/>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We have relied and plan on continuing to rely on independent organizations, advisor</w:t>
      </w:r>
      <w:r>
        <w:rPr>
          <w:sz w:val="20"/>
          <w:szCs w:val="20"/>
        </w:rPr>
        <w:t xml:space="preserve">s and consultants to perform certain services for us, including handling substantially all aspects of regulatory approval, product development, marketing, and sales. Such services may not always be available to us on a timely basis or at costs that we can </w:t>
      </w:r>
      <w:r>
        <w:rPr>
          <w:sz w:val="20"/>
          <w:szCs w:val="20"/>
        </w:rPr>
        <w:t>afford. Our future performance will depend in part on our ability to successfully integrate newly hired officers and to engage and retain consultants, as well as our ability to develop an effective working relationship with our management and consultants.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1A.</w:t>
      </w:r>
      <w:r>
        <w:rPr>
          <w:b/>
          <w:bCs/>
          <w:sz w:val="20"/>
          <w:szCs w:val="20"/>
        </w:rPr>
        <w:t xml:space="preserve"> </w:t>
      </w:r>
      <w:r>
        <w:rPr>
          <w:b/>
          <w:bCs/>
          <w:i/>
          <w:iCs/>
          <w:sz w:val="20"/>
          <w:szCs w:val="20"/>
        </w:rPr>
        <w:t>Risk Factors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following factors, </w:t>
      </w:r>
      <w:r>
        <w:rPr>
          <w:sz w:val="20"/>
          <w:szCs w:val="20"/>
        </w:rPr>
        <w:t>as well as factors described elsewhere in this Form 10-K, or in other filings by the Company with the Securities and Exchange Commission, could adversely affect the Company’s consolidated financial position, results of operations or cash flows. Other facto</w:t>
      </w:r>
      <w:r>
        <w:rPr>
          <w:sz w:val="20"/>
          <w:szCs w:val="20"/>
        </w:rPr>
        <w:t>rs not presently known to us or that we presently believe are not material could also affect our business operations and financial results.</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1215968908"/>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7</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sz w:val="20"/>
          <w:szCs w:val="20"/>
        </w:rPr>
        <w:t>Risks Relating to our Business Model</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Our lack of operating history makes it difficult for you to evalua</w:t>
      </w:r>
      <w:r>
        <w:rPr>
          <w:b/>
          <w:bCs/>
          <w:i/>
          <w:iCs/>
          <w:sz w:val="20"/>
          <w:szCs w:val="20"/>
        </w:rPr>
        <w:t>te the merits of purchasing our common stock.</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We are a development-stage enterprise with four product lines. WinQuik</w:t>
      </w:r>
      <w:r>
        <w:rPr>
          <w:sz w:val="20"/>
          <w:szCs w:val="20"/>
          <w:vertAlign w:val="superscript"/>
        </w:rPr>
        <w:t>TM</w:t>
      </w:r>
      <w:r>
        <w:rPr>
          <w:sz w:val="20"/>
          <w:szCs w:val="20"/>
        </w:rPr>
        <w:t>, our synchronized mobile app and digital gaming platform, is currently being revamped. HeyPal</w:t>
      </w:r>
      <w:r>
        <w:rPr>
          <w:sz w:val="20"/>
          <w:szCs w:val="20"/>
          <w:vertAlign w:val="superscript"/>
        </w:rPr>
        <w:t>TM</w:t>
      </w:r>
      <w:r>
        <w:rPr>
          <w:sz w:val="20"/>
          <w:szCs w:val="20"/>
        </w:rPr>
        <w:t>, our language learning app, has been la</w:t>
      </w:r>
      <w:r>
        <w:rPr>
          <w:sz w:val="20"/>
          <w:szCs w:val="20"/>
        </w:rPr>
        <w:t>unched in several countries. Nifter™, a marketplace for non-fungible tokens, has been publicly launched. Joey’s Animal Kingdom™, a children’s entertainment and education app, is currently under development. Our lack of sales does not provide a sufficient b</w:t>
      </w:r>
      <w:r>
        <w:rPr>
          <w:sz w:val="20"/>
          <w:szCs w:val="20"/>
        </w:rPr>
        <w:t xml:space="preserve">asis for you to assess our business and prospects. You have no assurance we will be able to generate sufficient revenues from our business to reach a break-even level or to become profitable in future periods. Without sufficient revenues, we may be unable </w:t>
      </w:r>
      <w:r>
        <w:rPr>
          <w:sz w:val="20"/>
          <w:szCs w:val="20"/>
        </w:rPr>
        <w:t>to create value in our common stock, to pay dividends and to become a going concern. We are subject to the risks inherent in any new business with a new product in a highly competitive marketplace. You must consider the likelihood of our success in light o</w:t>
      </w:r>
      <w:r>
        <w:rPr>
          <w:sz w:val="20"/>
          <w:szCs w:val="20"/>
        </w:rPr>
        <w:t xml:space="preserve">f the problems, uncertainties, unexpected costs, difficulties, complications and delays frequently encountered in developing and expanding a new business and the competitive environment in which we plan to operate. If we fail to successfully address these </w:t>
      </w:r>
      <w:r>
        <w:rPr>
          <w:sz w:val="20"/>
          <w:szCs w:val="20"/>
        </w:rPr>
        <w:t>risks, our business, financial condition, and results of operations would be materially harmed. Your purchase of our common stock should be considered a high risk investment because of our unseasoned, early stage business which may likely encounter unfores</w:t>
      </w:r>
      <w:r>
        <w:rPr>
          <w:sz w:val="20"/>
          <w:szCs w:val="20"/>
        </w:rPr>
        <w:t>een costs, expenses, competition, and other problems to which such businesses are often subject.</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If we lose key personnel or are unable to attract and retain qualified personnel, our business could be harmed and our ability to compete could be impaired.</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Our success will depend to a significant degree upon the contributions of our management team which we will need to build. If we lose the services of one or more of our key members, we may be unable to achieve our business objectives. Additionally, we ma</w:t>
      </w:r>
      <w:r>
        <w:rPr>
          <w:sz w:val="20"/>
          <w:szCs w:val="20"/>
        </w:rPr>
        <w:t>y be unable to attract and retain personnel with the advanced technical qualifications or managerial experience necessary for the development of our business and planned expansion into areas and activities requiring additional expertise, due to intense com</w:t>
      </w:r>
      <w:r>
        <w:rPr>
          <w:sz w:val="20"/>
          <w:szCs w:val="20"/>
        </w:rPr>
        <w:t>petition for qualified personnel among technology-based businesses.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Our results of operations may be negatively impacted by the coronavirus outbreak.</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In March 2020, the World Health Organization declared that the rapidly spreading COVID-19 outbreak (the Pandemic”) was a global pandemic. In response, many governments around the world have implemented, and continue to implement a variety of measures to re</w:t>
      </w:r>
      <w:r>
        <w:rPr>
          <w:sz w:val="20"/>
          <w:szCs w:val="20"/>
        </w:rPr>
        <w:t>duce the spread of the Pandemic, including travel restrictions and bans, instructions, or orders to practice social distancing, quarantine advisories, shelter-in-place restrictions and bans and closures of businesses. These measures have materially adverse</w:t>
      </w:r>
      <w:r>
        <w:rPr>
          <w:sz w:val="20"/>
          <w:szCs w:val="20"/>
        </w:rPr>
        <w:t>ly affected and will further adversely affect consumer sentiment and discretionary spending patterns, economies, and financial markets. Our financial results and prospects are dependent on the sale of services to consumers, and our results subsequent to Ma</w:t>
      </w:r>
      <w:r>
        <w:rPr>
          <w:sz w:val="20"/>
          <w:szCs w:val="20"/>
        </w:rPr>
        <w:t>rch 31, 2020 may be significantly and negatively impacted. Due to the uncertain and rapidly evolving nature of conditions around the world, we are unable to predict the impact of the Pandemic on our business going forward.</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Risk of expanding operations an</w:t>
      </w:r>
      <w:r>
        <w:rPr>
          <w:b/>
          <w:bCs/>
          <w:i/>
          <w:iCs/>
          <w:sz w:val="20"/>
          <w:szCs w:val="20"/>
        </w:rPr>
        <w:t>d management of growth.</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We expect to experience rapid growth which will place a significant strain on our financial and managerial resources. In order to achieve and manage growth effectively, we must establish, improve, and expand our operational and fi</w:t>
      </w:r>
      <w:r>
        <w:rPr>
          <w:sz w:val="20"/>
          <w:szCs w:val="20"/>
        </w:rPr>
        <w:t>nancial management capabilities. Moreover, we will need to increase staffing and effectively train, motivate, and manage our employees. Failure to manage growth effectively could harm our business, financial condition, or results of operations.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Operating</w:t>
      </w:r>
      <w:r>
        <w:rPr>
          <w:b/>
          <w:bCs/>
          <w:i/>
          <w:iCs/>
          <w:sz w:val="20"/>
          <w:szCs w:val="20"/>
        </w:rPr>
        <w:t xml:space="preserve"> results may significantly fluctuate from quarter to quarter and year to year.</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We expect that a significant portion of our revenues for the foreseeable future will be from sponsorships and advertising as well as subscriptions. The timing of revenue in th</w:t>
      </w:r>
      <w:r>
        <w:rPr>
          <w:sz w:val="20"/>
          <w:szCs w:val="20"/>
        </w:rPr>
        <w:t>e future will depend to some extent upon the signing of sponsorship deals and the obtaining of advertising. In any one fiscal quarter we may receive multiple or no payments from our sponsors or advertisers. As a result, operating results may vary substanti</w:t>
      </w:r>
      <w:r>
        <w:rPr>
          <w:sz w:val="20"/>
          <w:szCs w:val="20"/>
        </w:rPr>
        <w:t>ally from quarter to quarter, and thus from year to year. Revenue for any given period may be greater or less than revenue in the immediately preceding period or in the comparable period of the prior year.</w:t>
      </w:r>
    </w:p>
    <w:p w:rsidR="00000000" w:rsidRDefault="00B6476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2097049804"/>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8</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If we are unable to hire qualified pers</w:t>
      </w:r>
      <w:r>
        <w:rPr>
          <w:b/>
          <w:bCs/>
          <w:i/>
          <w:iCs/>
          <w:sz w:val="20"/>
          <w:szCs w:val="20"/>
        </w:rPr>
        <w:t>onnel, our ability to implement our business strategy and our operating results will likely be materially adversely affected.</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Our personnel are now limited to two executive officers. We must hire significant additional numbers of qualified personnel if w</w:t>
      </w:r>
      <w:r>
        <w:rPr>
          <w:sz w:val="20"/>
          <w:szCs w:val="20"/>
        </w:rPr>
        <w:t>e are to achieve our business plan. Salary and benefits of such additional personnel can be expected to place significant stress on our financial condition. And the availability of such qualified personnel may be limited. You have no assurance we will be a</w:t>
      </w:r>
      <w:r>
        <w:rPr>
          <w:sz w:val="20"/>
          <w:szCs w:val="20"/>
        </w:rPr>
        <w:t>ble to attract and retain qualified personnel in sufficient numbers to adequately staff our business operations.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 xml:space="preserve">If we are unable to effectively manage our growth, our ability </w:t>
      </w:r>
      <w:r>
        <w:rPr>
          <w:b/>
          <w:bCs/>
          <w:i/>
          <w:iCs/>
          <w:sz w:val="20"/>
          <w:szCs w:val="20"/>
        </w:rPr>
        <w:t>to implement our business strategy and our operating results will likely be materially adversely affected.</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Implementation of our business plan will likely place a significant strain on our management who must develop administrative, operating, and financ</w:t>
      </w:r>
      <w:r>
        <w:rPr>
          <w:sz w:val="20"/>
          <w:szCs w:val="20"/>
        </w:rPr>
        <w:t>ial infrastructures. To manage our business and planned growth effectively, we must successfully develop, implement, maintain, and enhance our financial and accounting systems and controls, identify, hire, and integrate new personnel and manage expanded op</w:t>
      </w:r>
      <w:r>
        <w:rPr>
          <w:sz w:val="20"/>
          <w:szCs w:val="20"/>
        </w:rPr>
        <w:t>erations. Our failure to do so could either limit our growth or cause our business to fail.</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Because we have only recently introduced our products and services, you have limited information upon which you can evaluate our business.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We have only recently</w:t>
      </w:r>
      <w:r>
        <w:rPr>
          <w:sz w:val="20"/>
          <w:szCs w:val="20"/>
        </w:rPr>
        <w:t xml:space="preserve"> launched our products but not yet generating any revenues. Accordingly, you cannot evaluate our business based on operating history as an indication of our future performance. As a young company in the rapidly evolving online entertainment, education, and</w:t>
      </w:r>
      <w:r>
        <w:rPr>
          <w:sz w:val="20"/>
          <w:szCs w:val="20"/>
        </w:rPr>
        <w:t xml:space="preserve"> social interaction market, we face risks and uncertainties relating to our ability to successfully implement our business plan. These risks include our ability to:</w:t>
      </w:r>
    </w:p>
    <w:p w:rsidR="00000000" w:rsidRDefault="00B647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
        <w:gridCol w:w="415"/>
        <w:gridCol w:w="7475"/>
      </w:tblGrid>
      <w:tr w:rsidR="00000000">
        <w:tc>
          <w:tcPr>
            <w:tcW w:w="250" w:type="pct"/>
            <w:hideMark/>
          </w:tcPr>
          <w:p w:rsidR="00000000" w:rsidRDefault="00B64763">
            <w:pPr>
              <w:jc w:val="both"/>
              <w:rPr>
                <w:rFonts w:eastAsia="Times New Roman"/>
                <w:sz w:val="20"/>
                <w:szCs w:val="20"/>
              </w:rPr>
            </w:pPr>
            <w:r>
              <w:rPr>
                <w:rFonts w:eastAsia="Times New Roman"/>
                <w:sz w:val="20"/>
                <w:szCs w:val="20"/>
              </w:rPr>
              <w:t> </w:t>
            </w:r>
          </w:p>
        </w:tc>
        <w:tc>
          <w:tcPr>
            <w:tcW w:w="250" w:type="pct"/>
            <w:hideMark/>
          </w:tcPr>
          <w:p w:rsidR="00000000" w:rsidRDefault="00B64763">
            <w:pPr>
              <w:jc w:val="both"/>
              <w:rPr>
                <w:rFonts w:eastAsia="Times New Roman"/>
                <w:sz w:val="20"/>
                <w:szCs w:val="20"/>
              </w:rPr>
            </w:pPr>
            <w:r>
              <w:rPr>
                <w:rFonts w:eastAsia="Times New Roman"/>
                <w:sz w:val="20"/>
                <w:szCs w:val="20"/>
              </w:rPr>
              <w:t>●</w:t>
            </w:r>
          </w:p>
        </w:tc>
        <w:tc>
          <w:tcPr>
            <w:tcW w:w="4500" w:type="pct"/>
            <w:hideMark/>
          </w:tcPr>
          <w:p w:rsidR="00000000" w:rsidRDefault="00B64763">
            <w:pPr>
              <w:jc w:val="both"/>
              <w:rPr>
                <w:rFonts w:eastAsia="Times New Roman"/>
                <w:sz w:val="20"/>
                <w:szCs w:val="20"/>
              </w:rPr>
            </w:pPr>
            <w:r>
              <w:rPr>
                <w:rFonts w:eastAsia="Times New Roman"/>
                <w:sz w:val="20"/>
                <w:szCs w:val="20"/>
              </w:rPr>
              <w:t>develop and expand our content and services;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attract an audience to our W</w:t>
            </w:r>
            <w:r>
              <w:rPr>
                <w:rFonts w:eastAsia="Times New Roman"/>
                <w:sz w:val="20"/>
                <w:szCs w:val="20"/>
              </w:rPr>
              <w:t>eb sites;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develop strategic relationships; and</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develop and upgrade our technology.</w:t>
            </w:r>
          </w:p>
        </w:tc>
      </w:tr>
    </w:tbl>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 xml:space="preserve">If we are unsuccessful in addressing these </w:t>
      </w:r>
      <w:r>
        <w:rPr>
          <w:sz w:val="20"/>
          <w:szCs w:val="20"/>
        </w:rPr>
        <w:t>risks and uncertainties, we will not be able to successfully implement our business plan and our stock price will decline.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We may fail to meet market expectations because of fluctuations in our quarterly operating results which would cause our stock pric</w:t>
      </w:r>
      <w:r>
        <w:rPr>
          <w:b/>
          <w:bCs/>
          <w:i/>
          <w:iCs/>
          <w:sz w:val="20"/>
          <w:szCs w:val="20"/>
        </w:rPr>
        <w:t>e to decline.</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Our revenues and costs will be difficult to predict. This is likely to result in significant fluctuations in our quarterly results. Because of our lack of operating history, we anticipate that securities analysts and investors will have dif</w:t>
      </w:r>
      <w:r>
        <w:rPr>
          <w:sz w:val="20"/>
          <w:szCs w:val="20"/>
        </w:rPr>
        <w:t>ficulty in accurately forecasting our results. It is possible that our operating results in some quarters will be below market expectations. In this event, the price of our common stock is likely to decline.</w:t>
      </w:r>
    </w:p>
    <w:p w:rsidR="00000000" w:rsidRDefault="00B6476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3241046"/>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9</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The following are among the factors that could cause significant fluctuations in our operating results:</w:t>
      </w:r>
    </w:p>
    <w:p w:rsidR="00000000" w:rsidRDefault="00B647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
        <w:gridCol w:w="415"/>
        <w:gridCol w:w="7475"/>
      </w:tblGrid>
      <w:tr w:rsidR="00000000">
        <w:tc>
          <w:tcPr>
            <w:tcW w:w="250" w:type="pct"/>
            <w:hideMark/>
          </w:tcPr>
          <w:p w:rsidR="00000000" w:rsidRDefault="00B64763">
            <w:pPr>
              <w:jc w:val="both"/>
              <w:rPr>
                <w:rFonts w:eastAsia="Times New Roman"/>
                <w:sz w:val="20"/>
                <w:szCs w:val="20"/>
              </w:rPr>
            </w:pPr>
            <w:r>
              <w:rPr>
                <w:rFonts w:eastAsia="Times New Roman"/>
                <w:sz w:val="20"/>
                <w:szCs w:val="20"/>
              </w:rPr>
              <w:t> </w:t>
            </w:r>
          </w:p>
        </w:tc>
        <w:tc>
          <w:tcPr>
            <w:tcW w:w="250" w:type="pct"/>
            <w:hideMark/>
          </w:tcPr>
          <w:p w:rsidR="00000000" w:rsidRDefault="00B64763">
            <w:pPr>
              <w:jc w:val="both"/>
              <w:rPr>
                <w:rFonts w:eastAsia="Times New Roman"/>
                <w:sz w:val="20"/>
                <w:szCs w:val="20"/>
              </w:rPr>
            </w:pPr>
            <w:r>
              <w:rPr>
                <w:rFonts w:eastAsia="Times New Roman"/>
                <w:sz w:val="20"/>
                <w:szCs w:val="20"/>
              </w:rPr>
              <w:t>●</w:t>
            </w:r>
          </w:p>
        </w:tc>
        <w:tc>
          <w:tcPr>
            <w:tcW w:w="4500" w:type="pct"/>
            <w:hideMark/>
          </w:tcPr>
          <w:p w:rsidR="00000000" w:rsidRDefault="00B64763">
            <w:pPr>
              <w:jc w:val="both"/>
              <w:rPr>
                <w:rFonts w:eastAsia="Times New Roman"/>
                <w:sz w:val="20"/>
                <w:szCs w:val="20"/>
              </w:rPr>
            </w:pPr>
            <w:r>
              <w:rPr>
                <w:rFonts w:eastAsia="Times New Roman"/>
                <w:sz w:val="20"/>
                <w:szCs w:val="20"/>
              </w:rPr>
              <w:t>the number of users on, and the frequency of their use of, our Web sites;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our ability to attract and retain advertisers and sponsors;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the expiration or termination of our strategic relationships;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system outages, delays in obtaining new equipment or problems with planned upgrades;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our ability to successfully expand our online entertainment offerings beyond the games and game show sector;</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the introduction of new or enhanced services by us or our competitors;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changes in our advertising rates or advertising rate</w:t>
            </w:r>
            <w:r>
              <w:rPr>
                <w:rFonts w:eastAsia="Times New Roman"/>
                <w:sz w:val="20"/>
                <w:szCs w:val="20"/>
              </w:rPr>
              <w:t xml:space="preserve">s in general, both on and off the Internet;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changes in general economic and market conditions, including seasonal trends, that have an impact on the demand for Internet advertising; and</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The number and frequency of in-app purchases.</w:t>
            </w:r>
          </w:p>
        </w:tc>
      </w:tr>
    </w:tbl>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We may not be able to adjust our operating expenses in order to offset any unexpected revenue shortfalls.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Our operating expenses will be based on our expectations of our future revenues. We intend to expen</w:t>
      </w:r>
      <w:r>
        <w:rPr>
          <w:sz w:val="20"/>
          <w:szCs w:val="20"/>
        </w:rPr>
        <w:t>d significant amounts in the short term, particularly to build brand awareness. We may be unable to adjust spending quickly enough to offset any unexpected revenue shortfall. If we fail to substantially increase our revenues, then our financial condition a</w:t>
      </w:r>
      <w:r>
        <w:rPr>
          <w:sz w:val="20"/>
          <w:szCs w:val="20"/>
        </w:rPr>
        <w:t>nd results of operations would be materially adversely affected.</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If we do not develop and enhance our brand, we will not be able to establish our customer base or build our revenues.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 xml:space="preserve">The development of our brand is critical to our ability to establish </w:t>
      </w:r>
      <w:r>
        <w:rPr>
          <w:sz w:val="20"/>
          <w:szCs w:val="20"/>
        </w:rPr>
        <w:t>our user base and build our revenues. In order to attract users and advertisers, we intend to expend funds for creating and maintaining brand loyalty. We plan to use a combination of social media, print and Web-based advertising to promote our brand. If we</w:t>
      </w:r>
      <w:r>
        <w:rPr>
          <w:sz w:val="20"/>
          <w:szCs w:val="20"/>
        </w:rPr>
        <w:t xml:space="preserve"> fail to advertise and market our brand effectively, we will lose users and our revenues will decline.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Our success in promoting and enhancing our brand will also depend on our success in providing high quality content, features and functions that are att</w:t>
      </w:r>
      <w:r>
        <w:rPr>
          <w:sz w:val="20"/>
          <w:szCs w:val="20"/>
        </w:rPr>
        <w:t xml:space="preserve">ractive and entertaining to users of online game shows and multi-player games as well as educational and social interaction. If visitors to our Web sites, users, advertisers, or sponsors do not perceive our services to be of high quality, the value of the </w:t>
      </w:r>
      <w:r>
        <w:rPr>
          <w:sz w:val="20"/>
          <w:szCs w:val="20"/>
        </w:rPr>
        <w:t>brand could be diminished, we will lose users and our revenues will decline.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Our advertising pricing model, which is based partly on the number of advertisements delivered to our users, may not be successful.</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Different pricing models are used to sell a</w:t>
      </w:r>
      <w:r>
        <w:rPr>
          <w:sz w:val="20"/>
          <w:szCs w:val="20"/>
        </w:rPr>
        <w:t xml:space="preserve">dvertising on the Internet. The models we adopt may prove to not be the most profitable. To the extent that we do not meet the minimum guaranteed impressions that we may be required to deliver to users under our advertising contracts, we defer recognition </w:t>
      </w:r>
      <w:r>
        <w:rPr>
          <w:sz w:val="20"/>
          <w:szCs w:val="20"/>
        </w:rPr>
        <w:t xml:space="preserve">of the corresponding revenues until we achieve the guaranteed impression levels. To the extent that minimum guaranteed impression levels are not achieved, we may be required to provide additional impressions after the contract term, which would reduce our </w:t>
      </w:r>
      <w:r>
        <w:rPr>
          <w:sz w:val="20"/>
          <w:szCs w:val="20"/>
        </w:rPr>
        <w:t>advertising inventory in subsequent periods.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In addition, since advertising impressions may be delivered to a user’</w:t>
      </w:r>
      <w:r>
        <w:rPr>
          <w:sz w:val="20"/>
          <w:szCs w:val="20"/>
        </w:rPr>
        <w:t xml:space="preserve">s Web browser without regard to user activity, advertisers may decide that a pricing model based on user activity is preferable. As a result, we cannot accurately project our future advertising rates and revenues. If we are unable to adapt to new forms of </w:t>
      </w:r>
      <w:r>
        <w:rPr>
          <w:sz w:val="20"/>
          <w:szCs w:val="20"/>
        </w:rPr>
        <w:t>Internet advertising or we do not adopt the most profitable form, our advertising revenues could be adversely affected.</w:t>
      </w:r>
    </w:p>
    <w:p w:rsidR="00000000" w:rsidRDefault="00B6476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1027874252"/>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1</w:t>
            </w:r>
            <w:r>
              <w:rPr>
                <w:rFonts w:eastAsia="Times New Roman"/>
                <w:sz w:val="20"/>
                <w:szCs w:val="20"/>
              </w:rPr>
              <w:t>0</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 xml:space="preserve">We may not be able to track the delivery of advertisements </w:t>
      </w:r>
      <w:r>
        <w:rPr>
          <w:b/>
          <w:bCs/>
          <w:i/>
          <w:iCs/>
          <w:sz w:val="20"/>
          <w:szCs w:val="20"/>
        </w:rPr>
        <w:t>on our network in a way that meets the needs of our advertisers.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It is important to our advertisers that we accurately measure the delivery of advertisements on our network and the demographics of our user base. Companies may choose to not advertise on o</w:t>
      </w:r>
      <w:r>
        <w:rPr>
          <w:sz w:val="20"/>
          <w:szCs w:val="20"/>
        </w:rPr>
        <w:t>ur Web sites or may pay less for advertising if they do not perceive our ability to track and measure the delivery of advertisements to be reliable. We depend on third parties to provide us with many of these measurement services. If they are unable to pro</w:t>
      </w:r>
      <w:r>
        <w:rPr>
          <w:sz w:val="20"/>
          <w:szCs w:val="20"/>
        </w:rPr>
        <w:t>vide these services in the future, we would need to perform them ourselves or obtain them from another provider. We could incur significant costs or experience interruptions in our business during the time we are replacing these services. In addition, if s</w:t>
      </w:r>
      <w:r>
        <w:rPr>
          <w:sz w:val="20"/>
          <w:szCs w:val="20"/>
        </w:rPr>
        <w:t>uccessful, legal initiatives related to privacy concerns could also prevent or limit our ability to track advertisements.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Our business may suffer if we have difficulty retaining users on our Web sites.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Our business and financial results are also depend</w:t>
      </w:r>
      <w:r>
        <w:rPr>
          <w:sz w:val="20"/>
          <w:szCs w:val="20"/>
        </w:rPr>
        <w:t>ent on our ability to retain users on our Web sites. In any particular month, many of the visitors to our sites may not be registered users and many of our registered users may not visit our sites. We believe that intense competition will cause some of our</w:t>
      </w:r>
      <w:r>
        <w:rPr>
          <w:sz w:val="20"/>
          <w:szCs w:val="20"/>
        </w:rPr>
        <w:t xml:space="preserve"> registered users to seek online entertainment on other sites and spend less time on our sites. It will be relatively easy for our users to go to competing sites and we cannot be certain that any steps we take will maintain or improve our retention of user</w:t>
      </w:r>
      <w:r>
        <w:rPr>
          <w:sz w:val="20"/>
          <w:szCs w:val="20"/>
        </w:rPr>
        <w:t xml:space="preserve">s. In addition, some new users may decide to visit our Web sites out of curiosity regarding the Internet and may later discontinue using Internet entertainment services. If we are unable to retain our user base, the demand for advertising on our Web sites </w:t>
      </w:r>
      <w:r>
        <w:rPr>
          <w:sz w:val="20"/>
          <w:szCs w:val="20"/>
        </w:rPr>
        <w:t>may decrease and our revenues may decline.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We face risks associated with international operations.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We currently plan to operate outside the United States.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Our business internationally will be subject to a number of risks. These include:</w:t>
      </w:r>
    </w:p>
    <w:p w:rsidR="00000000" w:rsidRDefault="00B647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
        <w:gridCol w:w="415"/>
        <w:gridCol w:w="7475"/>
      </w:tblGrid>
      <w:tr w:rsidR="00000000">
        <w:tc>
          <w:tcPr>
            <w:tcW w:w="250" w:type="pct"/>
            <w:hideMark/>
          </w:tcPr>
          <w:p w:rsidR="00000000" w:rsidRDefault="00B64763">
            <w:pPr>
              <w:jc w:val="both"/>
              <w:rPr>
                <w:rFonts w:eastAsia="Times New Roman"/>
                <w:sz w:val="20"/>
                <w:szCs w:val="20"/>
              </w:rPr>
            </w:pPr>
            <w:r>
              <w:rPr>
                <w:rFonts w:eastAsia="Times New Roman"/>
                <w:sz w:val="20"/>
                <w:szCs w:val="20"/>
              </w:rPr>
              <w:t> </w:t>
            </w:r>
          </w:p>
        </w:tc>
        <w:tc>
          <w:tcPr>
            <w:tcW w:w="250" w:type="pct"/>
            <w:hideMark/>
          </w:tcPr>
          <w:p w:rsidR="00000000" w:rsidRDefault="00B64763">
            <w:pPr>
              <w:jc w:val="both"/>
              <w:rPr>
                <w:rFonts w:eastAsia="Times New Roman"/>
                <w:sz w:val="20"/>
                <w:szCs w:val="20"/>
              </w:rPr>
            </w:pPr>
            <w:r>
              <w:rPr>
                <w:rFonts w:eastAsia="Times New Roman"/>
                <w:sz w:val="20"/>
                <w:szCs w:val="20"/>
              </w:rPr>
              <w:t>●</w:t>
            </w:r>
          </w:p>
        </w:tc>
        <w:tc>
          <w:tcPr>
            <w:tcW w:w="4500" w:type="pct"/>
            <w:hideMark/>
          </w:tcPr>
          <w:p w:rsidR="00000000" w:rsidRDefault="00B64763">
            <w:pPr>
              <w:jc w:val="both"/>
              <w:rPr>
                <w:rFonts w:eastAsia="Times New Roman"/>
                <w:sz w:val="20"/>
                <w:szCs w:val="20"/>
              </w:rPr>
            </w:pPr>
            <w:r>
              <w:rPr>
                <w:rFonts w:eastAsia="Times New Roman"/>
                <w:sz w:val="20"/>
                <w:szCs w:val="20"/>
              </w:rPr>
              <w:t>linguistic and cultural differences;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inconsistent regulations and unexpected changes in regulatory requirements;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differing technology standards that would affect the quality of the presentation of our games to our users;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potentially adverse tax consequences;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wage and price controls;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political instability and social unrest;</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uncertain demand for electronic commerce;</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uncertain protection of our intellectual property rights; and</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imposition of trade barriers.</w:t>
            </w:r>
          </w:p>
        </w:tc>
      </w:tr>
    </w:tbl>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We have no control over many of these matters and any of them may adversely affect our ability to conduct our business internationally.</w:t>
      </w:r>
    </w:p>
    <w:p w:rsidR="00000000" w:rsidRDefault="00B6476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67846561"/>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1</w:t>
            </w:r>
            <w:r>
              <w:rPr>
                <w:rFonts w:eastAsia="Times New Roman"/>
                <w:sz w:val="20"/>
                <w:szCs w:val="20"/>
              </w:rPr>
              <w:t>1</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Currency fluctuations and exchange control regulations may adversely affect our business.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Our reporting cu</w:t>
      </w:r>
      <w:r>
        <w:rPr>
          <w:sz w:val="20"/>
          <w:szCs w:val="20"/>
        </w:rPr>
        <w:t>rrency is the United States dollar. Our customers outside the United States, however, will be generally billed in local currencies. Our accounts receivable from these customers and overhead assets will decline in value if the local currencies depreciate re</w:t>
      </w:r>
      <w:r>
        <w:rPr>
          <w:sz w:val="20"/>
          <w:szCs w:val="20"/>
        </w:rPr>
        <w:t>lative to the United States dollar. Although we may enter into hedging transactions, we may not be able to do so effectively. In addition, any currency exchange losses that we suffer may be magnified if we become subject to exchange control regulations res</w:t>
      </w:r>
      <w:r>
        <w:rPr>
          <w:sz w:val="20"/>
          <w:szCs w:val="20"/>
        </w:rPr>
        <w:t>tricting our ability to convert local currencies into United States dollars.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 xml:space="preserve">Competition in the online entertainment, education and social interaction industry are intense and a failure to adequately respond to competitive pressure could result in lower </w:t>
      </w:r>
      <w:r>
        <w:rPr>
          <w:b/>
          <w:bCs/>
          <w:i/>
          <w:iCs/>
          <w:sz w:val="20"/>
          <w:szCs w:val="20"/>
        </w:rPr>
        <w:t>revenues.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There are many companies that provide Web sites and online destinations targeted to audiences seeking various forms of entertainment, education, and social interaction content. All of these companies will compete with us for visitor traffic, ad</w:t>
      </w:r>
      <w:r>
        <w:rPr>
          <w:sz w:val="20"/>
          <w:szCs w:val="20"/>
        </w:rPr>
        <w:t>vertising dollars and sponsorships. This competition is intense and is expected to increase significantly in the future as the number of entertainment- education and social interaction oriented Web sites continue to grow. Our success will be largely depend</w:t>
      </w:r>
      <w:r>
        <w:rPr>
          <w:sz w:val="20"/>
          <w:szCs w:val="20"/>
        </w:rPr>
        <w:t>ent upon the perceived value of our content relative to other available entertainment alternatives, both online and elsewhere.</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Increased competition could result in:</w:t>
      </w:r>
    </w:p>
    <w:p w:rsidR="00000000" w:rsidRDefault="00B6476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
        <w:gridCol w:w="415"/>
        <w:gridCol w:w="7475"/>
      </w:tblGrid>
      <w:tr w:rsidR="00000000">
        <w:tc>
          <w:tcPr>
            <w:tcW w:w="250" w:type="pct"/>
            <w:hideMark/>
          </w:tcPr>
          <w:p w:rsidR="00000000" w:rsidRDefault="00B64763">
            <w:pPr>
              <w:jc w:val="both"/>
              <w:rPr>
                <w:rFonts w:eastAsia="Times New Roman"/>
                <w:sz w:val="20"/>
                <w:szCs w:val="20"/>
              </w:rPr>
            </w:pPr>
            <w:r>
              <w:rPr>
                <w:rFonts w:eastAsia="Times New Roman"/>
                <w:sz w:val="20"/>
                <w:szCs w:val="20"/>
              </w:rPr>
              <w:t> </w:t>
            </w:r>
          </w:p>
        </w:tc>
        <w:tc>
          <w:tcPr>
            <w:tcW w:w="250" w:type="pct"/>
            <w:hideMark/>
          </w:tcPr>
          <w:p w:rsidR="00000000" w:rsidRDefault="00B64763">
            <w:pPr>
              <w:jc w:val="both"/>
              <w:rPr>
                <w:rFonts w:eastAsia="Times New Roman"/>
                <w:sz w:val="20"/>
                <w:szCs w:val="20"/>
              </w:rPr>
            </w:pPr>
            <w:r>
              <w:rPr>
                <w:rFonts w:eastAsia="Times New Roman"/>
                <w:sz w:val="20"/>
                <w:szCs w:val="20"/>
              </w:rPr>
              <w:t>●</w:t>
            </w:r>
          </w:p>
        </w:tc>
        <w:tc>
          <w:tcPr>
            <w:tcW w:w="4500" w:type="pct"/>
            <w:hideMark/>
          </w:tcPr>
          <w:p w:rsidR="00000000" w:rsidRDefault="00B64763">
            <w:pPr>
              <w:jc w:val="both"/>
              <w:rPr>
                <w:rFonts w:eastAsia="Times New Roman"/>
                <w:sz w:val="20"/>
                <w:szCs w:val="20"/>
              </w:rPr>
            </w:pPr>
            <w:r>
              <w:rPr>
                <w:rFonts w:eastAsia="Times New Roman"/>
                <w:sz w:val="20"/>
                <w:szCs w:val="20"/>
              </w:rPr>
              <w:t>lower profit margins;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b/>
                <w:bCs/>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lower advertising or sponsorship rates;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loss of visitors or visitors spending less time on our sites;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reduced page views or advertising impressions; and</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loss of market share.</w:t>
            </w:r>
          </w:p>
        </w:tc>
      </w:tr>
    </w:tbl>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Many of our potential competitors, in comparison to us, have:</w:t>
      </w:r>
    </w:p>
    <w:p w:rsidR="00000000" w:rsidRDefault="00B6476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
        <w:gridCol w:w="415"/>
        <w:gridCol w:w="7475"/>
      </w:tblGrid>
      <w:tr w:rsidR="00000000">
        <w:tc>
          <w:tcPr>
            <w:tcW w:w="250" w:type="pct"/>
            <w:hideMark/>
          </w:tcPr>
          <w:p w:rsidR="00000000" w:rsidRDefault="00B64763">
            <w:pPr>
              <w:jc w:val="both"/>
              <w:rPr>
                <w:rFonts w:eastAsia="Times New Roman"/>
                <w:sz w:val="20"/>
                <w:szCs w:val="20"/>
              </w:rPr>
            </w:pPr>
            <w:r>
              <w:rPr>
                <w:rFonts w:eastAsia="Times New Roman"/>
                <w:sz w:val="20"/>
                <w:szCs w:val="20"/>
              </w:rPr>
              <w:t> </w:t>
            </w:r>
          </w:p>
        </w:tc>
        <w:tc>
          <w:tcPr>
            <w:tcW w:w="250" w:type="pct"/>
            <w:hideMark/>
          </w:tcPr>
          <w:p w:rsidR="00000000" w:rsidRDefault="00B64763">
            <w:pPr>
              <w:jc w:val="both"/>
              <w:rPr>
                <w:rFonts w:eastAsia="Times New Roman"/>
                <w:sz w:val="20"/>
                <w:szCs w:val="20"/>
              </w:rPr>
            </w:pPr>
            <w:r>
              <w:rPr>
                <w:rFonts w:eastAsia="Times New Roman"/>
                <w:sz w:val="20"/>
                <w:szCs w:val="20"/>
              </w:rPr>
              <w:t>●</w:t>
            </w:r>
          </w:p>
        </w:tc>
        <w:tc>
          <w:tcPr>
            <w:tcW w:w="4500" w:type="pct"/>
            <w:hideMark/>
          </w:tcPr>
          <w:p w:rsidR="00000000" w:rsidRDefault="00B64763">
            <w:pPr>
              <w:jc w:val="both"/>
              <w:rPr>
                <w:rFonts w:eastAsia="Times New Roman"/>
                <w:sz w:val="20"/>
                <w:szCs w:val="20"/>
              </w:rPr>
            </w:pPr>
            <w:r>
              <w:rPr>
                <w:rFonts w:eastAsia="Times New Roman"/>
                <w:sz w:val="20"/>
                <w:szCs w:val="20"/>
              </w:rPr>
              <w:t>longer operating histories;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greater name recognition in some markets;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larger customer bases; and</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significantly greater financial, technical, and marketing resources.</w:t>
            </w:r>
          </w:p>
        </w:tc>
      </w:tr>
    </w:tbl>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These competitors may also be able to:</w:t>
      </w:r>
    </w:p>
    <w:p w:rsidR="00000000" w:rsidRDefault="00B6476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
        <w:gridCol w:w="415"/>
        <w:gridCol w:w="7475"/>
      </w:tblGrid>
      <w:tr w:rsidR="00000000">
        <w:tc>
          <w:tcPr>
            <w:tcW w:w="250" w:type="pct"/>
            <w:hideMark/>
          </w:tcPr>
          <w:p w:rsidR="00000000" w:rsidRDefault="00B64763">
            <w:pPr>
              <w:jc w:val="both"/>
              <w:rPr>
                <w:rFonts w:eastAsia="Times New Roman"/>
                <w:sz w:val="20"/>
                <w:szCs w:val="20"/>
              </w:rPr>
            </w:pPr>
            <w:r>
              <w:rPr>
                <w:rFonts w:eastAsia="Times New Roman"/>
                <w:sz w:val="20"/>
                <w:szCs w:val="20"/>
              </w:rPr>
              <w:t> </w:t>
            </w:r>
          </w:p>
        </w:tc>
        <w:tc>
          <w:tcPr>
            <w:tcW w:w="250" w:type="pct"/>
            <w:hideMark/>
          </w:tcPr>
          <w:p w:rsidR="00000000" w:rsidRDefault="00B64763">
            <w:pPr>
              <w:jc w:val="both"/>
              <w:rPr>
                <w:rFonts w:eastAsia="Times New Roman"/>
                <w:sz w:val="20"/>
                <w:szCs w:val="20"/>
              </w:rPr>
            </w:pPr>
            <w:r>
              <w:rPr>
                <w:rFonts w:eastAsia="Times New Roman"/>
                <w:sz w:val="20"/>
                <w:szCs w:val="20"/>
              </w:rPr>
              <w:t>●</w:t>
            </w:r>
          </w:p>
        </w:tc>
        <w:tc>
          <w:tcPr>
            <w:tcW w:w="4500" w:type="pct"/>
            <w:hideMark/>
          </w:tcPr>
          <w:p w:rsidR="00000000" w:rsidRDefault="00B64763">
            <w:pPr>
              <w:jc w:val="both"/>
              <w:rPr>
                <w:rFonts w:eastAsia="Times New Roman"/>
                <w:sz w:val="20"/>
                <w:szCs w:val="20"/>
              </w:rPr>
            </w:pPr>
            <w:r>
              <w:rPr>
                <w:rFonts w:eastAsia="Times New Roman"/>
                <w:sz w:val="20"/>
                <w:szCs w:val="20"/>
              </w:rPr>
              <w:t>undertake more extensive marketing campaigns for their brands and services;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adopt more aggressive advertising pricing policies;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use superior technology platforms to deliver their products and services; and</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 xml:space="preserve">make more attractive offers to potential employees, distribution partners, sponsors, advertisers, and </w:t>
            </w:r>
            <w:r>
              <w:rPr>
                <w:rFonts w:eastAsia="Times New Roman"/>
                <w:sz w:val="20"/>
                <w:szCs w:val="20"/>
              </w:rPr>
              <w:t>third-party content providers.</w:t>
            </w:r>
          </w:p>
        </w:tc>
      </w:tr>
    </w:tbl>
    <w:p w:rsidR="00000000" w:rsidRDefault="00B6476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470099451"/>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1</w:t>
            </w:r>
            <w:r>
              <w:rPr>
                <w:rFonts w:eastAsia="Times New Roman"/>
                <w:sz w:val="20"/>
                <w:szCs w:val="20"/>
              </w:rPr>
              <w:t>2</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 xml:space="preserve">Our plans to expand our entertainment education and social </w:t>
      </w:r>
      <w:r>
        <w:rPr>
          <w:b/>
          <w:bCs/>
          <w:i/>
          <w:iCs/>
          <w:sz w:val="20"/>
          <w:szCs w:val="20"/>
        </w:rPr>
        <w:t>interaction businesses beyond our core game show sites and education-social interaction platform may not be successful.</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We cannot predict whether we will be able to successfully expand into online entertainment, education, and social interaction business</w:t>
      </w:r>
      <w:r>
        <w:rPr>
          <w:sz w:val="20"/>
          <w:szCs w:val="20"/>
        </w:rPr>
        <w:t>es other than as set forth in our business plan described below. Expanding our business will require us to expend significant amounts of capital to be able to contend with competitors that have more experience than we do in these businesses and may also ha</w:t>
      </w:r>
      <w:r>
        <w:rPr>
          <w:sz w:val="20"/>
          <w:szCs w:val="20"/>
        </w:rPr>
        <w:t>ve greater resources to devote to these businesses. Also, our management may have to divert a disproportionate amount of its attention away from our day-to-day core business and devote a substantial amount of time expanding into new areas. If we are unable</w:t>
      </w:r>
      <w:r>
        <w:rPr>
          <w:sz w:val="20"/>
          <w:szCs w:val="20"/>
        </w:rPr>
        <w:t xml:space="preserve"> to effectively expand our business or manage any such expansion, our financial results will suffer, and our stock price will decline.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If we are not able to adapt as Internet technologies and customer demands continue to evolve, we may become less compet</w:t>
      </w:r>
      <w:r>
        <w:rPr>
          <w:b/>
          <w:bCs/>
          <w:i/>
          <w:iCs/>
          <w:sz w:val="20"/>
          <w:szCs w:val="20"/>
        </w:rPr>
        <w:t>itive, and our business will suffer.</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We must adapt to rapidly evolving Internet technologies by continually enhancing our existing services and introducing new services to address our customers’ changing demands. We expect to incur substantial costs in m</w:t>
      </w:r>
      <w:r>
        <w:rPr>
          <w:sz w:val="20"/>
          <w:szCs w:val="20"/>
        </w:rPr>
        <w:t>odifying our services and infrastructure and in recruiting and hiring experienced technology personnel to adapt to changing technology affecting providers of Internet services. If we cannot hire the necessary personnel or adapt to these changes in a timely</w:t>
      </w:r>
      <w:r>
        <w:rPr>
          <w:sz w:val="20"/>
          <w:szCs w:val="20"/>
        </w:rPr>
        <w:t xml:space="preserve"> manner or at all, we will not be able to meet our users’ demands for increasingly sophisticated entertainment and we will become less competitive. As a result, our revenues would decline, and our business will suffer.</w:t>
      </w:r>
    </w:p>
    <w:p w:rsidR="00000000" w:rsidRDefault="00B64763">
      <w:pPr>
        <w:pStyle w:val="a3"/>
        <w:spacing w:before="0" w:beforeAutospacing="0" w:after="0" w:afterAutospacing="0"/>
        <w:jc w:val="both"/>
        <w:rPr>
          <w:sz w:val="20"/>
          <w:szCs w:val="20"/>
        </w:rPr>
      </w:pPr>
      <w:r>
        <w:rPr>
          <w:b/>
          <w:bCs/>
          <w:i/>
          <w:iCs/>
          <w:sz w:val="20"/>
          <w:szCs w:val="20"/>
        </w:rPr>
        <w:t> </w:t>
      </w:r>
    </w:p>
    <w:p w:rsidR="00000000" w:rsidRDefault="00B64763">
      <w:pPr>
        <w:pStyle w:val="a3"/>
        <w:spacing w:before="0" w:beforeAutospacing="0" w:after="0" w:afterAutospacing="0"/>
        <w:rPr>
          <w:sz w:val="20"/>
          <w:szCs w:val="20"/>
        </w:rPr>
      </w:pPr>
      <w:r>
        <w:rPr>
          <w:b/>
          <w:bCs/>
          <w:i/>
          <w:iCs/>
          <w:sz w:val="20"/>
          <w:szCs w:val="20"/>
        </w:rPr>
        <w:t>Changes in government regulation co</w:t>
      </w:r>
      <w:r>
        <w:rPr>
          <w:b/>
          <w:bCs/>
          <w:i/>
          <w:iCs/>
          <w:sz w:val="20"/>
          <w:szCs w:val="20"/>
        </w:rPr>
        <w:t>uld adversely affect our business.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Changes in the legal and regulatory environment that pertains to the Internet could result in a decrease in our revenues and an increase in our costs. New laws and regulations may be adopted. Existing laws may be applie</w:t>
      </w:r>
      <w:r>
        <w:rPr>
          <w:sz w:val="20"/>
          <w:szCs w:val="20"/>
        </w:rPr>
        <w:t>d to the Internet and new forms of electronic commerce. New and existing laws may cover issues like:</w:t>
      </w:r>
    </w:p>
    <w:p w:rsidR="00000000" w:rsidRDefault="00B6476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
        <w:gridCol w:w="415"/>
        <w:gridCol w:w="7475"/>
      </w:tblGrid>
      <w:tr w:rsidR="00000000">
        <w:tc>
          <w:tcPr>
            <w:tcW w:w="250" w:type="pct"/>
            <w:hideMark/>
          </w:tcPr>
          <w:p w:rsidR="00000000" w:rsidRDefault="00B64763">
            <w:pPr>
              <w:jc w:val="both"/>
              <w:rPr>
                <w:rFonts w:eastAsia="Times New Roman"/>
                <w:sz w:val="20"/>
                <w:szCs w:val="20"/>
              </w:rPr>
            </w:pPr>
            <w:r>
              <w:rPr>
                <w:rFonts w:eastAsia="Times New Roman"/>
                <w:sz w:val="20"/>
                <w:szCs w:val="20"/>
              </w:rPr>
              <w:t> </w:t>
            </w:r>
          </w:p>
        </w:tc>
        <w:tc>
          <w:tcPr>
            <w:tcW w:w="250" w:type="pct"/>
            <w:hideMark/>
          </w:tcPr>
          <w:p w:rsidR="00000000" w:rsidRDefault="00B64763">
            <w:pPr>
              <w:jc w:val="both"/>
              <w:rPr>
                <w:rFonts w:eastAsia="Times New Roman"/>
                <w:sz w:val="20"/>
                <w:szCs w:val="20"/>
              </w:rPr>
            </w:pPr>
            <w:r>
              <w:rPr>
                <w:rFonts w:eastAsia="Times New Roman"/>
                <w:sz w:val="20"/>
                <w:szCs w:val="20"/>
              </w:rPr>
              <w:t>●</w:t>
            </w:r>
          </w:p>
        </w:tc>
        <w:tc>
          <w:tcPr>
            <w:tcW w:w="4500" w:type="pct"/>
            <w:hideMark/>
          </w:tcPr>
          <w:p w:rsidR="00000000" w:rsidRDefault="00B64763">
            <w:pPr>
              <w:jc w:val="both"/>
              <w:rPr>
                <w:rFonts w:eastAsia="Times New Roman"/>
                <w:sz w:val="20"/>
                <w:szCs w:val="20"/>
              </w:rPr>
            </w:pPr>
            <w:r>
              <w:rPr>
                <w:rFonts w:eastAsia="Times New Roman"/>
                <w:sz w:val="20"/>
                <w:szCs w:val="20"/>
              </w:rPr>
              <w:t>sales and other taxes;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pricing controls;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characteristics and quality of products and services;</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consumer protection;</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cross-border commerce;</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libel and defamation; and</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copyright, trademark, and patent infringement.</w:t>
            </w:r>
          </w:p>
        </w:tc>
      </w:tr>
    </w:tbl>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Customer uncertainty and new regulations could increase our costs and prevent us from delivering our products and services over the Internet. It could also slow the growth of the Internet significantly. Thi</w:t>
      </w:r>
      <w:r>
        <w:rPr>
          <w:sz w:val="20"/>
          <w:szCs w:val="20"/>
        </w:rPr>
        <w:t>s could delay growth in demand for our products and limit the growth of our revenues.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Our games and game shows are subject to gaming regulations that are subject to differing interpretations and legislative and regulatory changes that could adversely aff</w:t>
      </w:r>
      <w:r>
        <w:rPr>
          <w:b/>
          <w:bCs/>
          <w:i/>
          <w:iCs/>
          <w:sz w:val="20"/>
          <w:szCs w:val="20"/>
        </w:rPr>
        <w:t>ect our ability to grow our business.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We operate online games of skill and chance that are regulated in many jurisdictions and, in connection therewith, we will reward prizes to the participants. The selection of prize winners is sometimes based on chanc</w:t>
      </w:r>
      <w:r>
        <w:rPr>
          <w:sz w:val="20"/>
          <w:szCs w:val="20"/>
        </w:rPr>
        <w:t>e, although none of our games requires any form of monetary payment. The laws and regulations that govern our games, however, are subject to differing interpretations in each jurisdiction and are subject to legislative and regulatory change in any of the j</w:t>
      </w:r>
      <w:r>
        <w:rPr>
          <w:sz w:val="20"/>
          <w:szCs w:val="20"/>
        </w:rPr>
        <w:t>urisdictions in which we offer our games. If such changes were to happen, we may find it necessary to eliminate, modify or cancel components of our products that could result in additional development costs and the possible loss of revenue.</w:t>
      </w:r>
    </w:p>
    <w:p w:rsidR="00000000" w:rsidRDefault="00B6476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1301959204"/>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1</w:t>
            </w:r>
            <w:r>
              <w:rPr>
                <w:rFonts w:eastAsia="Times New Roman"/>
                <w:sz w:val="20"/>
                <w:szCs w:val="20"/>
              </w:rPr>
              <w:t>3</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Use</w:t>
      </w:r>
      <w:r>
        <w:rPr>
          <w:b/>
          <w:bCs/>
          <w:i/>
          <w:iCs/>
          <w:sz w:val="20"/>
          <w:szCs w:val="20"/>
        </w:rPr>
        <w:t>r concerns and government regulations regarding privacy may result in a reduction in our user traffic.</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Web sites sometimes place identifying data, or cookies, on a user’s hard drive without the user’</w:t>
      </w:r>
      <w:r>
        <w:rPr>
          <w:sz w:val="20"/>
          <w:szCs w:val="20"/>
        </w:rPr>
        <w:t xml:space="preserve">s knowledge or consent. Our company and many other Internet companies use cookies for a variety of different reasons, including the collection of data derived from the user’s Internet activity. Any reduction or limitation in the use of cookies could limit </w:t>
      </w:r>
      <w:r>
        <w:rPr>
          <w:sz w:val="20"/>
          <w:szCs w:val="20"/>
        </w:rPr>
        <w:t>the effectiveness of our sales and marketing efforts. Most currently available Web browsers allow users to remove cookies at any time or to prevent cookies from being stored on their hard drive. In addition, some privacy advocates and governmental bodies h</w:t>
      </w:r>
      <w:r>
        <w:rPr>
          <w:sz w:val="20"/>
          <w:szCs w:val="20"/>
        </w:rPr>
        <w:t>ave suggested limiting or eliminating the use of cookies. For example, the European Union and the State of California recently adopted privacy regulations that would limit the collection and use of information regarding Internet users. These efforts will l</w:t>
      </w:r>
      <w:r>
        <w:rPr>
          <w:sz w:val="20"/>
          <w:szCs w:val="20"/>
        </w:rPr>
        <w:t>imit our ability to target advertising or collect and use information regarding the use of our Web sites, which would reduce our revenues. Fears relating to a lack of privacy could also result in a reduction in the number of our users.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We may be liable f</w:t>
      </w:r>
      <w:r>
        <w:rPr>
          <w:b/>
          <w:bCs/>
          <w:i/>
          <w:iCs/>
          <w:sz w:val="20"/>
          <w:szCs w:val="20"/>
        </w:rPr>
        <w:t>or the content we make available on the Internet.</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 xml:space="preserve">We plan to make content available on our Web sites and on the Web sites of our advertisers and distribution partners. The availability of this content could result in claims against us based on a variety </w:t>
      </w:r>
      <w:r>
        <w:rPr>
          <w:sz w:val="20"/>
          <w:szCs w:val="20"/>
        </w:rPr>
        <w:t>of theories, including defamation, obscenity, negligence, copyright, or trademark infringement. We could also be exposed to liability for third-party content accessed through the links from our sites to other Web sites. We may incur costs to defend ourselv</w:t>
      </w:r>
      <w:r>
        <w:rPr>
          <w:sz w:val="20"/>
          <w:szCs w:val="20"/>
        </w:rPr>
        <w:t>es against even baseless claims and our financial condition could be materially adversely affected if we are found liable for information that we make available. Implementing measures to reduce our exposure to this liability may require us to spend substan</w:t>
      </w:r>
      <w:r>
        <w:rPr>
          <w:sz w:val="20"/>
          <w:szCs w:val="20"/>
        </w:rPr>
        <w:t>tial resources and limit the attractiveness of our service to users.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The technical performance of our Web sites will be critical to our business and to our reputation.</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The computer systems that will support our Web sites will be acquired and maintained</w:t>
      </w:r>
      <w:r>
        <w:rPr>
          <w:sz w:val="20"/>
          <w:szCs w:val="20"/>
        </w:rPr>
        <w:t xml:space="preserve"> by us at significant expense. We may not be able to successfully design and maintain our systems in the future. We also will license communications infrastructure software. Any system failure, including network, software, or hardware failure, that causes </w:t>
      </w:r>
      <w:r>
        <w:rPr>
          <w:sz w:val="20"/>
          <w:szCs w:val="20"/>
        </w:rPr>
        <w:t>an interruption in our service or a decrease in responsiveness of our Web sites, could result in reduced user traffic and reduced revenue. We may experience slower response times and interruptions in service because of equipment or software down time relat</w:t>
      </w:r>
      <w:r>
        <w:rPr>
          <w:sz w:val="20"/>
          <w:szCs w:val="20"/>
        </w:rPr>
        <w:t>ed to the high volume of traffic on our Web sites and our need to deliver frequently updated information to our users. We cannot assure you that we will be able to expand our systems to adequately accommodate our growing user base. We could also be affecte</w:t>
      </w:r>
      <w:r>
        <w:rPr>
          <w:sz w:val="20"/>
          <w:szCs w:val="20"/>
        </w:rPr>
        <w:t>d by computer viruses, electronic break-ins from unauthorized users, or other similar disruptions or attempts to penetrate our online security systems. Any secure provider system disruption or failure, security breach or other damage that interrupts or del</w:t>
      </w:r>
      <w:r>
        <w:rPr>
          <w:sz w:val="20"/>
          <w:szCs w:val="20"/>
        </w:rPr>
        <w:t>ays our operations could harm our reputation and cause us to lose users, advertisers and sponsors and adversely affect our business and operations.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Our users will depend on Internet service providers, online service providers and other Web site operators</w:t>
      </w:r>
      <w:r>
        <w:rPr>
          <w:sz w:val="20"/>
          <w:szCs w:val="20"/>
        </w:rPr>
        <w:t xml:space="preserve"> for access to our Web sites. These providers have had interruptions in their services for hours and, in some cases, days, due to system failures unrelated to our systems. Any future interruptions would be beyond our control to prevent and could harm our r</w:t>
      </w:r>
      <w:r>
        <w:rPr>
          <w:sz w:val="20"/>
          <w:szCs w:val="20"/>
        </w:rPr>
        <w:t>eputation and adversely affect our business.</w:t>
      </w:r>
    </w:p>
    <w:p w:rsidR="00000000" w:rsidRDefault="00B6476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141197198"/>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1</w:t>
            </w:r>
            <w:r>
              <w:rPr>
                <w:rFonts w:eastAsia="Times New Roman"/>
                <w:sz w:val="20"/>
                <w:szCs w:val="20"/>
              </w:rPr>
              <w:t>4</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i/>
          <w:iCs/>
          <w:sz w:val="20"/>
          <w:szCs w:val="20"/>
        </w:rPr>
        <w:t>We may be unable to protect our intellectual property rights and we may be liable for infringing the intellectual property rights of others.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We do not currently maintain patents on our technology and others may be able to develop similar technologies in the future. We regard our copyrights, service marks, trademarks, trade secrets and other intellectual property that we will develop as critical</w:t>
      </w:r>
      <w:r>
        <w:rPr>
          <w:sz w:val="20"/>
          <w:szCs w:val="20"/>
        </w:rPr>
        <w:t xml:space="preserve"> to our success. We will rely on trademark and copyright law, trade secret protection and confidentiality and license agreements with our employees, customers, partners, and others to protect our intellectual property rights. Unauthorized use of our intell</w:t>
      </w:r>
      <w:r>
        <w:rPr>
          <w:sz w:val="20"/>
          <w:szCs w:val="20"/>
        </w:rPr>
        <w:t>ectual property by third parties may adversely affect our business and our reputation. It may be possible for third parties to obtain and use our intellectual property without authorization. Furthermore, the validity, enforceability, and scope of protectio</w:t>
      </w:r>
      <w:r>
        <w:rPr>
          <w:sz w:val="20"/>
          <w:szCs w:val="20"/>
        </w:rPr>
        <w:t>n of intellectual property in Internet-related industries is uncertain and still evolving. Our multi-user games will run on proprietary software systems developed by us at significant expense. Nonetheless, we do not plan to maintain patents on our technolo</w:t>
      </w:r>
      <w:r>
        <w:rPr>
          <w:sz w:val="20"/>
          <w:szCs w:val="20"/>
        </w:rPr>
        <w:t>gy and others may be able to develop similar technologies in the future.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We cannot be certain that our products will not infringe valid patents, copyrights, trademarks, or other intellectual property rights held by third parties. We may be subject to leg</w:t>
      </w:r>
      <w:r>
        <w:rPr>
          <w:sz w:val="20"/>
          <w:szCs w:val="20"/>
        </w:rPr>
        <w:t>al proceedings and claims from time to time relating to the intellectual property of others in the ordinary course of our business. Disputes concerning the ownership of rights to use intellectual property could be costly and time consuming to litigate, may</w:t>
      </w:r>
      <w:r>
        <w:rPr>
          <w:sz w:val="20"/>
          <w:szCs w:val="20"/>
        </w:rPr>
        <w:t xml:space="preserve"> distract management from other tasks of operating our business, and may result in our loss of significant rights and the loss of our ability to effectively operate our business.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sz w:val="20"/>
          <w:szCs w:val="20"/>
        </w:rPr>
        <w:t>Risks relating to our Capital Structure and Potential Management Conflicts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Our charter documents and Nevada law may inhibit a takeover that stockholders may consider favorable.</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 xml:space="preserve">Provisions in our charter and bylaws may have the effect of delaying or preventing a change of control or changes in our management that stockholders </w:t>
      </w:r>
      <w:r>
        <w:rPr>
          <w:sz w:val="20"/>
          <w:szCs w:val="20"/>
        </w:rPr>
        <w:t>consider favorable or beneficial. If a change of control or change in management is delayed or prevented, the market price of our common stock could decline.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We do not plan to pay dividends in the foreseeable future, and, as a result, stockholders will n</w:t>
      </w:r>
      <w:r>
        <w:rPr>
          <w:b/>
          <w:bCs/>
          <w:i/>
          <w:iCs/>
          <w:sz w:val="20"/>
          <w:szCs w:val="20"/>
        </w:rPr>
        <w:t>eed to sell shares to realize a return on their investment.</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We have not declared or paid any cash dividends on our capital stock since inception. We intend to retain any future earnings to finance the operation and expansion of our business and do not an</w:t>
      </w:r>
      <w:r>
        <w:rPr>
          <w:sz w:val="20"/>
          <w:szCs w:val="20"/>
        </w:rPr>
        <w:t>ticipate paying any cash dividends in the foreseeable future. Consequently, you will need to sell your shares of common stock in order to realize a return on your investment and you may not be able to sell your shares at or above the price you paid for the</w:t>
      </w:r>
      <w:r>
        <w:rPr>
          <w:sz w:val="20"/>
          <w:szCs w:val="20"/>
        </w:rPr>
        <w:t>m.</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Our Series A Convertible Preferred Stock contains Anti-Dilution Protection and Super Voting Rights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The holders of our Series A Convertible Preferred Stock have anti-dilution rights protecting their interest in the company from the issuance of any ad</w:t>
      </w:r>
      <w:r>
        <w:rPr>
          <w:sz w:val="20"/>
          <w:szCs w:val="20"/>
        </w:rPr>
        <w:t>ditional shares of capital stock for a two year period following conversion of the Preferred Common Stock calculated at the rate of 80% on a fully diluted basis. The anti-dilution provision may have the effect of making it more difficult for the Company to</w:t>
      </w:r>
      <w:r>
        <w:rPr>
          <w:sz w:val="20"/>
          <w:szCs w:val="20"/>
        </w:rPr>
        <w:t xml:space="preserve"> raise funds for the period that such provision is in effect. Additionally, we have 4,000,000 shares of our Series A Preferred Stock outstanding with each share of Preferred Stock entitled to vote on the basis of 100 times each share of our common stock. B</w:t>
      </w:r>
      <w:r>
        <w:rPr>
          <w:color w:val="000000"/>
          <w:sz w:val="20"/>
          <w:szCs w:val="20"/>
        </w:rPr>
        <w:t>ased on 307,785,338 shar</w:t>
      </w:r>
      <w:r>
        <w:rPr>
          <w:sz w:val="20"/>
          <w:szCs w:val="20"/>
        </w:rPr>
        <w:t>es of common stock currently outstanding, the holders of our Series A Preferred Stock have the power to control the vote on all matters submitted to a vote of our stockholders including for election of directors.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We will need to r</w:t>
      </w:r>
      <w:r>
        <w:rPr>
          <w:b/>
          <w:bCs/>
          <w:i/>
          <w:iCs/>
          <w:sz w:val="20"/>
          <w:szCs w:val="20"/>
        </w:rPr>
        <w:t>aise additional capital that may not be available on acceptable terms.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We will require substantial additional capital over the next several years in order to implement our business plan. We expect capital outlays and operating expenditures to increase as</w:t>
      </w:r>
      <w:r>
        <w:rPr>
          <w:sz w:val="20"/>
          <w:szCs w:val="20"/>
        </w:rPr>
        <w:t xml:space="preserve"> we expand our product offerings and marketing activities. Our business or operations may change in a manner that would consume available funds more rapidly than anticipated, and substantial additional funding may be required to maintain operations, fund e</w:t>
      </w:r>
      <w:r>
        <w:rPr>
          <w:sz w:val="20"/>
          <w:szCs w:val="20"/>
        </w:rPr>
        <w:t>xpansion, develop new or enhanced products or services, acquire complementary products, businesses or technologies, or otherwise respond to competitive pressures and opportunities.</w:t>
      </w:r>
    </w:p>
    <w:p w:rsidR="00000000" w:rsidRDefault="00B64763">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1682465643"/>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1</w:t>
            </w:r>
            <w:r>
              <w:rPr>
                <w:rFonts w:eastAsia="Times New Roman"/>
                <w:sz w:val="20"/>
                <w:szCs w:val="20"/>
              </w:rPr>
              <w:t>5</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We plan to raise additional capital through a variety of sources, including the public equity markets, additional private equity financings, collaborative arrangements and/or private debt financings. Additional capital may not be available on terms accepta</w:t>
      </w:r>
      <w:r>
        <w:rPr>
          <w:sz w:val="20"/>
          <w:szCs w:val="20"/>
        </w:rPr>
        <w:t xml:space="preserve">ble to us, if at all. If additional capital is raised through the issuance of equity securities, our stockholders will experience dilution, and such securities may have rights, preferences, or privileges senior to those of the holders of our common stock. </w:t>
      </w:r>
      <w:r>
        <w:rPr>
          <w:sz w:val="20"/>
          <w:szCs w:val="20"/>
        </w:rPr>
        <w:t>If we raise additional capital through the issuance of debt securities, the debt securities would have rights, preferences, and privileges senior to holders of common stock, and the terms of that debt could impose restrictions on our operations.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 xml:space="preserve">We note </w:t>
      </w:r>
      <w:r>
        <w:rPr>
          <w:sz w:val="20"/>
          <w:szCs w:val="20"/>
        </w:rPr>
        <w:t>that there is significant uncertainty from the affect that the novel coronavirus may have on the availability, cost, and type of financing.</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If you invest in our stock, your investment may be disadvantaged by future funding, if we are able to obtain it.</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To the extent we obtain funding by issuance of common stock or securities convertible into common stock, you may suffer significant dilution in percentage of ownership and, if such issuances are below the then value of stockholder equity, in stockholder e</w:t>
      </w:r>
      <w:r>
        <w:rPr>
          <w:sz w:val="20"/>
          <w:szCs w:val="20"/>
        </w:rPr>
        <w:t xml:space="preserve">quity per share. In addition, any debt financing we may secure could involve restrictive covenants relating to our capital raising activities and other financial and operational matters, which may make it more difficult for us to obtain additional capital </w:t>
      </w:r>
      <w:r>
        <w:rPr>
          <w:sz w:val="20"/>
          <w:szCs w:val="20"/>
        </w:rPr>
        <w:t>with which to pursue our business plan, and to pay dividends. You have no assurance we will be able to obtain any additional financing on terms favorable to us, if at all.</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 xml:space="preserve">The trading in our shares will be regulated by the Securities </w:t>
      </w:r>
      <w:r>
        <w:rPr>
          <w:b/>
          <w:bCs/>
          <w:i/>
          <w:iCs/>
          <w:sz w:val="20"/>
          <w:szCs w:val="20"/>
        </w:rPr>
        <w:t>and Exchange Commission Rule 15G-9 which established the definition of a “Penny Stock.”</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You have no assurance our common stock will trade at prices above historic levels and price needed to put it above the “penny stock” level, notwithstanding an offerin</w:t>
      </w:r>
      <w:r>
        <w:rPr>
          <w:sz w:val="20"/>
          <w:szCs w:val="20"/>
        </w:rPr>
        <w:t>g price above that level. Based on the historic trading prices of our common stock and the market in which it trades, our shares are defined as a penny stock under the Securities and Exchange Act of 1934, as amended (the “Exchange Act”), and rules of the S</w:t>
      </w:r>
      <w:r>
        <w:rPr>
          <w:sz w:val="20"/>
          <w:szCs w:val="20"/>
        </w:rPr>
        <w:t>EC. The Exchange Act and penny stock rules generally impose additional sales practice and disclosure requirements on broker-dealers who sell our securities to persons other than certain accredited investors who are, generally, institutions with assets in e</w:t>
      </w:r>
      <w:r>
        <w:rPr>
          <w:sz w:val="20"/>
          <w:szCs w:val="20"/>
        </w:rPr>
        <w:t>xcess of $4,000,000 or individuals with net worth in excess of $1,000,000 or annual income exceeding $200,000 ($300,000 jointly with spouse), or in transactions not recommended by the broker-dealer. For transactions covered by the penny stock rules, a brok</w:t>
      </w:r>
      <w:r>
        <w:rPr>
          <w:sz w:val="20"/>
          <w:szCs w:val="20"/>
        </w:rPr>
        <w:t>er dealer must make certain mandated disclosures in penny stock transactions, including the actual sale or purchase price and actual bid and offer quotations, the compensation to be received by the broker-dealer and certain associated persons, and must del</w:t>
      </w:r>
      <w:r>
        <w:rPr>
          <w:sz w:val="20"/>
          <w:szCs w:val="20"/>
        </w:rPr>
        <w:t>iver certain disclosures required by the Commission. Consequently, the penny stock rules may make it difficult for you to resell any shares you may purchase.</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i/>
          <w:iCs/>
          <w:sz w:val="20"/>
          <w:szCs w:val="20"/>
        </w:rPr>
        <w:t>Certain of our officers and directors may have potential conflicts of interest.</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Several of our</w:t>
      </w:r>
      <w:r>
        <w:rPr>
          <w:sz w:val="20"/>
          <w:szCs w:val="20"/>
        </w:rPr>
        <w:t xml:space="preserve"> officers and directors are also directors of Winners, Inc. See “Related Party Transactions” on page 28. Both our company and Winners, Inc. are currently engaged in offerings pursuant to Regulation A. We do not believe that this overlap presents or will pr</w:t>
      </w:r>
      <w:r>
        <w:rPr>
          <w:sz w:val="20"/>
          <w:szCs w:val="20"/>
        </w:rPr>
        <w:t xml:space="preserve">esent a practical conflict of interest since our Chief Executive Officer, Frank Magliochetti, who is actively involved in our offering is only a director and consultant of Winners, Inc. and is not actively involved in the Regulation A offering of Winners, </w:t>
      </w:r>
      <w:r>
        <w:rPr>
          <w:sz w:val="20"/>
          <w:szCs w:val="20"/>
        </w:rPr>
        <w:t>Inc.</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IN ADDITION TO THE ABOVE RISKS, BUSINESSES ARE OFTEN SUBJECT TO RISKS NOT FORESEEN OR FULLY APPRECIATED BY OUR MANAGEMENT. IN REVIEWING THIS PROSPECTUS, POTENTIAL INVESTORS SHOULD KEEP IN MIND THAT THERE MAY BE OTHER POSSIBLE RISKS THAT COULD BE IMP</w:t>
      </w:r>
      <w:r>
        <w:rPr>
          <w:b/>
          <w:bCs/>
          <w:sz w:val="20"/>
          <w:szCs w:val="20"/>
        </w:rPr>
        <w:t>ORTANT.</w:t>
      </w:r>
    </w:p>
    <w:p w:rsidR="00000000" w:rsidRDefault="00B6476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413666368"/>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1</w:t>
            </w:r>
            <w:r>
              <w:rPr>
                <w:rFonts w:eastAsia="Times New Roman"/>
                <w:sz w:val="20"/>
                <w:szCs w:val="20"/>
              </w:rPr>
              <w:t>6</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i/>
          <w:iCs/>
          <w:sz w:val="20"/>
          <w:szCs w:val="20"/>
        </w:rPr>
        <w:t>Item 1B. Unresolved Staff Comments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None.</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2.</w:t>
      </w:r>
      <w:r>
        <w:rPr>
          <w:b/>
          <w:bCs/>
          <w:sz w:val="20"/>
          <w:szCs w:val="20"/>
        </w:rPr>
        <w:t xml:space="preserve"> </w:t>
      </w:r>
      <w:r>
        <w:rPr>
          <w:b/>
          <w:bCs/>
          <w:i/>
          <w:iCs/>
          <w:sz w:val="20"/>
          <w:szCs w:val="20"/>
        </w:rPr>
        <w:t>Properties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We do not own or lease any offices at this time other than a “virtual office” </w:t>
      </w:r>
      <w:r>
        <w:rPr>
          <w:sz w:val="20"/>
          <w:szCs w:val="20"/>
        </w:rPr>
        <w:t>at the address set forth on the cover page of this Form 10-K. Subject to available capital, we plan to lease general office space sufficient for our current needs and the needs of additional personnel in the foreseeable future.</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3.</w:t>
      </w:r>
      <w:r>
        <w:rPr>
          <w:b/>
          <w:bCs/>
          <w:sz w:val="20"/>
          <w:szCs w:val="20"/>
        </w:rPr>
        <w:t xml:space="preserve"> </w:t>
      </w:r>
      <w:r>
        <w:rPr>
          <w:b/>
          <w:bCs/>
          <w:i/>
          <w:iCs/>
          <w:sz w:val="20"/>
          <w:szCs w:val="20"/>
        </w:rPr>
        <w:t>Legal Proceedings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As of the date hereof, we are not engaged in any litigation.</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4.</w:t>
      </w:r>
      <w:r>
        <w:rPr>
          <w:b/>
          <w:bCs/>
          <w:sz w:val="20"/>
          <w:szCs w:val="20"/>
        </w:rPr>
        <w:t xml:space="preserve"> </w:t>
      </w:r>
      <w:r>
        <w:rPr>
          <w:b/>
          <w:bCs/>
          <w:i/>
          <w:iCs/>
          <w:sz w:val="20"/>
          <w:szCs w:val="20"/>
        </w:rPr>
        <w:t>Mine Safety Disclosures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Not applicable.</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sz w:val="20"/>
          <w:szCs w:val="20"/>
        </w:rPr>
        <w:t>PART II</w:t>
      </w:r>
    </w:p>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5.</w:t>
      </w:r>
      <w:r>
        <w:rPr>
          <w:b/>
          <w:bCs/>
          <w:sz w:val="20"/>
          <w:szCs w:val="20"/>
        </w:rPr>
        <w:t xml:space="preserve"> </w:t>
      </w:r>
      <w:r>
        <w:rPr>
          <w:b/>
          <w:bCs/>
          <w:i/>
          <w:iCs/>
          <w:sz w:val="20"/>
          <w:szCs w:val="20"/>
        </w:rPr>
        <w:t xml:space="preserve">Market for Registrant’s Common </w:t>
      </w:r>
      <w:r>
        <w:rPr>
          <w:b/>
          <w:bCs/>
          <w:i/>
          <w:iCs/>
          <w:sz w:val="20"/>
          <w:szCs w:val="20"/>
        </w:rPr>
        <w:t>Equity, Related Stockholder Matters, and Issuer Purchases of Equity Securities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Market</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Our common stock trades over-the-counter and is quoted on the OTC Pink Current Market under the symbol “CLIS.” The table below sets forth the high and low bid prices </w:t>
      </w:r>
      <w:r>
        <w:rPr>
          <w:sz w:val="20"/>
          <w:szCs w:val="20"/>
        </w:rPr>
        <w:t>for our common stock as reflected on the OTC Markets under the symbol “CLIS”. Quotations represent prices between dealers, do not include retail markups, markdowns or commissions, and do not necessarily represent prices at which actual transactions were af</w:t>
      </w:r>
      <w:r>
        <w:rPr>
          <w:sz w:val="20"/>
          <w:szCs w:val="20"/>
        </w:rPr>
        <w:t>fected. There is a limited public trading market for our securities.</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659"/>
        <w:gridCol w:w="100"/>
        <w:gridCol w:w="992"/>
        <w:gridCol w:w="78"/>
        <w:gridCol w:w="659"/>
        <w:gridCol w:w="100"/>
        <w:gridCol w:w="993"/>
        <w:gridCol w:w="79"/>
      </w:tblGrid>
      <w:tr w:rsidR="00000000">
        <w:tc>
          <w:tcPr>
            <w:tcW w:w="0" w:type="auto"/>
            <w:gridSpan w:val="9"/>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Common Stock</w:t>
            </w:r>
          </w:p>
        </w:tc>
      </w:tr>
      <w:tr w:rsidR="00000000">
        <w:tc>
          <w:tcPr>
            <w:tcW w:w="0" w:type="auto"/>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High</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Low</w:t>
            </w:r>
          </w:p>
        </w:tc>
      </w:tr>
      <w:tr w:rsidR="00000000">
        <w:tc>
          <w:tcPr>
            <w:tcW w:w="0" w:type="auto"/>
            <w:shd w:val="clear" w:color="auto" w:fill="CCEEFF"/>
            <w:vAlign w:val="bottom"/>
            <w:hideMark/>
          </w:tcPr>
          <w:p w:rsidR="00000000" w:rsidRDefault="00B64763">
            <w:pPr>
              <w:rPr>
                <w:rFonts w:eastAsia="Times New Roman"/>
                <w:b/>
                <w:bCs/>
                <w:sz w:val="20"/>
                <w:szCs w:val="20"/>
              </w:rPr>
            </w:pPr>
            <w:r>
              <w:rPr>
                <w:rFonts w:eastAsia="Times New Roman"/>
                <w:b/>
                <w:bCs/>
                <w:sz w:val="20"/>
                <w:szCs w:val="20"/>
              </w:rPr>
              <w:t>Fiscal Year 2020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2800" w:type="pct"/>
            <w:shd w:val="clear" w:color="auto" w:fill="FFFFFF"/>
            <w:vAlign w:val="bottom"/>
            <w:hideMark/>
          </w:tcPr>
          <w:p w:rsidR="00000000" w:rsidRDefault="00B64763">
            <w:pPr>
              <w:rPr>
                <w:rFonts w:eastAsia="Times New Roman"/>
                <w:sz w:val="20"/>
                <w:szCs w:val="20"/>
              </w:rPr>
            </w:pPr>
            <w:r>
              <w:rPr>
                <w:rFonts w:eastAsia="Times New Roman"/>
                <w:sz w:val="20"/>
                <w:szCs w:val="20"/>
              </w:rPr>
              <w:t>First Quarter</w:t>
            </w:r>
          </w:p>
        </w:tc>
        <w:tc>
          <w:tcPr>
            <w:tcW w:w="400" w:type="pct"/>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B64763">
            <w:pPr>
              <w:jc w:val="right"/>
              <w:rPr>
                <w:rFonts w:eastAsia="Times New Roman"/>
                <w:sz w:val="20"/>
                <w:szCs w:val="20"/>
              </w:rPr>
            </w:pPr>
            <w:r>
              <w:rPr>
                <w:rFonts w:eastAsia="Times New Roman"/>
                <w:sz w:val="20"/>
                <w:szCs w:val="20"/>
              </w:rPr>
              <w:t>0.01</w:t>
            </w:r>
          </w:p>
        </w:tc>
        <w:tc>
          <w:tcPr>
            <w:tcW w:w="50" w:type="pct"/>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B64763">
            <w:pPr>
              <w:jc w:val="right"/>
              <w:rPr>
                <w:rFonts w:eastAsia="Times New Roman"/>
                <w:sz w:val="20"/>
                <w:szCs w:val="20"/>
              </w:rPr>
            </w:pPr>
            <w:r>
              <w:rPr>
                <w:rFonts w:eastAsia="Times New Roman"/>
                <w:sz w:val="20"/>
                <w:szCs w:val="20"/>
              </w:rPr>
              <w:t>0.0026</w:t>
            </w:r>
          </w:p>
        </w:tc>
        <w:tc>
          <w:tcPr>
            <w:tcW w:w="50" w:type="pct"/>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Second Quarter</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0.034</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0.0026</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Third Quarter</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0.2399</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0.012</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Fourth Quarter</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0.119</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0.0501</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b/>
                <w:bCs/>
                <w:sz w:val="20"/>
                <w:szCs w:val="20"/>
              </w:rPr>
            </w:pPr>
            <w:r>
              <w:rPr>
                <w:rFonts w:eastAsia="Times New Roman"/>
                <w:b/>
                <w:bCs/>
                <w:sz w:val="20"/>
                <w:szCs w:val="20"/>
              </w:rPr>
              <w:t>Fiscal Year 2021</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First Quarter</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0.0499</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0.0128</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Second Quarter</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0.4795</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0.0235</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Third Quarter</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0.2395</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0.12</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Fourth Quarter</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0.1769</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729377366"/>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1</w:t>
            </w:r>
            <w:r>
              <w:rPr>
                <w:rFonts w:eastAsia="Times New Roman"/>
                <w:sz w:val="20"/>
                <w:szCs w:val="20"/>
              </w:rPr>
              <w:t>7</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Holders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As of January 15, 2022, there are approximately 141 record holders of 307,785,338 shares of Common Stock. </w:t>
      </w:r>
      <w:r>
        <w:rPr>
          <w:sz w:val="20"/>
          <w:szCs w:val="20"/>
          <w:shd w:val="clear" w:color="auto" w:fill="FFFFFF"/>
        </w:rPr>
        <w:t xml:space="preserve">This number does not include </w:t>
      </w:r>
      <w:r>
        <w:rPr>
          <w:sz w:val="20"/>
          <w:szCs w:val="20"/>
          <w:shd w:val="clear" w:color="auto" w:fill="FFFFFF"/>
        </w:rPr>
        <w:t>the stockholders for whom shares are held in a “nominee” or “street” name.</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Dividends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To date, we have paid no cash dividends on our Common Stock. For the foreseeable future, earnings generated from our operations will be retained for use in our busines</w:t>
      </w:r>
      <w:r>
        <w:rPr>
          <w:sz w:val="20"/>
          <w:szCs w:val="20"/>
        </w:rPr>
        <w:t>s and not to pay dividends.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Repurchases of Equity Securities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None</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Recent Sales of Unregistered Securities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Subsequent to September 30, 2021, the Company issued a total of 6,797,534 shares of common stock to consultants with a fair value of $436,000 </w:t>
      </w:r>
      <w:r>
        <w:rPr>
          <w:sz w:val="20"/>
          <w:szCs w:val="20"/>
        </w:rPr>
        <w:t>for services rendered. The common shares issued were valued at the trading price at the respective date of issuances.</w:t>
      </w:r>
    </w:p>
    <w:p w:rsidR="00000000" w:rsidRDefault="00B64763">
      <w:pPr>
        <w:pStyle w:val="a3"/>
        <w:spacing w:before="0" w:beforeAutospacing="0" w:after="0" w:afterAutospacing="0"/>
        <w:jc w:val="both"/>
        <w:rPr>
          <w:sz w:val="22"/>
          <w:szCs w:val="22"/>
        </w:rPr>
      </w:pPr>
      <w:r>
        <w:rPr>
          <w:sz w:val="22"/>
          <w:szCs w:val="22"/>
        </w:rPr>
        <w:t> </w:t>
      </w:r>
    </w:p>
    <w:p w:rsidR="00000000" w:rsidRDefault="00B64763">
      <w:pPr>
        <w:pStyle w:val="a3"/>
        <w:spacing w:before="0" w:beforeAutospacing="0" w:after="0" w:afterAutospacing="0"/>
        <w:ind w:firstLine="720"/>
        <w:jc w:val="both"/>
        <w:rPr>
          <w:sz w:val="20"/>
          <w:szCs w:val="20"/>
        </w:rPr>
      </w:pPr>
      <w:r>
        <w:rPr>
          <w:sz w:val="20"/>
          <w:szCs w:val="20"/>
        </w:rPr>
        <w:t xml:space="preserve">Subsequent to September 30, 2021, </w:t>
      </w:r>
      <w:r>
        <w:rPr>
          <w:sz w:val="20"/>
          <w:szCs w:val="20"/>
        </w:rPr>
        <w:t>the Company issued a total of 20,000,000 shares of common stock in a private placement offering for cash proceeds of $1,000,000.</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On October 14, 2021, the Company issued a total of 1,550,000 shares of common stock to settle debts of $9,000. The</w:t>
      </w:r>
      <w:r>
        <w:rPr>
          <w:sz w:val="20"/>
          <w:szCs w:val="20"/>
        </w:rPr>
        <w:tab/>
        <w:t>common sha</w:t>
      </w:r>
      <w:r>
        <w:rPr>
          <w:sz w:val="20"/>
          <w:szCs w:val="20"/>
        </w:rPr>
        <w:t>res issued were valued at the trading price of $0.07 at the respective date of issuance and the Company will recognize a loss on the settlement of $100,000.</w:t>
      </w:r>
    </w:p>
    <w:p w:rsidR="00000000" w:rsidRDefault="00B64763">
      <w:pPr>
        <w:pStyle w:val="a3"/>
        <w:spacing w:before="0" w:beforeAutospacing="0" w:after="0" w:afterAutospacing="0"/>
        <w:jc w:val="both"/>
        <w:rPr>
          <w:sz w:val="20"/>
          <w:szCs w:val="20"/>
        </w:rPr>
      </w:pPr>
      <w:r>
        <w:rPr>
          <w:b/>
          <w:bCs/>
          <w:sz w:val="20"/>
          <w:szCs w:val="20"/>
        </w:rPr>
        <w:t>  </w:t>
      </w:r>
    </w:p>
    <w:p w:rsidR="00000000" w:rsidRDefault="00B64763">
      <w:pPr>
        <w:pStyle w:val="a3"/>
        <w:spacing w:before="0" w:beforeAutospacing="0" w:after="0" w:afterAutospacing="0"/>
        <w:jc w:val="both"/>
        <w:rPr>
          <w:sz w:val="20"/>
          <w:szCs w:val="20"/>
        </w:rPr>
      </w:pPr>
      <w:r>
        <w:rPr>
          <w:b/>
          <w:bCs/>
          <w:sz w:val="20"/>
          <w:szCs w:val="20"/>
        </w:rPr>
        <w:t>Securities Authorized for Issuance under Equity Compensation Plans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None</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6.</w:t>
      </w:r>
      <w:r>
        <w:rPr>
          <w:b/>
          <w:bCs/>
          <w:sz w:val="20"/>
          <w:szCs w:val="20"/>
        </w:rPr>
        <w:t xml:space="preserve"> </w:t>
      </w:r>
      <w:r>
        <w:rPr>
          <w:b/>
          <w:bCs/>
          <w:i/>
          <w:iCs/>
          <w:sz w:val="20"/>
          <w:szCs w:val="20"/>
        </w:rPr>
        <w:t>Selected Fi</w:t>
      </w:r>
      <w:r>
        <w:rPr>
          <w:b/>
          <w:bCs/>
          <w:i/>
          <w:iCs/>
          <w:sz w:val="20"/>
          <w:szCs w:val="20"/>
        </w:rPr>
        <w:t>nancial Data</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Not applicable.</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7.</w:t>
      </w:r>
      <w:r>
        <w:rPr>
          <w:b/>
          <w:bCs/>
          <w:sz w:val="20"/>
          <w:szCs w:val="20"/>
        </w:rPr>
        <w:t xml:space="preserve"> </w:t>
      </w:r>
      <w:r>
        <w:rPr>
          <w:b/>
          <w:bCs/>
          <w:i/>
          <w:iCs/>
          <w:sz w:val="20"/>
          <w:szCs w:val="20"/>
        </w:rPr>
        <w:t>Management’s Discussion and Analysis of Financial Condition and Results of Operations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Overview</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right="188"/>
        <w:jc w:val="both"/>
        <w:rPr>
          <w:sz w:val="20"/>
          <w:szCs w:val="20"/>
        </w:rPr>
      </w:pPr>
      <w:r>
        <w:rPr>
          <w:sz w:val="20"/>
          <w:szCs w:val="20"/>
        </w:rPr>
        <w:t xml:space="preserve">We have built (1) a </w:t>
      </w:r>
      <w:r>
        <w:rPr>
          <w:sz w:val="20"/>
          <w:szCs w:val="20"/>
          <w:shd w:val="clear" w:color="auto" w:fill="FFFFFF"/>
        </w:rPr>
        <w:t>free-to-play synchronized mobile app and digital gaming platform. The platform is designed to en</w:t>
      </w:r>
      <w:r>
        <w:rPr>
          <w:sz w:val="20"/>
          <w:szCs w:val="20"/>
          <w:shd w:val="clear" w:color="auto" w:fill="FFFFFF"/>
        </w:rPr>
        <w:t>able WinQuik™ users to have fun, interact and compete in order to win real money and prizes and (2) a language learning app that focuses on “language exchanging” between users around the world. As opposed to quizzes, flash cards and other traditional langu</w:t>
      </w:r>
      <w:r>
        <w:rPr>
          <w:sz w:val="20"/>
          <w:szCs w:val="20"/>
          <w:shd w:val="clear" w:color="auto" w:fill="FFFFFF"/>
        </w:rPr>
        <w:t>age studying tools, HeyPal™’s approach to helping its users learn a new language is by matching them together with native speakers of their target language.</w:t>
      </w:r>
      <w:r>
        <w:rPr>
          <w:sz w:val="20"/>
          <w:szCs w:val="20"/>
        </w:rPr>
        <w:t> The platforms support iOS and Android platforms and web and built dynamically so it can expand quic</w:t>
      </w:r>
      <w:r>
        <w:rPr>
          <w:sz w:val="20"/>
          <w:szCs w:val="20"/>
        </w:rPr>
        <w:t>kly. (3) Nifter™ is a marketplace for non-fungible tokens on the Ethereum Blockchain. (4) Joey’s Animal Kingdom™ is a children’s entertainment and education app.</w:t>
      </w:r>
    </w:p>
    <w:p w:rsidR="00000000" w:rsidRDefault="00B64763">
      <w:pPr>
        <w:pStyle w:val="a3"/>
        <w:spacing w:before="0" w:beforeAutospacing="0" w:after="0" w:afterAutospacing="0"/>
        <w:ind w:right="188"/>
        <w:jc w:val="both"/>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194314369"/>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1</w:t>
            </w:r>
            <w:r>
              <w:rPr>
                <w:rFonts w:eastAsia="Times New Roman"/>
                <w:sz w:val="20"/>
                <w:szCs w:val="20"/>
              </w:rPr>
              <w:t>8</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right="188"/>
        <w:jc w:val="both"/>
        <w:rPr>
          <w:sz w:val="20"/>
          <w:szCs w:val="20"/>
        </w:rPr>
      </w:pPr>
      <w:r>
        <w:rPr>
          <w:b/>
          <w:bCs/>
          <w:sz w:val="20"/>
          <w:szCs w:val="20"/>
        </w:rPr>
        <w:t> </w:t>
      </w:r>
    </w:p>
    <w:p w:rsidR="00000000" w:rsidRDefault="00B64763">
      <w:pPr>
        <w:pStyle w:val="a3"/>
        <w:spacing w:before="0" w:beforeAutospacing="0" w:after="0" w:afterAutospacing="0"/>
        <w:jc w:val="both"/>
        <w:rPr>
          <w:sz w:val="20"/>
          <w:szCs w:val="20"/>
        </w:rPr>
      </w:pPr>
      <w:r>
        <w:rPr>
          <w:b/>
          <w:bCs/>
          <w:sz w:val="20"/>
          <w:szCs w:val="20"/>
        </w:rPr>
        <w:t xml:space="preserve">Results of Operations—Comparison of </w:t>
      </w:r>
      <w:r>
        <w:rPr>
          <w:b/>
          <w:bCs/>
          <w:sz w:val="20"/>
          <w:szCs w:val="20"/>
        </w:rPr>
        <w:t>the Years Ended September 30, 2021 and 2020</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i/>
          <w:iCs/>
          <w:sz w:val="20"/>
          <w:szCs w:val="20"/>
        </w:rPr>
        <w:t>Research and Development Expenses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During the years ended September 30, 2021 and 2020, we incurred $692,000 and $302,000 million of research and development expenses, respectively. An increase of $390,000. Thi</w:t>
      </w:r>
      <w:r>
        <w:rPr>
          <w:sz w:val="20"/>
          <w:szCs w:val="20"/>
        </w:rPr>
        <w:t>s increase is mainly due to the research and development expenses incurred for the HeyPal</w:t>
      </w:r>
      <w:r>
        <w:rPr>
          <w:sz w:val="20"/>
          <w:szCs w:val="20"/>
          <w:shd w:val="clear" w:color="auto" w:fill="FFFFFF"/>
        </w:rPr>
        <w:t>™</w:t>
      </w:r>
      <w:r>
        <w:rPr>
          <w:sz w:val="20"/>
          <w:szCs w:val="20"/>
        </w:rPr>
        <w:t xml:space="preserve"> app and Nifter</w:t>
      </w:r>
      <w:r>
        <w:rPr>
          <w:sz w:val="20"/>
          <w:szCs w:val="20"/>
          <w:shd w:val="clear" w:color="auto" w:fill="FFFFFF"/>
        </w:rPr>
        <w:t>™</w:t>
      </w:r>
      <w:r>
        <w:rPr>
          <w:sz w:val="20"/>
          <w:szCs w:val="20"/>
        </w:rPr>
        <w:t xml:space="preserve"> music NFT. In December 2020, the Company acquired Nebula Software Corp. owner of HeyPal</w:t>
      </w:r>
      <w:r>
        <w:rPr>
          <w:sz w:val="20"/>
          <w:szCs w:val="20"/>
          <w:shd w:val="clear" w:color="auto" w:fill="FFFFFF"/>
        </w:rPr>
        <w:t>™</w:t>
      </w:r>
      <w:r>
        <w:rPr>
          <w:sz w:val="20"/>
          <w:szCs w:val="20"/>
        </w:rPr>
        <w:t>. In March 2021, and the Company acquired Rebel Blockchain, I</w:t>
      </w:r>
      <w:r>
        <w:rPr>
          <w:sz w:val="20"/>
          <w:szCs w:val="20"/>
        </w:rPr>
        <w:t xml:space="preserve">nc. the owner Nifter™ Music NFT Marketplace. Nebula incurred $518,000 during 2021 and Rebel Blockchain incurred $119,000 during 2021. This increase of $637,000 was offset by a reduction in Clickstream Corp of $247,000 which incurred $55,000 during 2021 as </w:t>
      </w:r>
      <w:r>
        <w:rPr>
          <w:sz w:val="20"/>
          <w:szCs w:val="20"/>
        </w:rPr>
        <w:t>compared to $302,000 during 2020 as the WinQuick app went live.</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i/>
          <w:iCs/>
          <w:sz w:val="20"/>
          <w:szCs w:val="20"/>
        </w:rPr>
        <w:t>Selling, general and administrative expenses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right="165"/>
        <w:rPr>
          <w:sz w:val="20"/>
          <w:szCs w:val="20"/>
        </w:rPr>
      </w:pPr>
      <w:r>
        <w:rPr>
          <w:sz w:val="20"/>
          <w:szCs w:val="20"/>
        </w:rPr>
        <w:t>During the years ended September 30, 2021 and 2020, we incurred $6,527,000 and $1,697,000 million of selling, general and administrative expens</w:t>
      </w:r>
      <w:r>
        <w:rPr>
          <w:sz w:val="20"/>
          <w:szCs w:val="20"/>
        </w:rPr>
        <w:t xml:space="preserve">es, respectively. An increase of $4,830,000. Stock based compensation and stock based contingent consideration for 2021 was $2,591,398 as compared to $777,000 for 2020. Additional selling, general, and administrative expenses in 2021 were due to increased </w:t>
      </w:r>
      <w:r>
        <w:rPr>
          <w:sz w:val="20"/>
          <w:szCs w:val="20"/>
        </w:rPr>
        <w:t>spending on investor relations campaigns to broaden awareness of the Company, additional spending on sales and marketing, additional spending on consulting costs and increased legal costs primarily associated with regulatory and financing efforts as well a</w:t>
      </w:r>
      <w:r>
        <w:rPr>
          <w:sz w:val="20"/>
          <w:szCs w:val="20"/>
        </w:rPr>
        <w:t>s expenses from the acquisition of Nebula Software Corp. and Rebel Blockchain, Inc.</w:t>
      </w:r>
    </w:p>
    <w:p w:rsidR="00000000" w:rsidRDefault="00B64763">
      <w:pPr>
        <w:pStyle w:val="a3"/>
        <w:spacing w:before="0" w:beforeAutospacing="0" w:after="0" w:afterAutospacing="0"/>
        <w:ind w:right="165"/>
        <w:rPr>
          <w:sz w:val="20"/>
          <w:szCs w:val="20"/>
        </w:rPr>
      </w:pPr>
      <w:r>
        <w:rPr>
          <w:sz w:val="20"/>
          <w:szCs w:val="20"/>
        </w:rPr>
        <w:t> </w:t>
      </w:r>
    </w:p>
    <w:p w:rsidR="00000000" w:rsidRDefault="00B64763">
      <w:pPr>
        <w:pStyle w:val="a3"/>
        <w:spacing w:before="0" w:beforeAutospacing="0" w:after="0" w:afterAutospacing="0"/>
        <w:ind w:right="165"/>
        <w:rPr>
          <w:sz w:val="20"/>
          <w:szCs w:val="20"/>
        </w:rPr>
      </w:pPr>
      <w:r>
        <w:rPr>
          <w:i/>
          <w:iCs/>
          <w:sz w:val="20"/>
          <w:szCs w:val="20"/>
        </w:rPr>
        <w:t>Loss on impairment</w:t>
      </w:r>
    </w:p>
    <w:p w:rsidR="00000000" w:rsidRDefault="00B64763">
      <w:pPr>
        <w:pStyle w:val="a3"/>
        <w:spacing w:before="0" w:beforeAutospacing="0" w:after="0" w:afterAutospacing="0"/>
        <w:ind w:right="165"/>
        <w:rPr>
          <w:sz w:val="20"/>
          <w:szCs w:val="20"/>
        </w:rPr>
      </w:pPr>
      <w:r>
        <w:rPr>
          <w:sz w:val="20"/>
          <w:szCs w:val="20"/>
        </w:rPr>
        <w:t> </w:t>
      </w:r>
    </w:p>
    <w:p w:rsidR="00000000" w:rsidRDefault="00B64763">
      <w:pPr>
        <w:pStyle w:val="a3"/>
        <w:spacing w:before="0" w:beforeAutospacing="0" w:after="0" w:afterAutospacing="0"/>
        <w:ind w:right="165"/>
        <w:rPr>
          <w:sz w:val="20"/>
          <w:szCs w:val="20"/>
        </w:rPr>
      </w:pPr>
      <w:r>
        <w:rPr>
          <w:sz w:val="20"/>
          <w:szCs w:val="20"/>
        </w:rPr>
        <w:t>During the year ended September 30, 2021, the Company recorded an impairment loss of $128,000 related to the Nebula Software acquired intangible asse</w:t>
      </w:r>
      <w:r>
        <w:rPr>
          <w:sz w:val="20"/>
          <w:szCs w:val="20"/>
        </w:rPr>
        <w:t>t. There was no such impairment loss in the year ended September 30, 2020.</w:t>
      </w:r>
    </w:p>
    <w:p w:rsidR="00000000" w:rsidRDefault="00B64763">
      <w:pPr>
        <w:pStyle w:val="a3"/>
        <w:spacing w:before="0" w:beforeAutospacing="0" w:after="0" w:afterAutospacing="0"/>
        <w:ind w:right="165"/>
        <w:rPr>
          <w:sz w:val="20"/>
          <w:szCs w:val="20"/>
        </w:rPr>
      </w:pPr>
      <w:r>
        <w:rPr>
          <w:sz w:val="20"/>
          <w:szCs w:val="20"/>
        </w:rPr>
        <w:t> </w:t>
      </w:r>
    </w:p>
    <w:p w:rsidR="00000000" w:rsidRDefault="00B64763">
      <w:pPr>
        <w:pStyle w:val="a3"/>
        <w:spacing w:before="0" w:beforeAutospacing="0" w:after="0" w:afterAutospacing="0"/>
        <w:rPr>
          <w:sz w:val="20"/>
          <w:szCs w:val="20"/>
        </w:rPr>
      </w:pPr>
      <w:r>
        <w:rPr>
          <w:i/>
          <w:iCs/>
          <w:sz w:val="20"/>
          <w:szCs w:val="20"/>
        </w:rPr>
        <w:t>Amortization of debt discount</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right="165"/>
        <w:rPr>
          <w:sz w:val="20"/>
          <w:szCs w:val="20"/>
        </w:rPr>
      </w:pPr>
      <w:r>
        <w:rPr>
          <w:sz w:val="20"/>
          <w:szCs w:val="20"/>
        </w:rPr>
        <w:t xml:space="preserve">Amortization of debt discount was $375,000 and $165,000 </w:t>
      </w:r>
      <w:r>
        <w:rPr>
          <w:sz w:val="20"/>
          <w:szCs w:val="20"/>
        </w:rPr>
        <w:t>for the years ended September 30, 2021 and 2020, respectively. The increase is due to an increase in non-cash amortization of debt issuance costs associated with convertible debentures the year ended September 30, 2021.</w:t>
      </w:r>
    </w:p>
    <w:p w:rsidR="00000000" w:rsidRDefault="00B64763">
      <w:pPr>
        <w:pStyle w:val="a3"/>
        <w:spacing w:before="0" w:beforeAutospacing="0" w:after="0" w:afterAutospacing="0"/>
        <w:ind w:right="165"/>
        <w:rPr>
          <w:sz w:val="20"/>
          <w:szCs w:val="20"/>
        </w:rPr>
      </w:pPr>
      <w:r>
        <w:rPr>
          <w:sz w:val="20"/>
          <w:szCs w:val="20"/>
        </w:rPr>
        <w:t> </w:t>
      </w:r>
    </w:p>
    <w:p w:rsidR="00000000" w:rsidRDefault="00B64763">
      <w:pPr>
        <w:pStyle w:val="a3"/>
        <w:spacing w:before="0" w:beforeAutospacing="0" w:after="0" w:afterAutospacing="0"/>
        <w:ind w:right="165"/>
        <w:rPr>
          <w:sz w:val="20"/>
          <w:szCs w:val="20"/>
        </w:rPr>
      </w:pPr>
      <w:r>
        <w:rPr>
          <w:i/>
          <w:iCs/>
          <w:sz w:val="20"/>
          <w:szCs w:val="20"/>
        </w:rPr>
        <w:t>Interest Income</w:t>
      </w:r>
    </w:p>
    <w:p w:rsidR="00000000" w:rsidRDefault="00B64763">
      <w:pPr>
        <w:pStyle w:val="a3"/>
        <w:spacing w:before="0" w:beforeAutospacing="0" w:after="0" w:afterAutospacing="0"/>
        <w:ind w:right="165"/>
        <w:rPr>
          <w:sz w:val="20"/>
          <w:szCs w:val="20"/>
        </w:rPr>
      </w:pPr>
      <w:r>
        <w:rPr>
          <w:i/>
          <w:iCs/>
          <w:sz w:val="20"/>
          <w:szCs w:val="20"/>
        </w:rPr>
        <w:t> </w:t>
      </w:r>
    </w:p>
    <w:p w:rsidR="00000000" w:rsidRDefault="00B64763">
      <w:pPr>
        <w:pStyle w:val="a3"/>
        <w:spacing w:before="0" w:beforeAutospacing="0" w:after="0" w:afterAutospacing="0"/>
        <w:ind w:right="165"/>
        <w:rPr>
          <w:sz w:val="20"/>
          <w:szCs w:val="20"/>
        </w:rPr>
      </w:pPr>
      <w:r>
        <w:rPr>
          <w:sz w:val="20"/>
          <w:szCs w:val="20"/>
        </w:rPr>
        <w:t xml:space="preserve">During the year </w:t>
      </w:r>
      <w:r>
        <w:rPr>
          <w:sz w:val="20"/>
          <w:szCs w:val="20"/>
        </w:rPr>
        <w:t>ended September 30, 2021, the Company recorded interest income receivable of $41,000 from the notes receivable – Winners, Inc. There was no such interest income accrued in the year ended September 30, 2020.</w:t>
      </w:r>
    </w:p>
    <w:p w:rsidR="00000000" w:rsidRDefault="00B64763">
      <w:pPr>
        <w:pStyle w:val="a3"/>
        <w:spacing w:before="0" w:beforeAutospacing="0" w:after="0" w:afterAutospacing="0"/>
        <w:ind w:right="165"/>
        <w:rPr>
          <w:sz w:val="20"/>
          <w:szCs w:val="20"/>
        </w:rPr>
      </w:pPr>
      <w:r>
        <w:rPr>
          <w:i/>
          <w:iCs/>
          <w:sz w:val="20"/>
          <w:szCs w:val="20"/>
        </w:rPr>
        <w:t> </w:t>
      </w:r>
    </w:p>
    <w:p w:rsidR="00000000" w:rsidRDefault="00B64763">
      <w:pPr>
        <w:pStyle w:val="a3"/>
        <w:spacing w:before="0" w:beforeAutospacing="0" w:after="0" w:afterAutospacing="0"/>
        <w:rPr>
          <w:sz w:val="20"/>
          <w:szCs w:val="20"/>
        </w:rPr>
      </w:pPr>
      <w:r>
        <w:rPr>
          <w:b/>
          <w:bCs/>
          <w:sz w:val="20"/>
          <w:szCs w:val="20"/>
        </w:rPr>
        <w:t>Liquidity and Capital Resources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right="165"/>
        <w:rPr>
          <w:sz w:val="20"/>
          <w:szCs w:val="20"/>
        </w:rPr>
      </w:pPr>
      <w:r>
        <w:rPr>
          <w:sz w:val="20"/>
          <w:szCs w:val="20"/>
        </w:rPr>
        <w:t>As of Septemb</w:t>
      </w:r>
      <w:r>
        <w:rPr>
          <w:sz w:val="20"/>
          <w:szCs w:val="20"/>
        </w:rPr>
        <w:t>er 30, 2021, we had cash of $422,000. The Company’s current operations have focused on business planning, raising capital, continued research and development and sales and marketing. The Company has not generated any revenue from product sales. The Company</w:t>
      </w:r>
      <w:r>
        <w:rPr>
          <w:sz w:val="20"/>
          <w:szCs w:val="20"/>
        </w:rPr>
        <w:t xml:space="preserve"> has sustained operating losses since inception and expects such losses to continue over the foreseeable future. During the year ended September 30, 2021, the Company raised $1.5 million net of $375,000 original issue discounts through a series of issuance</w:t>
      </w:r>
      <w:r>
        <w:rPr>
          <w:sz w:val="20"/>
          <w:szCs w:val="20"/>
        </w:rPr>
        <w:t xml:space="preserve">s of convertible debentures. During 2021 $125,000 was repaid and $1,750,000 was converted to common stock in our Regulation A offering. We anticipate that cash utilized for selling, general, and administrative expenses will range between $1 and $2 million </w:t>
      </w:r>
      <w:r>
        <w:rPr>
          <w:sz w:val="20"/>
          <w:szCs w:val="20"/>
        </w:rPr>
        <w:t>in the coming quarters, while research and development expenses will continue. The Company is pursuing several alternatives to address this situation, including the raising of additional funding through equity or debt financings. In order to finance existi</w:t>
      </w:r>
      <w:r>
        <w:rPr>
          <w:sz w:val="20"/>
          <w:szCs w:val="20"/>
        </w:rPr>
        <w:t>ng operations and pay current liabilities over the next twelve months, the Company will need to raise an additional $5 million of capital in 2022.</w:t>
      </w:r>
    </w:p>
    <w:p w:rsidR="00000000" w:rsidRDefault="00B64763">
      <w:pPr>
        <w:pStyle w:val="a3"/>
        <w:spacing w:before="0" w:beforeAutospacing="0" w:after="0" w:afterAutospacing="0"/>
        <w:ind w:right="165"/>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601456068"/>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1</w:t>
            </w:r>
            <w:r>
              <w:rPr>
                <w:rFonts w:eastAsia="Times New Roman"/>
                <w:sz w:val="20"/>
                <w:szCs w:val="20"/>
              </w:rPr>
              <w:t>9</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right="165"/>
        <w:rPr>
          <w:sz w:val="20"/>
          <w:szCs w:val="20"/>
        </w:rPr>
      </w:pPr>
      <w:r>
        <w:rPr>
          <w:sz w:val="20"/>
          <w:szCs w:val="20"/>
        </w:rPr>
        <w:t> </w:t>
      </w:r>
    </w:p>
    <w:p w:rsidR="00000000" w:rsidRDefault="00B64763">
      <w:pPr>
        <w:pStyle w:val="a3"/>
        <w:spacing w:before="0" w:beforeAutospacing="0" w:after="0" w:afterAutospacing="0"/>
        <w:ind w:right="165"/>
        <w:rPr>
          <w:sz w:val="20"/>
          <w:szCs w:val="20"/>
        </w:rPr>
      </w:pPr>
      <w:r>
        <w:rPr>
          <w:b/>
          <w:bCs/>
          <w:sz w:val="20"/>
          <w:szCs w:val="20"/>
        </w:rPr>
        <w:t>Application of Critical Accounting Policies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360"/>
        <w:jc w:val="both"/>
        <w:rPr>
          <w:sz w:val="20"/>
          <w:szCs w:val="20"/>
        </w:rPr>
      </w:pPr>
      <w:r>
        <w:rPr>
          <w:sz w:val="20"/>
          <w:szCs w:val="20"/>
        </w:rPr>
        <w:t>We believe that our critical accounting policies are as follows:</w:t>
      </w:r>
    </w:p>
    <w:p w:rsidR="00000000" w:rsidRDefault="00B64763">
      <w:pPr>
        <w:pStyle w:val="a3"/>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6"/>
        <w:gridCol w:w="415"/>
        <w:gridCol w:w="7475"/>
      </w:tblGrid>
      <w:tr w:rsidR="00000000">
        <w:tc>
          <w:tcPr>
            <w:tcW w:w="250" w:type="pct"/>
            <w:hideMark/>
          </w:tcPr>
          <w:p w:rsidR="00000000" w:rsidRDefault="00B64763">
            <w:pPr>
              <w:rPr>
                <w:rFonts w:eastAsia="Times New Roman"/>
                <w:sz w:val="20"/>
                <w:szCs w:val="20"/>
              </w:rPr>
            </w:pPr>
            <w:r>
              <w:rPr>
                <w:rFonts w:eastAsia="Times New Roman"/>
                <w:sz w:val="20"/>
                <w:szCs w:val="20"/>
              </w:rPr>
              <w:t> </w:t>
            </w:r>
          </w:p>
        </w:tc>
        <w:tc>
          <w:tcPr>
            <w:tcW w:w="250" w:type="pct"/>
            <w:hideMark/>
          </w:tcPr>
          <w:p w:rsidR="00000000" w:rsidRDefault="00B64763">
            <w:pPr>
              <w:rPr>
                <w:rFonts w:eastAsia="Times New Roman"/>
                <w:sz w:val="20"/>
                <w:szCs w:val="20"/>
              </w:rPr>
            </w:pPr>
            <w:r>
              <w:rPr>
                <w:rFonts w:eastAsia="Times New Roman"/>
                <w:sz w:val="20"/>
                <w:szCs w:val="20"/>
              </w:rPr>
              <w:t>●</w:t>
            </w:r>
          </w:p>
        </w:tc>
        <w:tc>
          <w:tcPr>
            <w:tcW w:w="4500" w:type="pct"/>
            <w:hideMark/>
          </w:tcPr>
          <w:p w:rsidR="00000000" w:rsidRDefault="00B64763">
            <w:pPr>
              <w:rPr>
                <w:rFonts w:eastAsia="Times New Roman"/>
                <w:sz w:val="20"/>
                <w:szCs w:val="20"/>
              </w:rPr>
            </w:pPr>
            <w:r>
              <w:rPr>
                <w:rFonts w:eastAsia="Times New Roman"/>
                <w:sz w:val="20"/>
                <w:szCs w:val="20"/>
              </w:rPr>
              <w:t>Research and Development Costs;</w:t>
            </w:r>
          </w:p>
        </w:tc>
      </w:tr>
      <w:tr w:rsidR="00000000">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r>
      <w:tr w:rsidR="00000000">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rPr>
                <w:rFonts w:eastAsia="Times New Roman"/>
                <w:sz w:val="20"/>
                <w:szCs w:val="20"/>
              </w:rPr>
            </w:pPr>
            <w:r>
              <w:rPr>
                <w:rFonts w:eastAsia="Times New Roman"/>
                <w:sz w:val="20"/>
                <w:szCs w:val="20"/>
              </w:rPr>
              <w:t>Stock Based Compensation;</w:t>
            </w:r>
          </w:p>
        </w:tc>
      </w:tr>
      <w:tr w:rsidR="00000000">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r>
      <w:tr w:rsidR="00000000">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Fair Value of Financial Instruments</w:t>
            </w:r>
          </w:p>
        </w:tc>
      </w:tr>
      <w:tr w:rsidR="00000000">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Equity Method Investments</w:t>
            </w:r>
          </w:p>
        </w:tc>
      </w:tr>
      <w:tr w:rsidR="00000000">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Asset Acquisitions </w:t>
            </w:r>
          </w:p>
        </w:tc>
      </w:tr>
    </w:tbl>
    <w:p w:rsidR="00000000" w:rsidRDefault="00B64763">
      <w:pPr>
        <w:pStyle w:val="a3"/>
        <w:spacing w:before="0" w:beforeAutospacing="0" w:after="0" w:afterAutospacing="0"/>
        <w:jc w:val="both"/>
        <w:rPr>
          <w:sz w:val="20"/>
          <w:szCs w:val="20"/>
        </w:rPr>
      </w:pPr>
      <w:r>
        <w:rPr>
          <w:b/>
          <w:bCs/>
          <w:sz w:val="20"/>
          <w:szCs w:val="20"/>
        </w:rPr>
        <w:t>  </w:t>
      </w:r>
    </w:p>
    <w:p w:rsidR="00000000" w:rsidRDefault="00B64763">
      <w:pPr>
        <w:pStyle w:val="a3"/>
        <w:spacing w:before="0" w:beforeAutospacing="0" w:after="0" w:afterAutospacing="0"/>
        <w:jc w:val="both"/>
        <w:rPr>
          <w:sz w:val="20"/>
          <w:szCs w:val="20"/>
        </w:rPr>
      </w:pPr>
      <w:r>
        <w:rPr>
          <w:b/>
          <w:bCs/>
          <w:sz w:val="20"/>
          <w:szCs w:val="20"/>
        </w:rPr>
        <w:t>Research</w:t>
      </w:r>
      <w:r>
        <w:rPr>
          <w:b/>
          <w:bCs/>
          <w:spacing w:val="-3"/>
          <w:sz w:val="20"/>
          <w:szCs w:val="20"/>
        </w:rPr>
        <w:t xml:space="preserve"> </w:t>
      </w:r>
      <w:r>
        <w:rPr>
          <w:b/>
          <w:bCs/>
          <w:sz w:val="20"/>
          <w:szCs w:val="20"/>
        </w:rPr>
        <w:t>and</w:t>
      </w:r>
      <w:r>
        <w:rPr>
          <w:b/>
          <w:bCs/>
          <w:spacing w:val="-3"/>
          <w:sz w:val="20"/>
          <w:szCs w:val="20"/>
        </w:rPr>
        <w:t xml:space="preserve"> </w:t>
      </w:r>
      <w:r>
        <w:rPr>
          <w:b/>
          <w:bCs/>
          <w:sz w:val="20"/>
          <w:szCs w:val="20"/>
        </w:rPr>
        <w:t>Development</w:t>
      </w:r>
      <w:r>
        <w:rPr>
          <w:b/>
          <w:bCs/>
          <w:spacing w:val="-2"/>
          <w:sz w:val="20"/>
          <w:szCs w:val="20"/>
        </w:rPr>
        <w:t xml:space="preserve"> </w:t>
      </w:r>
      <w:r>
        <w:rPr>
          <w:b/>
          <w:bCs/>
          <w:sz w:val="20"/>
          <w:szCs w:val="20"/>
        </w:rPr>
        <w:t>Costs</w:t>
      </w:r>
    </w:p>
    <w:p w:rsidR="00000000" w:rsidRDefault="00B64763">
      <w:pPr>
        <w:pStyle w:val="a3"/>
        <w:spacing w:before="0" w:beforeAutospacing="0" w:after="0" w:afterAutospacing="0"/>
        <w:jc w:val="both"/>
        <w:rPr>
          <w:sz w:val="20"/>
          <w:szCs w:val="20"/>
        </w:rPr>
      </w:pPr>
      <w:r>
        <w:rPr>
          <w:b/>
          <w:bCs/>
          <w:sz w:val="20"/>
          <w:szCs w:val="20"/>
        </w:rPr>
        <w:t> </w:t>
      </w:r>
    </w:p>
    <w:p w:rsidR="00000000" w:rsidRDefault="00B64763">
      <w:pPr>
        <w:pStyle w:val="a3"/>
        <w:spacing w:before="0" w:beforeAutospacing="0" w:after="0" w:afterAutospacing="0"/>
        <w:jc w:val="both"/>
        <w:rPr>
          <w:sz w:val="20"/>
          <w:szCs w:val="20"/>
        </w:rPr>
      </w:pPr>
      <w:r>
        <w:rPr>
          <w:sz w:val="20"/>
          <w:szCs w:val="20"/>
        </w:rPr>
        <w:t>Research and development costs consist of expenditures for the research and development</w:t>
      </w:r>
      <w:r>
        <w:rPr>
          <w:spacing w:val="1"/>
          <w:sz w:val="20"/>
          <w:szCs w:val="20"/>
        </w:rPr>
        <w:t xml:space="preserve"> </w:t>
      </w:r>
      <w:r>
        <w:rPr>
          <w:sz w:val="20"/>
          <w:szCs w:val="20"/>
        </w:rPr>
        <w:t xml:space="preserve">of new products and technology. These </w:t>
      </w:r>
      <w:r>
        <w:rPr>
          <w:sz w:val="20"/>
          <w:szCs w:val="20"/>
        </w:rPr>
        <w:t>costs are primarily expenses to vendors contracted</w:t>
      </w:r>
      <w:r>
        <w:rPr>
          <w:spacing w:val="1"/>
          <w:sz w:val="20"/>
          <w:szCs w:val="20"/>
        </w:rPr>
        <w:t xml:space="preserve"> </w:t>
      </w:r>
      <w:r>
        <w:rPr>
          <w:sz w:val="20"/>
          <w:szCs w:val="20"/>
        </w:rPr>
        <w:t>to perform research projects and develop technology for the Company’s mobile gaming</w:t>
      </w:r>
      <w:r>
        <w:rPr>
          <w:spacing w:val="1"/>
          <w:sz w:val="20"/>
          <w:szCs w:val="20"/>
        </w:rPr>
        <w:t xml:space="preserve"> </w:t>
      </w:r>
      <w:r>
        <w:rPr>
          <w:sz w:val="20"/>
          <w:szCs w:val="20"/>
        </w:rPr>
        <w:t>applications.</w:t>
      </w:r>
      <w:r>
        <w:rPr>
          <w:spacing w:val="-1"/>
          <w:sz w:val="20"/>
          <w:szCs w:val="20"/>
        </w:rPr>
        <w:t xml:space="preserve"> </w:t>
      </w:r>
      <w:r>
        <w:rPr>
          <w:sz w:val="20"/>
          <w:szCs w:val="20"/>
        </w:rPr>
        <w:t>Costs</w:t>
      </w:r>
      <w:r>
        <w:rPr>
          <w:spacing w:val="-2"/>
          <w:sz w:val="20"/>
          <w:szCs w:val="20"/>
        </w:rPr>
        <w:t xml:space="preserve"> </w:t>
      </w:r>
      <w:r>
        <w:rPr>
          <w:sz w:val="20"/>
          <w:szCs w:val="20"/>
        </w:rPr>
        <w:t>incurred for</w:t>
      </w:r>
      <w:r>
        <w:rPr>
          <w:spacing w:val="-3"/>
          <w:sz w:val="20"/>
          <w:szCs w:val="20"/>
        </w:rPr>
        <w:t xml:space="preserve"> </w:t>
      </w:r>
      <w:r>
        <w:rPr>
          <w:sz w:val="20"/>
          <w:szCs w:val="20"/>
        </w:rPr>
        <w:t>research</w:t>
      </w:r>
      <w:r>
        <w:rPr>
          <w:spacing w:val="-2"/>
          <w:sz w:val="20"/>
          <w:szCs w:val="20"/>
        </w:rPr>
        <w:t xml:space="preserve"> </w:t>
      </w:r>
      <w:r>
        <w:rPr>
          <w:sz w:val="20"/>
          <w:szCs w:val="20"/>
        </w:rPr>
        <w:t>and development</w:t>
      </w:r>
      <w:r>
        <w:rPr>
          <w:spacing w:val="-1"/>
          <w:sz w:val="20"/>
          <w:szCs w:val="20"/>
        </w:rPr>
        <w:t xml:space="preserve"> </w:t>
      </w:r>
      <w:r>
        <w:rPr>
          <w:sz w:val="20"/>
          <w:szCs w:val="20"/>
        </w:rPr>
        <w:t>are</w:t>
      </w:r>
      <w:r>
        <w:rPr>
          <w:spacing w:val="-2"/>
          <w:sz w:val="20"/>
          <w:szCs w:val="20"/>
        </w:rPr>
        <w:t xml:space="preserve"> </w:t>
      </w:r>
      <w:r>
        <w:rPr>
          <w:sz w:val="20"/>
          <w:szCs w:val="20"/>
        </w:rPr>
        <w:t>expensed as</w:t>
      </w:r>
      <w:r>
        <w:rPr>
          <w:spacing w:val="-2"/>
          <w:sz w:val="20"/>
          <w:szCs w:val="20"/>
        </w:rPr>
        <w:t xml:space="preserve"> </w:t>
      </w:r>
      <w:r>
        <w:rPr>
          <w:sz w:val="20"/>
          <w:szCs w:val="20"/>
        </w:rPr>
        <w:t>incurred.</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Stock-Based</w:t>
      </w:r>
      <w:r>
        <w:rPr>
          <w:b/>
          <w:bCs/>
          <w:spacing w:val="-4"/>
          <w:sz w:val="20"/>
          <w:szCs w:val="20"/>
        </w:rPr>
        <w:t xml:space="preserve"> </w:t>
      </w:r>
      <w:r>
        <w:rPr>
          <w:b/>
          <w:bCs/>
          <w:sz w:val="20"/>
          <w:szCs w:val="20"/>
        </w:rPr>
        <w:t>Compensation</w:t>
      </w:r>
    </w:p>
    <w:p w:rsidR="00000000" w:rsidRDefault="00B64763">
      <w:pPr>
        <w:pStyle w:val="a3"/>
        <w:spacing w:before="0" w:beforeAutospacing="0" w:after="0" w:afterAutospacing="0"/>
        <w:jc w:val="both"/>
        <w:rPr>
          <w:sz w:val="20"/>
          <w:szCs w:val="20"/>
        </w:rPr>
      </w:pPr>
      <w:r>
        <w:rPr>
          <w:b/>
          <w:bCs/>
          <w:sz w:val="20"/>
          <w:szCs w:val="20"/>
        </w:rPr>
        <w:t> </w:t>
      </w:r>
    </w:p>
    <w:p w:rsidR="00000000" w:rsidRDefault="00B64763">
      <w:pPr>
        <w:pStyle w:val="a3"/>
        <w:spacing w:before="0" w:beforeAutospacing="0" w:after="0" w:afterAutospacing="0"/>
        <w:jc w:val="both"/>
        <w:rPr>
          <w:sz w:val="20"/>
          <w:szCs w:val="20"/>
        </w:rPr>
      </w:pPr>
      <w:r>
        <w:rPr>
          <w:sz w:val="20"/>
          <w:szCs w:val="20"/>
        </w:rPr>
        <w:t>We</w:t>
      </w:r>
      <w:r>
        <w:rPr>
          <w:spacing w:val="1"/>
          <w:sz w:val="20"/>
          <w:szCs w:val="20"/>
        </w:rPr>
        <w:t xml:space="preserve"> </w:t>
      </w:r>
      <w:r>
        <w:rPr>
          <w:sz w:val="20"/>
          <w:szCs w:val="20"/>
        </w:rPr>
        <w:t>account</w:t>
      </w:r>
      <w:r>
        <w:rPr>
          <w:spacing w:val="1"/>
          <w:sz w:val="20"/>
          <w:szCs w:val="20"/>
        </w:rPr>
        <w:t xml:space="preserve"> </w:t>
      </w:r>
      <w:r>
        <w:rPr>
          <w:sz w:val="20"/>
          <w:szCs w:val="20"/>
        </w:rPr>
        <w:t>for</w:t>
      </w:r>
      <w:r>
        <w:rPr>
          <w:spacing w:val="1"/>
          <w:sz w:val="20"/>
          <w:szCs w:val="20"/>
        </w:rPr>
        <w:t xml:space="preserve"> </w:t>
      </w:r>
      <w:r>
        <w:rPr>
          <w:sz w:val="20"/>
          <w:szCs w:val="20"/>
        </w:rPr>
        <w:t>our</w:t>
      </w:r>
      <w:r>
        <w:rPr>
          <w:spacing w:val="1"/>
          <w:sz w:val="20"/>
          <w:szCs w:val="20"/>
        </w:rPr>
        <w:t xml:space="preserve"> </w:t>
      </w:r>
      <w:r>
        <w:rPr>
          <w:sz w:val="20"/>
          <w:szCs w:val="20"/>
        </w:rPr>
        <w:t>stock-based</w:t>
      </w:r>
      <w:r>
        <w:rPr>
          <w:spacing w:val="1"/>
          <w:sz w:val="20"/>
          <w:szCs w:val="20"/>
        </w:rPr>
        <w:t xml:space="preserve"> </w:t>
      </w:r>
      <w:r>
        <w:rPr>
          <w:sz w:val="20"/>
          <w:szCs w:val="20"/>
        </w:rPr>
        <w:t>compensation to employees and non-employees</w:t>
      </w:r>
      <w:r>
        <w:rPr>
          <w:spacing w:val="1"/>
          <w:sz w:val="20"/>
          <w:szCs w:val="20"/>
        </w:rPr>
        <w:t xml:space="preserve"> </w:t>
      </w:r>
      <w:r>
        <w:rPr>
          <w:sz w:val="20"/>
          <w:szCs w:val="20"/>
        </w:rPr>
        <w:t>under</w:t>
      </w:r>
      <w:r>
        <w:rPr>
          <w:spacing w:val="1"/>
          <w:sz w:val="20"/>
          <w:szCs w:val="20"/>
        </w:rPr>
        <w:t xml:space="preserve"> </w:t>
      </w:r>
      <w:r>
        <w:rPr>
          <w:sz w:val="20"/>
          <w:szCs w:val="20"/>
        </w:rPr>
        <w:t>ASC</w:t>
      </w:r>
      <w:r>
        <w:rPr>
          <w:spacing w:val="1"/>
          <w:sz w:val="20"/>
          <w:szCs w:val="20"/>
        </w:rPr>
        <w:t xml:space="preserve"> </w:t>
      </w:r>
      <w:r>
        <w:rPr>
          <w:sz w:val="20"/>
          <w:szCs w:val="20"/>
        </w:rPr>
        <w:t>718</w:t>
      </w:r>
      <w:r>
        <w:rPr>
          <w:spacing w:val="1"/>
          <w:sz w:val="20"/>
          <w:szCs w:val="20"/>
        </w:rPr>
        <w:t xml:space="preserve"> </w:t>
      </w:r>
      <w:r>
        <w:rPr>
          <w:i/>
          <w:iCs/>
          <w:sz w:val="20"/>
          <w:szCs w:val="20"/>
        </w:rPr>
        <w:t>“Compensation</w:t>
      </w:r>
      <w:r>
        <w:rPr>
          <w:i/>
          <w:iCs/>
          <w:spacing w:val="1"/>
          <w:sz w:val="20"/>
          <w:szCs w:val="20"/>
        </w:rPr>
        <w:t xml:space="preserve"> </w:t>
      </w:r>
      <w:r>
        <w:rPr>
          <w:i/>
          <w:iCs/>
          <w:sz w:val="20"/>
          <w:szCs w:val="20"/>
        </w:rPr>
        <w:t>–</w:t>
      </w:r>
      <w:r>
        <w:rPr>
          <w:i/>
          <w:iCs/>
          <w:spacing w:val="1"/>
          <w:sz w:val="20"/>
          <w:szCs w:val="20"/>
        </w:rPr>
        <w:t xml:space="preserve"> </w:t>
      </w:r>
      <w:r>
        <w:rPr>
          <w:i/>
          <w:iCs/>
          <w:sz w:val="20"/>
          <w:szCs w:val="20"/>
        </w:rPr>
        <w:t>Stock</w:t>
      </w:r>
      <w:r>
        <w:rPr>
          <w:i/>
          <w:iCs/>
          <w:spacing w:val="1"/>
          <w:sz w:val="20"/>
          <w:szCs w:val="20"/>
        </w:rPr>
        <w:t xml:space="preserve"> </w:t>
      </w:r>
      <w:r>
        <w:rPr>
          <w:i/>
          <w:iCs/>
          <w:sz w:val="20"/>
          <w:szCs w:val="20"/>
        </w:rPr>
        <w:t xml:space="preserve">Compensation” </w:t>
      </w:r>
      <w:r>
        <w:rPr>
          <w:sz w:val="20"/>
          <w:szCs w:val="20"/>
        </w:rPr>
        <w:t>using the fair value-based method. Under this method, compensation cost is</w:t>
      </w:r>
      <w:r>
        <w:rPr>
          <w:spacing w:val="1"/>
          <w:sz w:val="20"/>
          <w:szCs w:val="20"/>
        </w:rPr>
        <w:t xml:space="preserve"> </w:t>
      </w:r>
      <w:r>
        <w:rPr>
          <w:spacing w:val="-1"/>
          <w:sz w:val="20"/>
          <w:szCs w:val="20"/>
        </w:rPr>
        <w:t>measured</w:t>
      </w:r>
      <w:r>
        <w:rPr>
          <w:spacing w:val="-11"/>
          <w:sz w:val="20"/>
          <w:szCs w:val="20"/>
        </w:rPr>
        <w:t xml:space="preserve"> </w:t>
      </w:r>
      <w:r>
        <w:rPr>
          <w:spacing w:val="-1"/>
          <w:sz w:val="20"/>
          <w:szCs w:val="20"/>
        </w:rPr>
        <w:t>at</w:t>
      </w:r>
      <w:r>
        <w:rPr>
          <w:spacing w:val="-15"/>
          <w:sz w:val="20"/>
          <w:szCs w:val="20"/>
        </w:rPr>
        <w:t xml:space="preserve"> </w:t>
      </w:r>
      <w:r>
        <w:rPr>
          <w:spacing w:val="-1"/>
          <w:sz w:val="20"/>
          <w:szCs w:val="20"/>
        </w:rPr>
        <w:t>the</w:t>
      </w:r>
      <w:r>
        <w:rPr>
          <w:spacing w:val="-12"/>
          <w:sz w:val="20"/>
          <w:szCs w:val="20"/>
        </w:rPr>
        <w:t xml:space="preserve"> </w:t>
      </w:r>
      <w:r>
        <w:rPr>
          <w:spacing w:val="-1"/>
          <w:sz w:val="20"/>
          <w:szCs w:val="20"/>
        </w:rPr>
        <w:t>grant</w:t>
      </w:r>
      <w:r>
        <w:rPr>
          <w:spacing w:val="-15"/>
          <w:sz w:val="20"/>
          <w:szCs w:val="20"/>
        </w:rPr>
        <w:t xml:space="preserve"> </w:t>
      </w:r>
      <w:r>
        <w:rPr>
          <w:spacing w:val="-1"/>
          <w:sz w:val="20"/>
          <w:szCs w:val="20"/>
        </w:rPr>
        <w:t>date</w:t>
      </w:r>
      <w:r>
        <w:rPr>
          <w:spacing w:val="-12"/>
          <w:sz w:val="20"/>
          <w:szCs w:val="20"/>
        </w:rPr>
        <w:t xml:space="preserve"> </w:t>
      </w:r>
      <w:r>
        <w:rPr>
          <w:spacing w:val="-1"/>
          <w:sz w:val="20"/>
          <w:szCs w:val="20"/>
        </w:rPr>
        <w:t>based</w:t>
      </w:r>
      <w:r>
        <w:rPr>
          <w:spacing w:val="-14"/>
          <w:sz w:val="20"/>
          <w:szCs w:val="20"/>
        </w:rPr>
        <w:t xml:space="preserve"> </w:t>
      </w:r>
      <w:r>
        <w:rPr>
          <w:spacing w:val="-1"/>
          <w:sz w:val="20"/>
          <w:szCs w:val="20"/>
        </w:rPr>
        <w:t>on</w:t>
      </w:r>
      <w:r>
        <w:rPr>
          <w:spacing w:val="-12"/>
          <w:sz w:val="20"/>
          <w:szCs w:val="20"/>
        </w:rPr>
        <w:t xml:space="preserve"> </w:t>
      </w:r>
      <w:r>
        <w:rPr>
          <w:spacing w:val="-1"/>
          <w:sz w:val="20"/>
          <w:szCs w:val="20"/>
        </w:rPr>
        <w:t>the</w:t>
      </w:r>
      <w:r>
        <w:rPr>
          <w:spacing w:val="-14"/>
          <w:sz w:val="20"/>
          <w:szCs w:val="20"/>
        </w:rPr>
        <w:t xml:space="preserve"> </w:t>
      </w:r>
      <w:r>
        <w:rPr>
          <w:spacing w:val="-1"/>
          <w:sz w:val="20"/>
          <w:szCs w:val="20"/>
        </w:rPr>
        <w:t>v</w:t>
      </w:r>
      <w:r>
        <w:rPr>
          <w:spacing w:val="-1"/>
          <w:sz w:val="20"/>
          <w:szCs w:val="20"/>
        </w:rPr>
        <w:t>alue</w:t>
      </w:r>
      <w:r>
        <w:rPr>
          <w:spacing w:val="-11"/>
          <w:sz w:val="20"/>
          <w:szCs w:val="20"/>
        </w:rPr>
        <w:t xml:space="preserve"> </w:t>
      </w:r>
      <w:r>
        <w:rPr>
          <w:spacing w:val="-1"/>
          <w:sz w:val="20"/>
          <w:szCs w:val="20"/>
        </w:rPr>
        <w:t>of</w:t>
      </w:r>
      <w:r>
        <w:rPr>
          <w:spacing w:val="-13"/>
          <w:sz w:val="20"/>
          <w:szCs w:val="20"/>
        </w:rPr>
        <w:t xml:space="preserve"> </w:t>
      </w:r>
      <w:r>
        <w:rPr>
          <w:spacing w:val="-1"/>
          <w:sz w:val="20"/>
          <w:szCs w:val="20"/>
        </w:rPr>
        <w:t>the</w:t>
      </w:r>
      <w:r>
        <w:rPr>
          <w:spacing w:val="-12"/>
          <w:sz w:val="20"/>
          <w:szCs w:val="20"/>
        </w:rPr>
        <w:t xml:space="preserve"> </w:t>
      </w:r>
      <w:r>
        <w:rPr>
          <w:sz w:val="20"/>
          <w:szCs w:val="20"/>
        </w:rPr>
        <w:t>award</w:t>
      </w:r>
      <w:r>
        <w:rPr>
          <w:spacing w:val="-11"/>
          <w:sz w:val="20"/>
          <w:szCs w:val="20"/>
        </w:rPr>
        <w:t xml:space="preserve"> </w:t>
      </w:r>
      <w:r>
        <w:rPr>
          <w:sz w:val="20"/>
          <w:szCs w:val="20"/>
        </w:rPr>
        <w:t>and</w:t>
      </w:r>
      <w:r>
        <w:rPr>
          <w:spacing w:val="-14"/>
          <w:sz w:val="20"/>
          <w:szCs w:val="20"/>
        </w:rPr>
        <w:t xml:space="preserve"> </w:t>
      </w:r>
      <w:r>
        <w:rPr>
          <w:sz w:val="20"/>
          <w:szCs w:val="20"/>
        </w:rPr>
        <w:t>is</w:t>
      </w:r>
      <w:r>
        <w:rPr>
          <w:spacing w:val="-13"/>
          <w:sz w:val="20"/>
          <w:szCs w:val="20"/>
        </w:rPr>
        <w:t xml:space="preserve"> </w:t>
      </w:r>
      <w:r>
        <w:rPr>
          <w:sz w:val="20"/>
          <w:szCs w:val="20"/>
        </w:rPr>
        <w:t>recognized</w:t>
      </w:r>
      <w:r>
        <w:rPr>
          <w:spacing w:val="-11"/>
          <w:sz w:val="20"/>
          <w:szCs w:val="20"/>
        </w:rPr>
        <w:t xml:space="preserve"> </w:t>
      </w:r>
      <w:r>
        <w:rPr>
          <w:sz w:val="20"/>
          <w:szCs w:val="20"/>
        </w:rPr>
        <w:t>over</w:t>
      </w:r>
      <w:r>
        <w:rPr>
          <w:spacing w:val="-13"/>
          <w:sz w:val="20"/>
          <w:szCs w:val="20"/>
        </w:rPr>
        <w:t xml:space="preserve"> </w:t>
      </w:r>
      <w:r>
        <w:rPr>
          <w:sz w:val="20"/>
          <w:szCs w:val="20"/>
        </w:rPr>
        <w:t>the</w:t>
      </w:r>
      <w:r>
        <w:rPr>
          <w:spacing w:val="-14"/>
          <w:sz w:val="20"/>
          <w:szCs w:val="20"/>
        </w:rPr>
        <w:t xml:space="preserve"> </w:t>
      </w:r>
      <w:r>
        <w:rPr>
          <w:sz w:val="20"/>
          <w:szCs w:val="20"/>
        </w:rPr>
        <w:t>requisite service period, which is usually the vesting period. This guidance establishes standards for the</w:t>
      </w:r>
      <w:r>
        <w:rPr>
          <w:spacing w:val="1"/>
          <w:sz w:val="20"/>
          <w:szCs w:val="20"/>
        </w:rPr>
        <w:t xml:space="preserve"> </w:t>
      </w:r>
      <w:r>
        <w:rPr>
          <w:sz w:val="20"/>
          <w:szCs w:val="20"/>
        </w:rPr>
        <w:t xml:space="preserve">accounting </w:t>
      </w:r>
      <w:r>
        <w:rPr>
          <w:sz w:val="20"/>
          <w:szCs w:val="20"/>
        </w:rPr>
        <w:t>for transactions in which an entity exchanges it equity instruments for goods or</w:t>
      </w:r>
      <w:r>
        <w:rPr>
          <w:spacing w:val="1"/>
          <w:sz w:val="20"/>
          <w:szCs w:val="20"/>
        </w:rPr>
        <w:t xml:space="preserve"> </w:t>
      </w:r>
      <w:r>
        <w:rPr>
          <w:sz w:val="20"/>
          <w:szCs w:val="20"/>
        </w:rPr>
        <w:t>services. It also addresses transactions in which an entity incurs liabilities in exchange for</w:t>
      </w:r>
      <w:r>
        <w:rPr>
          <w:spacing w:val="1"/>
          <w:sz w:val="20"/>
          <w:szCs w:val="20"/>
        </w:rPr>
        <w:t xml:space="preserve"> </w:t>
      </w:r>
      <w:r>
        <w:rPr>
          <w:sz w:val="20"/>
          <w:szCs w:val="20"/>
        </w:rPr>
        <w:t>goods or services that are based on the fair value of the entity’s equity instru</w:t>
      </w:r>
      <w:r>
        <w:rPr>
          <w:sz w:val="20"/>
          <w:szCs w:val="20"/>
        </w:rPr>
        <w:t>ments or that</w:t>
      </w:r>
      <w:r>
        <w:rPr>
          <w:spacing w:val="1"/>
          <w:sz w:val="20"/>
          <w:szCs w:val="20"/>
        </w:rPr>
        <w:t xml:space="preserve"> </w:t>
      </w:r>
      <w:r>
        <w:rPr>
          <w:sz w:val="20"/>
          <w:szCs w:val="20"/>
        </w:rPr>
        <w:t>may</w:t>
      </w:r>
      <w:r>
        <w:rPr>
          <w:spacing w:val="-3"/>
          <w:sz w:val="20"/>
          <w:szCs w:val="20"/>
        </w:rPr>
        <w:t xml:space="preserve"> </w:t>
      </w:r>
      <w:r>
        <w:rPr>
          <w:sz w:val="20"/>
          <w:szCs w:val="20"/>
        </w:rPr>
        <w:t>be settled</w:t>
      </w:r>
      <w:r>
        <w:rPr>
          <w:spacing w:val="1"/>
          <w:sz w:val="20"/>
          <w:szCs w:val="20"/>
        </w:rPr>
        <w:t xml:space="preserve"> </w:t>
      </w:r>
      <w:r>
        <w:rPr>
          <w:sz w:val="20"/>
          <w:szCs w:val="20"/>
        </w:rPr>
        <w:t>by</w:t>
      </w:r>
      <w:r>
        <w:rPr>
          <w:spacing w:val="-1"/>
          <w:sz w:val="20"/>
          <w:szCs w:val="20"/>
        </w:rPr>
        <w:t xml:space="preserve"> </w:t>
      </w:r>
      <w:r>
        <w:rPr>
          <w:sz w:val="20"/>
          <w:szCs w:val="20"/>
        </w:rPr>
        <w:t>the</w:t>
      </w:r>
      <w:r>
        <w:rPr>
          <w:spacing w:val="-1"/>
          <w:sz w:val="20"/>
          <w:szCs w:val="20"/>
        </w:rPr>
        <w:t xml:space="preserve"> </w:t>
      </w:r>
      <w:r>
        <w:rPr>
          <w:sz w:val="20"/>
          <w:szCs w:val="20"/>
        </w:rPr>
        <w:t>issuance of</w:t>
      </w:r>
      <w:r>
        <w:rPr>
          <w:spacing w:val="-1"/>
          <w:sz w:val="20"/>
          <w:szCs w:val="20"/>
        </w:rPr>
        <w:t xml:space="preserve"> </w:t>
      </w:r>
      <w:r>
        <w:rPr>
          <w:sz w:val="20"/>
          <w:szCs w:val="20"/>
        </w:rPr>
        <w:t>those equity</w:t>
      </w:r>
      <w:r>
        <w:rPr>
          <w:spacing w:val="-1"/>
          <w:sz w:val="20"/>
          <w:szCs w:val="20"/>
        </w:rPr>
        <w:t xml:space="preserve"> </w:t>
      </w:r>
      <w:r>
        <w:rPr>
          <w:sz w:val="20"/>
          <w:szCs w:val="20"/>
        </w:rPr>
        <w:t>instruments.</w:t>
      </w:r>
    </w:p>
    <w:p w:rsidR="00000000" w:rsidRDefault="00B64763">
      <w:pPr>
        <w:pStyle w:val="a3"/>
        <w:spacing w:before="0" w:beforeAutospacing="0" w:after="0" w:afterAutospacing="0"/>
        <w:ind w:right="736"/>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Fair Value Measurements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We use fair value measurements to record fair value adjustments to certain assets and liabilities and to determine fair value disclosures. We base our fai</w:t>
      </w:r>
      <w:r>
        <w:rPr>
          <w:sz w:val="20"/>
          <w:szCs w:val="20"/>
        </w:rPr>
        <w:t>r values on the price that would be received to sell an asset or paid to transfer a liability in an orderly transaction between market participants at the measurement date. Additionally, from time to time, we may be required to record certain assets at fai</w:t>
      </w:r>
      <w:r>
        <w:rPr>
          <w:sz w:val="20"/>
          <w:szCs w:val="20"/>
        </w:rPr>
        <w:t>r value on a non-recurring basis, such as certain impaired loans held for investment and securities held to maturity that are other-than-temporarily impaired or goodwill. These non-recurring fair value adjustments typically involve write-downs of individua</w:t>
      </w:r>
      <w:r>
        <w:rPr>
          <w:sz w:val="20"/>
          <w:szCs w:val="20"/>
        </w:rPr>
        <w:t>l assets due to application of lower-of-cost or market accounting or other accounting standards.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We have established and documented a process for determining fair value. We maximize the use of observable inputs and minimize the use of unobservable inputs</w:t>
      </w:r>
      <w:r>
        <w:rPr>
          <w:sz w:val="20"/>
          <w:szCs w:val="20"/>
        </w:rPr>
        <w:t xml:space="preserve"> when developing fair value measurements. Whenever there is no readily available market data, management uses its best estimate and assumptions in determining fair value, but these estimates involve inherent uncertainties and the application of management’</w:t>
      </w:r>
      <w:r>
        <w:rPr>
          <w:sz w:val="20"/>
          <w:szCs w:val="20"/>
        </w:rPr>
        <w:t>s judgment. As a result, if other assumptions had been used, our recorded earnings or disclosures could have been materially different from those reflected in these financial statements. For detailed information on our use of fair value measurements and ou</w:t>
      </w:r>
      <w:r>
        <w:rPr>
          <w:sz w:val="20"/>
          <w:szCs w:val="20"/>
        </w:rPr>
        <w:t>r related valuation methodologies, see Note 2 to the Consolidated Financial Statements of this report.</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1" w:beforeAutospacing="0" w:after="0" w:afterAutospacing="0"/>
        <w:rPr>
          <w:sz w:val="20"/>
          <w:szCs w:val="20"/>
        </w:rPr>
      </w:pPr>
      <w:r>
        <w:rPr>
          <w:b/>
          <w:bCs/>
          <w:sz w:val="20"/>
          <w:szCs w:val="20"/>
        </w:rPr>
        <w:t>Equity Method Investment</w:t>
      </w:r>
    </w:p>
    <w:p w:rsidR="00000000" w:rsidRDefault="00B64763">
      <w:pPr>
        <w:pStyle w:val="a3"/>
        <w:spacing w:before="1" w:beforeAutospacing="0" w:after="0" w:afterAutospacing="0"/>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 equity method is applied to investments in affiliated companies and joint ventures. An affiliated company is an entity w</w:t>
      </w:r>
      <w:r>
        <w:rPr>
          <w:sz w:val="20"/>
          <w:szCs w:val="20"/>
        </w:rPr>
        <w:t>hich is not controlled by the Company but for which the Company is able to exert significant influence over the decisions on financial and operating business policies. If the Company has 20% or more but not more than 50% of the voting rights of another ent</w:t>
      </w:r>
      <w:r>
        <w:rPr>
          <w:sz w:val="20"/>
          <w:szCs w:val="20"/>
        </w:rPr>
        <w:t>ity, the Company is presumed to have significant influence over that entity however, if a company has less than 20% of the voting rights and is able to exert significant influence the equity method should be applied. Under the equity method, the investment</w:t>
      </w:r>
      <w:r>
        <w:rPr>
          <w:sz w:val="20"/>
          <w:szCs w:val="20"/>
        </w:rPr>
        <w:t xml:space="preserve"> in an affiliated company or joint venture is initially recognized at cost and the carrying amount is increased or decreased to recognize the Company’s share of the net income or loss of the affiliated company or joint venture. When the Company’s share of </w:t>
      </w:r>
      <w:r>
        <w:rPr>
          <w:sz w:val="20"/>
          <w:szCs w:val="20"/>
        </w:rPr>
        <w:t>losses of an affiliated company equals or exceeds it interest in the affiliated company or joint venture, the Company discontinues recognizing its share of further losses. All intercompany profits have been eliminated in proportion to interests in affiliat</w:t>
      </w:r>
      <w:r>
        <w:rPr>
          <w:sz w:val="20"/>
          <w:szCs w:val="20"/>
        </w:rPr>
        <w:t>ed companies or joint ventures.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1" w:beforeAutospacing="0" w:after="0" w:afterAutospacing="0"/>
        <w:rPr>
          <w:sz w:val="20"/>
          <w:szCs w:val="20"/>
        </w:rPr>
      </w:pPr>
      <w:r>
        <w:rPr>
          <w:b/>
          <w:bCs/>
          <w:sz w:val="20"/>
          <w:szCs w:val="20"/>
        </w:rPr>
        <w:t>Asset Acquisitions</w:t>
      </w:r>
    </w:p>
    <w:p w:rsidR="00000000" w:rsidRDefault="00B64763">
      <w:pPr>
        <w:pStyle w:val="a3"/>
        <w:spacing w:before="1"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 accounts for acquisitions of legal entities that do not meet the definition of a business under ASC 805 as asset acquisitions. Assets acquired and liabilities assumed are recorded at their </w:t>
      </w:r>
      <w:r>
        <w:rPr>
          <w:sz w:val="20"/>
          <w:szCs w:val="20"/>
        </w:rPr>
        <w:t>relative fair value and no goodwill is recorded. Contingent consideration for assets acquired is measured and is recognized as an expense on the date the contingency occurs.</w:t>
      </w:r>
    </w:p>
    <w:p w:rsidR="00000000" w:rsidRDefault="00B64763">
      <w:pPr>
        <w:pStyle w:val="a3"/>
        <w:spacing w:before="1"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1003780543"/>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2</w:t>
            </w:r>
            <w:r>
              <w:rPr>
                <w:rFonts w:eastAsia="Times New Roman"/>
                <w:sz w:val="20"/>
                <w:szCs w:val="20"/>
              </w:rPr>
              <w:t>0</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shd w:val="clear" w:color="auto" w:fill="FFFFFF"/>
        </w:rPr>
        <w:t>Recently Issued Accounting Standards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hd w:val="clear" w:color="auto" w:fill="FFFFFF"/>
        <w:spacing w:before="0" w:beforeAutospacing="0" w:after="0" w:afterAutospacing="0"/>
        <w:ind w:firstLine="720"/>
        <w:jc w:val="both"/>
        <w:rPr>
          <w:sz w:val="20"/>
          <w:szCs w:val="20"/>
        </w:rPr>
      </w:pPr>
      <w:r>
        <w:rPr>
          <w:sz w:val="20"/>
          <w:szCs w:val="20"/>
          <w:shd w:val="clear" w:color="auto" w:fill="FFFFFF"/>
        </w:rPr>
        <w:t xml:space="preserve">See </w:t>
      </w:r>
      <w:r>
        <w:rPr>
          <w:sz w:val="20"/>
          <w:szCs w:val="20"/>
          <w:shd w:val="clear" w:color="auto" w:fill="FFFFFF"/>
        </w:rPr>
        <w:t>discussion in Note 2 to the consolidated financial statements.</w:t>
      </w:r>
    </w:p>
    <w:p w:rsidR="00000000" w:rsidRDefault="00B64763">
      <w:pPr>
        <w:pStyle w:val="a3"/>
        <w:shd w:val="clear" w:color="auto" w:fill="FFFFFF"/>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Off-Balance Sheet Arrangements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 does not have any off-balance sheet arrangements that have or are reasonably likely to have a current or future effect on the Company’s financial </w:t>
      </w:r>
      <w:r>
        <w:rPr>
          <w:sz w:val="20"/>
          <w:szCs w:val="20"/>
        </w:rPr>
        <w:t>condition, changes in financial condition, revenues or expenses, results of operations, liquidity, capital expenditures or capital resources that is material to investors.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7A.</w:t>
      </w:r>
      <w:r>
        <w:rPr>
          <w:b/>
          <w:bCs/>
          <w:sz w:val="20"/>
          <w:szCs w:val="20"/>
        </w:rPr>
        <w:t xml:space="preserve"> </w:t>
      </w:r>
      <w:r>
        <w:rPr>
          <w:b/>
          <w:bCs/>
          <w:i/>
          <w:iCs/>
          <w:sz w:val="20"/>
          <w:szCs w:val="20"/>
        </w:rPr>
        <w:t>Quantitative and Qualitative Disclosures about Market Risk</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Not applicab</w:t>
      </w:r>
      <w:r>
        <w:rPr>
          <w:sz w:val="20"/>
          <w:szCs w:val="20"/>
        </w:rPr>
        <w:t>le.</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8.</w:t>
      </w:r>
      <w:r>
        <w:rPr>
          <w:b/>
          <w:bCs/>
          <w:sz w:val="20"/>
          <w:szCs w:val="20"/>
        </w:rPr>
        <w:t xml:space="preserve"> </w:t>
      </w:r>
      <w:r>
        <w:rPr>
          <w:b/>
          <w:bCs/>
          <w:i/>
          <w:iCs/>
          <w:sz w:val="20"/>
          <w:szCs w:val="20"/>
        </w:rPr>
        <w:t>Financial Statements and Supplementary Data</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financial statements and supplementary data required by Regulation S-X are included in Item 15. “Exhibits, Financial Statements Schedules” </w:t>
      </w:r>
      <w:r>
        <w:rPr>
          <w:sz w:val="20"/>
          <w:szCs w:val="20"/>
        </w:rPr>
        <w:t>contained in Part IV, Item 15 of this Annual Report.</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9.</w:t>
      </w:r>
      <w:r>
        <w:rPr>
          <w:b/>
          <w:bCs/>
          <w:sz w:val="20"/>
          <w:szCs w:val="20"/>
        </w:rPr>
        <w:t xml:space="preserve"> </w:t>
      </w:r>
      <w:r>
        <w:rPr>
          <w:b/>
          <w:bCs/>
          <w:i/>
          <w:iCs/>
          <w:sz w:val="20"/>
          <w:szCs w:val="20"/>
        </w:rPr>
        <w:t>Changes in and Disagreements with Accountants on Accounting and Financial Disclosure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Effective November 8, 2021, Weinberg &amp; Company, P.A. (“Weinberg”) resigned as the Company’s independent Re</w:t>
      </w:r>
      <w:r>
        <w:rPr>
          <w:sz w:val="20"/>
          <w:szCs w:val="20"/>
        </w:rPr>
        <w:t>gistered Public Accounting Firm. During the Company’s fiscal years ended September 30, 2020 and 2019, and through November 8, 2021: (i) there were no disagreements between the Company and Weinberg on any matter of accounting principles or practices, financ</w:t>
      </w:r>
      <w:r>
        <w:rPr>
          <w:sz w:val="20"/>
          <w:szCs w:val="20"/>
        </w:rPr>
        <w:t>ial statement disclosure, or auditing scope or procedure, which disagreements, if not resolved to Weinberg’s satisfaction, would have caused it to make reference to the subject matter of the disagreements in connection with any reports on the financial sta</w:t>
      </w:r>
      <w:r>
        <w:rPr>
          <w:sz w:val="20"/>
          <w:szCs w:val="20"/>
        </w:rPr>
        <w:t xml:space="preserve">tements for such years; and (ii) there were no reportable events as defined in Item 304(a)(1)(v) of Regulation S-K. Effective November 11, 2021, the Company’s Board of Directors approved the appointment of Salberg &amp; Company, P.A. to serve as the Company’s </w:t>
      </w:r>
      <w:r>
        <w:rPr>
          <w:sz w:val="20"/>
          <w:szCs w:val="20"/>
        </w:rPr>
        <w:t>independent registered accounting firm for the fiscal year ended September 30, 2021.</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9A.</w:t>
      </w:r>
      <w:r>
        <w:rPr>
          <w:b/>
          <w:bCs/>
          <w:sz w:val="20"/>
          <w:szCs w:val="20"/>
        </w:rPr>
        <w:t xml:space="preserve"> </w:t>
      </w:r>
      <w:r>
        <w:rPr>
          <w:b/>
          <w:bCs/>
          <w:i/>
          <w:iCs/>
          <w:sz w:val="20"/>
          <w:szCs w:val="20"/>
        </w:rPr>
        <w:t>Controls and Procedures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i/>
          <w:iCs/>
          <w:sz w:val="20"/>
          <w:szCs w:val="20"/>
        </w:rPr>
        <w:t>Evaluation of Disclosure Controls and Procedures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Under the supervision and </w:t>
      </w:r>
      <w:r>
        <w:rPr>
          <w:sz w:val="20"/>
          <w:szCs w:val="20"/>
        </w:rPr>
        <w:t>with the participation of our management, including our Chief Financial Officer and Chief Executive Officer, we evaluated the effectiveness of the design and operation of our disclosure controls and procedures (as defined in Rules 13a-15(e) and 15d-15(e) u</w:t>
      </w:r>
      <w:r>
        <w:rPr>
          <w:sz w:val="20"/>
          <w:szCs w:val="20"/>
        </w:rPr>
        <w:t>nder the Securities Exchange Act of 1934 (Exchange Act)) as of December 31, 2020. Based upon that evaluation, our Chief Financial Officer and Chief Executive Officer concluded that as of December 31, 2021, our disclosure controls and procedures were not ef</w:t>
      </w:r>
      <w:r>
        <w:rPr>
          <w:sz w:val="20"/>
          <w:szCs w:val="20"/>
        </w:rPr>
        <w:t>fective due to material weaknesses in our internal controls over financial reporting as discussed below.</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i/>
          <w:iCs/>
          <w:sz w:val="20"/>
          <w:szCs w:val="20"/>
        </w:rPr>
        <w:t>Management’s Annual Report on Internal Control over Financial Reporting</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Our management is responsible for establishing and maintaining adequate int</w:t>
      </w:r>
      <w:r>
        <w:rPr>
          <w:sz w:val="20"/>
          <w:szCs w:val="20"/>
        </w:rPr>
        <w:t>ernal control over financial reporting. Internal control over financial reporting is defined in Rule 13a-15(f) or 15d-15(f) promulgated under the Securities Exchange Act of 1934 as a process designed by, or under the supervision of, the company’s principal</w:t>
      </w:r>
      <w:r>
        <w:rPr>
          <w:sz w:val="20"/>
          <w:szCs w:val="20"/>
        </w:rPr>
        <w:t xml:space="preserve"> executive officers and effected by the company’s board of directors, management and other personnel, to provide reasonable assurance regarding the reliability of financial reporting and the preparation of financial statements for external purposes in acco</w:t>
      </w:r>
      <w:r>
        <w:rPr>
          <w:sz w:val="20"/>
          <w:szCs w:val="20"/>
        </w:rPr>
        <w:t>rdance with GAAP and includes those policies and procedures that:</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978415002"/>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2</w:t>
            </w:r>
            <w:r>
              <w:rPr>
                <w:rFonts w:eastAsia="Times New Roman"/>
                <w:sz w:val="20"/>
                <w:szCs w:val="20"/>
              </w:rPr>
              <w:t>1</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vAlign w:val="center"/>
            <w:hideMark/>
          </w:tcPr>
          <w:p w:rsidR="00000000" w:rsidRDefault="00B64763">
            <w:pPr>
              <w:jc w:val="both"/>
              <w:rPr>
                <w:rFonts w:eastAsia="Times New Roman"/>
                <w:sz w:val="20"/>
                <w:szCs w:val="20"/>
              </w:rPr>
            </w:pPr>
            <w:r>
              <w:rPr>
                <w:rFonts w:eastAsia="Times New Roman"/>
                <w:sz w:val="20"/>
                <w:szCs w:val="20"/>
              </w:rPr>
              <w:t> </w:t>
            </w:r>
          </w:p>
        </w:tc>
        <w:tc>
          <w:tcPr>
            <w:tcW w:w="360" w:type="dxa"/>
            <w:hideMark/>
          </w:tcPr>
          <w:p w:rsidR="00000000" w:rsidRDefault="00B64763">
            <w:pPr>
              <w:jc w:val="both"/>
              <w:rPr>
                <w:rFonts w:eastAsia="Times New Roman"/>
                <w:sz w:val="20"/>
                <w:szCs w:val="20"/>
              </w:rPr>
            </w:pPr>
            <w:r>
              <w:rPr>
                <w:rFonts w:eastAsia="Times New Roman"/>
                <w:sz w:val="20"/>
                <w:szCs w:val="20"/>
              </w:rPr>
              <w:t>●</w:t>
            </w:r>
          </w:p>
        </w:tc>
        <w:tc>
          <w:tcPr>
            <w:tcW w:w="0" w:type="auto"/>
            <w:vAlign w:val="center"/>
            <w:hideMark/>
          </w:tcPr>
          <w:p w:rsidR="00000000" w:rsidRDefault="00B64763">
            <w:pPr>
              <w:jc w:val="both"/>
              <w:rPr>
                <w:rFonts w:eastAsia="Times New Roman"/>
                <w:sz w:val="20"/>
                <w:szCs w:val="20"/>
              </w:rPr>
            </w:pPr>
            <w:r>
              <w:rPr>
                <w:rFonts w:eastAsia="Times New Roman"/>
                <w:sz w:val="20"/>
                <w:szCs w:val="20"/>
              </w:rPr>
              <w:t>Pertain to the maintenance of records that in reasonable detail accurately and fairly reflect the transactions and dispositions of the assets of the company;</w:t>
            </w:r>
          </w:p>
        </w:tc>
      </w:tr>
    </w:tbl>
    <w:p w:rsidR="00000000" w:rsidRDefault="00B64763">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tc>
          <w:tcPr>
            <w:tcW w:w="720" w:type="dxa"/>
            <w:vAlign w:val="center"/>
            <w:hideMark/>
          </w:tcPr>
          <w:p w:rsidR="00000000" w:rsidRDefault="00B64763">
            <w:pPr>
              <w:jc w:val="both"/>
              <w:rPr>
                <w:rFonts w:eastAsia="Times New Roman"/>
                <w:sz w:val="20"/>
                <w:szCs w:val="20"/>
              </w:rPr>
            </w:pPr>
            <w:r>
              <w:rPr>
                <w:rFonts w:eastAsia="Times New Roman"/>
                <w:sz w:val="20"/>
                <w:szCs w:val="20"/>
              </w:rPr>
              <w:t> </w:t>
            </w:r>
          </w:p>
        </w:tc>
        <w:tc>
          <w:tcPr>
            <w:tcW w:w="360" w:type="dxa"/>
            <w:hideMark/>
          </w:tcPr>
          <w:p w:rsidR="00000000" w:rsidRDefault="00B64763">
            <w:pPr>
              <w:jc w:val="both"/>
              <w:rPr>
                <w:rFonts w:eastAsia="Times New Roman"/>
                <w:sz w:val="20"/>
                <w:szCs w:val="20"/>
              </w:rPr>
            </w:pPr>
            <w:r>
              <w:rPr>
                <w:rFonts w:eastAsia="Times New Roman"/>
                <w:sz w:val="20"/>
                <w:szCs w:val="20"/>
              </w:rPr>
              <w:t>●</w:t>
            </w:r>
          </w:p>
        </w:tc>
        <w:tc>
          <w:tcPr>
            <w:tcW w:w="0" w:type="auto"/>
            <w:vAlign w:val="center"/>
            <w:hideMark/>
          </w:tcPr>
          <w:p w:rsidR="00000000" w:rsidRDefault="00B64763">
            <w:pPr>
              <w:jc w:val="both"/>
              <w:rPr>
                <w:rFonts w:eastAsia="Times New Roman"/>
                <w:sz w:val="20"/>
                <w:szCs w:val="20"/>
              </w:rPr>
            </w:pPr>
            <w:r>
              <w:rPr>
                <w:rFonts w:eastAsia="Times New Roman"/>
                <w:sz w:val="20"/>
                <w:szCs w:val="20"/>
              </w:rPr>
              <w:t>Provide reasonable assurance that transactions are recorded as necessary to permit preparat</w:t>
            </w:r>
            <w:r>
              <w:rPr>
                <w:rFonts w:eastAsia="Times New Roman"/>
                <w:sz w:val="20"/>
                <w:szCs w:val="20"/>
              </w:rPr>
              <w:t>ion of financial statements in accordance with accounting principles generally accepted in the United States of America and that receipts and expenditures of the company are being made only in accordance with authorizations of management and directors of t</w:t>
            </w:r>
            <w:r>
              <w:rPr>
                <w:rFonts w:eastAsia="Times New Roman"/>
                <w:sz w:val="20"/>
                <w:szCs w:val="20"/>
              </w:rPr>
              <w:t>he company; and</w:t>
            </w:r>
          </w:p>
        </w:tc>
      </w:tr>
      <w:tr w:rsidR="00000000">
        <w:tc>
          <w:tcPr>
            <w:tcW w:w="0" w:type="auto"/>
            <w:vAlign w:val="center"/>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vAlign w:val="center"/>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vAlign w:val="center"/>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vAlign w:val="center"/>
            <w:hideMark/>
          </w:tcPr>
          <w:p w:rsidR="00000000" w:rsidRDefault="00B64763">
            <w:pPr>
              <w:jc w:val="both"/>
              <w:rPr>
                <w:rFonts w:eastAsia="Times New Roman"/>
                <w:sz w:val="20"/>
                <w:szCs w:val="20"/>
              </w:rPr>
            </w:pPr>
            <w:r>
              <w:rPr>
                <w:rFonts w:eastAsia="Times New Roman"/>
                <w:sz w:val="20"/>
                <w:szCs w:val="20"/>
              </w:rPr>
              <w:t>Provide reasonable assurance regarding prevention or timely detection of unauthorized acquisition, use or disposition of the company’s assets that could have a material effect on the financial statements.</w:t>
            </w:r>
          </w:p>
        </w:tc>
      </w:tr>
    </w:tbl>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Because of its inherent limitations, internal c</w:t>
      </w:r>
      <w:r>
        <w:rPr>
          <w:sz w:val="20"/>
          <w:szCs w:val="20"/>
        </w:rPr>
        <w:t>ontrol over financial reporting may not prevent or detect misstatements. Projections of any evaluation of effectiveness to future periods are subject to the risk that controls may become inadequate because of changes in conditions, or that the degree of co</w:t>
      </w:r>
      <w:r>
        <w:rPr>
          <w:sz w:val="20"/>
          <w:szCs w:val="20"/>
        </w:rPr>
        <w:t>mpliance with the policies or procedures may deteriorate. All internal control systems, no matter how well designed, have inherent limitations. Therefore, even those systems determined to be effective can provide only reasonable assurance with respect to f</w:t>
      </w:r>
      <w:r>
        <w:rPr>
          <w:sz w:val="20"/>
          <w:szCs w:val="20"/>
        </w:rPr>
        <w:t xml:space="preserve">inancial statement preparation and presentation. Because of the inherent limitations of internal control, there is a risk that material misstatements may not be prevented or detected on a timely basis by internal control over financial reporting. However, </w:t>
      </w:r>
      <w:r>
        <w:rPr>
          <w:sz w:val="20"/>
          <w:szCs w:val="20"/>
        </w:rPr>
        <w:t>these inherent limitations are known features of the financial reporting process. Therefore, it is possible to design into the process safeguards to reduce, though not eliminate, this risk.</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As of September 30, 2021, management assessed the effectiveness </w:t>
      </w:r>
      <w:r>
        <w:rPr>
          <w:sz w:val="20"/>
          <w:szCs w:val="20"/>
        </w:rPr>
        <w:t>of our internal control over financial reporting and based on that assessment, we identified material weaknesses in internal controls over financial reporting as of September 30, 2021 as further described below.</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A material weakness is a deficiency, or a </w:t>
      </w:r>
      <w:r>
        <w:rPr>
          <w:sz w:val="20"/>
          <w:szCs w:val="20"/>
        </w:rPr>
        <w:t>combination of deficiencies, in internal control over financial reporting, such that there is a reasonable possibility that a material misstatement of the Company’s annual or interim financial statements will not be prevented or detected on a timely basis.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Management did not properly analyze expenses and cash disbursements before and after year-end to determine the proper cutoff as to prepaid assets and accrued liabilities.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We have insufficient staffing for the preparation and review procedures of the C</w:t>
      </w:r>
      <w:r>
        <w:rPr>
          <w:sz w:val="20"/>
          <w:szCs w:val="20"/>
        </w:rPr>
        <w:t xml:space="preserve">ompany’s financial statements and required SEC filings. We have a lack of technical skills in certain US GAAP matters which analyses had to be outsourced. During the year ended September 30, 2021, we had limited personnel that performed nearly all aspects </w:t>
      </w:r>
      <w:r>
        <w:rPr>
          <w:sz w:val="20"/>
          <w:szCs w:val="20"/>
        </w:rPr>
        <w:t>of our financial reporting process, including, but not limited to, access to the underlying accounting records and systems, the ability to post and record journal entries and responsibility for the preparation of the financial statements.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i/>
          <w:iCs/>
          <w:sz w:val="20"/>
          <w:szCs w:val="20"/>
        </w:rPr>
        <w:t>Changes in Inte</w:t>
      </w:r>
      <w:r>
        <w:rPr>
          <w:i/>
          <w:iCs/>
          <w:sz w:val="20"/>
          <w:szCs w:val="20"/>
        </w:rPr>
        <w:t>rnal Control over Financial Reporting</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shd w:val="clear" w:color="auto" w:fill="FFFFFF"/>
        </w:rPr>
        <w:t xml:space="preserve">There were no changes in our internal control over financial reporting that occurred during the year ended </w:t>
      </w:r>
      <w:r>
        <w:rPr>
          <w:sz w:val="20"/>
          <w:szCs w:val="20"/>
        </w:rPr>
        <w:t xml:space="preserve">September 30, 2021 </w:t>
      </w:r>
      <w:r>
        <w:rPr>
          <w:sz w:val="20"/>
          <w:szCs w:val="20"/>
          <w:shd w:val="clear" w:color="auto" w:fill="FFFFFF"/>
        </w:rPr>
        <w:t>that has materially affected, or is reasonably likely to materially affect, our internal c</w:t>
      </w:r>
      <w:r>
        <w:rPr>
          <w:sz w:val="20"/>
          <w:szCs w:val="20"/>
          <w:shd w:val="clear" w:color="auto" w:fill="FFFFFF"/>
        </w:rPr>
        <w:t>ontrol over financial reporting.</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This annual report does not include an attestation report of the Company’s independent registered public accounting firm regarding internal control over financial reporting. Management’s report was not subject to attestat</w:t>
      </w:r>
      <w:r>
        <w:rPr>
          <w:sz w:val="20"/>
          <w:szCs w:val="20"/>
        </w:rPr>
        <w:t>ion by the Company’s independent registered accounting firm pursuant to rules of the Securities and Exchange Commission that permit the Company to provide only management’s report in this annual report.</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9B.</w:t>
      </w:r>
      <w:r>
        <w:rPr>
          <w:b/>
          <w:bCs/>
          <w:sz w:val="20"/>
          <w:szCs w:val="20"/>
        </w:rPr>
        <w:t xml:space="preserve"> </w:t>
      </w:r>
      <w:r>
        <w:rPr>
          <w:b/>
          <w:bCs/>
          <w:i/>
          <w:iCs/>
          <w:sz w:val="20"/>
          <w:szCs w:val="20"/>
        </w:rPr>
        <w:t>Other Information</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None.</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216673333"/>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2</w:t>
            </w:r>
            <w:r>
              <w:rPr>
                <w:rFonts w:eastAsia="Times New Roman"/>
                <w:sz w:val="20"/>
                <w:szCs w:val="20"/>
              </w:rPr>
              <w:t>2</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sz w:val="20"/>
          <w:szCs w:val="20"/>
        </w:rPr>
        <w:t>Part III</w:t>
      </w:r>
    </w:p>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10.</w:t>
      </w:r>
      <w:r>
        <w:rPr>
          <w:b/>
          <w:bCs/>
          <w:sz w:val="20"/>
          <w:szCs w:val="20"/>
        </w:rPr>
        <w:t xml:space="preserve"> </w:t>
      </w:r>
      <w:r>
        <w:rPr>
          <w:b/>
          <w:bCs/>
          <w:i/>
          <w:iCs/>
          <w:sz w:val="20"/>
          <w:szCs w:val="20"/>
        </w:rPr>
        <w:t>Directors, Executive Officers and Corporate Governance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Information about our directors and executive officers is set forth in the following table. The address of our directors and executive officers is our address. We do not have any </w:t>
      </w:r>
      <w:r>
        <w:rPr>
          <w:sz w:val="20"/>
          <w:szCs w:val="20"/>
        </w:rPr>
        <w:t>employees, other than our directors and executive officers.</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326"/>
        <w:gridCol w:w="415"/>
        <w:gridCol w:w="83"/>
        <w:gridCol w:w="831"/>
        <w:gridCol w:w="83"/>
        <w:gridCol w:w="415"/>
        <w:gridCol w:w="4153"/>
      </w:tblGrid>
      <w:tr w:rsidR="00000000">
        <w:tc>
          <w:tcPr>
            <w:tcW w:w="0" w:type="auto"/>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NAME</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AGE</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POSITION</w:t>
            </w:r>
          </w:p>
        </w:tc>
      </w:tr>
      <w:tr w:rsidR="00000000">
        <w:tc>
          <w:tcPr>
            <w:tcW w:w="1400" w:type="pct"/>
            <w:shd w:val="clear" w:color="auto" w:fill="CCEEFF"/>
            <w:vAlign w:val="bottom"/>
            <w:hideMark/>
          </w:tcPr>
          <w:p w:rsidR="00000000" w:rsidRDefault="00B64763">
            <w:pPr>
              <w:rPr>
                <w:rFonts w:eastAsia="Times New Roman"/>
                <w:sz w:val="20"/>
                <w:szCs w:val="20"/>
              </w:rPr>
            </w:pPr>
            <w:r>
              <w:rPr>
                <w:rFonts w:eastAsia="Times New Roman"/>
                <w:sz w:val="20"/>
                <w:szCs w:val="20"/>
              </w:rPr>
              <w:t>Frank Magliochetti</w:t>
            </w:r>
          </w:p>
        </w:tc>
        <w:tc>
          <w:tcPr>
            <w:tcW w:w="2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jc w:val="cente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B64763">
            <w:pPr>
              <w:jc w:val="center"/>
              <w:rPr>
                <w:rFonts w:eastAsia="Times New Roman"/>
                <w:sz w:val="20"/>
                <w:szCs w:val="20"/>
              </w:rPr>
            </w:pPr>
            <w:r>
              <w:rPr>
                <w:rFonts w:eastAsia="Times New Roman"/>
                <w:sz w:val="20"/>
                <w:szCs w:val="20"/>
              </w:rPr>
              <w:t>63</w:t>
            </w:r>
          </w:p>
        </w:tc>
        <w:tc>
          <w:tcPr>
            <w:tcW w:w="50" w:type="pct"/>
            <w:shd w:val="clear" w:color="auto" w:fill="CCEEFF"/>
            <w:vAlign w:val="bottom"/>
            <w:hideMark/>
          </w:tcPr>
          <w:p w:rsidR="00000000" w:rsidRDefault="00B64763">
            <w:pPr>
              <w:jc w:val="cente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2500" w:type="pct"/>
            <w:shd w:val="clear" w:color="auto" w:fill="CCEEFF"/>
            <w:vAlign w:val="bottom"/>
            <w:hideMark/>
          </w:tcPr>
          <w:p w:rsidR="00000000" w:rsidRDefault="00B64763">
            <w:pPr>
              <w:rPr>
                <w:rFonts w:eastAsia="Times New Roman"/>
                <w:sz w:val="20"/>
                <w:szCs w:val="20"/>
              </w:rPr>
            </w:pPr>
            <w:r>
              <w:rPr>
                <w:rFonts w:eastAsia="Times New Roman"/>
                <w:sz w:val="20"/>
                <w:szCs w:val="20"/>
              </w:rPr>
              <w:t>Chairman and Chief Executive Officer</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Michael Handelman</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62</w:t>
            </w:r>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Secretary and Chief Financial Officer</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Thomas Terwilliger</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center"/>
              <w:rPr>
                <w:rFonts w:eastAsia="Times New Roman"/>
                <w:sz w:val="20"/>
                <w:szCs w:val="20"/>
              </w:rPr>
            </w:pPr>
            <w:r>
              <w:rPr>
                <w:rFonts w:eastAsia="Times New Roman"/>
                <w:sz w:val="20"/>
                <w:szCs w:val="20"/>
              </w:rPr>
              <w:t>76</w:t>
            </w:r>
          </w:p>
        </w:tc>
        <w:tc>
          <w:tcPr>
            <w:tcW w:w="0" w:type="auto"/>
            <w:shd w:val="clear" w:color="auto" w:fill="CCEEFF"/>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Controller and Director</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Michael O’Hara</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64</w:t>
            </w:r>
          </w:p>
        </w:tc>
        <w:tc>
          <w:tcPr>
            <w:tcW w:w="0" w:type="auto"/>
            <w:shd w:val="clear" w:color="auto" w:fill="FFFFFF"/>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xml:space="preserve">Director </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Our stockholders elect </w:t>
      </w:r>
      <w:r>
        <w:rPr>
          <w:sz w:val="20"/>
          <w:szCs w:val="20"/>
        </w:rPr>
        <w:t>our directors. Our directors serve terms of one year and are generally elected at each annual stockholder meeting; provided, that you have no assurance we will hold a stockholders’ meeting annually. Each director will remain in office until his successor i</w:t>
      </w:r>
      <w:r>
        <w:rPr>
          <w:sz w:val="20"/>
          <w:szCs w:val="20"/>
        </w:rPr>
        <w:t>s elected and qualified, or his/her earlier resignation. We believe that Mr. O’Hara will be deemed an independent director using the definition of independence contained in the NASDAQ listing rules. Our executive officers are elected by the board of direct</w:t>
      </w:r>
      <w:r>
        <w:rPr>
          <w:sz w:val="20"/>
          <w:szCs w:val="20"/>
        </w:rPr>
        <w:t xml:space="preserve">ors and their terms of office are at the discretion of the board of directors, subject to terms and conditions of their respective employment agreements, if any. We have the authority under Nevada law and our bylaws to indemnify our directors and officers </w:t>
      </w:r>
      <w:r>
        <w:rPr>
          <w:sz w:val="20"/>
          <w:szCs w:val="20"/>
        </w:rPr>
        <w:t>against certain liabilities. We have been informed by the U.S. Securities and Exchange Commission that indemnification against violations of federal securities law is against public policy and therefore unenforceable.</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biographies of our officers and </w:t>
      </w:r>
      <w:r>
        <w:rPr>
          <w:sz w:val="20"/>
          <w:szCs w:val="20"/>
        </w:rPr>
        <w:t>directors are as follows: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u w:val="single"/>
        </w:rPr>
        <w:t xml:space="preserve">Frank Magliochetti </w:t>
      </w:r>
      <w:r>
        <w:rPr>
          <w:sz w:val="20"/>
          <w:szCs w:val="20"/>
        </w:rPr>
        <w:t>- Chairman of the Board and Chief Executive Officer, obtained a B.S. in Pharmacy from Northeastern University and entered the Masters of Toxicology program where he worked on the effects of Valium and its meta</w:t>
      </w:r>
      <w:r>
        <w:rPr>
          <w:sz w:val="20"/>
          <w:szCs w:val="20"/>
        </w:rPr>
        <w:t xml:space="preserve">bolism while taking Tagamet for the condition of anxiety induced ulcers. Frank later received his MBA from The Sawyer School of Business at Suffolk University specializing in corporate finance, completed the Advanced Management Program at Harvard Business </w:t>
      </w:r>
      <w:r>
        <w:rPr>
          <w:sz w:val="20"/>
          <w:szCs w:val="20"/>
        </w:rPr>
        <w:t>School and the General Management Program at Stanford Business School. Frank is finishing his PhD dissertation defense in Divinity from Northwestern Seminary. Since August 2021, he has served as CEO and Director of Emergent Health Corporation, a public com</w:t>
      </w:r>
      <w:r>
        <w:rPr>
          <w:sz w:val="20"/>
          <w:szCs w:val="20"/>
        </w:rPr>
        <w:t xml:space="preserve">pany engaged in </w:t>
      </w:r>
      <w:r>
        <w:rPr>
          <w:color w:val="444444"/>
          <w:sz w:val="20"/>
          <w:szCs w:val="20"/>
          <w:shd w:val="clear" w:color="auto" w:fill="FFFFFF"/>
        </w:rPr>
        <w:t xml:space="preserve">the discovery, development and marketing of Regenerative Medicine products. </w:t>
      </w:r>
      <w:r>
        <w:rPr>
          <w:sz w:val="20"/>
          <w:szCs w:val="20"/>
        </w:rPr>
        <w:t>Since August 2020, he has served as a director of Winners Inc., a public company engaged in handicapping sports events. From June 2019 to the present, Frank has bee</w:t>
      </w:r>
      <w:r>
        <w:rPr>
          <w:sz w:val="20"/>
          <w:szCs w:val="20"/>
        </w:rPr>
        <w:t>n Chairman and CEO of Designer Genomics International, Inc., a biotech company. From January 2019 to the present, Frank has been Chairman of Grace Health Technology Inc., a company offering enterprise solutions for the laboratory. From 2002 to the present,</w:t>
      </w:r>
      <w:r>
        <w:rPr>
          <w:sz w:val="20"/>
          <w:szCs w:val="20"/>
        </w:rPr>
        <w:t xml:space="preserve"> Frank has been the managing partner of Parcae Capital Corp, which provides advice on financial restructuring and interim management. From 2000 to the present, Frank has been Chairman of Rehab Medical Holdings, an orthopedic medical device company.</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u w:val="single"/>
          <w:shd w:val="clear" w:color="auto" w:fill="FFFFFF"/>
        </w:rPr>
        <w:t>Micha</w:t>
      </w:r>
      <w:r>
        <w:rPr>
          <w:sz w:val="20"/>
          <w:szCs w:val="20"/>
          <w:u w:val="single"/>
          <w:shd w:val="clear" w:color="auto" w:fill="FFFFFF"/>
        </w:rPr>
        <w:t>el J. O’Hara</w:t>
      </w:r>
      <w:r>
        <w:rPr>
          <w:sz w:val="20"/>
          <w:szCs w:val="20"/>
          <w:shd w:val="clear" w:color="auto" w:fill="FFFFFF"/>
        </w:rPr>
        <w:t xml:space="preserve"> - Director, has been involved in the field of technology since 1978 with over 30 years of industry experience managing organizations small and large. Michael worked at Lockheed Martin from 2002 through 2014 serving as Systems Engineering Direc</w:t>
      </w:r>
      <w:r>
        <w:rPr>
          <w:sz w:val="20"/>
          <w:szCs w:val="20"/>
          <w:shd w:val="clear" w:color="auto" w:fill="FFFFFF"/>
        </w:rPr>
        <w:t xml:space="preserve">tor for two major national defense satellite programs and prior to that as Program Director for a low earth orbit weather satellite system which supports our military and civilian weather predictions. Prior to Lockheed, Michael worked with tech start-ups, </w:t>
      </w:r>
      <w:r>
        <w:rPr>
          <w:sz w:val="20"/>
          <w:szCs w:val="20"/>
          <w:shd w:val="clear" w:color="auto" w:fill="FFFFFF"/>
        </w:rPr>
        <w:t>serving as Vice President of Business Development at eSat and Vice President of Technical Operations at NetCurrents. From 2000 to 2002. From 1984 through 2000 Michael was with Hughes Aircraft Company (now Boeing) in various technical and management positio</w:t>
      </w:r>
      <w:r>
        <w:rPr>
          <w:sz w:val="20"/>
          <w:szCs w:val="20"/>
          <w:shd w:val="clear" w:color="auto" w:fill="FFFFFF"/>
        </w:rPr>
        <w:t>ns. Michael’s final assignment at Hughes was as Chief Systems Engineer for a joint NOAA/NASA/DoD program. During the past five years, Michael has been retired. Michael holds a BS in Physics (Magna Cum Laude) from the University of Massachusetts, MS in Phys</w:t>
      </w:r>
      <w:r>
        <w:rPr>
          <w:sz w:val="20"/>
          <w:szCs w:val="20"/>
          <w:shd w:val="clear" w:color="auto" w:fill="FFFFFF"/>
        </w:rPr>
        <w:t>ics from the University of Illinois, and MS in Computer Science from the University of Illinois.</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8918730"/>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2</w:t>
            </w:r>
            <w:r>
              <w:rPr>
                <w:rFonts w:eastAsia="Times New Roman"/>
                <w:sz w:val="20"/>
                <w:szCs w:val="20"/>
              </w:rPr>
              <w:t>3</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u w:val="single"/>
        </w:rPr>
        <w:t xml:space="preserve">Michael Handelman </w:t>
      </w:r>
      <w:r>
        <w:rPr>
          <w:sz w:val="20"/>
          <w:szCs w:val="20"/>
        </w:rPr>
        <w:t xml:space="preserve">– </w:t>
      </w:r>
      <w:r>
        <w:rPr>
          <w:sz w:val="20"/>
          <w:szCs w:val="20"/>
        </w:rPr>
        <w:t>Secretary and Chief Financial Officer, has served as our Chief Financial Officer since December 1, 2021, and previously Comptroller since January 2021. Since August 2020, he has served as a director of Winners Inc., a public company engaged in handicapping</w:t>
      </w:r>
      <w:r>
        <w:rPr>
          <w:sz w:val="20"/>
          <w:szCs w:val="20"/>
        </w:rPr>
        <w:t xml:space="preserve"> sports events. From November 2020 to November 2021, Mr. Handelman served as the Chief Financial Officer of GT Biopharma, a publicly held biotechnology company. Mr. Handelman served as Chief Financial Officer to Lion Biotechnologies, Inc. from February 201</w:t>
      </w:r>
      <w:r>
        <w:rPr>
          <w:sz w:val="20"/>
          <w:szCs w:val="20"/>
        </w:rPr>
        <w:t>1 until June 2015 and was a member of the Lion Bio Board of Directors from February 2013 until May 2013. Mr. Handelman served as the Chief Financial Officer and as a financial management consultant of Oxis International, Inc., a public company engaged in t</w:t>
      </w:r>
      <w:r>
        <w:rPr>
          <w:sz w:val="20"/>
          <w:szCs w:val="20"/>
        </w:rPr>
        <w:t>he research, development, and commercialization of nutraceutical products, from August 2009 until October 2011. From November 2004 to July 2009, Mr. Handelman served as Chief Financial Officer and Chief Operating Officer of TechnoConcepts, Inc., formerly a</w:t>
      </w:r>
      <w:r>
        <w:rPr>
          <w:sz w:val="20"/>
          <w:szCs w:val="20"/>
        </w:rPr>
        <w:t xml:space="preserve"> public company engaged in designing, developing, manufacturing, and marketing wireless communications semiconductors, or microchips. Prior thereto, Mr. Handelman served from October 2002 to October 2004 as Chief Financial Officer of Interglobal Waste Mana</w:t>
      </w:r>
      <w:r>
        <w:rPr>
          <w:sz w:val="20"/>
          <w:szCs w:val="20"/>
        </w:rPr>
        <w:t>gement, Inc., a manufacturing company, and from July 1996 to July 1999 as Vice President and Chief Financial Officer of Janex International, Inc., a children’s toy manufacturer. Mr. Handelman was also the Chief Financial Officer from 1993 to 1996 of the Lo</w:t>
      </w:r>
      <w:r>
        <w:rPr>
          <w:sz w:val="20"/>
          <w:szCs w:val="20"/>
        </w:rPr>
        <w:t>s Angeles Kings, a National Hockey L</w:t>
      </w:r>
      <w:r>
        <w:rPr>
          <w:sz w:val="20"/>
          <w:szCs w:val="20"/>
          <w:shd w:val="clear" w:color="auto" w:fill="FFFFFF"/>
        </w:rPr>
        <w:t>eague franchise. Mr. Handelman is a certified public accountant and holds a degree in accounting from the City University of New York.</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u w:val="single"/>
        </w:rPr>
        <w:t>Thomas Terwilliger</w:t>
      </w:r>
      <w:r>
        <w:rPr>
          <w:sz w:val="20"/>
          <w:szCs w:val="20"/>
        </w:rPr>
        <w:t xml:space="preserve"> – Mr. Terwilliger became an Officer and Director of the Company </w:t>
      </w:r>
      <w:r>
        <w:rPr>
          <w:sz w:val="20"/>
          <w:szCs w:val="20"/>
        </w:rPr>
        <w:t>in September, 2021. Mr. Terwilliger holds a BBA, MBA, several patents, and was the founder of what has become Winners, Inc. Mr. Terwilliger founded numerous communications companies in the US, and in Latin and Central America. Mr. Terwilliger was elected p</w:t>
      </w:r>
      <w:r>
        <w:rPr>
          <w:sz w:val="20"/>
          <w:szCs w:val="20"/>
        </w:rPr>
        <w:t>resident of the Kentucky Long Distance Telephone Association and eventually with a Presidential Appointment, for seven years, helped oversee the breakup of AT&amp;T. Mr. Terwilliger also founded and operated both private and publicly traded companies. For at l</w:t>
      </w:r>
      <w:r>
        <w:rPr>
          <w:sz w:val="20"/>
          <w:szCs w:val="20"/>
        </w:rPr>
        <w:t>east the past five years, he has owned and operated Corporate World, Inc., which is a resident agent in several states and acts as an incubator for start-up companies in technologies.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Family Relationships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None.</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Board of Directors and Corporate Govern</w:t>
      </w:r>
      <w:r>
        <w:rPr>
          <w:b/>
          <w:bCs/>
          <w:sz w:val="20"/>
          <w:szCs w:val="20"/>
        </w:rPr>
        <w:t>ance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Our Board of Directors currently consists of three (3) members, consisting of Frank Magliochetti, Michael O’Hara and Thomas Terwilliger.</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i/>
          <w:iCs/>
          <w:sz w:val="20"/>
          <w:szCs w:val="20"/>
        </w:rPr>
        <w:t>Board Committees; Meetings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Because of the Company’s development stage and limited resources, our Board of Di</w:t>
      </w:r>
      <w:r>
        <w:rPr>
          <w:sz w:val="20"/>
          <w:szCs w:val="20"/>
        </w:rPr>
        <w:t>rectors has not appointed any committees, including an audit committee, but rather the role of any such committee is performed by the Board of Directors. The Board of Directors met or acted by written consent 13 times during the fiscal year ended September</w:t>
      </w:r>
      <w:r>
        <w:rPr>
          <w:sz w:val="20"/>
          <w:szCs w:val="20"/>
        </w:rPr>
        <w:t xml:space="preserve"> 30, 2021.</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i/>
          <w:iCs/>
          <w:sz w:val="20"/>
          <w:szCs w:val="20"/>
        </w:rPr>
        <w:t>Code of Ethics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 has adopted </w:t>
      </w:r>
      <w:r>
        <w:rPr>
          <w:sz w:val="20"/>
          <w:szCs w:val="20"/>
        </w:rPr>
        <w:t>a formal code of ethics within the meaning of Item 406 of Regulation S-K promulgated under the Securities Act.</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i/>
          <w:iCs/>
          <w:sz w:val="20"/>
          <w:szCs w:val="20"/>
        </w:rPr>
        <w:t>Section 16(a) Beneficial Ownership Reporting Compliance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Section 16(a) of the Exchange Act requires the Company’s directors and executive offi</w:t>
      </w:r>
      <w:r>
        <w:rPr>
          <w:sz w:val="20"/>
          <w:szCs w:val="20"/>
        </w:rPr>
        <w:t>cers, and persons who own more than ten percent of a registered class of the Company’s equity securities, to file with the SEC initial reports of ownership and reports of changes in ownership of Common Stock and other equity securities of the Company. Offi</w:t>
      </w:r>
      <w:r>
        <w:rPr>
          <w:sz w:val="20"/>
          <w:szCs w:val="20"/>
        </w:rPr>
        <w:t>cers, directors and greater than ten percent stockholders are required by SEC regulation to furnish the Company with copies of all Section 16(a) forms they file.</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1531256592"/>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2</w:t>
            </w:r>
            <w:r>
              <w:rPr>
                <w:rFonts w:eastAsia="Times New Roman"/>
                <w:sz w:val="20"/>
                <w:szCs w:val="20"/>
              </w:rPr>
              <w:t>4</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 has recently </w:t>
      </w:r>
      <w:r>
        <w:rPr>
          <w:sz w:val="20"/>
          <w:szCs w:val="20"/>
        </w:rPr>
        <w:t>only become a reporting company. Messrs. Magliochetti, Handelman and Terwilliger have each filed a Form 3 with the SEC.</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i/>
          <w:iCs/>
          <w:sz w:val="20"/>
          <w:szCs w:val="20"/>
        </w:rPr>
        <w:t>Indemnification Agreements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Our Board has approved a form of indemnification agreement for our directors, executive officers and othe</w:t>
      </w:r>
      <w:r>
        <w:rPr>
          <w:sz w:val="20"/>
          <w:szCs w:val="20"/>
        </w:rPr>
        <w:t>r persons (“Indemnification Agreement”). Following Board approval, we entered into Indemnification Agreements with each of our current directors, executive officers and other persons.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 Indemnification Agreement provides for indemnification against exp</w:t>
      </w:r>
      <w:r>
        <w:rPr>
          <w:sz w:val="20"/>
          <w:szCs w:val="20"/>
        </w:rPr>
        <w:t>enses, judgments, fines and penalties actually and reasonably incurred by an indemnitee in connection with threatened, pending or completed actions, suits or other proceedings, subject to certain limitations. The Indemnification Agreement also provides for</w:t>
      </w:r>
      <w:r>
        <w:rPr>
          <w:sz w:val="20"/>
          <w:szCs w:val="20"/>
        </w:rPr>
        <w:t xml:space="preserve"> the advancement of expenses in connection with a proceeding prior to a final, non-appealable judgment or other adjudication, provided that the indemnitee provides an undertaking to repay to us any amounts advanced if the indemnitee is ultimately found not</w:t>
      </w:r>
      <w:r>
        <w:rPr>
          <w:sz w:val="20"/>
          <w:szCs w:val="20"/>
        </w:rPr>
        <w:t xml:space="preserve"> to be entitled to indemnification by us. The Indemnification Agreement sets forth procedures for making and responding to a request for indemnification or advancement of expenses, as well as dispute resolution procedures that will apply to any dispute bet</w:t>
      </w:r>
      <w:r>
        <w:rPr>
          <w:sz w:val="20"/>
          <w:szCs w:val="20"/>
        </w:rPr>
        <w:t>ween us and an indemnitee arising under the Indemnification Agreement.</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11.</w:t>
      </w:r>
      <w:r>
        <w:rPr>
          <w:b/>
          <w:bCs/>
          <w:sz w:val="20"/>
          <w:szCs w:val="20"/>
        </w:rPr>
        <w:t xml:space="preserve"> </w:t>
      </w:r>
      <w:r>
        <w:rPr>
          <w:b/>
          <w:bCs/>
          <w:i/>
          <w:iCs/>
          <w:sz w:val="20"/>
          <w:szCs w:val="20"/>
        </w:rPr>
        <w:t>Executive Compensation</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Summary Compensation Table - Officers</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41"/>
        <w:gridCol w:w="321"/>
        <w:gridCol w:w="72"/>
        <w:gridCol w:w="820"/>
        <w:gridCol w:w="72"/>
        <w:gridCol w:w="321"/>
        <w:gridCol w:w="101"/>
        <w:gridCol w:w="1057"/>
        <w:gridCol w:w="88"/>
        <w:gridCol w:w="321"/>
        <w:gridCol w:w="100"/>
        <w:gridCol w:w="820"/>
        <w:gridCol w:w="72"/>
      </w:tblGrid>
      <w:tr w:rsidR="00000000">
        <w:tc>
          <w:tcPr>
            <w:tcW w:w="0" w:type="auto"/>
            <w:tcBorders>
              <w:bottom w:val="single" w:sz="8" w:space="0" w:color="000000"/>
            </w:tcBorders>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b/>
                <w:bCs/>
                <w:sz w:val="20"/>
                <w:szCs w:val="20"/>
              </w:rPr>
              <w:t>Name and Principal Position</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sz w:val="20"/>
                <w:szCs w:val="20"/>
              </w:rPr>
            </w:pPr>
            <w:r>
              <w:rPr>
                <w:rFonts w:eastAsia="Times New Roman"/>
                <w:b/>
                <w:bCs/>
                <w:sz w:val="20"/>
                <w:szCs w:val="20"/>
              </w:rPr>
              <w:t>Year</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sz w:val="20"/>
                <w:szCs w:val="20"/>
              </w:rPr>
            </w:pPr>
            <w:r>
              <w:rPr>
                <w:rFonts w:eastAsia="Times New Roman"/>
                <w:b/>
                <w:bCs/>
                <w:sz w:val="20"/>
                <w:szCs w:val="20"/>
              </w:rPr>
              <w:t>Cash Compensation</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sz w:val="20"/>
                <w:szCs w:val="20"/>
              </w:rPr>
            </w:pPr>
            <w:r>
              <w:rPr>
                <w:rFonts w:eastAsia="Times New Roman"/>
                <w:b/>
                <w:bCs/>
                <w:sz w:val="20"/>
                <w:szCs w:val="20"/>
              </w:rPr>
              <w:t>Total</w:t>
            </w:r>
          </w:p>
        </w:tc>
      </w:tr>
      <w:tr w:rsidR="00000000">
        <w:tc>
          <w:tcPr>
            <w:tcW w:w="2500" w:type="pct"/>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Frank Magliochetti,</w:t>
            </w:r>
          </w:p>
        </w:tc>
        <w:tc>
          <w:tcPr>
            <w:tcW w:w="2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2021</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2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297,996</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2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279,996</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Chief Executive Officer</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2020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101,000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101,000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Michael Handelman,</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2021</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25,500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25,500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Chief Financial Officer</w:t>
            </w:r>
          </w:p>
        </w:tc>
        <w:tc>
          <w:tcPr>
            <w:tcW w:w="0" w:type="auto"/>
            <w:shd w:val="clear" w:color="auto" w:fill="FFFFFF"/>
            <w:tcMar>
              <w:top w:w="0" w:type="dxa"/>
              <w:left w:w="200" w:type="dxa"/>
              <w:bottom w:w="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2020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55,000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55,000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Amber Theoharis</w:t>
            </w:r>
            <w:r>
              <w:rPr>
                <w:rFonts w:eastAsia="Times New Roman"/>
                <w:sz w:val="20"/>
                <w:szCs w:val="20"/>
                <w:vertAlign w:val="superscript"/>
              </w:rPr>
              <w:t>(1)</w:t>
            </w: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2021</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103,700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103,700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Former Vice President of Program Development</w:t>
            </w:r>
          </w:p>
        </w:tc>
        <w:tc>
          <w:tcPr>
            <w:tcW w:w="0" w:type="auto"/>
            <w:shd w:val="clear" w:color="auto" w:fill="FFFFFF"/>
            <w:tcMar>
              <w:top w:w="0" w:type="dxa"/>
              <w:left w:w="200" w:type="dxa"/>
              <w:bottom w:w="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2020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55,000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55,000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Thomas Terwilliger,</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2021</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3,500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3,500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xml:space="preserve">Controller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2020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B64763">
            <w:pPr>
              <w:rPr>
                <w:sz w:val="20"/>
                <w:szCs w:val="20"/>
              </w:rPr>
            </w:pPr>
          </w:p>
        </w:tc>
        <w:tc>
          <w:tcPr>
            <w:tcW w:w="360" w:type="dxa"/>
            <w:hideMark/>
          </w:tcPr>
          <w:p w:rsidR="00000000" w:rsidRDefault="00B64763">
            <w:pPr>
              <w:rPr>
                <w:rFonts w:eastAsia="Times New Roman"/>
                <w:sz w:val="20"/>
                <w:szCs w:val="20"/>
              </w:rPr>
            </w:pPr>
            <w:r>
              <w:rPr>
                <w:rFonts w:eastAsia="Times New Roman"/>
                <w:sz w:val="20"/>
                <w:szCs w:val="20"/>
              </w:rPr>
              <w:t>(1)</w:t>
            </w:r>
          </w:p>
        </w:tc>
        <w:tc>
          <w:tcPr>
            <w:tcW w:w="0" w:type="auto"/>
            <w:hideMark/>
          </w:tcPr>
          <w:p w:rsidR="00000000" w:rsidRDefault="00B64763">
            <w:pPr>
              <w:jc w:val="both"/>
              <w:rPr>
                <w:rFonts w:eastAsia="Times New Roman"/>
                <w:sz w:val="20"/>
                <w:szCs w:val="20"/>
              </w:rPr>
            </w:pPr>
            <w:r>
              <w:rPr>
                <w:rFonts w:eastAsia="Times New Roman"/>
                <w:sz w:val="20"/>
                <w:szCs w:val="20"/>
              </w:rPr>
              <w:t xml:space="preserve">Ms. Theoharis’ </w:t>
            </w:r>
            <w:r>
              <w:rPr>
                <w:rFonts w:eastAsia="Times New Roman"/>
                <w:sz w:val="20"/>
                <w:szCs w:val="20"/>
              </w:rPr>
              <w:t>contract ended December 31, 2021.</w:t>
            </w:r>
          </w:p>
        </w:tc>
      </w:tr>
    </w:tbl>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1412124529"/>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2</w:t>
            </w:r>
            <w:r>
              <w:rPr>
                <w:rFonts w:eastAsia="Times New Roman"/>
                <w:sz w:val="20"/>
                <w:szCs w:val="20"/>
              </w:rPr>
              <w:t>5</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Director Compensation (exclusive of consulting arrangements)</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659"/>
        <w:gridCol w:w="100"/>
        <w:gridCol w:w="992"/>
        <w:gridCol w:w="78"/>
        <w:gridCol w:w="659"/>
        <w:gridCol w:w="100"/>
        <w:gridCol w:w="993"/>
        <w:gridCol w:w="79"/>
      </w:tblGrid>
      <w:tr w:rsidR="00000000">
        <w:tc>
          <w:tcPr>
            <w:tcW w:w="0" w:type="auto"/>
            <w:tcBorders>
              <w:bottom w:val="single" w:sz="8" w:space="0" w:color="000000"/>
            </w:tcBorders>
            <w:vAlign w:val="bottom"/>
            <w:hideMark/>
          </w:tcPr>
          <w:p w:rsidR="00000000" w:rsidRDefault="00B64763">
            <w:pPr>
              <w:rPr>
                <w:rFonts w:eastAsia="Times New Roman"/>
                <w:b/>
                <w:bCs/>
                <w:sz w:val="20"/>
                <w:szCs w:val="20"/>
              </w:rPr>
            </w:pPr>
            <w:r>
              <w:rPr>
                <w:rFonts w:eastAsia="Times New Roman"/>
                <w:b/>
                <w:bCs/>
                <w:sz w:val="20"/>
                <w:szCs w:val="20"/>
              </w:rPr>
              <w:t>Name</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Fees Earned or Paid in Cash</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Total</w:t>
            </w:r>
          </w:p>
        </w:tc>
      </w:tr>
      <w:tr w:rsidR="00000000">
        <w:tc>
          <w:tcPr>
            <w:tcW w:w="2800" w:type="pct"/>
            <w:shd w:val="clear" w:color="auto" w:fill="CCEEFF"/>
            <w:vAlign w:val="bottom"/>
            <w:hideMark/>
          </w:tcPr>
          <w:p w:rsidR="00000000" w:rsidRDefault="00B64763">
            <w:pPr>
              <w:rPr>
                <w:rFonts w:eastAsia="Times New Roman"/>
                <w:sz w:val="20"/>
                <w:szCs w:val="20"/>
              </w:rPr>
            </w:pPr>
            <w:r>
              <w:rPr>
                <w:rFonts w:eastAsia="Times New Roman"/>
                <w:sz w:val="20"/>
                <w:szCs w:val="20"/>
              </w:rPr>
              <w:t>Frank Magliochetti</w:t>
            </w:r>
          </w:p>
        </w:tc>
        <w:tc>
          <w:tcPr>
            <w:tcW w:w="4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20,004</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20,004</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Michael Handelman</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Michael O’Hara</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26,004</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26,004</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Thomas Terwilliger</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2,000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2,000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Nicholas Panza (former director)</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15,003</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15,003</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Ryan Smollar (former director)</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6,501</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6.501</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No director or officer received a grant of an equity award during or with respect to 2020 and 2021 nor is any grant outstanding.</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Contracts with Directors and Officers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We currently have agreements dated as of December 24, 2019 with Frank Magliochetti, a</w:t>
      </w:r>
      <w:r>
        <w:rPr>
          <w:sz w:val="20"/>
          <w:szCs w:val="20"/>
        </w:rPr>
        <w:t>nd Michael O’Hara, our directors, pursuant to which each of them has agreed to serve as a director for $1,667 and $2,167 per month, respectively, with respect to services performed as directors subject to our reimbursing them for reasonable out-of-pocket e</w:t>
      </w:r>
      <w:r>
        <w:rPr>
          <w:sz w:val="20"/>
          <w:szCs w:val="20"/>
        </w:rPr>
        <w:t>xpense incurred in connection with the performance of their duties. In addition, we have an agreement with Thomas Terwilliger pursuant to which he has agreed to serve as a director for $2,000 per month with respect to services performed as a director subje</w:t>
      </w:r>
      <w:r>
        <w:rPr>
          <w:sz w:val="20"/>
          <w:szCs w:val="20"/>
        </w:rPr>
        <w:t>ct to our reimbursing him for reasonable out-of-pocket expense incurred in connection with the performance of his duties. The term as a director is until they are removed by our stockholders, they resign, or commit certain type of crimes. </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As of December 24, 2019, we had entered into a Consulting Agreement with Parcae Capital Corporation, a company affiliated with Frank Magliochetti, our Chairman of the Board and Chief Executive Officer, pursuant to which Parcae has agreed to provide strateg</w:t>
      </w:r>
      <w:r>
        <w:rPr>
          <w:sz w:val="20"/>
          <w:szCs w:val="20"/>
        </w:rPr>
        <w:t>ic and business development assistance to us for an initial period of three years for $5,000 per month. We have executed an addendum to the Consulting Agreement effective March 1, 2021, Parcae shall be compensated $23,333 per month.</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We have entered into </w:t>
      </w:r>
      <w:r>
        <w:rPr>
          <w:sz w:val="20"/>
          <w:szCs w:val="20"/>
        </w:rPr>
        <w:t>a Consulting Agreement with Thomas Terwilliger, effective September 1, 2021, to provide services as our Controller. The agreement is for a term of three years. The Agreement is exclusive, subject to certain specified exceptions. Mr. Terwilliger is to be pa</w:t>
      </w:r>
      <w:r>
        <w:rPr>
          <w:sz w:val="20"/>
          <w:szCs w:val="20"/>
        </w:rPr>
        <w:t>id $ $3,500 in cash on a monthly basis.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We have entered into an Officer Agreement with Michael Handelman, effective December 1, 2021, to provide interim services as our Chief Financial Officer. The agreement is for a term of one year with automatic renew</w:t>
      </w:r>
      <w:r>
        <w:rPr>
          <w:sz w:val="20"/>
          <w:szCs w:val="20"/>
        </w:rPr>
        <w:t>als for successive one-year periods, unless terminated prior to the beginning of an applicable renewal term. The Agreement is exclusive, subject to certain specified exceptions. Mr. Handelman is to be paid $2,000 worth of restricted shares each month and $</w:t>
      </w:r>
      <w:r>
        <w:rPr>
          <w:sz w:val="20"/>
          <w:szCs w:val="20"/>
        </w:rPr>
        <w:t>4,000 in cash on a monthly basis.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12.</w:t>
      </w:r>
      <w:r>
        <w:rPr>
          <w:b/>
          <w:bCs/>
          <w:sz w:val="20"/>
          <w:szCs w:val="20"/>
        </w:rPr>
        <w:t xml:space="preserve"> </w:t>
      </w:r>
      <w:r>
        <w:rPr>
          <w:b/>
          <w:bCs/>
          <w:i/>
          <w:iCs/>
          <w:sz w:val="20"/>
          <w:szCs w:val="20"/>
        </w:rPr>
        <w:t>Security Ownership of Certain Beneficial Owners and Management and Related Stockholder Matters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 following table sets forth information with respect to the beneficial ownership of the Company’s Common Stock</w:t>
      </w:r>
      <w:r>
        <w:rPr>
          <w:sz w:val="20"/>
          <w:szCs w:val="20"/>
        </w:rPr>
        <w:t xml:space="preserve"> as of January 15, 2022, by each person or group of affiliated persons known to the Company to beneficially own 5% or more of its Common Stock, each director, each named executive officer, and all of its directors and named executive officers as a group.</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Our principal stockholders are set forth in the following table. These principal stockholders include:</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5"/>
        <w:gridCol w:w="435"/>
        <w:gridCol w:w="7586"/>
      </w:tblGrid>
      <w:tr w:rsidR="00000000">
        <w:tc>
          <w:tcPr>
            <w:tcW w:w="285" w:type="dxa"/>
            <w:hideMark/>
          </w:tcPr>
          <w:p w:rsidR="00000000" w:rsidRDefault="00B64763">
            <w:pPr>
              <w:rPr>
                <w:rFonts w:eastAsia="Times New Roman"/>
                <w:sz w:val="20"/>
                <w:szCs w:val="20"/>
              </w:rPr>
            </w:pPr>
            <w:r>
              <w:rPr>
                <w:rFonts w:eastAsia="Times New Roman"/>
                <w:sz w:val="20"/>
                <w:szCs w:val="20"/>
              </w:rPr>
              <w:t> </w:t>
            </w:r>
          </w:p>
        </w:tc>
        <w:tc>
          <w:tcPr>
            <w:tcW w:w="435" w:type="dxa"/>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each of our directors and executive officers,</w:t>
            </w:r>
          </w:p>
        </w:tc>
      </w:tr>
      <w:tr w:rsidR="00000000">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our directors and executive officers as a group, and</w:t>
            </w:r>
          </w:p>
        </w:tc>
      </w:tr>
      <w:tr w:rsidR="00000000">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others who we know own more than five percent of the voting power of our issued and outstanding equity securities.</w:t>
            </w:r>
          </w:p>
        </w:tc>
      </w:tr>
    </w:tbl>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1616714898"/>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2</w:t>
            </w:r>
            <w:r>
              <w:rPr>
                <w:rFonts w:eastAsia="Times New Roman"/>
                <w:sz w:val="20"/>
                <w:szCs w:val="20"/>
              </w:rPr>
              <w:t>6</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We believe each of these </w:t>
      </w:r>
      <w:r>
        <w:rPr>
          <w:sz w:val="20"/>
          <w:szCs w:val="20"/>
        </w:rPr>
        <w:t>persons has sole voting and investment power over the shares they own, unless otherwise noted. The address of our directors and executive officers is our address.</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578"/>
        <w:gridCol w:w="166"/>
        <w:gridCol w:w="2243"/>
        <w:gridCol w:w="166"/>
        <w:gridCol w:w="1495"/>
        <w:gridCol w:w="166"/>
        <w:gridCol w:w="83"/>
        <w:gridCol w:w="997"/>
        <w:gridCol w:w="83"/>
        <w:gridCol w:w="166"/>
        <w:gridCol w:w="83"/>
        <w:gridCol w:w="997"/>
        <w:gridCol w:w="83"/>
      </w:tblGrid>
      <w:tr w:rsidR="00000000">
        <w:tc>
          <w:tcPr>
            <w:tcW w:w="0" w:type="auto"/>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Name of Officer/Director and Control Person</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Residential Address</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Amount and Nature of Be</w:t>
            </w:r>
            <w:r>
              <w:rPr>
                <w:rFonts w:eastAsia="Times New Roman"/>
                <w:sz w:val="20"/>
                <w:szCs w:val="20"/>
              </w:rPr>
              <w:t>neficial Ownership</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Ownership Percentage of Class Outstanding</w:t>
            </w:r>
            <w:r>
              <w:rPr>
                <w:rFonts w:eastAsia="Times New Roman"/>
                <w:sz w:val="20"/>
                <w:szCs w:val="20"/>
                <w:vertAlign w:val="superscript"/>
              </w:rPr>
              <w:t>(1)</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Percentage of Voting Power</w:t>
            </w:r>
            <w:r>
              <w:rPr>
                <w:rFonts w:eastAsia="Times New Roman"/>
                <w:sz w:val="20"/>
                <w:szCs w:val="20"/>
                <w:vertAlign w:val="superscript"/>
              </w:rPr>
              <w:t>(2)</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b/>
                <w:bCs/>
                <w:sz w:val="20"/>
                <w:szCs w:val="20"/>
              </w:rPr>
              <w:t>5% or Greater Stockholders:</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950" w:type="pct"/>
            <w:shd w:val="clear" w:color="auto" w:fill="CCEEFF"/>
            <w:vAlign w:val="bottom"/>
            <w:hideMark/>
          </w:tcPr>
          <w:p w:rsidR="00000000" w:rsidRDefault="00B64763">
            <w:pPr>
              <w:rPr>
                <w:rFonts w:eastAsia="Times New Roman"/>
                <w:sz w:val="20"/>
                <w:szCs w:val="20"/>
              </w:rPr>
            </w:pPr>
            <w:r>
              <w:rPr>
                <w:rFonts w:eastAsia="Times New Roman"/>
                <w:sz w:val="20"/>
                <w:szCs w:val="20"/>
              </w:rPr>
              <w:t>Laura Curwen</w:t>
            </w:r>
          </w:p>
        </w:tc>
        <w:tc>
          <w:tcPr>
            <w:tcW w:w="1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1350" w:type="pct"/>
            <w:shd w:val="clear" w:color="auto" w:fill="CCEEFF"/>
            <w:vAlign w:val="bottom"/>
            <w:hideMark/>
          </w:tcPr>
          <w:p w:rsidR="00000000" w:rsidRDefault="00B64763">
            <w:pPr>
              <w:rPr>
                <w:rFonts w:eastAsia="Times New Roman"/>
                <w:sz w:val="20"/>
                <w:szCs w:val="20"/>
              </w:rPr>
            </w:pPr>
            <w:r>
              <w:rPr>
                <w:rFonts w:eastAsia="Times New Roman"/>
                <w:sz w:val="20"/>
                <w:szCs w:val="20"/>
              </w:rPr>
              <w:t>1101 Grandview Drive, Nashville, TN 37204</w:t>
            </w:r>
          </w:p>
        </w:tc>
        <w:tc>
          <w:tcPr>
            <w:tcW w:w="1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B64763">
            <w:pPr>
              <w:rPr>
                <w:rFonts w:eastAsia="Times New Roman"/>
                <w:sz w:val="20"/>
                <w:szCs w:val="20"/>
              </w:rPr>
            </w:pPr>
            <w:r>
              <w:rPr>
                <w:rFonts w:eastAsia="Times New Roman"/>
                <w:sz w:val="20"/>
                <w:szCs w:val="20"/>
              </w:rPr>
              <w:t>250,000 Preferred</w:t>
            </w:r>
          </w:p>
        </w:tc>
        <w:tc>
          <w:tcPr>
            <w:tcW w:w="1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6.25</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3.3</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Joseph Magliochetti</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4734 Wildewood Dr., Delray Beach, FL 33445</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250,000 Preferred</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6.25</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3.3</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Holly Ruma</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4734 Wildewood Dr., Delray Beach, FL 33445</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250,000 Preferred</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6.25</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3.3</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Olivia Savor</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6958 Houlton Circle, Lake Worth, FL 33467</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250,000 Preferred</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6.25</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3.3</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Leonard Tucker, LLC.</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20423 State Road 7 F6-123 Boca Raton, FL 33498</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462,500 Preferred</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11.56</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6.2</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Irwin and Karen Meyer</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2297 Waterby St. Westlake Village, CA 91351</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400,000 Preferred;</w:t>
            </w:r>
            <w:r>
              <w:rPr>
                <w:rFonts w:eastAsia="Times New Roman"/>
                <w:sz w:val="20"/>
                <w:szCs w:val="20"/>
              </w:rPr>
              <w:br/>
            </w:r>
            <w:r>
              <w:rPr>
                <w:rFonts w:eastAsia="Times New Roman"/>
                <w:sz w:val="20"/>
                <w:szCs w:val="20"/>
              </w:rPr>
              <w:t>5,891,609 Common</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10.0</w:t>
            </w:r>
            <w:r>
              <w:rPr>
                <w:rFonts w:eastAsia="Times New Roman"/>
                <w:sz w:val="20"/>
                <w:szCs w:val="20"/>
              </w:rPr>
              <w:br/>
              <w:t>1.9</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6.1</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Alison Marcus</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11500 Valentino Lane</w:t>
            </w:r>
            <w:r>
              <w:rPr>
                <w:rFonts w:eastAsia="Times New Roman"/>
                <w:sz w:val="20"/>
                <w:szCs w:val="20"/>
              </w:rPr>
              <w:br/>
              <w:t>Las Vegas, NV 89138</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300,000 Preferred;</w:t>
            </w:r>
            <w:r>
              <w:rPr>
                <w:rFonts w:eastAsia="Times New Roman"/>
                <w:sz w:val="20"/>
                <w:szCs w:val="20"/>
              </w:rPr>
              <w:br/>
              <w:t>3,140,000 Common</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7.5</w:t>
            </w:r>
            <w:r>
              <w:rPr>
                <w:rFonts w:eastAsia="Times New Roman"/>
                <w:sz w:val="20"/>
                <w:szCs w:val="20"/>
              </w:rPr>
              <w:br/>
              <w:t>1.0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4.4</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Patricia Meyer</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2600 San Leandro Blvd. Apt 708 San Leandro, CA 94578</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300,000 Preferred;</w:t>
            </w:r>
            <w:r>
              <w:rPr>
                <w:rFonts w:eastAsia="Times New Roman"/>
                <w:sz w:val="20"/>
                <w:szCs w:val="20"/>
              </w:rPr>
              <w:br/>
              <w:t>3,500,000 Common</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7.5</w:t>
            </w:r>
            <w:r>
              <w:rPr>
                <w:rFonts w:eastAsia="Times New Roman"/>
                <w:sz w:val="20"/>
                <w:szCs w:val="20"/>
              </w:rPr>
              <w:br/>
              <w:t>1.1</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4.5</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Peter Aiello, Jr.</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5210 Marmol Drive, Woodland Hills, CA 91364</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231,250 Preferred</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5.8</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3.1</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Christine Arenalla</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3310 South Ocean Boulevard, Apt. 431-D; Highland Beach, FL 33487</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231,250 Preferred;</w:t>
            </w:r>
            <w:r>
              <w:rPr>
                <w:rFonts w:eastAsia="Times New Roman"/>
                <w:sz w:val="20"/>
                <w:szCs w:val="20"/>
              </w:rPr>
              <w:br/>
              <w:t>2,000,000 Common</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5.8</w:t>
            </w:r>
            <w:r>
              <w:rPr>
                <w:rFonts w:eastAsia="Times New Roman"/>
                <w:sz w:val="20"/>
                <w:szCs w:val="20"/>
              </w:rPr>
              <w:br/>
              <w:t>0.6</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3.4</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Fred &amp; Jennifer Ciapetta</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21 Apple Hill Drive, Cortland Manner, NY 10511</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231,250 Preferred</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5.8</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3.1</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Peter Aiello, Sr.</w:t>
            </w:r>
            <w:r>
              <w:rPr>
                <w:rFonts w:eastAsia="Times New Roman"/>
                <w:sz w:val="20"/>
                <w:szCs w:val="20"/>
                <w:vertAlign w:val="superscript"/>
              </w:rPr>
              <w:t>(3)</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3310 South Ocean Boulevard, Apt. 431-D Highland Beach, FL 33487</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231,250 Preferred</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5.8</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3.1</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Panza Family Trust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1667 E. Classical Blvd. Delray Beach, FL 33445</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462,500 Preferred</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11.56</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6.2</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b/>
                <w:bCs/>
                <w:sz w:val="20"/>
                <w:szCs w:val="20"/>
              </w:rPr>
              <w:t>Executive Officers and Directors:</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Michael O’Hara</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310 Bonnie Lane, Hollister, CA 95023</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5,050,500 common</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1.6</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0.7</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Michael Handelman</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3210 Rickey Ct. Thousand Oaks, CA 91362</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2,780,833 common</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.9</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0.4</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Frank Magliochetti</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4734 Wildewood Dr., Delray Beach, FL 33445</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1,500,000 Common</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0.5</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0.2</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Thomas Terwilliger</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b/>
                <w:bCs/>
                <w:sz w:val="20"/>
                <w:szCs w:val="20"/>
              </w:rPr>
              <w:t>Total Officers and Directors, as a Group (4 persons)</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9,331,333 Common</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3.0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457140670"/>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2</w:t>
            </w:r>
            <w:r>
              <w:rPr>
                <w:rFonts w:eastAsia="Times New Roman"/>
                <w:sz w:val="20"/>
                <w:szCs w:val="20"/>
              </w:rPr>
              <w:t>7</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(1) Based on 307,785,338 shares of Common Stock outstanding as of January 15, 2022 and 4,000,000 shares of Series A Convertible Preferred Stock outstanding.</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(2) Each share of Preferred Stock is entitled to vote on the basis of 100 times each share of Com</w:t>
      </w:r>
      <w:r>
        <w:rPr>
          <w:sz w:val="20"/>
          <w:szCs w:val="20"/>
        </w:rPr>
        <w:t>mon Stock.</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(3) Held through Capa Partners, Limited.</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13.</w:t>
      </w:r>
      <w:r>
        <w:rPr>
          <w:b/>
          <w:bCs/>
          <w:sz w:val="20"/>
          <w:szCs w:val="20"/>
        </w:rPr>
        <w:t xml:space="preserve"> </w:t>
      </w:r>
      <w:r>
        <w:rPr>
          <w:b/>
          <w:bCs/>
          <w:i/>
          <w:iCs/>
          <w:sz w:val="20"/>
          <w:szCs w:val="20"/>
        </w:rPr>
        <w:t>Certain Relationships and Related Transactions, and Director Independence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We have not engaged in any related party transactions during our two most recently completed fiscal years and the c</w:t>
      </w:r>
      <w:r>
        <w:rPr>
          <w:sz w:val="20"/>
          <w:szCs w:val="20"/>
        </w:rPr>
        <w:t>urrent fiscal year to date of this Annual Report, except as follows.</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20"/>
        <w:gridCol w:w="6866"/>
      </w:tblGrid>
      <w:tr w:rsidR="00000000">
        <w:tc>
          <w:tcPr>
            <w:tcW w:w="720" w:type="dxa"/>
            <w:hideMark/>
          </w:tcPr>
          <w:p w:rsidR="00000000" w:rsidRDefault="00B64763">
            <w:pPr>
              <w:rPr>
                <w:rFonts w:eastAsia="Times New Roman"/>
                <w:sz w:val="20"/>
                <w:szCs w:val="20"/>
              </w:rPr>
            </w:pPr>
            <w:r>
              <w:rPr>
                <w:rFonts w:eastAsia="Times New Roman"/>
                <w:sz w:val="20"/>
                <w:szCs w:val="20"/>
              </w:rPr>
              <w:t> </w:t>
            </w:r>
          </w:p>
        </w:tc>
        <w:tc>
          <w:tcPr>
            <w:tcW w:w="720" w:type="dxa"/>
            <w:hideMark/>
          </w:tcPr>
          <w:p w:rsidR="00000000" w:rsidRDefault="00B64763">
            <w:pPr>
              <w:rPr>
                <w:rFonts w:eastAsia="Times New Roman"/>
                <w:sz w:val="20"/>
                <w:szCs w:val="20"/>
              </w:rPr>
            </w:pPr>
            <w:r>
              <w:rPr>
                <w:rFonts w:eastAsia="Times New Roman"/>
                <w:sz w:val="20"/>
                <w:szCs w:val="20"/>
              </w:rPr>
              <w:t>I.</w:t>
            </w:r>
          </w:p>
        </w:tc>
        <w:tc>
          <w:tcPr>
            <w:tcW w:w="0" w:type="auto"/>
            <w:hideMark/>
          </w:tcPr>
          <w:p w:rsidR="00000000" w:rsidRDefault="00B64763">
            <w:pPr>
              <w:jc w:val="both"/>
              <w:rPr>
                <w:rFonts w:eastAsia="Times New Roman"/>
                <w:sz w:val="20"/>
                <w:szCs w:val="20"/>
              </w:rPr>
            </w:pPr>
            <w:r>
              <w:rPr>
                <w:rFonts w:eastAsia="Times New Roman"/>
                <w:sz w:val="20"/>
                <w:szCs w:val="20"/>
                <w:u w:val="single"/>
              </w:rPr>
              <w:t>Winners Inc.</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During the years ended September 30, 2021 and 2020, respectively, the Company completed certain transactions with Winners Inc., formerly known as GoooGreen, Inc. (O</w:t>
      </w:r>
      <w:r>
        <w:rPr>
          <w:sz w:val="20"/>
          <w:szCs w:val="20"/>
        </w:rPr>
        <w:t>TC:WNRS) (www.vegaswinners.com). Winners, Inc. is engaged in the business of sports gambling research, data, advice, analysis, and predictions utilizing all available media, advertising formats and its database of users. The business and customers of Winne</w:t>
      </w:r>
      <w:r>
        <w:rPr>
          <w:sz w:val="20"/>
          <w:szCs w:val="20"/>
        </w:rPr>
        <w:t>rs is expected to compliment and benefit that of the Company. These transactions are considered related party transactions since Frank Magliochetti, our Chairman of the Board, Chief Executive Officer, and consultant is a consultant and director of Winners,</w:t>
      </w:r>
      <w:r>
        <w:rPr>
          <w:sz w:val="20"/>
          <w:szCs w:val="20"/>
        </w:rPr>
        <w:t xml:space="preserve"> Inc., Thomas Terwilliger, our Director and Controller is a consultant of Winners, Inc. Michael Handelman, our Secretary and Chief Financial Officer is a consultant and director of Winners, Inc. and Nicholas Panza, our former director and consultant was a </w:t>
      </w:r>
      <w:r>
        <w:rPr>
          <w:sz w:val="20"/>
          <w:szCs w:val="20"/>
        </w:rPr>
        <w:t>consultant and former director of Winners, Inc:</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On September 8, 2021 the Company exercised the option to acquire common shares of Winners, Inc and the Company recorded the investment using the equity method of accounting and reflecting it as an equity me</w:t>
      </w:r>
      <w:r>
        <w:rPr>
          <w:sz w:val="20"/>
          <w:szCs w:val="20"/>
        </w:rPr>
        <w:t>thod investee.</w:t>
      </w:r>
    </w:p>
    <w:p w:rsidR="00000000" w:rsidRDefault="00B64763">
      <w:pPr>
        <w:pStyle w:val="a3"/>
        <w:spacing w:before="4" w:beforeAutospacing="0" w:after="0" w:afterAutospacing="0"/>
        <w:rPr>
          <w:sz w:val="20"/>
          <w:szCs w:val="20"/>
        </w:rPr>
      </w:pPr>
      <w:r>
        <w:rPr>
          <w:sz w:val="20"/>
          <w:szCs w:val="20"/>
        </w:rPr>
        <w:t> </w:t>
      </w:r>
    </w:p>
    <w:p w:rsidR="00000000" w:rsidRDefault="00B64763">
      <w:pPr>
        <w:pStyle w:val="a3"/>
        <w:spacing w:before="4" w:beforeAutospacing="0" w:after="0" w:afterAutospacing="0"/>
        <w:rPr>
          <w:sz w:val="20"/>
          <w:szCs w:val="20"/>
        </w:rPr>
      </w:pPr>
      <w:r>
        <w:rPr>
          <w:sz w:val="20"/>
          <w:szCs w:val="20"/>
        </w:rPr>
        <w:t>These transactions and balances are as follows:</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659"/>
        <w:gridCol w:w="100"/>
        <w:gridCol w:w="992"/>
        <w:gridCol w:w="78"/>
        <w:gridCol w:w="659"/>
        <w:gridCol w:w="100"/>
        <w:gridCol w:w="993"/>
        <w:gridCol w:w="79"/>
      </w:tblGrid>
      <w:tr w:rsidR="00000000">
        <w:tc>
          <w:tcPr>
            <w:tcW w:w="0" w:type="auto"/>
            <w:vAlign w:val="bottom"/>
            <w:hideMark/>
          </w:tcPr>
          <w:p w:rsidR="00000000" w:rsidRDefault="00B64763">
            <w:pPr>
              <w:jc w:val="center"/>
              <w:rPr>
                <w:rFonts w:eastAsia="Times New Roman"/>
                <w:sz w:val="22"/>
                <w:szCs w:val="22"/>
              </w:rPr>
            </w:pPr>
            <w:r>
              <w:rPr>
                <w:rFonts w:eastAsia="Times New Roman"/>
                <w:sz w:val="22"/>
                <w:szCs w:val="22"/>
              </w:rPr>
              <w:t> </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30-09-2021</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30-09-2020</w:t>
            </w:r>
          </w:p>
        </w:tc>
      </w:tr>
      <w:tr w:rsidR="00000000">
        <w:tc>
          <w:tcPr>
            <w:tcW w:w="2800" w:type="pct"/>
            <w:shd w:val="clear" w:color="auto" w:fill="CCEEFF"/>
            <w:tcMar>
              <w:top w:w="0" w:type="dxa"/>
              <w:left w:w="12" w:type="dxa"/>
              <w:bottom w:w="0" w:type="dxa"/>
              <w:right w:w="0" w:type="dxa"/>
            </w:tcMar>
            <w:vAlign w:val="bottom"/>
            <w:hideMark/>
          </w:tcPr>
          <w:p w:rsidR="00000000" w:rsidRDefault="00B64763">
            <w:pPr>
              <w:rPr>
                <w:rFonts w:eastAsia="Times New Roman"/>
                <w:sz w:val="20"/>
                <w:szCs w:val="20"/>
              </w:rPr>
            </w:pPr>
            <w:r>
              <w:rPr>
                <w:rFonts w:eastAsia="Times New Roman"/>
                <w:sz w:val="20"/>
                <w:szCs w:val="20"/>
              </w:rPr>
              <w:t>A. Notes Receivable</w:t>
            </w:r>
          </w:p>
        </w:tc>
        <w:tc>
          <w:tcPr>
            <w:tcW w:w="4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515,000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200,000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2" w:type="dxa"/>
              <w:bottom w:w="0" w:type="dxa"/>
              <w:right w:w="0" w:type="dxa"/>
            </w:tcMar>
            <w:vAlign w:val="bottom"/>
            <w:hideMark/>
          </w:tcPr>
          <w:p w:rsidR="00000000" w:rsidRDefault="00B64763">
            <w:pPr>
              <w:rPr>
                <w:rFonts w:eastAsia="Times New Roman"/>
                <w:sz w:val="20"/>
                <w:szCs w:val="20"/>
              </w:rPr>
            </w:pPr>
            <w:r>
              <w:rPr>
                <w:rFonts w:eastAsia="Times New Roman"/>
                <w:sz w:val="20"/>
                <w:szCs w:val="20"/>
              </w:rPr>
              <w:t>B. Accrued interest income</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41,000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2" w:type="dxa"/>
              <w:bottom w:w="0" w:type="dxa"/>
              <w:right w:w="0" w:type="dxa"/>
            </w:tcMar>
            <w:vAlign w:val="bottom"/>
            <w:hideMark/>
          </w:tcPr>
          <w:p w:rsidR="00000000" w:rsidRDefault="00B64763">
            <w:pPr>
              <w:rPr>
                <w:rFonts w:eastAsia="Times New Roman"/>
                <w:sz w:val="20"/>
                <w:szCs w:val="20"/>
              </w:rPr>
            </w:pPr>
            <w:r>
              <w:rPr>
                <w:rFonts w:eastAsia="Times New Roman"/>
                <w:sz w:val="20"/>
                <w:szCs w:val="20"/>
              </w:rPr>
              <w:t>C. Investment in Winners, Inc.</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35,000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2" w:type="dxa"/>
              <w:bottom w:w="0" w:type="dxa"/>
              <w:right w:w="0" w:type="dxa"/>
            </w:tcMar>
            <w:vAlign w:val="bottom"/>
            <w:hideMark/>
          </w:tcPr>
          <w:p w:rsidR="00000000" w:rsidRDefault="00B64763">
            <w:pPr>
              <w:rPr>
                <w:rFonts w:eastAsia="Times New Roman"/>
                <w:sz w:val="20"/>
                <w:szCs w:val="20"/>
              </w:rPr>
            </w:pPr>
            <w:r>
              <w:rPr>
                <w:rFonts w:eastAsia="Times New Roman"/>
                <w:sz w:val="20"/>
                <w:szCs w:val="20"/>
              </w:rPr>
              <w:t>D. Option to acquire common shares of Winners, Inc.</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2"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E. Investment in Winners, Inc. equity investment method</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105,000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2" w:type="dxa"/>
              <w:bottom w:w="50" w:type="dxa"/>
              <w:right w:w="0" w:type="dxa"/>
            </w:tcMar>
            <w:vAlign w:val="bottom"/>
            <w:hideMark/>
          </w:tcPr>
          <w:p w:rsidR="00000000" w:rsidRDefault="00B64763">
            <w:pPr>
              <w:rPr>
                <w:rFonts w:eastAsia="Times New Roman"/>
                <w:sz w:val="22"/>
                <w:szCs w:val="22"/>
              </w:rPr>
            </w:pPr>
            <w:r>
              <w:rPr>
                <w:rFonts w:eastAsia="Times New Roman"/>
                <w:sz w:val="22"/>
                <w:szCs w:val="22"/>
              </w:rPr>
              <w:t> </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661,000</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335,000</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B64763">
            <w:pPr>
              <w:rPr>
                <w:rFonts w:eastAsia="Times New Roman"/>
                <w:sz w:val="20"/>
                <w:szCs w:val="20"/>
              </w:rPr>
            </w:pPr>
            <w:r>
              <w:rPr>
                <w:rFonts w:eastAsia="Times New Roman"/>
                <w:i/>
                <w:iCs/>
                <w:sz w:val="20"/>
                <w:szCs w:val="20"/>
              </w:rPr>
              <w:t>A.</w:t>
            </w:r>
          </w:p>
        </w:tc>
        <w:tc>
          <w:tcPr>
            <w:tcW w:w="0" w:type="auto"/>
            <w:hideMark/>
          </w:tcPr>
          <w:p w:rsidR="00000000" w:rsidRDefault="00B64763">
            <w:pPr>
              <w:rPr>
                <w:rFonts w:eastAsia="Times New Roman"/>
                <w:sz w:val="20"/>
                <w:szCs w:val="20"/>
              </w:rPr>
            </w:pPr>
            <w:r>
              <w:rPr>
                <w:rFonts w:eastAsia="Times New Roman"/>
                <w:i/>
                <w:iCs/>
                <w:sz w:val="20"/>
                <w:szCs w:val="20"/>
                <w:u w:val="single"/>
              </w:rPr>
              <w:t>Note Receivable</w:t>
            </w:r>
          </w:p>
        </w:tc>
      </w:tr>
    </w:tbl>
    <w:p w:rsidR="00000000" w:rsidRDefault="00B64763">
      <w:pPr>
        <w:pStyle w:val="a3"/>
        <w:spacing w:before="0" w:beforeAutospacing="0" w:after="0" w:afterAutospacing="0"/>
        <w:ind w:left="739" w:right="667"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In July, 2020, the Company received a promissory note in the amount of </w:t>
      </w:r>
      <w:r>
        <w:rPr>
          <w:sz w:val="20"/>
          <w:szCs w:val="20"/>
        </w:rPr>
        <w:t xml:space="preserve">$350,000 from Winners Inc., formerly known as GoooGreen, Inc. in exchange for cash. Winners Inc. (OTC:WNRS)(www.vegaswinners.com) is engaged in the business of sports gambling research, data, advice, analysis and predictions utilizing all available media, </w:t>
      </w:r>
      <w:r>
        <w:rPr>
          <w:sz w:val="20"/>
          <w:szCs w:val="20"/>
        </w:rPr>
        <w:t>advertising formats and its database of users. The business and customers of Winners is expected to compliment and benefit that of the Company.</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33387115"/>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2</w:t>
            </w:r>
            <w:r>
              <w:rPr>
                <w:rFonts w:eastAsia="Times New Roman"/>
                <w:sz w:val="20"/>
                <w:szCs w:val="20"/>
              </w:rPr>
              <w:t>8</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note is secured by all tangible and intangible assets of Winners Inc., bears interest at a rate </w:t>
      </w:r>
      <w:r>
        <w:rPr>
          <w:sz w:val="20"/>
          <w:szCs w:val="20"/>
        </w:rPr>
        <w:t xml:space="preserve">of 10% per annum and matured on August 11, 2021. Subsequent to the receipt of the promissory note, a total of $150,000 has been collected. The balance of the note receivable as of September 30, 2020 is </w:t>
      </w:r>
      <w:r>
        <w:rPr>
          <w:spacing w:val="-28"/>
          <w:sz w:val="20"/>
          <w:szCs w:val="20"/>
        </w:rPr>
        <w:t xml:space="preserve">$ </w:t>
      </w:r>
      <w:r>
        <w:rPr>
          <w:sz w:val="20"/>
          <w:szCs w:val="20"/>
        </w:rPr>
        <w:t>200,000. This note is past due as of September 30, 2</w:t>
      </w:r>
      <w:r>
        <w:rPr>
          <w:sz w:val="20"/>
          <w:szCs w:val="20"/>
        </w:rPr>
        <w:t>021</w:t>
      </w:r>
    </w:p>
    <w:p w:rsidR="00000000" w:rsidRDefault="00B64763">
      <w:pPr>
        <w:pStyle w:val="a3"/>
        <w:spacing w:before="0" w:beforeAutospacing="0" w:after="0" w:afterAutospacing="0"/>
        <w:ind w:left="739" w:firstLine="719"/>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During the year ended September 30, 2021, the Company received two promissory notes from Winners Inc. in the aggregate of $315,000. The promissory notes are secured by tangible and intangible assets of Winners, Inc., bears interest at a rate of 10% p</w:t>
      </w:r>
      <w:r>
        <w:rPr>
          <w:sz w:val="20"/>
          <w:szCs w:val="20"/>
        </w:rPr>
        <w:t>er annum and will mature in November and December 2021.</w:t>
      </w:r>
    </w:p>
    <w:p w:rsidR="00000000" w:rsidRDefault="00B64763">
      <w:pPr>
        <w:pStyle w:val="a3"/>
        <w:spacing w:before="0" w:beforeAutospacing="0" w:after="0" w:afterAutospacing="0"/>
        <w:ind w:left="739" w:firstLine="719"/>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balance of the notes receivable as of September 30, 2021 is </w:t>
      </w:r>
      <w:r>
        <w:rPr>
          <w:spacing w:val="-28"/>
          <w:sz w:val="20"/>
          <w:szCs w:val="20"/>
        </w:rPr>
        <w:t xml:space="preserve">$ </w:t>
      </w:r>
      <w:r>
        <w:rPr>
          <w:sz w:val="20"/>
          <w:szCs w:val="20"/>
        </w:rPr>
        <w:t>515,000 with $200,000 past due. Subsequent to September 30, 2021, the Company has received $425,000 in principal from the notes rece</w:t>
      </w:r>
      <w:r>
        <w:rPr>
          <w:sz w:val="20"/>
          <w:szCs w:val="20"/>
        </w:rPr>
        <w:t>ivable.</w:t>
      </w:r>
    </w:p>
    <w:p w:rsidR="00000000" w:rsidRDefault="00B64763">
      <w:pPr>
        <w:pStyle w:val="a3"/>
        <w:spacing w:before="0" w:beforeAutospacing="0" w:after="0" w:afterAutospacing="0"/>
        <w:ind w:left="739" w:firstLine="719"/>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B64763">
            <w:pPr>
              <w:rPr>
                <w:rFonts w:eastAsia="Times New Roman"/>
                <w:sz w:val="20"/>
                <w:szCs w:val="20"/>
              </w:rPr>
            </w:pPr>
            <w:r>
              <w:rPr>
                <w:rFonts w:eastAsia="Times New Roman"/>
                <w:i/>
                <w:iCs/>
                <w:sz w:val="20"/>
                <w:szCs w:val="20"/>
              </w:rPr>
              <w:t>B.</w:t>
            </w:r>
          </w:p>
        </w:tc>
        <w:tc>
          <w:tcPr>
            <w:tcW w:w="0" w:type="auto"/>
            <w:hideMark/>
          </w:tcPr>
          <w:p w:rsidR="00000000" w:rsidRDefault="00B64763">
            <w:pPr>
              <w:rPr>
                <w:rFonts w:eastAsia="Times New Roman"/>
                <w:sz w:val="20"/>
                <w:szCs w:val="20"/>
              </w:rPr>
            </w:pPr>
            <w:r>
              <w:rPr>
                <w:rFonts w:eastAsia="Times New Roman"/>
                <w:i/>
                <w:iCs/>
                <w:sz w:val="20"/>
                <w:szCs w:val="20"/>
                <w:u w:val="single"/>
              </w:rPr>
              <w:t>Accrued interest income</w:t>
            </w:r>
          </w:p>
        </w:tc>
      </w:tr>
    </w:tbl>
    <w:p w:rsidR="00000000" w:rsidRDefault="00B64763">
      <w:pPr>
        <w:pStyle w:val="a3"/>
        <w:spacing w:before="0" w:beforeAutospacing="0" w:after="0" w:afterAutospacing="0"/>
        <w:rPr>
          <w:sz w:val="20"/>
          <w:szCs w:val="20"/>
        </w:rPr>
      </w:pPr>
      <w:r>
        <w:rPr>
          <w:i/>
          <w:iCs/>
          <w:sz w:val="20"/>
          <w:szCs w:val="20"/>
        </w:rPr>
        <w:t> </w:t>
      </w:r>
    </w:p>
    <w:p w:rsidR="00000000" w:rsidRDefault="00B64763">
      <w:pPr>
        <w:pStyle w:val="a3"/>
        <w:spacing w:before="0" w:beforeAutospacing="0" w:after="0" w:afterAutospacing="0"/>
        <w:ind w:firstLine="720"/>
        <w:jc w:val="both"/>
        <w:rPr>
          <w:sz w:val="20"/>
          <w:szCs w:val="20"/>
        </w:rPr>
      </w:pPr>
      <w:r>
        <w:rPr>
          <w:sz w:val="20"/>
          <w:szCs w:val="20"/>
        </w:rPr>
        <w:tab/>
        <w:t xml:space="preserve">During </w:t>
      </w:r>
      <w:r>
        <w:rPr>
          <w:sz w:val="20"/>
          <w:szCs w:val="20"/>
        </w:rPr>
        <w:t>the year ended September 30, 2021, the Company recorded interest income receivable of $41,000 from the notes receivable.</w:t>
      </w:r>
    </w:p>
    <w:p w:rsidR="00000000" w:rsidRDefault="00B64763">
      <w:pPr>
        <w:pStyle w:val="a3"/>
        <w:spacing w:before="0" w:beforeAutospacing="0" w:after="0" w:afterAutospacing="0"/>
        <w:ind w:left="739" w:firstLine="719"/>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B64763">
            <w:pPr>
              <w:rPr>
                <w:rFonts w:eastAsia="Times New Roman"/>
                <w:sz w:val="20"/>
                <w:szCs w:val="20"/>
              </w:rPr>
            </w:pPr>
            <w:r>
              <w:rPr>
                <w:rFonts w:eastAsia="Times New Roman"/>
                <w:i/>
                <w:iCs/>
                <w:sz w:val="20"/>
                <w:szCs w:val="20"/>
              </w:rPr>
              <w:t>C.</w:t>
            </w:r>
          </w:p>
        </w:tc>
        <w:tc>
          <w:tcPr>
            <w:tcW w:w="0" w:type="auto"/>
            <w:hideMark/>
          </w:tcPr>
          <w:p w:rsidR="00000000" w:rsidRDefault="00B64763">
            <w:pPr>
              <w:jc w:val="both"/>
              <w:rPr>
                <w:rFonts w:eastAsia="Times New Roman"/>
                <w:sz w:val="20"/>
                <w:szCs w:val="20"/>
              </w:rPr>
            </w:pPr>
            <w:r>
              <w:rPr>
                <w:rFonts w:eastAsia="Times New Roman"/>
                <w:i/>
                <w:iCs/>
                <w:sz w:val="20"/>
                <w:szCs w:val="20"/>
                <w:u w:val="single"/>
              </w:rPr>
              <w:t>Investment in Winners Inc.</w:t>
            </w:r>
          </w:p>
        </w:tc>
      </w:tr>
    </w:tbl>
    <w:p w:rsidR="00000000" w:rsidRDefault="00B64763">
      <w:pPr>
        <w:pStyle w:val="a3"/>
        <w:spacing w:before="0" w:beforeAutospacing="0" w:after="0" w:afterAutospacing="0"/>
        <w:rPr>
          <w:sz w:val="19"/>
          <w:szCs w:val="19"/>
        </w:rPr>
      </w:pPr>
      <w:r>
        <w:rPr>
          <w:i/>
          <w:iCs/>
          <w:sz w:val="20"/>
          <w:szCs w:val="20"/>
        </w:rPr>
        <w:t> </w:t>
      </w:r>
    </w:p>
    <w:p w:rsidR="00000000" w:rsidRDefault="00B64763">
      <w:pPr>
        <w:pStyle w:val="a3"/>
        <w:spacing w:before="0" w:beforeAutospacing="0" w:after="0" w:afterAutospacing="0"/>
        <w:ind w:firstLine="720"/>
        <w:jc w:val="both"/>
        <w:rPr>
          <w:sz w:val="20"/>
          <w:szCs w:val="20"/>
        </w:rPr>
      </w:pPr>
      <w:r>
        <w:rPr>
          <w:sz w:val="20"/>
          <w:szCs w:val="20"/>
        </w:rPr>
        <w:t>In July 2020, the Company purchased 500,000 shares of Winners Inc. common stock representing approxi</w:t>
      </w:r>
      <w:r>
        <w:rPr>
          <w:sz w:val="20"/>
          <w:szCs w:val="20"/>
        </w:rPr>
        <w:t>mately 3% of Winners, Inc. issued and outstanding common stock in exchange for cash of $50,000.</w:t>
      </w:r>
    </w:p>
    <w:p w:rsidR="00000000" w:rsidRDefault="00B64763">
      <w:pPr>
        <w:pStyle w:val="a3"/>
        <w:spacing w:before="0" w:beforeAutospacing="0" w:after="0" w:afterAutospacing="0"/>
        <w:rPr>
          <w:sz w:val="19"/>
          <w:szCs w:val="19"/>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 Company accounted for the investment to Winners Inc. pursuant to ASC 320, Investments - Debt and Equity, as the Company’s equity interest does not give it</w:t>
      </w:r>
      <w:r>
        <w:rPr>
          <w:sz w:val="20"/>
          <w:szCs w:val="20"/>
        </w:rPr>
        <w:t xml:space="preserve"> the ability to exercise significant influence (generally less than 20% of an investee’s equity) and accounts for the investment at fair value. The investment is then re-valued at each reporting date, with changes in the fair value reported in the consolid</w:t>
      </w:r>
      <w:r>
        <w:rPr>
          <w:sz w:val="20"/>
          <w:szCs w:val="20"/>
        </w:rPr>
        <w:t>ated statements of operations. As of September 30, 2020, the investment had a fair value of $35,000, resulting in a loss on investment of $15,000 during the year ended September 30, 2020.</w:t>
      </w:r>
    </w:p>
    <w:p w:rsidR="00000000" w:rsidRDefault="00B64763">
      <w:pPr>
        <w:pStyle w:val="a3"/>
        <w:spacing w:before="0" w:beforeAutospacing="0" w:after="0" w:afterAutospacing="0"/>
        <w:ind w:left="739"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On September 8, 2021 the Company started accounting for its invest</w:t>
      </w:r>
      <w:r>
        <w:rPr>
          <w:sz w:val="20"/>
          <w:szCs w:val="20"/>
        </w:rPr>
        <w:t>ment in Winners, Inc as an equity method investment (See Note 6 of the consolidated financial statements)</w:t>
      </w:r>
    </w:p>
    <w:p w:rsidR="00000000" w:rsidRDefault="00B64763">
      <w:pPr>
        <w:pStyle w:val="a3"/>
        <w:spacing w:before="0" w:beforeAutospacing="0" w:after="0" w:afterAutospacing="0"/>
        <w:rPr>
          <w:sz w:val="27"/>
          <w:szCs w:val="27"/>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B64763">
            <w:pPr>
              <w:rPr>
                <w:rFonts w:eastAsia="Times New Roman"/>
                <w:sz w:val="20"/>
                <w:szCs w:val="20"/>
              </w:rPr>
            </w:pPr>
            <w:r>
              <w:rPr>
                <w:rFonts w:eastAsia="Times New Roman"/>
                <w:i/>
                <w:iCs/>
                <w:sz w:val="20"/>
                <w:szCs w:val="20"/>
              </w:rPr>
              <w:t>D.</w:t>
            </w:r>
          </w:p>
        </w:tc>
        <w:tc>
          <w:tcPr>
            <w:tcW w:w="0" w:type="auto"/>
            <w:hideMark/>
          </w:tcPr>
          <w:p w:rsidR="00000000" w:rsidRDefault="00B64763">
            <w:pPr>
              <w:jc w:val="both"/>
              <w:rPr>
                <w:rFonts w:eastAsia="Times New Roman"/>
                <w:sz w:val="20"/>
                <w:szCs w:val="20"/>
              </w:rPr>
            </w:pPr>
            <w:r>
              <w:rPr>
                <w:rFonts w:eastAsia="Times New Roman"/>
                <w:i/>
                <w:iCs/>
                <w:sz w:val="20"/>
                <w:szCs w:val="20"/>
                <w:u w:val="single"/>
              </w:rPr>
              <w:t>Option to acquire common shares of Winners, Inc.</w:t>
            </w:r>
          </w:p>
        </w:tc>
      </w:tr>
    </w:tbl>
    <w:p w:rsidR="00000000" w:rsidRDefault="00B64763">
      <w:pPr>
        <w:pStyle w:val="a3"/>
        <w:spacing w:before="0" w:beforeAutospacing="0" w:after="0" w:afterAutospacing="0"/>
        <w:rPr>
          <w:sz w:val="19"/>
          <w:szCs w:val="19"/>
        </w:rPr>
      </w:pPr>
      <w:r>
        <w:rPr>
          <w:i/>
          <w:iCs/>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In </w:t>
      </w:r>
      <w:r>
        <w:rPr>
          <w:sz w:val="20"/>
          <w:szCs w:val="20"/>
        </w:rPr>
        <w:t xml:space="preserve">August 2020, the Company obtained an option as amended from Thomas Terwilliger, Winners Inc.’s Chief Executive Officer and shareholder, to purchase 149,012,000 (14,901,200 pre-split) common shares for $175,000 for which the Company has provided a $100,000 </w:t>
      </w:r>
      <w:r>
        <w:rPr>
          <w:sz w:val="20"/>
          <w:szCs w:val="20"/>
        </w:rPr>
        <w:t>non-refundable deposit. Once the Company has remitted the remaining $75,000 to Mr. Terwilliger, the option will be exercisable anytime through May 31, 2021 and which was subsequently extended.</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 Company followed the guidance of ASC 321, Investment – Eq</w:t>
      </w:r>
      <w:r>
        <w:rPr>
          <w:sz w:val="20"/>
          <w:szCs w:val="20"/>
        </w:rPr>
        <w:t>uity Securities and accounted the option at cost of $100,000 at September 30, 2020. The remaining balance of $75,000 was paid to Mr. Terwilliger and the option was exercised on September 8, 2020. (See Note 6)</w:t>
      </w:r>
    </w:p>
    <w:p w:rsidR="00000000" w:rsidRDefault="00B64763">
      <w:pPr>
        <w:pStyle w:val="a3"/>
        <w:spacing w:before="0" w:beforeAutospacing="0" w:after="0" w:afterAutospacing="0"/>
        <w:ind w:left="734" w:firstLine="720"/>
        <w:jc w:val="both"/>
        <w:rPr>
          <w:sz w:val="20"/>
          <w:szCs w:val="20"/>
        </w:rPr>
      </w:pPr>
      <w:r>
        <w:rPr>
          <w:sz w:val="20"/>
          <w:szCs w:val="20"/>
        </w:rPr>
        <w:t> </w:t>
      </w:r>
      <w:r>
        <w:rPr>
          <w:i/>
          <w:iCs/>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B64763">
            <w:pPr>
              <w:rPr>
                <w:rFonts w:eastAsia="Times New Roman"/>
                <w:sz w:val="20"/>
                <w:szCs w:val="20"/>
              </w:rPr>
            </w:pPr>
            <w:r>
              <w:rPr>
                <w:rFonts w:eastAsia="Times New Roman"/>
                <w:i/>
                <w:iCs/>
                <w:sz w:val="20"/>
                <w:szCs w:val="20"/>
              </w:rPr>
              <w:t>E.</w:t>
            </w:r>
          </w:p>
        </w:tc>
        <w:tc>
          <w:tcPr>
            <w:tcW w:w="0" w:type="auto"/>
            <w:hideMark/>
          </w:tcPr>
          <w:p w:rsidR="00000000" w:rsidRDefault="00B64763">
            <w:pPr>
              <w:jc w:val="both"/>
              <w:rPr>
                <w:rFonts w:eastAsia="Times New Roman"/>
                <w:sz w:val="20"/>
                <w:szCs w:val="20"/>
              </w:rPr>
            </w:pPr>
            <w:r>
              <w:rPr>
                <w:rFonts w:eastAsia="Times New Roman"/>
                <w:i/>
                <w:iCs/>
                <w:sz w:val="20"/>
                <w:szCs w:val="20"/>
                <w:u w:val="single"/>
              </w:rPr>
              <w:t>Investment in equity method investee - Wi</w:t>
            </w:r>
            <w:r>
              <w:rPr>
                <w:rFonts w:eastAsia="Times New Roman"/>
                <w:i/>
                <w:iCs/>
                <w:sz w:val="20"/>
                <w:szCs w:val="20"/>
                <w:u w:val="single"/>
              </w:rPr>
              <w:t>nners, Inc.</w:t>
            </w:r>
          </w:p>
        </w:tc>
      </w:tr>
    </w:tbl>
    <w:p w:rsidR="00000000" w:rsidRDefault="00B64763">
      <w:pPr>
        <w:pStyle w:val="a3"/>
        <w:spacing w:before="0" w:beforeAutospacing="0" w:after="0" w:afterAutospacing="0"/>
        <w:ind w:left="734"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 remaining balance of $75,000 was paid to Mr. Terwilliger and the option was exercised on September 8, 2020. The Company followed the guidance of ASC 323, Investment - Equity Method and Joint Ventures (See Note 6 of the consolidated finan</w:t>
      </w:r>
      <w:r>
        <w:rPr>
          <w:sz w:val="20"/>
          <w:szCs w:val="20"/>
        </w:rPr>
        <w:t>cial statements)</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20"/>
        <w:gridCol w:w="6866"/>
      </w:tblGrid>
      <w:tr w:rsidR="00000000">
        <w:tc>
          <w:tcPr>
            <w:tcW w:w="720" w:type="dxa"/>
            <w:hideMark/>
          </w:tcPr>
          <w:p w:rsidR="00000000" w:rsidRDefault="00B64763">
            <w:pPr>
              <w:rPr>
                <w:rFonts w:ascii="Calibri" w:eastAsia="Times New Roman" w:hAnsi="Calibri" w:cs="Calibri"/>
                <w:sz w:val="22"/>
                <w:szCs w:val="22"/>
              </w:rPr>
            </w:pPr>
            <w:r>
              <w:rPr>
                <w:rFonts w:eastAsia="Times New Roman"/>
                <w:sz w:val="20"/>
                <w:szCs w:val="20"/>
              </w:rPr>
              <w:t> </w:t>
            </w:r>
          </w:p>
        </w:tc>
        <w:tc>
          <w:tcPr>
            <w:tcW w:w="720" w:type="dxa"/>
            <w:hideMark/>
          </w:tcPr>
          <w:p w:rsidR="00000000" w:rsidRDefault="00B64763">
            <w:pPr>
              <w:rPr>
                <w:rFonts w:ascii="Calibri" w:eastAsia="Times New Roman" w:hAnsi="Calibri" w:cs="Calibri"/>
                <w:sz w:val="22"/>
                <w:szCs w:val="22"/>
              </w:rPr>
            </w:pPr>
            <w:r>
              <w:rPr>
                <w:rFonts w:eastAsia="Times New Roman"/>
                <w:sz w:val="20"/>
                <w:szCs w:val="20"/>
              </w:rPr>
              <w:t>II.</w:t>
            </w:r>
          </w:p>
        </w:tc>
        <w:tc>
          <w:tcPr>
            <w:tcW w:w="0" w:type="auto"/>
            <w:hideMark/>
          </w:tcPr>
          <w:p w:rsidR="00000000" w:rsidRDefault="00B64763">
            <w:pPr>
              <w:jc w:val="both"/>
              <w:rPr>
                <w:rFonts w:eastAsia="Times New Roman"/>
                <w:sz w:val="20"/>
                <w:szCs w:val="20"/>
              </w:rPr>
            </w:pPr>
            <w:r>
              <w:rPr>
                <w:rFonts w:eastAsia="Times New Roman"/>
                <w:sz w:val="20"/>
                <w:szCs w:val="20"/>
                <w:u w:val="single"/>
              </w:rPr>
              <w:t>Consulting Agreements</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As of December 24, 2019, we had entered into a Consulting Agreement with Parcae Capital Corporation, a company affiliated with Frank Magliochetti, our Chairman of the Board and Chief Executive Officer, pur</w:t>
      </w:r>
      <w:r>
        <w:rPr>
          <w:sz w:val="20"/>
          <w:szCs w:val="20"/>
        </w:rPr>
        <w:t>suant to which Parcae has agreed to provide strategic and business development assistance to us for an initial period of three years for $5,000 per month. We have executed an addendum to the Consulting Agreement effective March 1, 2021, Parcae shall be com</w:t>
      </w:r>
      <w:r>
        <w:rPr>
          <w:sz w:val="20"/>
          <w:szCs w:val="20"/>
        </w:rPr>
        <w:t>pensated $23,333 per month.</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We </w:t>
      </w:r>
      <w:r>
        <w:rPr>
          <w:sz w:val="20"/>
          <w:szCs w:val="20"/>
        </w:rPr>
        <w:t>have entered into a Consulting Agreement with Thomas Terwilliger, effective September 1, 2021, to provide services as our Controller. The agreement is for a term of three years. The Agreement is exclusive, subject to certain specified exceptions. Mr. Terwi</w:t>
      </w:r>
      <w:r>
        <w:rPr>
          <w:sz w:val="20"/>
          <w:szCs w:val="20"/>
        </w:rPr>
        <w:t>lliger is to be paid $ $3,500 in cash on a monthly basis.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We have entered into an Officer Agreement with Michael Handelman, effective December 1, 2021, to provide interim services as our Chief Financial Officer. The agreement is for a term of one year wi</w:t>
      </w:r>
      <w:r>
        <w:rPr>
          <w:sz w:val="20"/>
          <w:szCs w:val="20"/>
        </w:rPr>
        <w:t>th automatic renewals for successive one-year periods, unless terminated prior to the beginning of an applicable renewal term. The Agreement is exclusive, subject to certain specified exceptions. Mr. Handelman is to be paid $2,000 worth of restricted share</w:t>
      </w:r>
      <w:r>
        <w:rPr>
          <w:sz w:val="20"/>
          <w:szCs w:val="20"/>
        </w:rPr>
        <w:t>s each month and $4,000 in cash on a monthly basis.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1402823652"/>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2</w:t>
            </w:r>
            <w:r>
              <w:rPr>
                <w:rFonts w:eastAsia="Times New Roman"/>
                <w:sz w:val="20"/>
                <w:szCs w:val="20"/>
              </w:rPr>
              <w:t>9</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20"/>
        <w:gridCol w:w="6866"/>
      </w:tblGrid>
      <w:tr w:rsidR="00000000">
        <w:tc>
          <w:tcPr>
            <w:tcW w:w="720" w:type="dxa"/>
            <w:hideMark/>
          </w:tcPr>
          <w:p w:rsidR="00000000" w:rsidRDefault="00B64763">
            <w:pPr>
              <w:rPr>
                <w:rFonts w:eastAsia="Times New Roman"/>
                <w:sz w:val="20"/>
                <w:szCs w:val="20"/>
              </w:rPr>
            </w:pPr>
            <w:r>
              <w:rPr>
                <w:rFonts w:eastAsia="Times New Roman"/>
                <w:sz w:val="20"/>
                <w:szCs w:val="20"/>
              </w:rPr>
              <w:t> </w:t>
            </w:r>
          </w:p>
        </w:tc>
        <w:tc>
          <w:tcPr>
            <w:tcW w:w="720" w:type="dxa"/>
            <w:hideMark/>
          </w:tcPr>
          <w:p w:rsidR="00000000" w:rsidRDefault="00B64763">
            <w:pPr>
              <w:rPr>
                <w:rFonts w:eastAsia="Times New Roman"/>
                <w:sz w:val="20"/>
                <w:szCs w:val="20"/>
              </w:rPr>
            </w:pPr>
            <w:r>
              <w:rPr>
                <w:rFonts w:eastAsia="Times New Roman"/>
                <w:sz w:val="20"/>
                <w:szCs w:val="20"/>
              </w:rPr>
              <w:t>III.</w:t>
            </w:r>
          </w:p>
        </w:tc>
        <w:tc>
          <w:tcPr>
            <w:tcW w:w="0" w:type="auto"/>
            <w:hideMark/>
          </w:tcPr>
          <w:p w:rsidR="00000000" w:rsidRDefault="00B64763">
            <w:pPr>
              <w:jc w:val="both"/>
              <w:rPr>
                <w:rFonts w:eastAsia="Times New Roman"/>
                <w:sz w:val="20"/>
                <w:szCs w:val="20"/>
              </w:rPr>
            </w:pPr>
            <w:r>
              <w:rPr>
                <w:rFonts w:eastAsia="Times New Roman"/>
                <w:sz w:val="20"/>
                <w:szCs w:val="20"/>
                <w:u w:val="single"/>
              </w:rPr>
              <w:t>Settlement Agreements </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rPr>
          <w:sz w:val="20"/>
          <w:szCs w:val="20"/>
        </w:rPr>
      </w:pPr>
      <w:r>
        <w:rPr>
          <w:sz w:val="20"/>
          <w:szCs w:val="20"/>
        </w:rPr>
        <w:t xml:space="preserve">During the year ended September 30, 2020, the </w:t>
      </w:r>
      <w:r>
        <w:rPr>
          <w:sz w:val="20"/>
          <w:szCs w:val="20"/>
        </w:rPr>
        <w:t xml:space="preserve">Company entered into settlement agreements with certain officers and stockholders for the settlement of unpaid fees in the aggregate of $1,123,000 in exchange for cash payment of $100,000 and issuance of 6,750,000 shares of common stock with fair value of </w:t>
      </w:r>
      <w:r>
        <w:rPr>
          <w:sz w:val="20"/>
          <w:szCs w:val="20"/>
        </w:rPr>
        <w:t>$18,000 as follows:</w:t>
      </w:r>
    </w:p>
    <w:p w:rsidR="00000000" w:rsidRDefault="00B64763">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21"/>
        <w:gridCol w:w="81"/>
        <w:gridCol w:w="100"/>
        <w:gridCol w:w="746"/>
        <w:gridCol w:w="81"/>
        <w:gridCol w:w="81"/>
        <w:gridCol w:w="1576"/>
        <w:gridCol w:w="81"/>
        <w:gridCol w:w="2739"/>
      </w:tblGrid>
      <w:tr w:rsidR="00000000">
        <w:tc>
          <w:tcPr>
            <w:tcW w:w="1700" w:type="pct"/>
            <w:shd w:val="clear" w:color="auto" w:fill="CCEEFF"/>
            <w:vAlign w:val="bottom"/>
            <w:hideMark/>
          </w:tcPr>
          <w:p w:rsidR="00000000" w:rsidRDefault="00B64763">
            <w:pPr>
              <w:rPr>
                <w:rFonts w:eastAsia="Times New Roman"/>
                <w:sz w:val="20"/>
                <w:szCs w:val="20"/>
              </w:rPr>
            </w:pPr>
            <w:r>
              <w:rPr>
                <w:rFonts w:eastAsia="Times New Roman"/>
                <w:sz w:val="20"/>
                <w:szCs w:val="20"/>
              </w:rPr>
              <w:t>Irwin Meyer (Consultant)</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351,200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950" w:type="pct"/>
            <w:shd w:val="clear" w:color="auto" w:fill="CCEEFF"/>
            <w:vAlign w:val="bottom"/>
            <w:hideMark/>
          </w:tcPr>
          <w:p w:rsidR="00000000" w:rsidRDefault="00B64763">
            <w:pPr>
              <w:rPr>
                <w:rFonts w:eastAsia="Times New Roman"/>
                <w:sz w:val="20"/>
                <w:szCs w:val="20"/>
              </w:rPr>
            </w:pPr>
            <w:r>
              <w:rPr>
                <w:rFonts w:eastAsia="Times New Roman"/>
                <w:sz w:val="20"/>
                <w:szCs w:val="20"/>
              </w:rPr>
              <w:t>Consulting Agreement</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1650" w:type="pct"/>
            <w:shd w:val="clear" w:color="auto" w:fill="CCEEFF"/>
            <w:vAlign w:val="bottom"/>
            <w:hideMark/>
          </w:tcPr>
          <w:p w:rsidR="00000000" w:rsidRDefault="00B64763">
            <w:pPr>
              <w:rPr>
                <w:rFonts w:eastAsia="Times New Roman"/>
                <w:sz w:val="20"/>
                <w:szCs w:val="20"/>
              </w:rPr>
            </w:pPr>
            <w:r>
              <w:rPr>
                <w:rFonts w:eastAsia="Times New Roman"/>
                <w:sz w:val="20"/>
                <w:szCs w:val="20"/>
              </w:rPr>
              <w:t>Settled with Cash ($40,000)</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Michael Handelman (Chief Financial Officer)</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200,053</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Consulting Agreement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Settled with Cash ($25,000)</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Michael O’</w:t>
            </w:r>
            <w:r>
              <w:rPr>
                <w:rFonts w:eastAsia="Times New Roman"/>
                <w:sz w:val="20"/>
                <w:szCs w:val="20"/>
              </w:rPr>
              <w:t>Hara (Director)</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91,260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Consulting Agreement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Settled with shares</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Nate Bernard (Former CEO)</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206,299</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Consulting Agreement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Settled with shares</w:t>
            </w:r>
          </w:p>
        </w:tc>
      </w:tr>
      <w:tr w:rsidR="00000000">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Parcae Capital Corp. (Frank Magliochetti)</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200,000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Consulting Agreement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Settled with Cash ($35,000)</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Review, Approval or Ratification of Transactions with Related Persons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Due to the small size of our Company, we do not at this time have a formal written policy regarding the review of related party t</w:t>
      </w:r>
      <w:r>
        <w:rPr>
          <w:sz w:val="20"/>
          <w:szCs w:val="20"/>
        </w:rPr>
        <w:t>ransactions, and rely on our full Board of Directors to review, approve or ratify such transactions and identify and prevent conflicts of interest. Our Board of Directors reviews any such transaction in light of the particular affiliation and interest of a</w:t>
      </w:r>
      <w:r>
        <w:rPr>
          <w:sz w:val="20"/>
          <w:szCs w:val="20"/>
        </w:rPr>
        <w:t xml:space="preserve">ny involved director, officer or other employee or stockholder and, if applicable, any such person’s affiliates or immediate family members. Management aims to present transactions to our Board of Directors for approval before they are entered into or, if </w:t>
      </w:r>
      <w:r>
        <w:rPr>
          <w:sz w:val="20"/>
          <w:szCs w:val="20"/>
        </w:rPr>
        <w:t>that is not possible, for ratification after the transaction has occurred. If our Board of Directors finds that a conflict of interest exists, then it will determine the appropriate action or remedial action, if any. Our Board of Directors approves or rati</w:t>
      </w:r>
      <w:r>
        <w:rPr>
          <w:sz w:val="20"/>
          <w:szCs w:val="20"/>
        </w:rPr>
        <w:t>fies a transaction if it determines that the transaction is consistent with our best interests and the best interest of our stockholders.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Director Independence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Our Board of Directors currently consists of three (3) members: Frank Magliochetti, Thomas T</w:t>
      </w:r>
      <w:r>
        <w:rPr>
          <w:sz w:val="20"/>
          <w:szCs w:val="20"/>
        </w:rPr>
        <w:t>erwilliger and Michael O’Hara. Our Board of Directors undertook a review of the composition of our Board of Directors and the independence of each director. Based upon information requested from and provided by each director concerning their background, em</w:t>
      </w:r>
      <w:r>
        <w:rPr>
          <w:sz w:val="20"/>
          <w:szCs w:val="20"/>
        </w:rPr>
        <w:t>ployment and affiliations, including family relationships, our Board of Directors has determined that Mr. O’Hara qualifies as “independent” as that term is defined by NASDAQ Listing Rule 5605(a) (2).</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Subject to some exceptions, NASDAQ Listing Rule 5605(a</w:t>
      </w:r>
      <w:r>
        <w:rPr>
          <w:sz w:val="20"/>
          <w:szCs w:val="20"/>
        </w:rPr>
        <w:t>)(2) provides that a director will only qualify as an “independent director” if, in the opinion of our Board of Directors, that person does not have a relationship that would interfere with the exercise of independent judgment in carrying out the responsib</w:t>
      </w:r>
      <w:r>
        <w:rPr>
          <w:sz w:val="20"/>
          <w:szCs w:val="20"/>
        </w:rPr>
        <w:t>ilities of a director, and that a director cannot be an “independent director” if (a) the director is, or in the past three years has been, an employee of ours; (b) a member of the director’s immediate family is, or in the past three years has been, an exe</w:t>
      </w:r>
      <w:r>
        <w:rPr>
          <w:sz w:val="20"/>
          <w:szCs w:val="20"/>
        </w:rPr>
        <w:t>cutive officer of ours; (c) the director or a member of the director’s immediate family has received more than $120,000 per year in direct compensation from us within the preceding three years, other than for service as a director or benefits under a tax-q</w:t>
      </w:r>
      <w:r>
        <w:rPr>
          <w:sz w:val="20"/>
          <w:szCs w:val="20"/>
        </w:rPr>
        <w:t>ualified retirement plan or non-discretionary compensation (or, for a family member, as a non-executive employee); (d) the director or a member of the director’s immediate family is a current partner of our independent public accounting firm, or has worked</w:t>
      </w:r>
      <w:r>
        <w:rPr>
          <w:sz w:val="20"/>
          <w:szCs w:val="20"/>
        </w:rPr>
        <w:t xml:space="preserve"> for such firm in any capacity on our audit at any time during the past three years; (e) the director or a member of the director’s immediate family is, or in the past three years has been, employed as an executive officer of a company where one of our exe</w:t>
      </w:r>
      <w:r>
        <w:rPr>
          <w:sz w:val="20"/>
          <w:szCs w:val="20"/>
        </w:rPr>
        <w:t>cutive officers serves on the compensation committee; or (f) the director or a member of the director’s immediate family is an executive officer, partner or controlling shareholder of a company that makes payments to, or receives payments from, us in an am</w:t>
      </w:r>
      <w:r>
        <w:rPr>
          <w:sz w:val="20"/>
          <w:szCs w:val="20"/>
        </w:rPr>
        <w:t>ount which, in any twelve-month period during our past three fiscal years, exceeds the greater of 5% of the recipient’s consolidated gross revenues for that year or $200,000 (except for payments arising solely from investments in our securities or payments</w:t>
      </w:r>
      <w:r>
        <w:rPr>
          <w:sz w:val="20"/>
          <w:szCs w:val="20"/>
        </w:rPr>
        <w:t xml:space="preserve"> under non-discretionary charitable contribution matching programs). Additionally, in order to be considered an independent member of an audit committee under Rule 10A-3 of the Exchange Act, a member of an audit committee may not, other than in his or her </w:t>
      </w:r>
      <w:r>
        <w:rPr>
          <w:sz w:val="20"/>
          <w:szCs w:val="20"/>
        </w:rPr>
        <w:t>capacity as a member of the audit committee, the Board of Directors, or any other committee of the Board of Directors, accept, directly or indirectly, any consulting, advisory, or other compensatory fee from the applicable company or any of its subsidiarie</w:t>
      </w:r>
      <w:r>
        <w:rPr>
          <w:sz w:val="20"/>
          <w:szCs w:val="20"/>
        </w:rPr>
        <w:t>s or otherwise be an affiliated person of the applicable company or any of its subsidiaries.</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1417357399"/>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3</w:t>
            </w:r>
            <w:r>
              <w:rPr>
                <w:rFonts w:eastAsia="Times New Roman"/>
                <w:sz w:val="20"/>
                <w:szCs w:val="20"/>
              </w:rPr>
              <w:t>0</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14.</w:t>
      </w:r>
      <w:r>
        <w:rPr>
          <w:b/>
          <w:bCs/>
          <w:sz w:val="20"/>
          <w:szCs w:val="20"/>
        </w:rPr>
        <w:t xml:space="preserve"> </w:t>
      </w:r>
      <w:r>
        <w:rPr>
          <w:b/>
          <w:bCs/>
          <w:i/>
          <w:iCs/>
          <w:sz w:val="20"/>
          <w:szCs w:val="20"/>
        </w:rPr>
        <w:t>Accounting Fees and Services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following table sets </w:t>
      </w:r>
      <w:r>
        <w:rPr>
          <w:sz w:val="20"/>
          <w:szCs w:val="20"/>
        </w:rPr>
        <w:t>forth the aggregate fees billed to us during the years ended September 30, 2021 and 2020.</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Audit Fees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46"/>
        <w:gridCol w:w="659"/>
        <w:gridCol w:w="100"/>
        <w:gridCol w:w="992"/>
        <w:gridCol w:w="78"/>
        <w:gridCol w:w="659"/>
        <w:gridCol w:w="100"/>
        <w:gridCol w:w="993"/>
        <w:gridCol w:w="79"/>
      </w:tblGrid>
      <w:tr w:rsidR="00000000">
        <w:tc>
          <w:tcPr>
            <w:tcW w:w="0" w:type="auto"/>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2020</w:t>
            </w:r>
          </w:p>
        </w:tc>
      </w:tr>
      <w:tr w:rsidR="00000000">
        <w:tc>
          <w:tcPr>
            <w:tcW w:w="2800" w:type="pct"/>
            <w:shd w:val="clear" w:color="auto" w:fill="CCEEFF"/>
            <w:vAlign w:val="bottom"/>
            <w:hideMark/>
          </w:tcPr>
          <w:p w:rsidR="00000000" w:rsidRDefault="00B64763">
            <w:pPr>
              <w:rPr>
                <w:rFonts w:eastAsia="Times New Roman"/>
                <w:sz w:val="20"/>
                <w:szCs w:val="20"/>
              </w:rPr>
            </w:pPr>
            <w:r>
              <w:rPr>
                <w:rFonts w:eastAsia="Times New Roman"/>
                <w:sz w:val="20"/>
                <w:szCs w:val="20"/>
              </w:rPr>
              <w:t>Salberg &amp; Company P.A</w:t>
            </w:r>
          </w:p>
        </w:tc>
        <w:tc>
          <w:tcPr>
            <w:tcW w:w="4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46,000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Weinberg &amp; Company P.A.</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42,500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i/>
          <w:iCs/>
          <w:sz w:val="20"/>
          <w:szCs w:val="20"/>
        </w:rPr>
        <w:t>Audit Related Fees</w:t>
      </w:r>
    </w:p>
    <w:tbl>
      <w:tblPr>
        <w:tblW w:w="5000" w:type="pct"/>
        <w:tblCellMar>
          <w:left w:w="0" w:type="dxa"/>
          <w:right w:w="0" w:type="dxa"/>
        </w:tblCellMar>
        <w:tblLook w:val="04A0" w:firstRow="1" w:lastRow="0" w:firstColumn="1" w:lastColumn="0" w:noHBand="0" w:noVBand="1"/>
      </w:tblPr>
      <w:tblGrid>
        <w:gridCol w:w="4646"/>
        <w:gridCol w:w="659"/>
        <w:gridCol w:w="100"/>
        <w:gridCol w:w="992"/>
        <w:gridCol w:w="78"/>
        <w:gridCol w:w="659"/>
        <w:gridCol w:w="100"/>
        <w:gridCol w:w="993"/>
        <w:gridCol w:w="79"/>
      </w:tblGrid>
      <w:tr w:rsidR="00000000">
        <w:tc>
          <w:tcPr>
            <w:tcW w:w="2800" w:type="pct"/>
            <w:shd w:val="clear" w:color="auto" w:fill="CCEEFF"/>
            <w:vAlign w:val="bottom"/>
            <w:hideMark/>
          </w:tcPr>
          <w:p w:rsidR="00000000" w:rsidRDefault="00B64763">
            <w:pPr>
              <w:rPr>
                <w:rFonts w:eastAsia="Times New Roman"/>
                <w:sz w:val="20"/>
                <w:szCs w:val="20"/>
              </w:rPr>
            </w:pPr>
            <w:r>
              <w:rPr>
                <w:rFonts w:eastAsia="Times New Roman"/>
                <w:sz w:val="20"/>
                <w:szCs w:val="20"/>
              </w:rPr>
              <w:t>Salberg &amp; Company P.A</w:t>
            </w:r>
          </w:p>
        </w:tc>
        <w:tc>
          <w:tcPr>
            <w:tcW w:w="4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Weinberg &amp; Company P.A.</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i/>
          <w:iCs/>
          <w:sz w:val="20"/>
          <w:szCs w:val="20"/>
        </w:rPr>
        <w:t>Tax Fees</w:t>
      </w:r>
    </w:p>
    <w:tbl>
      <w:tblPr>
        <w:tblW w:w="5000" w:type="pct"/>
        <w:tblCellMar>
          <w:left w:w="0" w:type="dxa"/>
          <w:right w:w="0" w:type="dxa"/>
        </w:tblCellMar>
        <w:tblLook w:val="04A0" w:firstRow="1" w:lastRow="0" w:firstColumn="1" w:lastColumn="0" w:noHBand="0" w:noVBand="1"/>
      </w:tblPr>
      <w:tblGrid>
        <w:gridCol w:w="4646"/>
        <w:gridCol w:w="659"/>
        <w:gridCol w:w="100"/>
        <w:gridCol w:w="992"/>
        <w:gridCol w:w="78"/>
        <w:gridCol w:w="659"/>
        <w:gridCol w:w="100"/>
        <w:gridCol w:w="993"/>
        <w:gridCol w:w="79"/>
      </w:tblGrid>
      <w:tr w:rsidR="00000000">
        <w:tc>
          <w:tcPr>
            <w:tcW w:w="2800" w:type="pct"/>
            <w:shd w:val="clear" w:color="auto" w:fill="CCEEFF"/>
            <w:vAlign w:val="bottom"/>
            <w:hideMark/>
          </w:tcPr>
          <w:p w:rsidR="00000000" w:rsidRDefault="00B64763">
            <w:pPr>
              <w:rPr>
                <w:rFonts w:eastAsia="Times New Roman"/>
                <w:sz w:val="20"/>
                <w:szCs w:val="20"/>
              </w:rPr>
            </w:pPr>
            <w:r>
              <w:rPr>
                <w:rFonts w:eastAsia="Times New Roman"/>
                <w:sz w:val="20"/>
                <w:szCs w:val="20"/>
              </w:rPr>
              <w:t>Salberg &amp; Company P.A</w:t>
            </w:r>
          </w:p>
        </w:tc>
        <w:tc>
          <w:tcPr>
            <w:tcW w:w="4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Weinberg &amp; Company P.A.</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sz w:val="20"/>
          <w:szCs w:val="20"/>
        </w:rPr>
        <w:t>Part IV</w:t>
      </w:r>
    </w:p>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15.</w:t>
      </w:r>
      <w:r>
        <w:rPr>
          <w:b/>
          <w:bCs/>
          <w:sz w:val="20"/>
          <w:szCs w:val="20"/>
        </w:rPr>
        <w:t xml:space="preserve"> </w:t>
      </w:r>
      <w:r>
        <w:rPr>
          <w:b/>
          <w:bCs/>
          <w:i/>
          <w:iCs/>
          <w:sz w:val="20"/>
          <w:szCs w:val="20"/>
        </w:rPr>
        <w:t>Exhibits, Financial Statement Schedules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hd w:val="clear" w:color="auto" w:fill="FFFFFF"/>
        <w:spacing w:before="0" w:beforeAutospacing="0" w:after="0" w:afterAutospacing="0"/>
        <w:jc w:val="both"/>
        <w:rPr>
          <w:sz w:val="20"/>
          <w:szCs w:val="20"/>
        </w:rPr>
      </w:pPr>
      <w:r>
        <w:rPr>
          <w:sz w:val="20"/>
          <w:szCs w:val="20"/>
        </w:rPr>
        <w:t>(a) The following documents are filed as part of this report:</w:t>
      </w:r>
    </w:p>
    <w:p w:rsidR="00000000" w:rsidRDefault="00B64763">
      <w:pPr>
        <w:pStyle w:val="a3"/>
        <w:shd w:val="clear" w:color="auto" w:fill="FFFFFF"/>
        <w:spacing w:before="0" w:beforeAutospacing="0" w:after="0" w:afterAutospacing="0"/>
        <w:jc w:val="both"/>
        <w:rPr>
          <w:sz w:val="20"/>
          <w:szCs w:val="20"/>
        </w:rPr>
      </w:pPr>
      <w:r>
        <w:rPr>
          <w:sz w:val="20"/>
          <w:szCs w:val="20"/>
        </w:rPr>
        <w:t> </w:t>
      </w:r>
    </w:p>
    <w:p w:rsidR="00000000" w:rsidRDefault="00B64763">
      <w:pPr>
        <w:pStyle w:val="a3"/>
        <w:shd w:val="clear" w:color="auto" w:fill="FFFFFF"/>
        <w:spacing w:before="0" w:beforeAutospacing="0" w:after="0" w:afterAutospacing="0"/>
        <w:ind w:firstLine="360"/>
        <w:jc w:val="both"/>
        <w:rPr>
          <w:sz w:val="20"/>
          <w:szCs w:val="20"/>
        </w:rPr>
      </w:pPr>
      <w:r>
        <w:rPr>
          <w:sz w:val="20"/>
          <w:szCs w:val="20"/>
        </w:rPr>
        <w:t>(1) Financial Statements:</w:t>
      </w:r>
    </w:p>
    <w:p w:rsidR="00000000" w:rsidRDefault="00B64763">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36"/>
        <w:gridCol w:w="870"/>
      </w:tblGrid>
      <w:tr w:rsidR="00000000">
        <w:tc>
          <w:tcPr>
            <w:tcW w:w="0" w:type="auto"/>
            <w:shd w:val="clear" w:color="auto" w:fill="CCEEFF"/>
            <w:hideMark/>
          </w:tcPr>
          <w:p w:rsidR="00000000" w:rsidRDefault="00B64763">
            <w:pPr>
              <w:rPr>
                <w:rFonts w:eastAsia="Times New Roman"/>
                <w:sz w:val="20"/>
                <w:szCs w:val="20"/>
              </w:rPr>
            </w:pPr>
            <w:hyperlink w:anchor="f_001" w:history="1">
              <w:r>
                <w:rPr>
                  <w:rStyle w:val="a4"/>
                  <w:rFonts w:eastAsia="Times New Roman"/>
                  <w:sz w:val="20"/>
                  <w:szCs w:val="20"/>
                </w:rPr>
                <w:t>Reports of Independent Registered Public Accounting Firms</w:t>
              </w:r>
            </w:hyperlink>
          </w:p>
        </w:tc>
        <w:tc>
          <w:tcPr>
            <w:tcW w:w="870" w:type="dxa"/>
            <w:shd w:val="clear" w:color="auto" w:fill="CCEEFF"/>
            <w:hideMark/>
          </w:tcPr>
          <w:p w:rsidR="00000000" w:rsidRDefault="00B64763">
            <w:pPr>
              <w:jc w:val="center"/>
              <w:rPr>
                <w:rFonts w:eastAsia="Times New Roman"/>
                <w:sz w:val="20"/>
                <w:szCs w:val="20"/>
              </w:rPr>
            </w:pPr>
            <w:r>
              <w:rPr>
                <w:rFonts w:eastAsia="Times New Roman"/>
                <w:sz w:val="20"/>
                <w:szCs w:val="20"/>
              </w:rPr>
              <w:t>F-2</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B64763">
            <w:pPr>
              <w:rPr>
                <w:rFonts w:eastAsia="Times New Roman"/>
                <w:sz w:val="20"/>
                <w:szCs w:val="20"/>
              </w:rPr>
            </w:pPr>
            <w:hyperlink w:anchor="a_027" w:history="1">
              <w:r>
                <w:rPr>
                  <w:rStyle w:val="a4"/>
                  <w:rFonts w:eastAsia="Times New Roman"/>
                  <w:sz w:val="20"/>
                  <w:szCs w:val="20"/>
                </w:rPr>
                <w:t>Consolidated Balance Sheets</w:t>
              </w:r>
            </w:hyperlink>
          </w:p>
        </w:tc>
        <w:tc>
          <w:tcPr>
            <w:tcW w:w="0" w:type="auto"/>
            <w:shd w:val="clear" w:color="auto" w:fill="CCEEFF"/>
            <w:hideMark/>
          </w:tcPr>
          <w:p w:rsidR="00000000" w:rsidRDefault="00B64763">
            <w:pPr>
              <w:jc w:val="center"/>
              <w:rPr>
                <w:rFonts w:eastAsia="Times New Roman"/>
                <w:sz w:val="20"/>
                <w:szCs w:val="20"/>
              </w:rPr>
            </w:pPr>
            <w:r>
              <w:rPr>
                <w:rFonts w:eastAsia="Times New Roman"/>
                <w:sz w:val="20"/>
                <w:szCs w:val="20"/>
              </w:rPr>
              <w:t>F-5</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B64763">
            <w:pPr>
              <w:rPr>
                <w:rFonts w:eastAsia="Times New Roman"/>
                <w:sz w:val="20"/>
                <w:szCs w:val="20"/>
              </w:rPr>
            </w:pPr>
            <w:hyperlink w:anchor="a_028" w:history="1">
              <w:r>
                <w:rPr>
                  <w:rStyle w:val="a4"/>
                  <w:rFonts w:eastAsia="Times New Roman"/>
                  <w:sz w:val="20"/>
                  <w:szCs w:val="20"/>
                </w:rPr>
                <w:t>Consolidated Statements of Operations</w:t>
              </w:r>
            </w:hyperlink>
          </w:p>
        </w:tc>
        <w:tc>
          <w:tcPr>
            <w:tcW w:w="0" w:type="auto"/>
            <w:shd w:val="clear" w:color="auto" w:fill="CCEEFF"/>
            <w:hideMark/>
          </w:tcPr>
          <w:p w:rsidR="00000000" w:rsidRDefault="00B64763">
            <w:pPr>
              <w:jc w:val="center"/>
              <w:rPr>
                <w:rFonts w:eastAsia="Times New Roman"/>
                <w:sz w:val="20"/>
                <w:szCs w:val="20"/>
              </w:rPr>
            </w:pPr>
            <w:r>
              <w:rPr>
                <w:rFonts w:eastAsia="Times New Roman"/>
                <w:sz w:val="20"/>
                <w:szCs w:val="20"/>
              </w:rPr>
              <w:t>F-6</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B64763">
            <w:pPr>
              <w:rPr>
                <w:rFonts w:eastAsia="Times New Roman"/>
                <w:sz w:val="20"/>
                <w:szCs w:val="20"/>
              </w:rPr>
            </w:pPr>
            <w:hyperlink w:anchor="a_029" w:history="1">
              <w:r>
                <w:rPr>
                  <w:rStyle w:val="a4"/>
                  <w:rFonts w:eastAsia="Times New Roman"/>
                  <w:sz w:val="20"/>
                  <w:szCs w:val="20"/>
                </w:rPr>
                <w:t>Consolidated Statements of Stockholders’ Equity (Deficit)</w:t>
              </w:r>
            </w:hyperlink>
          </w:p>
        </w:tc>
        <w:tc>
          <w:tcPr>
            <w:tcW w:w="0" w:type="auto"/>
            <w:shd w:val="clear" w:color="auto" w:fill="CCEEFF"/>
            <w:hideMark/>
          </w:tcPr>
          <w:p w:rsidR="00000000" w:rsidRDefault="00B64763">
            <w:pPr>
              <w:jc w:val="center"/>
              <w:rPr>
                <w:rFonts w:eastAsia="Times New Roman"/>
                <w:sz w:val="20"/>
                <w:szCs w:val="20"/>
              </w:rPr>
            </w:pPr>
            <w:r>
              <w:rPr>
                <w:rFonts w:eastAsia="Times New Roman"/>
                <w:sz w:val="20"/>
                <w:szCs w:val="20"/>
              </w:rPr>
              <w:t>F-7</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B64763">
            <w:pPr>
              <w:rPr>
                <w:rFonts w:eastAsia="Times New Roman"/>
                <w:sz w:val="20"/>
                <w:szCs w:val="20"/>
              </w:rPr>
            </w:pPr>
            <w:hyperlink w:anchor="a_030" w:history="1">
              <w:r>
                <w:rPr>
                  <w:rStyle w:val="a4"/>
                  <w:rFonts w:eastAsia="Times New Roman"/>
                  <w:sz w:val="20"/>
                  <w:szCs w:val="20"/>
                </w:rPr>
                <w:t>Consolidated Statements of Cash Flows</w:t>
              </w:r>
            </w:hyperlink>
          </w:p>
        </w:tc>
        <w:tc>
          <w:tcPr>
            <w:tcW w:w="0" w:type="auto"/>
            <w:shd w:val="clear" w:color="auto" w:fill="CCEEFF"/>
            <w:hideMark/>
          </w:tcPr>
          <w:p w:rsidR="00000000" w:rsidRDefault="00B64763">
            <w:pPr>
              <w:jc w:val="center"/>
              <w:rPr>
                <w:rFonts w:eastAsia="Times New Roman"/>
                <w:sz w:val="20"/>
                <w:szCs w:val="20"/>
              </w:rPr>
            </w:pPr>
            <w:r>
              <w:rPr>
                <w:rFonts w:eastAsia="Times New Roman"/>
                <w:sz w:val="20"/>
                <w:szCs w:val="20"/>
              </w:rPr>
              <w:t>F-8</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B64763">
            <w:pPr>
              <w:rPr>
                <w:rFonts w:eastAsia="Times New Roman"/>
                <w:sz w:val="20"/>
                <w:szCs w:val="20"/>
              </w:rPr>
            </w:pPr>
            <w:hyperlink w:anchor="a_031" w:history="1">
              <w:r>
                <w:rPr>
                  <w:rStyle w:val="a4"/>
                  <w:rFonts w:eastAsia="Times New Roman"/>
                  <w:sz w:val="20"/>
                  <w:szCs w:val="20"/>
                </w:rPr>
                <w:t>Notes to Consolidated Financial Statements</w:t>
              </w:r>
            </w:hyperlink>
          </w:p>
        </w:tc>
        <w:tc>
          <w:tcPr>
            <w:tcW w:w="0" w:type="auto"/>
            <w:shd w:val="clear" w:color="auto" w:fill="CCEEFF"/>
            <w:hideMark/>
          </w:tcPr>
          <w:p w:rsidR="00000000" w:rsidRDefault="00B64763">
            <w:pPr>
              <w:jc w:val="center"/>
              <w:rPr>
                <w:rFonts w:eastAsia="Times New Roman"/>
                <w:sz w:val="20"/>
                <w:szCs w:val="20"/>
              </w:rPr>
            </w:pPr>
            <w:r>
              <w:rPr>
                <w:rFonts w:eastAsia="Times New Roman"/>
                <w:sz w:val="20"/>
                <w:szCs w:val="20"/>
              </w:rPr>
              <w:t>F-9</w:t>
            </w:r>
          </w:p>
        </w:tc>
      </w:tr>
    </w:tbl>
    <w:p w:rsidR="00000000" w:rsidRDefault="00B64763">
      <w:pPr>
        <w:pStyle w:val="a3"/>
        <w:shd w:val="clear" w:color="auto" w:fill="FFFFFF"/>
        <w:spacing w:before="0" w:beforeAutospacing="0" w:after="0" w:afterAutospacing="0"/>
        <w:jc w:val="both"/>
        <w:rPr>
          <w:sz w:val="20"/>
          <w:szCs w:val="20"/>
        </w:rPr>
      </w:pPr>
      <w:r>
        <w:rPr>
          <w:sz w:val="20"/>
          <w:szCs w:val="20"/>
        </w:rPr>
        <w:t> </w:t>
      </w:r>
    </w:p>
    <w:p w:rsidR="00000000" w:rsidRDefault="00B64763">
      <w:pPr>
        <w:pStyle w:val="a3"/>
        <w:shd w:val="clear" w:color="auto" w:fill="FFFFFF"/>
        <w:spacing w:before="0" w:beforeAutospacing="0" w:after="0" w:afterAutospacing="0"/>
        <w:ind w:firstLine="360"/>
        <w:jc w:val="both"/>
        <w:rPr>
          <w:sz w:val="20"/>
          <w:szCs w:val="20"/>
        </w:rPr>
      </w:pPr>
      <w:r>
        <w:rPr>
          <w:sz w:val="20"/>
          <w:szCs w:val="20"/>
        </w:rPr>
        <w:t>(2) Financial Statement Schedules:</w:t>
      </w:r>
    </w:p>
    <w:p w:rsidR="00000000" w:rsidRDefault="00B64763">
      <w:pPr>
        <w:pStyle w:val="a3"/>
        <w:shd w:val="clear" w:color="auto" w:fill="FFFFFF"/>
        <w:spacing w:before="0" w:beforeAutospacing="0" w:after="0" w:afterAutospacing="0"/>
        <w:ind w:firstLine="360"/>
        <w:jc w:val="both"/>
        <w:rPr>
          <w:sz w:val="20"/>
          <w:szCs w:val="20"/>
        </w:rPr>
      </w:pPr>
      <w:r>
        <w:rPr>
          <w:sz w:val="20"/>
          <w:szCs w:val="20"/>
        </w:rPr>
        <w:t> </w:t>
      </w:r>
    </w:p>
    <w:p w:rsidR="00000000" w:rsidRDefault="00B64763">
      <w:pPr>
        <w:pStyle w:val="a3"/>
        <w:shd w:val="clear" w:color="auto" w:fill="FFFFFF"/>
        <w:spacing w:before="0" w:beforeAutospacing="0" w:after="0" w:afterAutospacing="0"/>
        <w:ind w:firstLine="360"/>
        <w:jc w:val="both"/>
        <w:rPr>
          <w:sz w:val="20"/>
          <w:szCs w:val="20"/>
        </w:rPr>
      </w:pPr>
      <w:r>
        <w:rPr>
          <w:sz w:val="20"/>
          <w:szCs w:val="20"/>
        </w:rPr>
        <w:t xml:space="preserve">All </w:t>
      </w:r>
      <w:r>
        <w:rPr>
          <w:sz w:val="20"/>
          <w:szCs w:val="20"/>
        </w:rPr>
        <w:t>financial statement schedules have been omitted because they are not applicable, not required or the information required is shown in the financial statements or the notes thereto.</w:t>
      </w:r>
    </w:p>
    <w:p w:rsidR="00000000" w:rsidRDefault="00B64763">
      <w:pPr>
        <w:pStyle w:val="a3"/>
        <w:shd w:val="clear" w:color="auto" w:fill="FFFFFF"/>
        <w:spacing w:before="0" w:beforeAutospacing="0" w:after="0" w:afterAutospacing="0"/>
        <w:ind w:firstLine="360"/>
        <w:jc w:val="both"/>
        <w:rPr>
          <w:sz w:val="20"/>
          <w:szCs w:val="20"/>
        </w:rPr>
      </w:pPr>
      <w:r>
        <w:rPr>
          <w:sz w:val="20"/>
          <w:szCs w:val="20"/>
        </w:rPr>
        <w:t> </w:t>
      </w:r>
    </w:p>
    <w:p w:rsidR="00000000" w:rsidRDefault="00B64763">
      <w:pPr>
        <w:pStyle w:val="a3"/>
        <w:shd w:val="clear" w:color="auto" w:fill="FFFFFF"/>
        <w:spacing w:before="0" w:beforeAutospacing="0" w:after="0" w:afterAutospacing="0"/>
        <w:ind w:firstLine="360"/>
        <w:jc w:val="both"/>
        <w:rPr>
          <w:sz w:val="20"/>
          <w:szCs w:val="20"/>
        </w:rPr>
      </w:pPr>
      <w:r>
        <w:rPr>
          <w:sz w:val="20"/>
          <w:szCs w:val="20"/>
        </w:rPr>
        <w:t>(3) Exhibits. The following is a list of exhibits filed as part of this A</w:t>
      </w:r>
      <w:r>
        <w:rPr>
          <w:sz w:val="20"/>
          <w:szCs w:val="20"/>
        </w:rPr>
        <w:t>nnual Report on Form 10-K.</w:t>
      </w:r>
    </w:p>
    <w:p w:rsidR="00000000" w:rsidRDefault="00B64763">
      <w:pPr>
        <w:pStyle w:val="a3"/>
        <w:shd w:val="clear" w:color="auto" w:fill="FFFFFF"/>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1309942099"/>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3</w:t>
            </w:r>
            <w:r>
              <w:rPr>
                <w:rFonts w:eastAsia="Times New Roman"/>
                <w:sz w:val="20"/>
                <w:szCs w:val="20"/>
              </w:rPr>
              <w:t>1</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hd w:val="clear" w:color="auto" w:fill="FFFFFF"/>
        <w:spacing w:before="0" w:beforeAutospacing="0" w:after="0" w:afterAutospacing="0"/>
        <w:ind w:firstLine="360"/>
        <w:jc w:val="both"/>
        <w:rPr>
          <w:sz w:val="20"/>
          <w:szCs w:val="20"/>
        </w:rPr>
      </w:pPr>
      <w:r>
        <w:rPr>
          <w:sz w:val="20"/>
          <w:szCs w:val="20"/>
        </w:rPr>
        <w:t> </w:t>
      </w:r>
    </w:p>
    <w:p w:rsidR="00000000" w:rsidRDefault="00B64763">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1"/>
        <w:gridCol w:w="7475"/>
      </w:tblGrid>
      <w:tr w:rsidR="00000000">
        <w:tc>
          <w:tcPr>
            <w:tcW w:w="500" w:type="pct"/>
            <w:hideMark/>
          </w:tcPr>
          <w:p w:rsidR="00000000" w:rsidRDefault="00B64763">
            <w:pPr>
              <w:rPr>
                <w:rFonts w:eastAsia="Times New Roman"/>
                <w:sz w:val="20"/>
                <w:szCs w:val="20"/>
              </w:rPr>
            </w:pPr>
            <w:r>
              <w:rPr>
                <w:rFonts w:eastAsia="Times New Roman"/>
                <w:b/>
                <w:bCs/>
                <w:sz w:val="20"/>
                <w:szCs w:val="20"/>
              </w:rPr>
              <w:t>Exhibit No.</w:t>
            </w:r>
          </w:p>
        </w:tc>
        <w:tc>
          <w:tcPr>
            <w:tcW w:w="4500" w:type="pct"/>
            <w:vAlign w:val="bottom"/>
            <w:hideMark/>
          </w:tcPr>
          <w:p w:rsidR="00000000" w:rsidRDefault="00B64763">
            <w:pPr>
              <w:jc w:val="both"/>
              <w:rPr>
                <w:rFonts w:eastAsia="Times New Roman"/>
                <w:sz w:val="20"/>
                <w:szCs w:val="20"/>
              </w:rPr>
            </w:pPr>
            <w:r>
              <w:rPr>
                <w:rFonts w:eastAsia="Times New Roman"/>
                <w:b/>
                <w:bCs/>
                <w:sz w:val="20"/>
                <w:szCs w:val="20"/>
              </w:rPr>
              <w:t>Description [DELETE THOSE EXHIBITS RELATING TO CONTRACTS WHICH ARE NO LONGER EXECUTORY]</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2.1</w:t>
            </w:r>
          </w:p>
        </w:tc>
        <w:tc>
          <w:tcPr>
            <w:tcW w:w="0" w:type="auto"/>
            <w:hideMark/>
          </w:tcPr>
          <w:p w:rsidR="00000000" w:rsidRDefault="00B64763">
            <w:pPr>
              <w:jc w:val="both"/>
              <w:rPr>
                <w:rFonts w:eastAsia="Times New Roman"/>
                <w:sz w:val="20"/>
                <w:szCs w:val="20"/>
              </w:rPr>
            </w:pPr>
            <w:hyperlink r:id="rId4" w:history="1">
              <w:r>
                <w:rPr>
                  <w:rStyle w:val="a4"/>
                  <w:rFonts w:eastAsia="Times New Roman"/>
                  <w:sz w:val="20"/>
                  <w:szCs w:val="20"/>
                </w:rPr>
                <w:t>Articles of Incorporation*</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2.2</w:t>
            </w:r>
          </w:p>
        </w:tc>
        <w:tc>
          <w:tcPr>
            <w:tcW w:w="0" w:type="auto"/>
            <w:hideMark/>
          </w:tcPr>
          <w:p w:rsidR="00000000" w:rsidRDefault="00B64763">
            <w:pPr>
              <w:jc w:val="both"/>
              <w:rPr>
                <w:rFonts w:eastAsia="Times New Roman"/>
                <w:sz w:val="20"/>
                <w:szCs w:val="20"/>
              </w:rPr>
            </w:pPr>
            <w:hyperlink r:id="rId5" w:history="1">
              <w:r>
                <w:rPr>
                  <w:rStyle w:val="a4"/>
                  <w:rFonts w:eastAsia="Times New Roman"/>
                  <w:sz w:val="20"/>
                  <w:szCs w:val="20"/>
                </w:rPr>
                <w:t>Agreement and Plan of Merger*</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2.3</w:t>
            </w:r>
          </w:p>
        </w:tc>
        <w:tc>
          <w:tcPr>
            <w:tcW w:w="0" w:type="auto"/>
            <w:hideMark/>
          </w:tcPr>
          <w:p w:rsidR="00000000" w:rsidRDefault="00B64763">
            <w:pPr>
              <w:jc w:val="both"/>
              <w:rPr>
                <w:rFonts w:eastAsia="Times New Roman"/>
                <w:sz w:val="20"/>
                <w:szCs w:val="20"/>
              </w:rPr>
            </w:pPr>
            <w:hyperlink r:id="rId6" w:history="1">
              <w:r>
                <w:rPr>
                  <w:rStyle w:val="a4"/>
                  <w:rFonts w:eastAsia="Times New Roman"/>
                  <w:sz w:val="20"/>
                  <w:szCs w:val="20"/>
                </w:rPr>
                <w:t>Bylaws*</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2.4</w:t>
            </w:r>
          </w:p>
        </w:tc>
        <w:tc>
          <w:tcPr>
            <w:tcW w:w="0" w:type="auto"/>
            <w:hideMark/>
          </w:tcPr>
          <w:p w:rsidR="00000000" w:rsidRDefault="00B64763">
            <w:pPr>
              <w:jc w:val="both"/>
              <w:rPr>
                <w:rFonts w:eastAsia="Times New Roman"/>
                <w:sz w:val="20"/>
                <w:szCs w:val="20"/>
              </w:rPr>
            </w:pPr>
            <w:hyperlink r:id="rId7" w:history="1">
              <w:r>
                <w:rPr>
                  <w:rStyle w:val="a4"/>
                  <w:rFonts w:eastAsia="Times New Roman"/>
                  <w:sz w:val="20"/>
                  <w:szCs w:val="20"/>
                </w:rPr>
                <w:t>Articles of Amendment (Series A Convertible Preferred Stock</w:t>
              </w:r>
              <w:r>
                <w:rPr>
                  <w:rStyle w:val="a4"/>
                  <w:rFonts w:eastAsia="Times New Roman"/>
                  <w:sz w:val="20"/>
                  <w:szCs w:val="20"/>
                </w:rPr>
                <w:t>)*</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3.1</w:t>
            </w:r>
          </w:p>
        </w:tc>
        <w:tc>
          <w:tcPr>
            <w:tcW w:w="0" w:type="auto"/>
            <w:hideMark/>
          </w:tcPr>
          <w:p w:rsidR="00000000" w:rsidRDefault="00B64763">
            <w:pPr>
              <w:jc w:val="both"/>
              <w:rPr>
                <w:rFonts w:eastAsia="Times New Roman"/>
                <w:sz w:val="20"/>
                <w:szCs w:val="20"/>
              </w:rPr>
            </w:pPr>
            <w:hyperlink r:id="rId8" w:history="1">
              <w:r>
                <w:rPr>
                  <w:rStyle w:val="a4"/>
                  <w:rFonts w:eastAsia="Times New Roman"/>
                  <w:sz w:val="20"/>
                  <w:szCs w:val="20"/>
                </w:rPr>
                <w:t>Promissory Notes issued by Winners, Inc.***</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10.1</w:t>
            </w:r>
          </w:p>
        </w:tc>
        <w:tc>
          <w:tcPr>
            <w:tcW w:w="0" w:type="auto"/>
            <w:hideMark/>
          </w:tcPr>
          <w:p w:rsidR="00000000" w:rsidRDefault="00B64763">
            <w:pPr>
              <w:jc w:val="both"/>
              <w:rPr>
                <w:rFonts w:eastAsia="Times New Roman"/>
                <w:sz w:val="20"/>
                <w:szCs w:val="20"/>
              </w:rPr>
            </w:pPr>
            <w:hyperlink r:id="rId9" w:history="1">
              <w:r>
                <w:rPr>
                  <w:rStyle w:val="a4"/>
                  <w:rFonts w:eastAsia="Times New Roman"/>
                  <w:sz w:val="20"/>
                  <w:szCs w:val="20"/>
                </w:rPr>
                <w:t>Application De</w:t>
              </w:r>
              <w:r>
                <w:rPr>
                  <w:rStyle w:val="a4"/>
                  <w:rFonts w:eastAsia="Times New Roman"/>
                  <w:sz w:val="20"/>
                  <w:szCs w:val="20"/>
                </w:rPr>
                <w:t>velopment Agreement dated March 20, 2020 between the Company and InfinixSoft*</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10.2</w:t>
            </w:r>
          </w:p>
        </w:tc>
        <w:tc>
          <w:tcPr>
            <w:tcW w:w="0" w:type="auto"/>
            <w:hideMark/>
          </w:tcPr>
          <w:p w:rsidR="00000000" w:rsidRDefault="00B64763">
            <w:pPr>
              <w:jc w:val="both"/>
              <w:rPr>
                <w:rFonts w:eastAsia="Times New Roman"/>
                <w:sz w:val="20"/>
                <w:szCs w:val="20"/>
              </w:rPr>
            </w:pPr>
            <w:hyperlink r:id="rId10" w:history="1">
              <w:r>
                <w:rPr>
                  <w:rStyle w:val="a4"/>
                  <w:rFonts w:eastAsia="Times New Roman"/>
                  <w:sz w:val="20"/>
                  <w:szCs w:val="20"/>
                </w:rPr>
                <w:t>Addendum to Application Development Agreement dated February 23, 2021 between th</w:t>
              </w:r>
              <w:r>
                <w:rPr>
                  <w:rStyle w:val="a4"/>
                  <w:rFonts w:eastAsia="Times New Roman"/>
                  <w:sz w:val="20"/>
                  <w:szCs w:val="20"/>
                </w:rPr>
                <w:t>e company and InfinixSoft**</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10.3</w:t>
            </w:r>
          </w:p>
        </w:tc>
        <w:tc>
          <w:tcPr>
            <w:tcW w:w="0" w:type="auto"/>
            <w:hideMark/>
          </w:tcPr>
          <w:p w:rsidR="00000000" w:rsidRDefault="00B64763">
            <w:pPr>
              <w:jc w:val="both"/>
              <w:rPr>
                <w:rFonts w:eastAsia="Times New Roman"/>
                <w:sz w:val="20"/>
                <w:szCs w:val="20"/>
              </w:rPr>
            </w:pPr>
            <w:hyperlink r:id="rId11" w:history="1">
              <w:r>
                <w:rPr>
                  <w:rStyle w:val="a4"/>
                  <w:rFonts w:eastAsia="Times New Roman"/>
                  <w:sz w:val="20"/>
                  <w:szCs w:val="20"/>
                </w:rPr>
                <w:t>Director Agreement between the Company and Michael O’Hara with addendum*</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10.4</w:t>
            </w:r>
          </w:p>
        </w:tc>
        <w:tc>
          <w:tcPr>
            <w:tcW w:w="0" w:type="auto"/>
            <w:hideMark/>
          </w:tcPr>
          <w:p w:rsidR="00000000" w:rsidRDefault="00B64763">
            <w:pPr>
              <w:jc w:val="both"/>
              <w:rPr>
                <w:rFonts w:eastAsia="Times New Roman"/>
                <w:sz w:val="20"/>
                <w:szCs w:val="20"/>
              </w:rPr>
            </w:pPr>
            <w:hyperlink r:id="rId12" w:history="1">
              <w:r>
                <w:rPr>
                  <w:rStyle w:val="a4"/>
                  <w:rFonts w:eastAsia="Times New Roman"/>
                  <w:sz w:val="20"/>
                  <w:szCs w:val="20"/>
                </w:rPr>
                <w:t>Director Agreement between the Company and Frank Magliochetti*</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10.5</w:t>
            </w:r>
          </w:p>
        </w:tc>
        <w:tc>
          <w:tcPr>
            <w:tcW w:w="0" w:type="auto"/>
            <w:hideMark/>
          </w:tcPr>
          <w:p w:rsidR="00000000" w:rsidRDefault="00B64763">
            <w:pPr>
              <w:jc w:val="both"/>
              <w:rPr>
                <w:rFonts w:eastAsia="Times New Roman"/>
                <w:sz w:val="20"/>
                <w:szCs w:val="20"/>
              </w:rPr>
            </w:pPr>
            <w:hyperlink r:id="rId13" w:history="1">
              <w:r>
                <w:rPr>
                  <w:rStyle w:val="a4"/>
                  <w:rFonts w:eastAsia="Times New Roman"/>
                  <w:sz w:val="20"/>
                  <w:szCs w:val="20"/>
                </w:rPr>
                <w:t>Addendum to Director Agreement between the Company and</w:t>
              </w:r>
              <w:r>
                <w:rPr>
                  <w:rStyle w:val="a4"/>
                  <w:rFonts w:eastAsia="Times New Roman"/>
                  <w:sz w:val="20"/>
                  <w:szCs w:val="20"/>
                </w:rPr>
                <w:t xml:space="preserve"> Frank Magliochetti</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10.6</w:t>
            </w:r>
          </w:p>
        </w:tc>
        <w:tc>
          <w:tcPr>
            <w:tcW w:w="0" w:type="auto"/>
            <w:hideMark/>
          </w:tcPr>
          <w:p w:rsidR="00000000" w:rsidRDefault="00B64763">
            <w:pPr>
              <w:jc w:val="both"/>
              <w:rPr>
                <w:rFonts w:eastAsia="Times New Roman"/>
                <w:sz w:val="20"/>
                <w:szCs w:val="20"/>
              </w:rPr>
            </w:pPr>
            <w:hyperlink r:id="rId14" w:history="1">
              <w:r>
                <w:rPr>
                  <w:rStyle w:val="a4"/>
                  <w:rFonts w:eastAsia="Times New Roman"/>
                  <w:sz w:val="20"/>
                  <w:szCs w:val="20"/>
                </w:rPr>
                <w:t>Consulting Agreement dated December 24, 2019 between the Company and Parcae Capital Corporation*</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10.7</w:t>
            </w:r>
          </w:p>
        </w:tc>
        <w:tc>
          <w:tcPr>
            <w:tcW w:w="0" w:type="auto"/>
            <w:hideMark/>
          </w:tcPr>
          <w:p w:rsidR="00000000" w:rsidRDefault="00B64763">
            <w:pPr>
              <w:jc w:val="both"/>
              <w:rPr>
                <w:rFonts w:eastAsia="Times New Roman"/>
                <w:sz w:val="20"/>
                <w:szCs w:val="20"/>
              </w:rPr>
            </w:pPr>
            <w:hyperlink r:id="rId15" w:history="1">
              <w:r>
                <w:rPr>
                  <w:rStyle w:val="a4"/>
                  <w:rFonts w:eastAsia="Times New Roman"/>
                  <w:sz w:val="20"/>
                  <w:szCs w:val="20"/>
                </w:rPr>
                <w:t>Addenda to Consulting Agreement dated December 24, 2019 between the Company and Parcae Capital Corporation*</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10.8</w:t>
            </w:r>
          </w:p>
        </w:tc>
        <w:tc>
          <w:tcPr>
            <w:tcW w:w="0" w:type="auto"/>
            <w:hideMark/>
          </w:tcPr>
          <w:p w:rsidR="00000000" w:rsidRDefault="00B64763">
            <w:pPr>
              <w:jc w:val="both"/>
              <w:rPr>
                <w:rFonts w:eastAsia="Times New Roman"/>
                <w:sz w:val="20"/>
                <w:szCs w:val="20"/>
              </w:rPr>
            </w:pPr>
            <w:hyperlink r:id="rId16" w:history="1">
              <w:r>
                <w:rPr>
                  <w:rStyle w:val="a4"/>
                  <w:rFonts w:eastAsia="Times New Roman"/>
                  <w:sz w:val="20"/>
                  <w:szCs w:val="20"/>
                </w:rPr>
                <w:t>Consulting Agreement dated December 24, 2019 between the Company and Leonard Tucker, LLC**</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10.9</w:t>
            </w:r>
          </w:p>
        </w:tc>
        <w:tc>
          <w:tcPr>
            <w:tcW w:w="0" w:type="auto"/>
            <w:hideMark/>
          </w:tcPr>
          <w:p w:rsidR="00000000" w:rsidRDefault="00B64763">
            <w:pPr>
              <w:jc w:val="both"/>
              <w:rPr>
                <w:rFonts w:eastAsia="Times New Roman"/>
                <w:sz w:val="20"/>
                <w:szCs w:val="20"/>
              </w:rPr>
            </w:pPr>
            <w:hyperlink r:id="rId17" w:history="1">
              <w:r>
                <w:rPr>
                  <w:rStyle w:val="a4"/>
                  <w:rFonts w:eastAsia="Times New Roman"/>
                  <w:sz w:val="20"/>
                  <w:szCs w:val="20"/>
                </w:rPr>
                <w:t>Addenda to Consulting A</w:t>
              </w:r>
              <w:r>
                <w:rPr>
                  <w:rStyle w:val="a4"/>
                  <w:rFonts w:eastAsia="Times New Roman"/>
                  <w:sz w:val="20"/>
                  <w:szCs w:val="20"/>
                </w:rPr>
                <w:t>greement dated December 24, 2019 between the Company and Leonard Tucker, LLC*</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10.10</w:t>
            </w:r>
          </w:p>
        </w:tc>
        <w:tc>
          <w:tcPr>
            <w:tcW w:w="0" w:type="auto"/>
            <w:hideMark/>
          </w:tcPr>
          <w:p w:rsidR="00000000" w:rsidRDefault="00B64763">
            <w:pPr>
              <w:jc w:val="both"/>
              <w:rPr>
                <w:rFonts w:eastAsia="Times New Roman"/>
                <w:sz w:val="20"/>
                <w:szCs w:val="20"/>
              </w:rPr>
            </w:pPr>
            <w:hyperlink r:id="rId18" w:history="1">
              <w:r>
                <w:rPr>
                  <w:rStyle w:val="a4"/>
                  <w:rFonts w:eastAsia="Times New Roman"/>
                  <w:sz w:val="20"/>
                  <w:szCs w:val="20"/>
                </w:rPr>
                <w:t>Consulting Agreement dated December 24, 2019 between the Company and Capa Partn</w:t>
              </w:r>
              <w:r>
                <w:rPr>
                  <w:rStyle w:val="a4"/>
                  <w:rFonts w:eastAsia="Times New Roman"/>
                  <w:sz w:val="20"/>
                  <w:szCs w:val="20"/>
                </w:rPr>
                <w:t>ers, Ltd*</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10.11</w:t>
            </w:r>
          </w:p>
        </w:tc>
        <w:tc>
          <w:tcPr>
            <w:tcW w:w="0" w:type="auto"/>
            <w:hideMark/>
          </w:tcPr>
          <w:p w:rsidR="00000000" w:rsidRDefault="00B64763">
            <w:pPr>
              <w:jc w:val="both"/>
              <w:rPr>
                <w:rFonts w:eastAsia="Times New Roman"/>
                <w:sz w:val="20"/>
                <w:szCs w:val="20"/>
              </w:rPr>
            </w:pPr>
            <w:hyperlink r:id="rId19" w:history="1">
              <w:r>
                <w:rPr>
                  <w:rStyle w:val="a4"/>
                  <w:rFonts w:eastAsia="Times New Roman"/>
                  <w:sz w:val="20"/>
                  <w:szCs w:val="20"/>
                </w:rPr>
                <w:t>Consulting Agreement dated December 24, 2019 between the Company and Irwin Meyer*</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10.12</w:t>
            </w:r>
          </w:p>
        </w:tc>
        <w:tc>
          <w:tcPr>
            <w:tcW w:w="0" w:type="auto"/>
            <w:hideMark/>
          </w:tcPr>
          <w:p w:rsidR="00000000" w:rsidRDefault="00B64763">
            <w:pPr>
              <w:jc w:val="both"/>
              <w:rPr>
                <w:rFonts w:eastAsia="Times New Roman"/>
                <w:sz w:val="20"/>
                <w:szCs w:val="20"/>
              </w:rPr>
            </w:pPr>
            <w:hyperlink r:id="rId20" w:history="1">
              <w:r>
                <w:rPr>
                  <w:rStyle w:val="a4"/>
                  <w:rFonts w:eastAsia="Times New Roman"/>
                  <w:sz w:val="20"/>
                  <w:szCs w:val="20"/>
                </w:rPr>
                <w:t xml:space="preserve">Reorganization and Stock Purchase Agreement between the Company and Rebel </w:t>
              </w:r>
              <w:r>
                <w:rPr>
                  <w:rStyle w:val="a4"/>
                  <w:rFonts w:eastAsia="Times New Roman"/>
                  <w:sz w:val="20"/>
                  <w:szCs w:val="20"/>
                </w:rPr>
                <w:t>Blockchain, Inc. dated March 19, 2021**</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10.13</w:t>
            </w:r>
          </w:p>
        </w:tc>
        <w:tc>
          <w:tcPr>
            <w:tcW w:w="0" w:type="auto"/>
            <w:hideMark/>
          </w:tcPr>
          <w:p w:rsidR="00000000" w:rsidRDefault="00B64763">
            <w:pPr>
              <w:jc w:val="both"/>
              <w:rPr>
                <w:rFonts w:eastAsia="Times New Roman"/>
                <w:sz w:val="20"/>
                <w:szCs w:val="20"/>
              </w:rPr>
            </w:pPr>
            <w:hyperlink r:id="rId21" w:history="1">
              <w:r>
                <w:rPr>
                  <w:rStyle w:val="a4"/>
                  <w:rFonts w:eastAsia="Times New Roman"/>
                  <w:sz w:val="20"/>
                  <w:szCs w:val="20"/>
                </w:rPr>
                <w:t>Option Agreement between the Company and Tom Terwilliger**</w:t>
              </w:r>
            </w:hyperlink>
          </w:p>
        </w:tc>
      </w:tr>
      <w:tr w:rsidR="00000000">
        <w:tc>
          <w:tcPr>
            <w:tcW w:w="0" w:type="auto"/>
            <w:hideMark/>
          </w:tcPr>
          <w:p w:rsidR="00000000" w:rsidRDefault="00B64763">
            <w:pPr>
              <w:rPr>
                <w:rFonts w:eastAsia="Times New Roman"/>
                <w:sz w:val="20"/>
                <w:szCs w:val="20"/>
              </w:rPr>
            </w:pPr>
            <w:r>
              <w:rPr>
                <w:rFonts w:eastAsia="Times New Roman"/>
                <w:sz w:val="20"/>
                <w:szCs w:val="20"/>
              </w:rPr>
              <w:t xml:space="preserve">10.14 </w:t>
            </w:r>
          </w:p>
        </w:tc>
        <w:tc>
          <w:tcPr>
            <w:tcW w:w="0" w:type="auto"/>
            <w:hideMark/>
          </w:tcPr>
          <w:p w:rsidR="00000000" w:rsidRDefault="00B64763">
            <w:pPr>
              <w:rPr>
                <w:rFonts w:eastAsia="Times New Roman"/>
                <w:sz w:val="20"/>
                <w:szCs w:val="20"/>
              </w:rPr>
            </w:pPr>
            <w:hyperlink r:id="rId22" w:history="1">
              <w:r>
                <w:rPr>
                  <w:rStyle w:val="a4"/>
                  <w:rFonts w:eastAsia="Times New Roman"/>
                  <w:sz w:val="20"/>
                  <w:szCs w:val="20"/>
                </w:rPr>
                <w:t>Loan Agreement between the Company and Winners, Inc.**</w:t>
              </w:r>
            </w:hyperlink>
            <w:r>
              <w:rPr>
                <w:rFonts w:eastAsia="Times New Roman"/>
                <w:sz w:val="20"/>
                <w:szCs w:val="20"/>
              </w:rPr>
              <w:t xml:space="preserve"> </w:t>
            </w:r>
          </w:p>
        </w:tc>
      </w:tr>
      <w:tr w:rsidR="00000000">
        <w:tc>
          <w:tcPr>
            <w:tcW w:w="0" w:type="auto"/>
            <w:hideMark/>
          </w:tcPr>
          <w:p w:rsidR="00000000" w:rsidRDefault="00B64763">
            <w:pPr>
              <w:rPr>
                <w:rFonts w:eastAsia="Times New Roman"/>
                <w:sz w:val="20"/>
                <w:szCs w:val="20"/>
              </w:rPr>
            </w:pPr>
            <w:r>
              <w:rPr>
                <w:rFonts w:eastAsia="Times New Roman"/>
                <w:sz w:val="20"/>
                <w:szCs w:val="20"/>
              </w:rPr>
              <w:t>10.15</w:t>
            </w:r>
          </w:p>
        </w:tc>
        <w:tc>
          <w:tcPr>
            <w:tcW w:w="0" w:type="auto"/>
            <w:hideMark/>
          </w:tcPr>
          <w:p w:rsidR="00000000" w:rsidRDefault="00B64763">
            <w:pPr>
              <w:rPr>
                <w:rFonts w:eastAsia="Times New Roman"/>
                <w:sz w:val="20"/>
                <w:szCs w:val="20"/>
              </w:rPr>
            </w:pPr>
            <w:hyperlink r:id="rId23" w:history="1">
              <w:r>
                <w:rPr>
                  <w:rStyle w:val="a4"/>
                  <w:rFonts w:eastAsia="Times New Roman"/>
                  <w:sz w:val="20"/>
                  <w:szCs w:val="20"/>
                </w:rPr>
                <w:t>Reorganization and Stock Purchase Agreement dated December 4, 2020 between the Company and Nebula Software Corp.**</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10.16</w:t>
            </w:r>
          </w:p>
        </w:tc>
        <w:tc>
          <w:tcPr>
            <w:tcW w:w="0" w:type="auto"/>
            <w:hideMark/>
          </w:tcPr>
          <w:p w:rsidR="00000000" w:rsidRDefault="00B64763">
            <w:pPr>
              <w:jc w:val="both"/>
              <w:rPr>
                <w:rFonts w:eastAsia="Times New Roman"/>
                <w:sz w:val="20"/>
                <w:szCs w:val="20"/>
              </w:rPr>
            </w:pPr>
            <w:hyperlink r:id="rId24" w:history="1">
              <w:r>
                <w:rPr>
                  <w:rStyle w:val="a4"/>
                  <w:rFonts w:eastAsia="Times New Roman"/>
                  <w:sz w:val="20"/>
                  <w:szCs w:val="20"/>
                </w:rPr>
                <w:t>Officer Agree</w:t>
              </w:r>
              <w:r>
                <w:rPr>
                  <w:rStyle w:val="a4"/>
                  <w:rFonts w:eastAsia="Times New Roman"/>
                  <w:sz w:val="20"/>
                  <w:szCs w:val="20"/>
                </w:rPr>
                <w:t>ment between the Company and Michael Handelman***</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 xml:space="preserve">31.1 </w:t>
            </w:r>
          </w:p>
        </w:tc>
        <w:tc>
          <w:tcPr>
            <w:tcW w:w="0" w:type="auto"/>
            <w:hideMark/>
          </w:tcPr>
          <w:p w:rsidR="00000000" w:rsidRDefault="00B64763">
            <w:pPr>
              <w:jc w:val="both"/>
              <w:rPr>
                <w:rFonts w:eastAsia="Times New Roman"/>
                <w:sz w:val="20"/>
                <w:szCs w:val="20"/>
              </w:rPr>
            </w:pPr>
            <w:hyperlink r:id="rId25" w:history="1">
              <w:r>
                <w:rPr>
                  <w:rStyle w:val="a4"/>
                  <w:rFonts w:eastAsia="Times New Roman"/>
                  <w:sz w:val="20"/>
                  <w:szCs w:val="20"/>
                </w:rPr>
                <w:t>Certification of the Company’s Principal Executive Officer pursuant to Section 302 of the Sarbanes-Oxley Act of 2002, with respect to the registrant’s Report on Form 10-K f</w:t>
              </w:r>
              <w:r>
                <w:rPr>
                  <w:rStyle w:val="a4"/>
                  <w:rFonts w:eastAsia="Times New Roman"/>
                  <w:sz w:val="20"/>
                  <w:szCs w:val="20"/>
                </w:rPr>
                <w:t>or the year ended December 31, 2020.*</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 xml:space="preserve">31.2 </w:t>
            </w:r>
          </w:p>
        </w:tc>
        <w:tc>
          <w:tcPr>
            <w:tcW w:w="0" w:type="auto"/>
            <w:hideMark/>
          </w:tcPr>
          <w:p w:rsidR="00000000" w:rsidRDefault="00B64763">
            <w:pPr>
              <w:jc w:val="both"/>
              <w:rPr>
                <w:rFonts w:eastAsia="Times New Roman"/>
                <w:sz w:val="20"/>
                <w:szCs w:val="20"/>
              </w:rPr>
            </w:pPr>
            <w:hyperlink r:id="rId26" w:history="1">
              <w:r>
                <w:rPr>
                  <w:rStyle w:val="a4"/>
                  <w:rFonts w:eastAsia="Times New Roman"/>
                  <w:sz w:val="20"/>
                  <w:szCs w:val="20"/>
                </w:rPr>
                <w:t xml:space="preserve">Certification of the Company’s Principal Financial Officer pursuant to Section 302 of the Sarbanes-Oxley Act of 2002, with respect to the registrant’s Report on Form 10-K for the year </w:t>
              </w:r>
              <w:r>
                <w:rPr>
                  <w:rStyle w:val="a4"/>
                  <w:rFonts w:eastAsia="Times New Roman"/>
                  <w:sz w:val="20"/>
                  <w:szCs w:val="20"/>
                </w:rPr>
                <w:t>ended December 31, 2020.*</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 xml:space="preserve">32.1 </w:t>
            </w:r>
          </w:p>
        </w:tc>
        <w:tc>
          <w:tcPr>
            <w:tcW w:w="0" w:type="auto"/>
            <w:hideMark/>
          </w:tcPr>
          <w:p w:rsidR="00000000" w:rsidRDefault="00B64763">
            <w:pPr>
              <w:jc w:val="both"/>
              <w:rPr>
                <w:rFonts w:eastAsia="Times New Roman"/>
                <w:sz w:val="20"/>
                <w:szCs w:val="20"/>
              </w:rPr>
            </w:pPr>
            <w:hyperlink r:id="rId27" w:history="1">
              <w:r>
                <w:rPr>
                  <w:rStyle w:val="a4"/>
                  <w:rFonts w:eastAsia="Times New Roman"/>
                  <w:sz w:val="20"/>
                  <w:szCs w:val="20"/>
                </w:rPr>
                <w:t>Certification of the Company’s Principal Executive Officer pursuant to 18 U.S.C. Section 1350, as adopted pursuant to Section 906 of the Sarbanes-Oxley Act of 2002.*</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 xml:space="preserve">32.2 </w:t>
            </w:r>
          </w:p>
        </w:tc>
        <w:tc>
          <w:tcPr>
            <w:tcW w:w="0" w:type="auto"/>
            <w:hideMark/>
          </w:tcPr>
          <w:p w:rsidR="00000000" w:rsidRDefault="00B64763">
            <w:pPr>
              <w:jc w:val="both"/>
              <w:rPr>
                <w:rFonts w:eastAsia="Times New Roman"/>
                <w:sz w:val="20"/>
                <w:szCs w:val="20"/>
              </w:rPr>
            </w:pPr>
            <w:hyperlink r:id="rId28" w:history="1">
              <w:r>
                <w:rPr>
                  <w:rStyle w:val="a4"/>
                  <w:rFonts w:eastAsia="Times New Roman"/>
                  <w:sz w:val="20"/>
                  <w:szCs w:val="20"/>
                </w:rPr>
                <w:t>Certification of the Company’s Principal Financial Officer pursuant to 18 U.S.C. Section 1350, as adopted pursuant to Section 906 of the Sarbanes-Oxley Act of 2002.*</w:t>
              </w:r>
            </w:hyperlink>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xml:space="preserve">101.INS </w:t>
            </w:r>
          </w:p>
        </w:tc>
        <w:tc>
          <w:tcPr>
            <w:tcW w:w="0" w:type="auto"/>
            <w:hideMark/>
          </w:tcPr>
          <w:p w:rsidR="00000000" w:rsidRDefault="00B64763">
            <w:pPr>
              <w:jc w:val="both"/>
              <w:rPr>
                <w:rFonts w:eastAsia="Times New Roman"/>
                <w:sz w:val="20"/>
                <w:szCs w:val="20"/>
              </w:rPr>
            </w:pPr>
            <w:r>
              <w:rPr>
                <w:rFonts w:eastAsia="Times New Roman"/>
                <w:sz w:val="20"/>
                <w:szCs w:val="20"/>
              </w:rPr>
              <w:t>XBRL Instance Document*</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xml:space="preserve">101.SCH </w:t>
            </w:r>
          </w:p>
        </w:tc>
        <w:tc>
          <w:tcPr>
            <w:tcW w:w="0" w:type="auto"/>
            <w:hideMark/>
          </w:tcPr>
          <w:p w:rsidR="00000000" w:rsidRDefault="00B64763">
            <w:pPr>
              <w:jc w:val="both"/>
              <w:rPr>
                <w:rFonts w:eastAsia="Times New Roman"/>
                <w:sz w:val="20"/>
                <w:szCs w:val="20"/>
              </w:rPr>
            </w:pPr>
            <w:r>
              <w:rPr>
                <w:rFonts w:eastAsia="Times New Roman"/>
                <w:sz w:val="20"/>
                <w:szCs w:val="20"/>
              </w:rPr>
              <w:t>XBRL Taxonomy Extension Schema Document*</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xml:space="preserve">101.CAL </w:t>
            </w:r>
          </w:p>
        </w:tc>
        <w:tc>
          <w:tcPr>
            <w:tcW w:w="0" w:type="auto"/>
            <w:hideMark/>
          </w:tcPr>
          <w:p w:rsidR="00000000" w:rsidRDefault="00B64763">
            <w:pPr>
              <w:jc w:val="both"/>
              <w:rPr>
                <w:rFonts w:eastAsia="Times New Roman"/>
                <w:sz w:val="20"/>
                <w:szCs w:val="20"/>
              </w:rPr>
            </w:pPr>
            <w:r>
              <w:rPr>
                <w:rFonts w:eastAsia="Times New Roman"/>
                <w:sz w:val="20"/>
                <w:szCs w:val="20"/>
              </w:rPr>
              <w:t>XBRL Taxonomy Extension Calculation Linkbase Document*</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xml:space="preserve">101.DEF </w:t>
            </w:r>
          </w:p>
        </w:tc>
        <w:tc>
          <w:tcPr>
            <w:tcW w:w="0" w:type="auto"/>
            <w:hideMark/>
          </w:tcPr>
          <w:p w:rsidR="00000000" w:rsidRDefault="00B64763">
            <w:pPr>
              <w:jc w:val="both"/>
              <w:rPr>
                <w:rFonts w:eastAsia="Times New Roman"/>
                <w:sz w:val="20"/>
                <w:szCs w:val="20"/>
              </w:rPr>
            </w:pPr>
            <w:r>
              <w:rPr>
                <w:rFonts w:eastAsia="Times New Roman"/>
                <w:sz w:val="20"/>
                <w:szCs w:val="20"/>
              </w:rPr>
              <w:t>XBRL Taxonomy Extension Definition Linkbase Document*</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xml:space="preserve">101.LAB </w:t>
            </w:r>
          </w:p>
        </w:tc>
        <w:tc>
          <w:tcPr>
            <w:tcW w:w="0" w:type="auto"/>
            <w:hideMark/>
          </w:tcPr>
          <w:p w:rsidR="00000000" w:rsidRDefault="00B64763">
            <w:pPr>
              <w:jc w:val="both"/>
              <w:rPr>
                <w:rFonts w:eastAsia="Times New Roman"/>
                <w:sz w:val="20"/>
                <w:szCs w:val="20"/>
              </w:rPr>
            </w:pPr>
            <w:r>
              <w:rPr>
                <w:rFonts w:eastAsia="Times New Roman"/>
                <w:sz w:val="20"/>
                <w:szCs w:val="20"/>
              </w:rPr>
              <w:t>XBRL Taxonomy Extension Label Linkbase Document*</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xml:space="preserve">101.PRE </w:t>
            </w:r>
          </w:p>
        </w:tc>
        <w:tc>
          <w:tcPr>
            <w:tcW w:w="0" w:type="auto"/>
            <w:hideMark/>
          </w:tcPr>
          <w:p w:rsidR="00000000" w:rsidRDefault="00B64763">
            <w:pPr>
              <w:jc w:val="both"/>
              <w:rPr>
                <w:rFonts w:eastAsia="Times New Roman"/>
                <w:sz w:val="20"/>
                <w:szCs w:val="20"/>
              </w:rPr>
            </w:pPr>
            <w:r>
              <w:rPr>
                <w:rFonts w:eastAsia="Times New Roman"/>
                <w:sz w:val="20"/>
                <w:szCs w:val="20"/>
              </w:rPr>
              <w:t>XBRL Taxonomy Ext</w:t>
            </w:r>
            <w:r>
              <w:rPr>
                <w:rFonts w:eastAsia="Times New Roman"/>
                <w:sz w:val="20"/>
                <w:szCs w:val="20"/>
              </w:rPr>
              <w:t>ension Presentation Linkbase Document*</w:t>
            </w:r>
          </w:p>
        </w:tc>
      </w:tr>
    </w:tbl>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*Filed as an exhibit to the Company’s Offering Statement as amended, which was qualified on June 4, 2020</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**Filed as an exhibit to the Company’s Offering Statement as amended, which was qualified on September 7, 2</w:t>
      </w:r>
      <w:r>
        <w:rPr>
          <w:sz w:val="20"/>
          <w:szCs w:val="20"/>
        </w:rPr>
        <w:t>021</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 Filed herewith</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Item 16.</w:t>
      </w:r>
      <w:r>
        <w:rPr>
          <w:b/>
          <w:bCs/>
          <w:sz w:val="20"/>
          <w:szCs w:val="20"/>
        </w:rPr>
        <w:t xml:space="preserve"> </w:t>
      </w:r>
      <w:r>
        <w:rPr>
          <w:b/>
          <w:bCs/>
          <w:i/>
          <w:iCs/>
          <w:sz w:val="20"/>
          <w:szCs w:val="20"/>
        </w:rPr>
        <w:t>Form 10-K Summary</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None.</w:t>
      </w:r>
    </w:p>
    <w:p w:rsidR="00000000" w:rsidRDefault="00B6476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674191739"/>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3</w:t>
            </w:r>
            <w:r>
              <w:rPr>
                <w:rFonts w:eastAsia="Times New Roman"/>
                <w:sz w:val="20"/>
                <w:szCs w:val="20"/>
              </w:rPr>
              <w:t>2</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sz w:val="20"/>
          <w:szCs w:val="20"/>
        </w:rPr>
        <w:t>SIGNATURES</w:t>
      </w:r>
    </w:p>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Pursuant to the requirements </w:t>
      </w:r>
      <w:r>
        <w:rPr>
          <w:sz w:val="20"/>
          <w:szCs w:val="20"/>
        </w:rPr>
        <w:t>of Section 13 or 15(d) of the Securities Act of 1934, the registrant has duly caused this report to be signed on its behalf by the undersigned, thereunto duly authorized.</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581"/>
        <w:gridCol w:w="3572"/>
      </w:tblGrid>
      <w:tr w:rsidR="00000000">
        <w:tc>
          <w:tcPr>
            <w:tcW w:w="0" w:type="auto"/>
            <w:hideMark/>
          </w:tcPr>
          <w:p w:rsidR="00000000" w:rsidRDefault="00B64763">
            <w:pPr>
              <w:rPr>
                <w:rFonts w:eastAsia="Times New Roman"/>
                <w:sz w:val="20"/>
                <w:szCs w:val="20"/>
              </w:rPr>
            </w:pPr>
            <w:r>
              <w:rPr>
                <w:rFonts w:eastAsia="Times New Roman"/>
                <w:sz w:val="20"/>
                <w:szCs w:val="20"/>
              </w:rPr>
              <w:t>February 11, 2022</w:t>
            </w:r>
          </w:p>
        </w:tc>
        <w:tc>
          <w:tcPr>
            <w:tcW w:w="0" w:type="auto"/>
            <w:gridSpan w:val="2"/>
            <w:hideMark/>
          </w:tcPr>
          <w:p w:rsidR="00000000" w:rsidRDefault="00B64763">
            <w:pPr>
              <w:rPr>
                <w:rFonts w:eastAsia="Times New Roman"/>
                <w:sz w:val="20"/>
                <w:szCs w:val="20"/>
              </w:rPr>
            </w:pPr>
            <w:r>
              <w:rPr>
                <w:rFonts w:eastAsia="Times New Roman"/>
                <w:caps/>
                <w:sz w:val="20"/>
                <w:szCs w:val="20"/>
              </w:rPr>
              <w:t>CLICKSTREAM CORPORATION</w:t>
            </w:r>
          </w:p>
        </w:tc>
      </w:tr>
      <w:tr w:rsidR="00000000">
        <w:tc>
          <w:tcPr>
            <w:tcW w:w="2500" w:type="pct"/>
            <w:hideMark/>
          </w:tcPr>
          <w:p w:rsidR="00000000" w:rsidRDefault="00B64763">
            <w:pPr>
              <w:rPr>
                <w:rFonts w:eastAsia="Times New Roman"/>
                <w:sz w:val="20"/>
                <w:szCs w:val="20"/>
              </w:rPr>
            </w:pPr>
            <w:r>
              <w:rPr>
                <w:rFonts w:eastAsia="Times New Roman"/>
                <w:sz w:val="20"/>
                <w:szCs w:val="20"/>
              </w:rPr>
              <w:t> </w:t>
            </w:r>
          </w:p>
        </w:tc>
        <w:tc>
          <w:tcPr>
            <w:tcW w:w="350" w:type="pct"/>
            <w:hideMark/>
          </w:tcPr>
          <w:p w:rsidR="00000000" w:rsidRDefault="00B64763">
            <w:pPr>
              <w:rPr>
                <w:rFonts w:eastAsia="Times New Roman"/>
                <w:sz w:val="20"/>
                <w:szCs w:val="20"/>
              </w:rPr>
            </w:pPr>
            <w:r>
              <w:rPr>
                <w:rFonts w:eastAsia="Times New Roman"/>
                <w:sz w:val="20"/>
                <w:szCs w:val="20"/>
              </w:rPr>
              <w:t> </w:t>
            </w:r>
          </w:p>
        </w:tc>
        <w:tc>
          <w:tcPr>
            <w:tcW w:w="2150" w:type="pct"/>
            <w:hideMark/>
          </w:tcPr>
          <w:p w:rsidR="00000000" w:rsidRDefault="00B64763">
            <w:pPr>
              <w:rPr>
                <w:rFonts w:eastAsia="Times New Roman"/>
                <w:sz w:val="20"/>
                <w:szCs w:val="20"/>
              </w:rPr>
            </w:pPr>
            <w:r>
              <w:rPr>
                <w:rFonts w:eastAsia="Times New Roman"/>
                <w:sz w:val="20"/>
                <w:szCs w:val="20"/>
              </w:rPr>
              <w:t> </w:t>
            </w:r>
          </w:p>
        </w:tc>
      </w:tr>
      <w:tr w:rsidR="00000000">
        <w:tc>
          <w:tcPr>
            <w:tcW w:w="0" w:type="auto"/>
            <w:tcMar>
              <w:top w:w="0" w:type="dxa"/>
              <w:left w:w="0" w:type="dxa"/>
              <w:bottom w:w="30" w:type="dxa"/>
              <w:right w:w="0" w:type="dxa"/>
            </w:tcMar>
            <w:hideMark/>
          </w:tcPr>
          <w:p w:rsidR="00000000" w:rsidRDefault="00B64763">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rsidR="00000000" w:rsidRDefault="00B64763">
            <w:pPr>
              <w:rPr>
                <w:rFonts w:eastAsia="Times New Roman"/>
                <w:sz w:val="20"/>
                <w:szCs w:val="20"/>
              </w:rPr>
            </w:pPr>
            <w:r>
              <w:rPr>
                <w:rFonts w:eastAsia="Times New Roman"/>
                <w:sz w:val="20"/>
                <w:szCs w:val="20"/>
              </w:rPr>
              <w:t>By:</w:t>
            </w:r>
          </w:p>
        </w:tc>
        <w:tc>
          <w:tcPr>
            <w:tcW w:w="0" w:type="auto"/>
            <w:tcBorders>
              <w:bottom w:val="single" w:sz="8" w:space="0" w:color="000000"/>
            </w:tcBorders>
            <w:hideMark/>
          </w:tcPr>
          <w:p w:rsidR="00000000" w:rsidRDefault="00B64763">
            <w:pPr>
              <w:rPr>
                <w:rFonts w:eastAsia="Times New Roman"/>
                <w:sz w:val="20"/>
                <w:szCs w:val="20"/>
              </w:rPr>
            </w:pPr>
            <w:r>
              <w:rPr>
                <w:rFonts w:eastAsia="Times New Roman"/>
                <w:i/>
                <w:iCs/>
                <w:sz w:val="20"/>
                <w:szCs w:val="20"/>
              </w:rPr>
              <w:t>/s/ Frank Magliochetti</w:t>
            </w:r>
          </w:p>
        </w:tc>
      </w:tr>
      <w:tr w:rsidR="00000000">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Name:</w:t>
            </w:r>
          </w:p>
        </w:tc>
        <w:tc>
          <w:tcPr>
            <w:tcW w:w="0" w:type="auto"/>
            <w:hideMark/>
          </w:tcPr>
          <w:p w:rsidR="00000000" w:rsidRDefault="00B64763">
            <w:pPr>
              <w:rPr>
                <w:rFonts w:eastAsia="Times New Roman"/>
                <w:sz w:val="20"/>
                <w:szCs w:val="20"/>
              </w:rPr>
            </w:pPr>
            <w:r>
              <w:rPr>
                <w:rFonts w:eastAsia="Times New Roman"/>
                <w:sz w:val="20"/>
                <w:szCs w:val="20"/>
              </w:rPr>
              <w:t>Frank Magliochetti</w:t>
            </w:r>
          </w:p>
        </w:tc>
      </w:tr>
      <w:tr w:rsidR="00000000">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Title:</w:t>
            </w:r>
          </w:p>
        </w:tc>
        <w:tc>
          <w:tcPr>
            <w:tcW w:w="0" w:type="auto"/>
            <w:hideMark/>
          </w:tcPr>
          <w:p w:rsidR="00000000" w:rsidRDefault="00B64763">
            <w:pPr>
              <w:rPr>
                <w:rFonts w:eastAsia="Times New Roman"/>
                <w:sz w:val="20"/>
                <w:szCs w:val="20"/>
              </w:rPr>
            </w:pPr>
            <w:r>
              <w:rPr>
                <w:rFonts w:eastAsia="Times New Roman"/>
                <w:sz w:val="20"/>
                <w:szCs w:val="20"/>
              </w:rPr>
              <w:t>Chief Executive Officer</w:t>
            </w:r>
          </w:p>
        </w:tc>
      </w:tr>
    </w:tbl>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Pursuant to the requirements of the Securities Act of 1934, this report has been signed by the following persons in the capacities and on the dates indicated.</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07"/>
        <w:gridCol w:w="166"/>
        <w:gridCol w:w="2990"/>
        <w:gridCol w:w="166"/>
        <w:gridCol w:w="2077"/>
      </w:tblGrid>
      <w:tr w:rsidR="00000000">
        <w:tc>
          <w:tcPr>
            <w:tcW w:w="1750" w:type="pct"/>
            <w:tcBorders>
              <w:bottom w:val="single" w:sz="8" w:space="0" w:color="000000"/>
            </w:tcBorders>
            <w:hideMark/>
          </w:tcPr>
          <w:p w:rsidR="00000000" w:rsidRDefault="00B64763">
            <w:pPr>
              <w:rPr>
                <w:rFonts w:eastAsia="Times New Roman"/>
                <w:sz w:val="20"/>
                <w:szCs w:val="20"/>
              </w:rPr>
            </w:pPr>
            <w:r>
              <w:rPr>
                <w:rFonts w:eastAsia="Times New Roman"/>
                <w:b/>
                <w:bCs/>
                <w:sz w:val="20"/>
                <w:szCs w:val="20"/>
              </w:rPr>
              <w:t>Signature</w:t>
            </w:r>
          </w:p>
        </w:tc>
        <w:tc>
          <w:tcPr>
            <w:tcW w:w="100" w:type="pct"/>
            <w:hideMark/>
          </w:tcPr>
          <w:p w:rsidR="00000000" w:rsidRDefault="00B64763">
            <w:pPr>
              <w:rPr>
                <w:rFonts w:eastAsia="Times New Roman"/>
                <w:sz w:val="20"/>
                <w:szCs w:val="20"/>
              </w:rPr>
            </w:pPr>
            <w:r>
              <w:rPr>
                <w:rFonts w:eastAsia="Times New Roman"/>
                <w:sz w:val="20"/>
                <w:szCs w:val="20"/>
              </w:rPr>
              <w:t> </w:t>
            </w:r>
          </w:p>
        </w:tc>
        <w:tc>
          <w:tcPr>
            <w:tcW w:w="1800" w:type="pct"/>
            <w:tcBorders>
              <w:bottom w:val="single" w:sz="8" w:space="0" w:color="000000"/>
            </w:tcBorders>
            <w:hideMark/>
          </w:tcPr>
          <w:p w:rsidR="00000000" w:rsidRDefault="00B64763">
            <w:pPr>
              <w:rPr>
                <w:rFonts w:eastAsia="Times New Roman"/>
                <w:sz w:val="20"/>
                <w:szCs w:val="20"/>
              </w:rPr>
            </w:pPr>
            <w:r>
              <w:rPr>
                <w:rFonts w:eastAsia="Times New Roman"/>
                <w:b/>
                <w:bCs/>
                <w:sz w:val="20"/>
                <w:szCs w:val="20"/>
              </w:rPr>
              <w:t>Title</w:t>
            </w:r>
          </w:p>
        </w:tc>
        <w:tc>
          <w:tcPr>
            <w:tcW w:w="100" w:type="pct"/>
            <w:hideMark/>
          </w:tcPr>
          <w:p w:rsidR="00000000" w:rsidRDefault="00B64763">
            <w:pPr>
              <w:rPr>
                <w:rFonts w:eastAsia="Times New Roman"/>
                <w:sz w:val="20"/>
                <w:szCs w:val="20"/>
              </w:rPr>
            </w:pPr>
            <w:r>
              <w:rPr>
                <w:rFonts w:eastAsia="Times New Roman"/>
                <w:sz w:val="20"/>
                <w:szCs w:val="20"/>
              </w:rPr>
              <w:t> </w:t>
            </w:r>
          </w:p>
        </w:tc>
        <w:tc>
          <w:tcPr>
            <w:tcW w:w="1250" w:type="pct"/>
            <w:tcBorders>
              <w:bottom w:val="single" w:sz="8" w:space="0" w:color="000000"/>
            </w:tcBorders>
            <w:hideMark/>
          </w:tcPr>
          <w:p w:rsidR="00000000" w:rsidRDefault="00B64763">
            <w:pPr>
              <w:rPr>
                <w:rFonts w:eastAsia="Times New Roman"/>
                <w:sz w:val="20"/>
                <w:szCs w:val="20"/>
              </w:rPr>
            </w:pPr>
            <w:r>
              <w:rPr>
                <w:rFonts w:eastAsia="Times New Roman"/>
                <w:b/>
                <w:bCs/>
                <w:sz w:val="20"/>
                <w:szCs w:val="20"/>
              </w:rPr>
              <w:t>Date</w:t>
            </w:r>
          </w:p>
        </w:tc>
      </w:tr>
      <w:tr w:rsidR="00000000">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r>
      <w:tr w:rsidR="00000000">
        <w:tc>
          <w:tcPr>
            <w:tcW w:w="0" w:type="auto"/>
            <w:tcBorders>
              <w:bottom w:val="single" w:sz="8" w:space="0" w:color="000000"/>
            </w:tcBorders>
            <w:hideMark/>
          </w:tcPr>
          <w:p w:rsidR="00000000" w:rsidRDefault="00B64763">
            <w:pPr>
              <w:rPr>
                <w:rFonts w:eastAsia="Times New Roman"/>
                <w:sz w:val="20"/>
                <w:szCs w:val="20"/>
              </w:rPr>
            </w:pPr>
            <w:r>
              <w:rPr>
                <w:rFonts w:eastAsia="Times New Roman"/>
                <w:i/>
                <w:iCs/>
                <w:sz w:val="20"/>
                <w:szCs w:val="20"/>
              </w:rPr>
              <w:t>/s/ Frank Magliochetti</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r>
      <w:tr w:rsidR="00000000">
        <w:tc>
          <w:tcPr>
            <w:tcW w:w="0" w:type="auto"/>
            <w:hideMark/>
          </w:tcPr>
          <w:p w:rsidR="00000000" w:rsidRDefault="00B64763">
            <w:pPr>
              <w:rPr>
                <w:rFonts w:eastAsia="Times New Roman"/>
                <w:sz w:val="20"/>
                <w:szCs w:val="20"/>
              </w:rPr>
            </w:pPr>
            <w:r>
              <w:rPr>
                <w:rFonts w:eastAsia="Times New Roman"/>
                <w:sz w:val="20"/>
                <w:szCs w:val="20"/>
              </w:rPr>
              <w:t>Frank Magliochetti</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Chief Executive Officer   (Principal Executive Officer)</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February 11, 2022</w:t>
            </w:r>
          </w:p>
        </w:tc>
      </w:tr>
      <w:tr w:rsidR="00000000">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r>
      <w:tr w:rsidR="00000000">
        <w:tc>
          <w:tcPr>
            <w:tcW w:w="0" w:type="auto"/>
            <w:tcBorders>
              <w:bottom w:val="single" w:sz="8" w:space="0" w:color="000000"/>
            </w:tcBorders>
            <w:hideMark/>
          </w:tcPr>
          <w:p w:rsidR="00000000" w:rsidRDefault="00B64763">
            <w:pPr>
              <w:rPr>
                <w:rFonts w:eastAsia="Times New Roman"/>
                <w:sz w:val="20"/>
                <w:szCs w:val="20"/>
              </w:rPr>
            </w:pPr>
            <w:r>
              <w:rPr>
                <w:rFonts w:eastAsia="Times New Roman"/>
                <w:i/>
                <w:iCs/>
                <w:sz w:val="20"/>
                <w:szCs w:val="20"/>
              </w:rPr>
              <w:t xml:space="preserve">/s/Michael Handelman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r>
      <w:tr w:rsidR="00000000">
        <w:tc>
          <w:tcPr>
            <w:tcW w:w="0" w:type="auto"/>
            <w:hideMark/>
          </w:tcPr>
          <w:p w:rsidR="00000000" w:rsidRDefault="00B64763">
            <w:pPr>
              <w:rPr>
                <w:rFonts w:eastAsia="Times New Roman"/>
                <w:sz w:val="20"/>
                <w:szCs w:val="20"/>
              </w:rPr>
            </w:pPr>
            <w:r>
              <w:rPr>
                <w:rFonts w:eastAsia="Times New Roman"/>
                <w:sz w:val="20"/>
                <w:szCs w:val="20"/>
              </w:rPr>
              <w:t>Michael Handelman</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Chief Financial Officer (Principal Financial Officer and Principal Accounting Officer)</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February 11, 2022</w:t>
            </w:r>
          </w:p>
        </w:tc>
      </w:tr>
      <w:tr w:rsidR="00000000">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r>
      <w:tr w:rsidR="00000000">
        <w:tc>
          <w:tcPr>
            <w:tcW w:w="0" w:type="auto"/>
            <w:tcBorders>
              <w:bottom w:val="single" w:sz="8" w:space="0" w:color="000000"/>
            </w:tcBorders>
            <w:hideMark/>
          </w:tcPr>
          <w:p w:rsidR="00000000" w:rsidRDefault="00B64763">
            <w:pPr>
              <w:rPr>
                <w:rFonts w:eastAsia="Times New Roman"/>
                <w:sz w:val="20"/>
                <w:szCs w:val="20"/>
              </w:rPr>
            </w:pPr>
            <w:r>
              <w:rPr>
                <w:rFonts w:eastAsia="Times New Roman"/>
                <w:i/>
                <w:iCs/>
                <w:sz w:val="20"/>
                <w:szCs w:val="20"/>
              </w:rPr>
              <w:t>/s/ Michael O’Hara</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r>
      <w:tr w:rsidR="00000000">
        <w:tc>
          <w:tcPr>
            <w:tcW w:w="0" w:type="auto"/>
            <w:hideMark/>
          </w:tcPr>
          <w:p w:rsidR="00000000" w:rsidRDefault="00B64763">
            <w:pPr>
              <w:rPr>
                <w:rFonts w:eastAsia="Times New Roman"/>
                <w:sz w:val="20"/>
                <w:szCs w:val="20"/>
              </w:rPr>
            </w:pPr>
            <w:r>
              <w:rPr>
                <w:rFonts w:eastAsia="Times New Roman"/>
                <w:sz w:val="20"/>
                <w:szCs w:val="20"/>
              </w:rPr>
              <w:t>Michael O’Hara</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Director</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February 11, 2022</w:t>
            </w:r>
          </w:p>
        </w:tc>
      </w:tr>
      <w:tr w:rsidR="00000000">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r>
      <w:tr w:rsidR="00000000">
        <w:tc>
          <w:tcPr>
            <w:tcW w:w="0" w:type="auto"/>
            <w:tcBorders>
              <w:bottom w:val="single" w:sz="8" w:space="0" w:color="000000"/>
            </w:tcBorders>
            <w:hideMark/>
          </w:tcPr>
          <w:p w:rsidR="00000000" w:rsidRDefault="00B64763">
            <w:pPr>
              <w:rPr>
                <w:rFonts w:eastAsia="Times New Roman"/>
                <w:sz w:val="20"/>
                <w:szCs w:val="20"/>
              </w:rPr>
            </w:pPr>
            <w:r>
              <w:rPr>
                <w:rFonts w:eastAsia="Times New Roman"/>
                <w:i/>
                <w:iCs/>
                <w:sz w:val="20"/>
                <w:szCs w:val="20"/>
              </w:rPr>
              <w:t>/s/ Tom Terwilliger</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r>
      <w:tr w:rsidR="00000000">
        <w:tc>
          <w:tcPr>
            <w:tcW w:w="0" w:type="auto"/>
            <w:hideMark/>
          </w:tcPr>
          <w:p w:rsidR="00000000" w:rsidRDefault="00B64763">
            <w:pPr>
              <w:rPr>
                <w:rFonts w:eastAsia="Times New Roman"/>
                <w:sz w:val="20"/>
                <w:szCs w:val="20"/>
              </w:rPr>
            </w:pPr>
            <w:r>
              <w:rPr>
                <w:rFonts w:eastAsia="Times New Roman"/>
                <w:sz w:val="20"/>
                <w:szCs w:val="20"/>
              </w:rPr>
              <w:t xml:space="preserve">Michael O’Hara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Director</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February 11, 2022</w:t>
            </w:r>
          </w:p>
        </w:tc>
      </w:tr>
    </w:tbl>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divId w:val="1740976916"/>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3</w:t>
            </w:r>
            <w:r>
              <w:rPr>
                <w:rFonts w:eastAsia="Times New Roman"/>
                <w:sz w:val="20"/>
                <w:szCs w:val="20"/>
              </w:rPr>
              <w:t>3</w:t>
            </w:r>
          </w:p>
        </w:tc>
      </w:tr>
    </w:tbl>
    <w:tbl>
      <w:tblPr>
        <w:tblW w:w="5000" w:type="pct"/>
        <w:tblCellSpacing w:w="0" w:type="dxa"/>
        <w:tblCellMar>
          <w:left w:w="0" w:type="dxa"/>
          <w:right w:w="0" w:type="dxa"/>
        </w:tblCellMar>
        <w:tblLook w:val="04A0" w:firstRow="1" w:lastRow="0" w:firstColumn="1" w:lastColumn="0" w:noHBand="0" w:noVBand="1"/>
      </w:tblPr>
      <w:tblGrid>
        <w:gridCol w:w="8306"/>
      </w:tblGrid>
      <w:tr w:rsidR="00000000">
        <w:trPr>
          <w:tblCellSpacing w:w="0" w:type="dxa"/>
        </w:trPr>
        <w:tc>
          <w:tcPr>
            <w:tcW w:w="5000" w:type="pct"/>
            <w:vAlign w:val="center"/>
            <w:hideMark/>
          </w:tcPr>
          <w:p w:rsidR="00000000" w:rsidRDefault="00B64763">
            <w:pPr>
              <w:jc w:val="cente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36"/>
        <w:gridCol w:w="870"/>
      </w:tblGrid>
      <w:tr w:rsidR="00000000">
        <w:tc>
          <w:tcPr>
            <w:tcW w:w="0" w:type="auto"/>
            <w:shd w:val="clear" w:color="auto" w:fill="CCEEFF"/>
            <w:hideMark/>
          </w:tcPr>
          <w:p w:rsidR="00000000" w:rsidRDefault="00B64763">
            <w:pPr>
              <w:rPr>
                <w:rFonts w:eastAsia="Times New Roman"/>
                <w:sz w:val="20"/>
                <w:szCs w:val="20"/>
              </w:rPr>
            </w:pPr>
            <w:hyperlink w:anchor="f_001" w:history="1">
              <w:r>
                <w:rPr>
                  <w:rStyle w:val="a4"/>
                  <w:rFonts w:eastAsia="Times New Roman"/>
                  <w:sz w:val="20"/>
                  <w:szCs w:val="20"/>
                </w:rPr>
                <w:t>Reports of Independent Registered Public Accounting Firm</w:t>
              </w:r>
            </w:hyperlink>
          </w:p>
        </w:tc>
        <w:tc>
          <w:tcPr>
            <w:tcW w:w="870" w:type="dxa"/>
            <w:shd w:val="clear" w:color="auto" w:fill="CCEEFF"/>
            <w:hideMark/>
          </w:tcPr>
          <w:p w:rsidR="00000000" w:rsidRDefault="00B64763">
            <w:pPr>
              <w:jc w:val="center"/>
              <w:rPr>
                <w:rFonts w:eastAsia="Times New Roman"/>
                <w:sz w:val="20"/>
                <w:szCs w:val="20"/>
              </w:rPr>
            </w:pPr>
            <w:r>
              <w:rPr>
                <w:rFonts w:eastAsia="Times New Roman"/>
                <w:sz w:val="20"/>
                <w:szCs w:val="20"/>
              </w:rPr>
              <w:t>F-2</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B64763">
            <w:pPr>
              <w:rPr>
                <w:rFonts w:eastAsia="Times New Roman"/>
                <w:sz w:val="20"/>
                <w:szCs w:val="20"/>
              </w:rPr>
            </w:pPr>
            <w:hyperlink w:anchor="a_027" w:history="1">
              <w:r>
                <w:rPr>
                  <w:rStyle w:val="a4"/>
                  <w:rFonts w:eastAsia="Times New Roman"/>
                  <w:sz w:val="20"/>
                  <w:szCs w:val="20"/>
                </w:rPr>
                <w:t>Consolidated Balance Sheets</w:t>
              </w:r>
            </w:hyperlink>
          </w:p>
        </w:tc>
        <w:tc>
          <w:tcPr>
            <w:tcW w:w="0" w:type="auto"/>
            <w:shd w:val="clear" w:color="auto" w:fill="CCEEFF"/>
            <w:hideMark/>
          </w:tcPr>
          <w:p w:rsidR="00000000" w:rsidRDefault="00B64763">
            <w:pPr>
              <w:jc w:val="center"/>
              <w:rPr>
                <w:rFonts w:eastAsia="Times New Roman"/>
                <w:sz w:val="20"/>
                <w:szCs w:val="20"/>
              </w:rPr>
            </w:pPr>
            <w:r>
              <w:rPr>
                <w:rFonts w:eastAsia="Times New Roman"/>
                <w:sz w:val="20"/>
                <w:szCs w:val="20"/>
              </w:rPr>
              <w:t>F-5</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B64763">
            <w:pPr>
              <w:rPr>
                <w:rFonts w:eastAsia="Times New Roman"/>
                <w:sz w:val="20"/>
                <w:szCs w:val="20"/>
              </w:rPr>
            </w:pPr>
            <w:hyperlink w:anchor="a_028" w:history="1">
              <w:r>
                <w:rPr>
                  <w:rStyle w:val="a4"/>
                  <w:rFonts w:eastAsia="Times New Roman"/>
                  <w:sz w:val="20"/>
                  <w:szCs w:val="20"/>
                </w:rPr>
                <w:t>Consolidated Statements of Operations</w:t>
              </w:r>
            </w:hyperlink>
          </w:p>
        </w:tc>
        <w:tc>
          <w:tcPr>
            <w:tcW w:w="0" w:type="auto"/>
            <w:shd w:val="clear" w:color="auto" w:fill="CCEEFF"/>
            <w:hideMark/>
          </w:tcPr>
          <w:p w:rsidR="00000000" w:rsidRDefault="00B64763">
            <w:pPr>
              <w:jc w:val="center"/>
              <w:rPr>
                <w:rFonts w:eastAsia="Times New Roman"/>
                <w:sz w:val="20"/>
                <w:szCs w:val="20"/>
              </w:rPr>
            </w:pPr>
            <w:r>
              <w:rPr>
                <w:rFonts w:eastAsia="Times New Roman"/>
                <w:sz w:val="20"/>
                <w:szCs w:val="20"/>
              </w:rPr>
              <w:t>F-6</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B64763">
            <w:pPr>
              <w:rPr>
                <w:rFonts w:eastAsia="Times New Roman"/>
                <w:sz w:val="20"/>
                <w:szCs w:val="20"/>
              </w:rPr>
            </w:pPr>
            <w:hyperlink w:anchor="a_029" w:history="1">
              <w:r>
                <w:rPr>
                  <w:rStyle w:val="a4"/>
                  <w:rFonts w:eastAsia="Times New Roman"/>
                  <w:sz w:val="20"/>
                  <w:szCs w:val="20"/>
                </w:rPr>
                <w:t>Consolidated Statements of Stockholders’ Equity (Deficit)</w:t>
              </w:r>
            </w:hyperlink>
          </w:p>
        </w:tc>
        <w:tc>
          <w:tcPr>
            <w:tcW w:w="0" w:type="auto"/>
            <w:shd w:val="clear" w:color="auto" w:fill="CCEEFF"/>
            <w:hideMark/>
          </w:tcPr>
          <w:p w:rsidR="00000000" w:rsidRDefault="00B64763">
            <w:pPr>
              <w:jc w:val="center"/>
              <w:rPr>
                <w:rFonts w:eastAsia="Times New Roman"/>
                <w:sz w:val="20"/>
                <w:szCs w:val="20"/>
              </w:rPr>
            </w:pPr>
            <w:r>
              <w:rPr>
                <w:rFonts w:eastAsia="Times New Roman"/>
                <w:sz w:val="20"/>
                <w:szCs w:val="20"/>
              </w:rPr>
              <w:t>F-7</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B64763">
            <w:pPr>
              <w:rPr>
                <w:rFonts w:eastAsia="Times New Roman"/>
                <w:sz w:val="20"/>
                <w:szCs w:val="20"/>
              </w:rPr>
            </w:pPr>
            <w:hyperlink w:anchor="a_030" w:history="1">
              <w:r>
                <w:rPr>
                  <w:rStyle w:val="a4"/>
                  <w:rFonts w:eastAsia="Times New Roman"/>
                  <w:sz w:val="20"/>
                  <w:szCs w:val="20"/>
                </w:rPr>
                <w:t>Consolidated Statements of Cash Flows</w:t>
              </w:r>
            </w:hyperlink>
          </w:p>
        </w:tc>
        <w:tc>
          <w:tcPr>
            <w:tcW w:w="0" w:type="auto"/>
            <w:shd w:val="clear" w:color="auto" w:fill="CCEEFF"/>
            <w:hideMark/>
          </w:tcPr>
          <w:p w:rsidR="00000000" w:rsidRDefault="00B64763">
            <w:pPr>
              <w:jc w:val="center"/>
              <w:rPr>
                <w:rFonts w:eastAsia="Times New Roman"/>
                <w:sz w:val="20"/>
                <w:szCs w:val="20"/>
              </w:rPr>
            </w:pPr>
            <w:r>
              <w:rPr>
                <w:rFonts w:eastAsia="Times New Roman"/>
                <w:sz w:val="20"/>
                <w:szCs w:val="20"/>
              </w:rPr>
              <w:t>F-8</w:t>
            </w:r>
          </w:p>
        </w:tc>
      </w:tr>
      <w:tr w:rsidR="00000000">
        <w:tc>
          <w:tcPr>
            <w:tcW w:w="0" w:type="auto"/>
            <w:shd w:val="clear" w:color="auto" w:fill="FFFFFF"/>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B64763">
            <w:pPr>
              <w:rPr>
                <w:rFonts w:eastAsia="Times New Roman"/>
                <w:sz w:val="20"/>
                <w:szCs w:val="20"/>
              </w:rPr>
            </w:pPr>
            <w:hyperlink w:anchor="a_031" w:history="1">
              <w:r>
                <w:rPr>
                  <w:rStyle w:val="a4"/>
                  <w:rFonts w:eastAsia="Times New Roman"/>
                  <w:sz w:val="20"/>
                  <w:szCs w:val="20"/>
                </w:rPr>
                <w:t>Notes to Consolidated Financial Statements</w:t>
              </w:r>
            </w:hyperlink>
          </w:p>
        </w:tc>
        <w:tc>
          <w:tcPr>
            <w:tcW w:w="0" w:type="auto"/>
            <w:shd w:val="clear" w:color="auto" w:fill="CCEEFF"/>
            <w:hideMark/>
          </w:tcPr>
          <w:p w:rsidR="00000000" w:rsidRDefault="00B64763">
            <w:pPr>
              <w:jc w:val="center"/>
              <w:rPr>
                <w:rFonts w:eastAsia="Times New Roman"/>
                <w:sz w:val="20"/>
                <w:szCs w:val="20"/>
              </w:rPr>
            </w:pPr>
            <w:r>
              <w:rPr>
                <w:rFonts w:eastAsia="Times New Roman"/>
                <w:sz w:val="20"/>
                <w:szCs w:val="20"/>
              </w:rPr>
              <w:t>F-9</w:t>
            </w:r>
          </w:p>
        </w:tc>
      </w:tr>
    </w:tbl>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center"/>
        <w:divId w:val="1774011322"/>
        <w:rPr>
          <w:sz w:val="20"/>
          <w:szCs w:val="20"/>
        </w:rPr>
      </w:pPr>
      <w:r>
        <w:rPr>
          <w:sz w:val="20"/>
          <w:szCs w:val="20"/>
        </w:rPr>
        <w:t> F</w:t>
      </w:r>
      <w:r>
        <w:rPr>
          <w:sz w:val="20"/>
          <w:szCs w:val="20"/>
        </w:rPr>
        <w:t>-</w:t>
      </w:r>
      <w:r>
        <w:rPr>
          <w:sz w:val="20"/>
          <w:szCs w:val="20"/>
        </w:rPr>
        <w:t>1</w:t>
      </w:r>
    </w:p>
    <w:p w:rsidR="00000000" w:rsidRDefault="00B64763">
      <w:pPr>
        <w:pStyle w:val="a3"/>
        <w:spacing w:before="0" w:beforeAutospacing="0" w:after="0" w:afterAutospacing="0"/>
        <w:divId w:val="1156918558"/>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rFonts w:ascii="Calibri" w:hAnsi="Calibri" w:cs="Calibri"/>
          <w:sz w:val="22"/>
          <w:szCs w:val="22"/>
        </w:rPr>
      </w:pPr>
      <w:r>
        <w:rPr>
          <w:b/>
          <w:bCs/>
          <w:noProof/>
          <w:sz w:val="20"/>
          <w:szCs w:val="20"/>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B64763">
      <w:pPr>
        <w:pStyle w:val="a3"/>
        <w:spacing w:before="0" w:beforeAutospacing="0" w:after="0" w:afterAutospacing="0"/>
        <w:jc w:val="center"/>
        <w:rPr>
          <w:sz w:val="20"/>
          <w:szCs w:val="20"/>
        </w:rPr>
      </w:pPr>
      <w:r>
        <w:rPr>
          <w:b/>
          <w:bCs/>
          <w:sz w:val="20"/>
          <w:szCs w:val="20"/>
        </w:rPr>
        <w:t> </w:t>
      </w:r>
    </w:p>
    <w:p w:rsidR="00000000" w:rsidRDefault="00B64763">
      <w:pPr>
        <w:pStyle w:val="a3"/>
        <w:spacing w:before="0" w:beforeAutospacing="0" w:after="0" w:afterAutospacing="0"/>
        <w:jc w:val="center"/>
        <w:rPr>
          <w:sz w:val="20"/>
          <w:szCs w:val="20"/>
        </w:rPr>
      </w:pPr>
      <w:r>
        <w:rPr>
          <w:b/>
          <w:bCs/>
          <w:sz w:val="20"/>
          <w:szCs w:val="20"/>
        </w:rPr>
        <w:t>Report of Independent Registered Public Accounting Firm</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 xml:space="preserve">To the Board of Directors and Shareholders </w:t>
      </w:r>
      <w:r>
        <w:rPr>
          <w:sz w:val="20"/>
          <w:szCs w:val="20"/>
        </w:rPr>
        <w:t>of:</w:t>
      </w:r>
    </w:p>
    <w:p w:rsidR="00000000" w:rsidRDefault="00B64763">
      <w:pPr>
        <w:pStyle w:val="a3"/>
        <w:spacing w:before="0" w:beforeAutospacing="0" w:after="0" w:afterAutospacing="0"/>
        <w:jc w:val="both"/>
        <w:rPr>
          <w:sz w:val="20"/>
          <w:szCs w:val="20"/>
        </w:rPr>
      </w:pPr>
      <w:r>
        <w:rPr>
          <w:sz w:val="20"/>
          <w:szCs w:val="20"/>
        </w:rPr>
        <w:t>Clickstream Corporation</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u w:val="single"/>
        </w:rPr>
        <w:t>Opinion on the Financial Statements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We have audited the accompanying consolidated balance sheet of Clickstream Corporation and Subsidiaries (the “Company”</w:t>
      </w:r>
      <w:r>
        <w:rPr>
          <w:sz w:val="20"/>
          <w:szCs w:val="20"/>
        </w:rPr>
        <w:t xml:space="preserve">) as of September 30, 2021, the related consolidated statements of operations, changes in stockholders’ equity (deficit), and cash flows, for the year then ended, and the related notes (collectively referred to as the “consolidated financial statements”). </w:t>
      </w:r>
      <w:r>
        <w:rPr>
          <w:sz w:val="20"/>
          <w:szCs w:val="20"/>
        </w:rPr>
        <w:t>In our opinion, the consolidated financial statements present fairly, in all material respects, the consolidated financial position of the Company as of September 30, 2021, and the consolidated results of its operations and its cash flows for the year then</w:t>
      </w:r>
      <w:r>
        <w:rPr>
          <w:sz w:val="20"/>
          <w:szCs w:val="20"/>
        </w:rPr>
        <w:t xml:space="preserve"> ended, in conformity with accounting principles generally accepted in the United States of America.</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u w:val="single"/>
        </w:rPr>
        <w:t>Going Concern</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The accompanying consolidated financial statements have been prepared assuming that the Company will continue as a going concern. As disc</w:t>
      </w:r>
      <w:r>
        <w:rPr>
          <w:sz w:val="20"/>
          <w:szCs w:val="20"/>
        </w:rPr>
        <w:t>ussed in Note 1 to the consolidated financial statements, the Company has a net loss and cash used in operations of $7,786,000 and $3,562,000, respectively, in 2021 and an accumulated deficit of $13,564,000 at September 30, 2021. These matters raise substa</w:t>
      </w:r>
      <w:r>
        <w:rPr>
          <w:sz w:val="20"/>
          <w:szCs w:val="20"/>
        </w:rPr>
        <w:t>ntial doubt about the Company’s ability to continue as a going concern. Management’s Plan in regards to these matters is also described in Note 1. The consolidated financial statements do not include any adjustments that might result from the outcome of th</w:t>
      </w:r>
      <w:r>
        <w:rPr>
          <w:sz w:val="20"/>
          <w:szCs w:val="20"/>
        </w:rPr>
        <w:t>is uncertainty.</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u w:val="single"/>
        </w:rPr>
        <w:t>Basis for Opinion</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These consolidated financial statements are the responsibility of the Company’s management. Our responsibility is to express an opinion on the Company’s consolidated financial statements based on our audit. We are a pu</w:t>
      </w:r>
      <w:r>
        <w:rPr>
          <w:sz w:val="20"/>
          <w:szCs w:val="20"/>
        </w:rPr>
        <w:t>blic accounting firm registered with the Public Company Accounting Oversight Board (United States) (“PCAOB”) and are required to be independent with respect to the Company in accordance with the U.S. federal securities laws and the applicable rules and reg</w:t>
      </w:r>
      <w:r>
        <w:rPr>
          <w:sz w:val="20"/>
          <w:szCs w:val="20"/>
        </w:rPr>
        <w:t>ulations of the Securities and Exchange Commission and the PCAOB.</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We conducted our audit in accordance with the standards of the PCAOB. Those standards require that we plan and perform the audit to obtain reasonable assurance about whether the consolidat</w:t>
      </w:r>
      <w:r>
        <w:rPr>
          <w:sz w:val="20"/>
          <w:szCs w:val="20"/>
        </w:rPr>
        <w:t>ed financial statements are free of material misstatement, whether due to error or fraud. The Company is not required to have, nor were we engaged to perform, an audit of internal control over financial reporting. As part of our audit we are required to ob</w:t>
      </w:r>
      <w:r>
        <w:rPr>
          <w:sz w:val="20"/>
          <w:szCs w:val="20"/>
        </w:rPr>
        <w:t>tain an understanding of internal control over financial reporting but not for the purpose of expressing an opinion on the effectiveness of the Company’s internal control over financial reporting. Accordingly, we express no such opinion.</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2295 NW Corporat</w:t>
      </w:r>
      <w:r>
        <w:rPr>
          <w:sz w:val="20"/>
          <w:szCs w:val="20"/>
        </w:rPr>
        <w:t>e Blvd., Suite 240 • Boca Raton, FL 33431</w:t>
      </w:r>
    </w:p>
    <w:p w:rsidR="00000000" w:rsidRDefault="00B64763">
      <w:pPr>
        <w:pStyle w:val="a3"/>
        <w:spacing w:before="0" w:beforeAutospacing="0" w:after="0" w:afterAutospacing="0"/>
        <w:jc w:val="center"/>
        <w:rPr>
          <w:sz w:val="20"/>
          <w:szCs w:val="20"/>
        </w:rPr>
      </w:pPr>
      <w:r>
        <w:rPr>
          <w:sz w:val="20"/>
          <w:szCs w:val="20"/>
        </w:rPr>
        <w:t>Phone: (561) 995-8270 • Toll Free: (866) CPA-8500 • Fax: (561) 995-1920</w:t>
      </w:r>
    </w:p>
    <w:p w:rsidR="00000000" w:rsidRDefault="00B64763">
      <w:pPr>
        <w:pStyle w:val="a3"/>
        <w:spacing w:before="0" w:beforeAutospacing="0" w:after="0" w:afterAutospacing="0"/>
        <w:jc w:val="center"/>
        <w:rPr>
          <w:sz w:val="20"/>
          <w:szCs w:val="20"/>
        </w:rPr>
      </w:pPr>
      <w:r>
        <w:rPr>
          <w:sz w:val="20"/>
          <w:szCs w:val="20"/>
        </w:rPr>
        <w:t>www.salbergco.com • info@salbergco.com</w:t>
      </w:r>
    </w:p>
    <w:p w:rsidR="00000000" w:rsidRDefault="00B64763">
      <w:pPr>
        <w:pStyle w:val="a3"/>
        <w:spacing w:before="0" w:beforeAutospacing="0" w:after="0" w:afterAutospacing="0"/>
        <w:jc w:val="center"/>
        <w:rPr>
          <w:sz w:val="20"/>
          <w:szCs w:val="20"/>
        </w:rPr>
      </w:pPr>
      <w:r>
        <w:rPr>
          <w:i/>
          <w:iCs/>
          <w:sz w:val="20"/>
          <w:szCs w:val="20"/>
        </w:rPr>
        <w:t>Member National Association of Certified Valuation Analysts • Registered with the PCAOB</w:t>
      </w:r>
    </w:p>
    <w:p w:rsidR="00000000" w:rsidRDefault="00B64763">
      <w:pPr>
        <w:pStyle w:val="a3"/>
        <w:spacing w:before="0" w:beforeAutospacing="0" w:after="0" w:afterAutospacing="0"/>
        <w:jc w:val="center"/>
        <w:rPr>
          <w:sz w:val="20"/>
          <w:szCs w:val="20"/>
        </w:rPr>
      </w:pPr>
      <w:r>
        <w:rPr>
          <w:i/>
          <w:iCs/>
          <w:spacing w:val="10"/>
          <w:sz w:val="20"/>
          <w:szCs w:val="20"/>
        </w:rPr>
        <w:t>Member CP</w:t>
      </w:r>
      <w:r>
        <w:rPr>
          <w:i/>
          <w:iCs/>
          <w:spacing w:val="4"/>
          <w:sz w:val="20"/>
          <w:szCs w:val="20"/>
        </w:rPr>
        <w:t>AC</w:t>
      </w:r>
      <w:r>
        <w:rPr>
          <w:i/>
          <w:iCs/>
          <w:spacing w:val="10"/>
          <w:sz w:val="20"/>
          <w:szCs w:val="20"/>
        </w:rPr>
        <w:t>onne</w:t>
      </w:r>
      <w:r>
        <w:rPr>
          <w:i/>
          <w:iCs/>
          <w:spacing w:val="10"/>
          <w:sz w:val="20"/>
          <w:szCs w:val="20"/>
        </w:rPr>
        <w:t xml:space="preserve">ct with Affiliated Offices Worldwide </w:t>
      </w:r>
      <w:r>
        <w:rPr>
          <w:spacing w:val="10"/>
          <w:sz w:val="20"/>
          <w:szCs w:val="20"/>
        </w:rPr>
        <w:t xml:space="preserve">• </w:t>
      </w:r>
      <w:r>
        <w:rPr>
          <w:i/>
          <w:iCs/>
          <w:spacing w:val="10"/>
          <w:sz w:val="20"/>
          <w:szCs w:val="20"/>
        </w:rPr>
        <w:t>Member Center for Public Company Audit Firms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center"/>
        <w:divId w:val="2110080253"/>
        <w:rPr>
          <w:sz w:val="20"/>
          <w:szCs w:val="20"/>
        </w:rPr>
      </w:pPr>
      <w:r>
        <w:rPr>
          <w:sz w:val="20"/>
          <w:szCs w:val="20"/>
        </w:rPr>
        <w:t>F</w:t>
      </w:r>
      <w:r>
        <w:rPr>
          <w:sz w:val="20"/>
          <w:szCs w:val="20"/>
        </w:rPr>
        <w:t>-</w:t>
      </w:r>
      <w:r>
        <w:rPr>
          <w:sz w:val="20"/>
          <w:szCs w:val="20"/>
        </w:rPr>
        <w:t>2</w:t>
      </w:r>
    </w:p>
    <w:p w:rsidR="00000000" w:rsidRDefault="00B64763">
      <w:pPr>
        <w:pStyle w:val="a3"/>
        <w:spacing w:before="0" w:beforeAutospacing="0" w:after="0" w:afterAutospacing="0"/>
        <w:divId w:val="1235385693"/>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Our audit included performing procedures to assess the risks of material misstatement of the consolidated financial statements, whether due to error or fraud, an</w:t>
      </w:r>
      <w:r>
        <w:rPr>
          <w:sz w:val="20"/>
          <w:szCs w:val="20"/>
        </w:rPr>
        <w:t xml:space="preserve">d performing procedures that respond to those risks. Such procedures included examining, on a test basis, evidence regarding the amounts and disclosures in the consolidated financial statements. Our audit also included evaluating the accounting principles </w:t>
      </w:r>
      <w:r>
        <w:rPr>
          <w:sz w:val="20"/>
          <w:szCs w:val="20"/>
        </w:rPr>
        <w:t>used and significant estimates made by management, as well as evaluating the overall presentation of the consolidated financial statements. We believe that our audit provides a reasonable basis for our opinion.</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u w:val="single"/>
        </w:rPr>
        <w:t>Critical Audit Matters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The critical audit matters communicated below are matters arising from the current period audit of the consolidated financial statements that were communicated or required to be communicated to the audit committee and that: (1) rel</w:t>
      </w:r>
      <w:r>
        <w:rPr>
          <w:sz w:val="20"/>
          <w:szCs w:val="20"/>
        </w:rPr>
        <w:t>ate to accounts or disclosures that are material to the consolidated financial statements and (2) involved our especially challenging, subjective, or complex judgments. The communication of critical audit matters does not alter in any way our opinion on th</w:t>
      </w:r>
      <w:r>
        <w:rPr>
          <w:sz w:val="20"/>
          <w:szCs w:val="20"/>
        </w:rPr>
        <w:t>e consolidated financial statements, taken as a whole, and we are not, by communicating the critical audit matters below, providing separate opinions on the critical audit matters or on the accounts or disclosures to which they relate.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Accounting Treatme</w:t>
      </w:r>
      <w:r>
        <w:rPr>
          <w:sz w:val="20"/>
          <w:szCs w:val="20"/>
        </w:rPr>
        <w:t>nt of Investment in Winners, Inc.</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As described in footnote 6 to the consolidated financial statements, the Company treated the investment in Winners, Inc. (the “entity”) as an equity method investment. The determination of whether an investment is an equ</w:t>
      </w:r>
      <w:r>
        <w:rPr>
          <w:sz w:val="20"/>
          <w:szCs w:val="20"/>
        </w:rPr>
        <w:t>ity method investment or shall be treated in another manner under US GAAP can be a complex analysis that involves significant quantitative and qualitative judgments.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We identified the above determinations as a critical audit matter. Auditing management’s</w:t>
      </w:r>
      <w:r>
        <w:rPr>
          <w:sz w:val="20"/>
          <w:szCs w:val="20"/>
        </w:rPr>
        <w:t xml:space="preserve"> judgments regarding the above determinations was especially challenging.</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The primary procedures we performed to address this critical audit matter included (a) reviewed management’s analysis as to whether the entity was a variable interest entity, which</w:t>
      </w:r>
      <w:r>
        <w:rPr>
          <w:sz w:val="20"/>
          <w:szCs w:val="20"/>
        </w:rPr>
        <w:t xml:space="preserve"> management concluded it was not, (b) reviewed management’s analysis of the degree of influence exerted by the Company on Winners, Inc. to determine whether the investment should be treated as an equity method investment, and (c) reviewed the initial and s</w:t>
      </w:r>
      <w:r>
        <w:rPr>
          <w:sz w:val="20"/>
          <w:szCs w:val="20"/>
        </w:rPr>
        <w:t>ubsequent accounting for such investment.</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/s/ Salberg &amp; Company, P.A.</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SALBERG &amp; COMPANY, P.A.</w:t>
      </w:r>
    </w:p>
    <w:p w:rsidR="00000000" w:rsidRDefault="00B64763">
      <w:pPr>
        <w:pStyle w:val="a3"/>
        <w:spacing w:before="0" w:beforeAutospacing="0" w:after="0" w:afterAutospacing="0"/>
        <w:jc w:val="both"/>
        <w:rPr>
          <w:sz w:val="20"/>
          <w:szCs w:val="20"/>
        </w:rPr>
      </w:pPr>
      <w:r>
        <w:rPr>
          <w:sz w:val="20"/>
          <w:szCs w:val="20"/>
        </w:rPr>
        <w:t>We have served as the Company’s auditor since 2021.</w:t>
      </w:r>
    </w:p>
    <w:p w:rsidR="00000000" w:rsidRDefault="00B64763">
      <w:pPr>
        <w:pStyle w:val="a3"/>
        <w:spacing w:before="0" w:beforeAutospacing="0" w:after="0" w:afterAutospacing="0"/>
        <w:jc w:val="both"/>
        <w:rPr>
          <w:sz w:val="20"/>
          <w:szCs w:val="20"/>
        </w:rPr>
      </w:pPr>
      <w:r>
        <w:rPr>
          <w:sz w:val="20"/>
          <w:szCs w:val="20"/>
        </w:rPr>
        <w:t>Boca Raton, Florida</w:t>
      </w:r>
    </w:p>
    <w:p w:rsidR="00000000" w:rsidRDefault="00B64763">
      <w:pPr>
        <w:pStyle w:val="a3"/>
        <w:spacing w:before="0" w:beforeAutospacing="0" w:after="0" w:afterAutospacing="0"/>
        <w:jc w:val="both"/>
        <w:rPr>
          <w:sz w:val="20"/>
          <w:szCs w:val="20"/>
        </w:rPr>
      </w:pPr>
      <w:r>
        <w:rPr>
          <w:sz w:val="20"/>
          <w:szCs w:val="20"/>
        </w:rPr>
        <w:t>February 10, 2022</w:t>
      </w:r>
    </w:p>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jc w:val="center"/>
        <w:divId w:val="1978297642"/>
        <w:rPr>
          <w:sz w:val="20"/>
          <w:szCs w:val="20"/>
        </w:rPr>
      </w:pPr>
      <w:r>
        <w:rPr>
          <w:sz w:val="20"/>
          <w:szCs w:val="20"/>
        </w:rPr>
        <w:t>F</w:t>
      </w:r>
      <w:r>
        <w:rPr>
          <w:sz w:val="20"/>
          <w:szCs w:val="20"/>
        </w:rPr>
        <w:t>-</w:t>
      </w:r>
      <w:r>
        <w:rPr>
          <w:sz w:val="20"/>
          <w:szCs w:val="20"/>
        </w:rPr>
        <w:t>3</w:t>
      </w:r>
    </w:p>
    <w:p w:rsidR="00000000" w:rsidRDefault="00B64763">
      <w:pPr>
        <w:pStyle w:val="a3"/>
        <w:spacing w:before="0" w:beforeAutospacing="0" w:after="0" w:afterAutospacing="0"/>
        <w:divId w:val="148979590"/>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REPORT OF INDEPENDENT REGISTERED PUBLIC ACCOUNTING FIRM</w:t>
      </w:r>
    </w:p>
    <w:p w:rsidR="00000000" w:rsidRDefault="00B64763">
      <w:pPr>
        <w:pStyle w:val="a3"/>
        <w:spacing w:before="0" w:beforeAutospacing="0" w:after="0" w:afterAutospacing="0"/>
        <w:ind w:firstLine="720"/>
        <w:jc w:val="center"/>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To the Board of Directors and Stockholders</w:t>
      </w:r>
    </w:p>
    <w:p w:rsidR="00000000" w:rsidRDefault="00B64763">
      <w:pPr>
        <w:pStyle w:val="a3"/>
        <w:spacing w:before="0" w:beforeAutospacing="0" w:after="0" w:afterAutospacing="0"/>
        <w:jc w:val="both"/>
        <w:rPr>
          <w:sz w:val="20"/>
          <w:szCs w:val="20"/>
        </w:rPr>
      </w:pPr>
      <w:r>
        <w:rPr>
          <w:sz w:val="20"/>
          <w:szCs w:val="20"/>
        </w:rPr>
        <w:t>Clickstream Corporation</w:t>
      </w:r>
    </w:p>
    <w:p w:rsidR="00000000" w:rsidRDefault="00B64763">
      <w:pPr>
        <w:pStyle w:val="a3"/>
        <w:spacing w:before="0" w:beforeAutospacing="0" w:after="0" w:afterAutospacing="0"/>
        <w:jc w:val="both"/>
        <w:rPr>
          <w:sz w:val="20"/>
          <w:szCs w:val="20"/>
        </w:rPr>
      </w:pPr>
      <w:r>
        <w:rPr>
          <w:sz w:val="20"/>
          <w:szCs w:val="20"/>
        </w:rPr>
        <w:t>Los Angeles, CA</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u w:val="single"/>
        </w:rPr>
        <w:t>Opinion on the Consolidated Financial Statements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We have audited the accompanying consolidated balance sheet of Clickstream Corporation (the “Company”) as of September 3</w:t>
      </w:r>
      <w:r>
        <w:rPr>
          <w:sz w:val="20"/>
          <w:szCs w:val="20"/>
        </w:rPr>
        <w:t>0, 2020, and the related consolidated statements of operations, stockholders’ equity and cash flows for the year then ended, and the related notes (collectively referred to as the “consolidated financial statements”). In our opinion, the consolidated finan</w:t>
      </w:r>
      <w:r>
        <w:rPr>
          <w:sz w:val="20"/>
          <w:szCs w:val="20"/>
        </w:rPr>
        <w:t>cial statements present fairly, in all material respects, the consolidated financial position of the Company as of September 30, 2020, and the results of its consolidated operations and its consolidated cash flows for the year then ended, in conformity wit</w:t>
      </w:r>
      <w:r>
        <w:rPr>
          <w:sz w:val="20"/>
          <w:szCs w:val="20"/>
        </w:rPr>
        <w:t>h accounting principles generally accepted in the United States of America.</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u w:val="single"/>
        </w:rPr>
        <w:t>Going Concern</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The accompanying consolidated financial statements have been prepared assuming that the Company will continue as a going concern. As discussed in Note 1, the Comp</w:t>
      </w:r>
      <w:r>
        <w:rPr>
          <w:sz w:val="20"/>
          <w:szCs w:val="20"/>
        </w:rPr>
        <w:t>any has incurred recurring operating losses and used cash in operations since inception. These matters raise substantial doubt about the Company’s ability to continue as a going concern. Management’s plans in regard to these matters are also described in N</w:t>
      </w:r>
      <w:r>
        <w:rPr>
          <w:sz w:val="20"/>
          <w:szCs w:val="20"/>
        </w:rPr>
        <w:t>ote 1 to the financial statements. These consolidated financial statements do not include any adjustments that might result from the outcome of this uncertainty.</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u w:val="single"/>
        </w:rPr>
        <w:t>Basis for Opinion</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These consolidated financial statements are the responsibility of the Co</w:t>
      </w:r>
      <w:r>
        <w:rPr>
          <w:sz w:val="20"/>
          <w:szCs w:val="20"/>
        </w:rPr>
        <w:t>mpany’s management. Our responsibility is to express an opinion on the Company’s consolidated financial statements based on our audit. We are a public accounting firm registered with the Public Company Accounting Oversight Board (United States) (“PCAOB”) a</w:t>
      </w:r>
      <w:r>
        <w:rPr>
          <w:sz w:val="20"/>
          <w:szCs w:val="20"/>
        </w:rPr>
        <w:t>nd are required to be independent with respect to the Company in accordance with the U.S. federal securities laws and the applicable rules and regulations of the Securities and Exchange Commission (the “SEC”) and the PCAOB.</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We conducted our audit in acco</w:t>
      </w:r>
      <w:r>
        <w:rPr>
          <w:sz w:val="20"/>
          <w:szCs w:val="20"/>
        </w:rPr>
        <w:t>rdance with the standards of the PCAOB. Those standards require that we plan and perform the audit to obtain reasonable assurance about whether the financial statements are free of material misstatement, whether due to error or fraud. The Company is not re</w:t>
      </w:r>
      <w:r>
        <w:rPr>
          <w:sz w:val="20"/>
          <w:szCs w:val="20"/>
        </w:rPr>
        <w:t>quired to have, nor were we engaged to perform, and audit of its internal control over financial reporting. As part of our audit we are required to obtain an understanding of internal control over financial reporting but not for the purpose of expressing a</w:t>
      </w:r>
      <w:r>
        <w:rPr>
          <w:sz w:val="20"/>
          <w:szCs w:val="20"/>
        </w:rPr>
        <w:t>n opinion on the effectiveness of the Company’s internal control over financial reporting. Accordingly, we express no such opinion.</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Our audit included performing procedures to assess the risks of material misstatement of the financial statements, whether</w:t>
      </w:r>
      <w:r>
        <w:rPr>
          <w:sz w:val="20"/>
          <w:szCs w:val="20"/>
        </w:rPr>
        <w:t xml:space="preserve"> due to error or fraud, and performing procedures that respond to those risks. Such procedures included examining, on a test basis, evidence regarding the amounts and disclosures in the financial statements. Our audit also included evaluating the accountin</w:t>
      </w:r>
      <w:r>
        <w:rPr>
          <w:sz w:val="20"/>
          <w:szCs w:val="20"/>
        </w:rPr>
        <w:t>g principles used and significant estimates made by management, as well as evaluating the overall presentation of the financial statements. We believe that our audit provides a reasonable basis for our opinion. </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We had served as the Company’s auditor fro</w:t>
      </w:r>
      <w:r>
        <w:rPr>
          <w:sz w:val="20"/>
          <w:szCs w:val="20"/>
        </w:rPr>
        <w:t>m 2017 to 2021.</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/s/Weinberg &amp; Company, P.A.</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Los Angeles, California</w:t>
      </w:r>
    </w:p>
    <w:p w:rsidR="00000000" w:rsidRDefault="00B64763">
      <w:pPr>
        <w:pStyle w:val="a3"/>
        <w:spacing w:before="0" w:beforeAutospacing="0" w:after="0" w:afterAutospacing="0"/>
        <w:jc w:val="both"/>
        <w:rPr>
          <w:sz w:val="20"/>
          <w:szCs w:val="20"/>
        </w:rPr>
      </w:pPr>
      <w:r>
        <w:rPr>
          <w:sz w:val="20"/>
          <w:szCs w:val="20"/>
        </w:rPr>
        <w:t>February 18, 2021 </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center"/>
        <w:divId w:val="611286495"/>
        <w:rPr>
          <w:sz w:val="20"/>
          <w:szCs w:val="20"/>
        </w:rPr>
      </w:pPr>
      <w:r>
        <w:rPr>
          <w:sz w:val="20"/>
          <w:szCs w:val="20"/>
        </w:rPr>
        <w:t>F</w:t>
      </w:r>
      <w:r>
        <w:rPr>
          <w:sz w:val="20"/>
          <w:szCs w:val="20"/>
        </w:rPr>
        <w:t>-</w:t>
      </w:r>
      <w:r>
        <w:rPr>
          <w:sz w:val="20"/>
          <w:szCs w:val="20"/>
        </w:rPr>
        <w:t>4</w:t>
      </w:r>
    </w:p>
    <w:p w:rsidR="00000000" w:rsidRDefault="00B64763">
      <w:pPr>
        <w:pStyle w:val="a3"/>
        <w:spacing w:before="0" w:beforeAutospacing="0" w:after="0" w:afterAutospacing="0"/>
        <w:divId w:val="2040351214"/>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c>
          <w:tcPr>
            <w:tcW w:w="5000" w:type="pct"/>
            <w:noWrap/>
            <w:tcMar>
              <w:top w:w="0" w:type="dxa"/>
              <w:left w:w="14" w:type="dxa"/>
              <w:bottom w:w="0" w:type="dxa"/>
              <w:right w:w="14" w:type="dxa"/>
            </w:tcMar>
            <w:hideMark/>
          </w:tcPr>
          <w:p w:rsidR="00000000" w:rsidRDefault="00B64763">
            <w:pPr>
              <w:jc w:val="center"/>
              <w:rPr>
                <w:rFonts w:eastAsia="Times New Roman"/>
                <w:sz w:val="20"/>
                <w:szCs w:val="20"/>
              </w:rPr>
            </w:pPr>
            <w:r>
              <w:rPr>
                <w:rFonts w:eastAsia="Times New Roman"/>
                <w:b/>
                <w:bCs/>
                <w:sz w:val="20"/>
                <w:szCs w:val="20"/>
              </w:rPr>
              <w:t>Clickstream Corp. and Subsidiaries</w:t>
            </w:r>
          </w:p>
        </w:tc>
      </w:tr>
      <w:tr w:rsidR="00000000">
        <w:tc>
          <w:tcPr>
            <w:tcW w:w="0" w:type="auto"/>
            <w:noWrap/>
            <w:tcMar>
              <w:top w:w="0" w:type="dxa"/>
              <w:left w:w="14" w:type="dxa"/>
              <w:bottom w:w="0" w:type="dxa"/>
              <w:right w:w="14" w:type="dxa"/>
            </w:tcMar>
            <w:hideMark/>
          </w:tcPr>
          <w:p w:rsidR="00000000" w:rsidRDefault="00B64763">
            <w:pPr>
              <w:jc w:val="center"/>
              <w:rPr>
                <w:rFonts w:eastAsia="Times New Roman"/>
                <w:sz w:val="20"/>
                <w:szCs w:val="20"/>
              </w:rPr>
            </w:pPr>
            <w:r>
              <w:rPr>
                <w:rFonts w:eastAsia="Times New Roman"/>
                <w:b/>
                <w:bCs/>
                <w:sz w:val="20"/>
                <w:szCs w:val="20"/>
              </w:rPr>
              <w:t>Consolidated Balance Sheets</w:t>
            </w:r>
          </w:p>
        </w:tc>
      </w:tr>
      <w:tr w:rsidR="00000000">
        <w:tc>
          <w:tcPr>
            <w:tcW w:w="0" w:type="auto"/>
            <w:noWrap/>
            <w:tcMar>
              <w:top w:w="0" w:type="dxa"/>
              <w:left w:w="14" w:type="dxa"/>
              <w:bottom w:w="0" w:type="dxa"/>
              <w:right w:w="14" w:type="dxa"/>
            </w:tcMar>
            <w:vAlign w:val="center"/>
            <w:hideMark/>
          </w:tcPr>
          <w:p w:rsidR="00000000" w:rsidRDefault="00B64763">
            <w:pPr>
              <w:jc w:val="center"/>
              <w:rPr>
                <w:rFonts w:eastAsia="Times New Roman"/>
                <w:sz w:val="20"/>
                <w:szCs w:val="20"/>
              </w:rPr>
            </w:pPr>
            <w:r>
              <w:rPr>
                <w:rFonts w:eastAsia="Times New Roman"/>
                <w:b/>
                <w:bCs/>
                <w:sz w:val="20"/>
                <w:szCs w:val="20"/>
              </w:rPr>
              <w:t>(Rounded to nearest thousand except for share quantities)</w:t>
            </w:r>
          </w:p>
        </w:tc>
      </w:tr>
    </w:tbl>
    <w:p w:rsidR="00000000" w:rsidRDefault="00B64763">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Description w:val="xdx: Statement - Consolidated Balance Sheets"/>
      </w:tblPr>
      <w:tblGrid>
        <w:gridCol w:w="4505"/>
        <w:gridCol w:w="518"/>
        <w:gridCol w:w="250"/>
        <w:gridCol w:w="967"/>
        <w:gridCol w:w="250"/>
        <w:gridCol w:w="416"/>
        <w:gridCol w:w="250"/>
        <w:gridCol w:w="900"/>
        <w:gridCol w:w="250"/>
      </w:tblGrid>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rPr>
            </w:pPr>
            <w:r>
              <w:rPr>
                <w:rFonts w:eastAsia="Times New Roman"/>
              </w:rPr>
              <w:t> </w:t>
            </w:r>
          </w:p>
        </w:tc>
        <w:tc>
          <w:tcPr>
            <w:tcW w:w="0" w:type="auto"/>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B64763">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B64763">
            <w:pPr>
              <w:jc w:val="center"/>
              <w:rPr>
                <w:rFonts w:eastAsia="Times New Roman"/>
                <w:b/>
                <w:bCs/>
                <w:sz w:val="20"/>
                <w:szCs w:val="20"/>
              </w:rPr>
            </w:pPr>
            <w:r>
              <w:rPr>
                <w:rFonts w:eastAsia="Times New Roman"/>
                <w:b/>
                <w:bCs/>
                <w:sz w:val="20"/>
                <w:szCs w:val="20"/>
              </w:rPr>
              <w:t> </w:t>
            </w:r>
          </w:p>
        </w:tc>
      </w:tr>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rPr>
            </w:pPr>
            <w:r>
              <w:rPr>
                <w:rFonts w:eastAsia="Times New Roman"/>
                <w:sz w:val="20"/>
                <w:szCs w:val="20"/>
              </w:rPr>
              <w:t> </w:t>
            </w:r>
          </w:p>
        </w:tc>
        <w:tc>
          <w:tcPr>
            <w:tcW w:w="0" w:type="auto"/>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B64763">
            <w:pPr>
              <w:jc w:val="center"/>
              <w:rPr>
                <w:rFonts w:eastAsia="Times New Roman"/>
                <w:b/>
                <w:bCs/>
                <w:sz w:val="20"/>
                <w:szCs w:val="20"/>
              </w:rPr>
            </w:pPr>
            <w:r>
              <w:rPr>
                <w:rFonts w:eastAsia="Times New Roman"/>
                <w:b/>
                <w:bCs/>
                <w:sz w:val="20"/>
                <w:szCs w:val="20"/>
              </w:rPr>
              <w:t>September 30,</w:t>
            </w:r>
          </w:p>
        </w:tc>
        <w:tc>
          <w:tcPr>
            <w:tcW w:w="0" w:type="auto"/>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B64763">
            <w:pPr>
              <w:jc w:val="center"/>
              <w:rPr>
                <w:rFonts w:eastAsia="Times New Roman"/>
                <w:b/>
                <w:bCs/>
                <w:sz w:val="20"/>
                <w:szCs w:val="20"/>
              </w:rPr>
            </w:pPr>
            <w:r>
              <w:rPr>
                <w:rFonts w:eastAsia="Times New Roman"/>
                <w:b/>
                <w:bCs/>
                <w:sz w:val="20"/>
                <w:szCs w:val="20"/>
              </w:rPr>
              <w:t>September 30,</w:t>
            </w:r>
          </w:p>
        </w:tc>
      </w:tr>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2020</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Assets:</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Current assets</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r>
      <w:tr w:rsidR="00000000">
        <w:tc>
          <w:tcPr>
            <w:tcW w:w="2800" w:type="pct"/>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Cash</w:t>
            </w:r>
          </w:p>
        </w:tc>
        <w:tc>
          <w:tcPr>
            <w:tcW w:w="4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422,000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3,015,000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102,000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1,105,000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Note receivable and accrued interest - Winners Inc. - Related Party</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556,000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200,000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Total current assets</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1,080,000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4,320,000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rPr>
                <w:rFonts w:eastAsia="Times New Roman"/>
                <w:sz w:val="20"/>
                <w:szCs w:val="20"/>
              </w:rPr>
            </w:pP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xml:space="preserve">Investment </w:t>
            </w:r>
            <w:r>
              <w:rPr>
                <w:rFonts w:eastAsia="Times New Roman"/>
                <w:sz w:val="20"/>
                <w:szCs w:val="20"/>
              </w:rPr>
              <w:t>in and option to acquire common shares - Winners, Inc. - Related Party</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135,000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Investment in equity method investee - Winners, Inc. – Related Party</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105,000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Total assets</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1,185,000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4,455,000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Liabilities and Stockholders’ Equity:</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207,000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144,000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Accounts payable - related parties</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9,000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xml:space="preserve">Advances </w:t>
            </w:r>
            <w:r>
              <w:rPr>
                <w:rFonts w:eastAsia="Times New Roman"/>
                <w:sz w:val="20"/>
                <w:szCs w:val="20"/>
              </w:rPr>
              <w:t>from stockholders</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7,000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6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Total current liabilities</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207,000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160,000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rPr>
                <w:rFonts w:eastAsia="Times New Roman"/>
                <w:sz w:val="20"/>
                <w:szCs w:val="20"/>
              </w:rPr>
            </w:pP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Total liabilities</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207,000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160,000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Commitments and contingencies (Note 13)</w:t>
            </w:r>
          </w:p>
        </w:tc>
        <w:tc>
          <w:tcPr>
            <w:tcW w:w="0" w:type="auto"/>
            <w:shd w:val="clear" w:color="auto" w:fill="FFFFFF"/>
            <w:vAlign w:val="bottom"/>
            <w:hideMark/>
          </w:tcPr>
          <w:p w:rsidR="00000000" w:rsidRDefault="00B64763">
            <w:pPr>
              <w:rPr>
                <w:rFonts w:eastAsia="Times New Roman"/>
              </w:rPr>
            </w:pPr>
            <w:r>
              <w:rPr>
                <w:rFonts w:eastAsia="Times New Roman"/>
              </w:rPr>
              <w:t> </w:t>
            </w:r>
          </w:p>
        </w:tc>
        <w:tc>
          <w:tcPr>
            <w:tcW w:w="0" w:type="auto"/>
            <w:shd w:val="clear" w:color="auto" w:fill="FFFFFF"/>
            <w:vAlign w:val="bottom"/>
            <w:hideMark/>
          </w:tcPr>
          <w:p w:rsidR="00000000" w:rsidRDefault="00B64763">
            <w:pPr>
              <w:rPr>
                <w:rFonts w:eastAsia="Times New Roman"/>
              </w:rPr>
            </w:pPr>
            <w:r>
              <w:rPr>
                <w:rFonts w:eastAsia="Times New Roman"/>
              </w:rPr>
              <w:t> </w:t>
            </w:r>
          </w:p>
        </w:tc>
        <w:tc>
          <w:tcPr>
            <w:tcW w:w="0" w:type="auto"/>
            <w:shd w:val="clear" w:color="auto" w:fill="FFFFFF"/>
            <w:vAlign w:val="bottom"/>
            <w:hideMark/>
          </w:tcPr>
          <w:p w:rsidR="00000000" w:rsidRDefault="00B64763">
            <w:pPr>
              <w:jc w:val="right"/>
              <w:rPr>
                <w:rFonts w:eastAsia="Times New Roman"/>
              </w:rPr>
            </w:pPr>
            <w:r>
              <w:rPr>
                <w:rFonts w:eastAsia="Times New Roman"/>
              </w:rPr>
              <w:t>—</w:t>
            </w:r>
          </w:p>
        </w:tc>
        <w:tc>
          <w:tcPr>
            <w:tcW w:w="0" w:type="auto"/>
            <w:shd w:val="clear" w:color="auto" w:fill="FFFFFF"/>
            <w:vAlign w:val="bottom"/>
            <w:hideMark/>
          </w:tcPr>
          <w:p w:rsidR="00000000" w:rsidRDefault="00B64763">
            <w:pPr>
              <w:rPr>
                <w:rFonts w:eastAsia="Times New Roman"/>
              </w:rPr>
            </w:pPr>
            <w:r>
              <w:rPr>
                <w:rFonts w:eastAsia="Times New Roman"/>
              </w:rPr>
              <w:t> </w:t>
            </w:r>
          </w:p>
        </w:tc>
        <w:tc>
          <w:tcPr>
            <w:tcW w:w="0" w:type="auto"/>
            <w:shd w:val="clear" w:color="auto" w:fill="FFFFFF"/>
            <w:vAlign w:val="bottom"/>
            <w:hideMark/>
          </w:tcPr>
          <w:p w:rsidR="00000000" w:rsidRDefault="00B64763">
            <w:pPr>
              <w:rPr>
                <w:rFonts w:eastAsia="Times New Roman"/>
              </w:rPr>
            </w:pPr>
            <w:r>
              <w:rPr>
                <w:rFonts w:eastAsia="Times New Roman"/>
              </w:rPr>
              <w:t> </w:t>
            </w:r>
          </w:p>
        </w:tc>
        <w:tc>
          <w:tcPr>
            <w:tcW w:w="0" w:type="auto"/>
            <w:shd w:val="clear" w:color="auto" w:fill="FFFFFF"/>
            <w:vAlign w:val="bottom"/>
            <w:hideMark/>
          </w:tcPr>
          <w:p w:rsidR="00000000" w:rsidRDefault="00B64763">
            <w:pPr>
              <w:rPr>
                <w:rFonts w:eastAsia="Times New Roman"/>
              </w:rPr>
            </w:pPr>
            <w:r>
              <w:rPr>
                <w:rFonts w:eastAsia="Times New Roman"/>
              </w:rPr>
              <w:t> </w:t>
            </w:r>
          </w:p>
        </w:tc>
        <w:tc>
          <w:tcPr>
            <w:tcW w:w="0" w:type="auto"/>
            <w:shd w:val="clear" w:color="auto" w:fill="FFFFFF"/>
            <w:vAlign w:val="bottom"/>
            <w:hideMark/>
          </w:tcPr>
          <w:p w:rsidR="00000000" w:rsidRDefault="00B64763">
            <w:pPr>
              <w:jc w:val="right"/>
              <w:rPr>
                <w:rFonts w:eastAsia="Times New Roman"/>
              </w:rPr>
            </w:pPr>
            <w:r>
              <w:rPr>
                <w:rFonts w:eastAsia="Times New Roman"/>
              </w:rPr>
              <w:t>—</w:t>
            </w:r>
          </w:p>
        </w:tc>
        <w:tc>
          <w:tcPr>
            <w:tcW w:w="0" w:type="auto"/>
            <w:shd w:val="clear" w:color="auto" w:fill="FFFFFF"/>
            <w:vAlign w:val="bottom"/>
            <w:hideMark/>
          </w:tcPr>
          <w:p w:rsidR="00000000" w:rsidRDefault="00B64763">
            <w:pPr>
              <w:rPr>
                <w:rFonts w:eastAsia="Times New Roman"/>
              </w:rPr>
            </w:pPr>
            <w:r>
              <w:rPr>
                <w:rFonts w:eastAsia="Times New Roman"/>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rPr>
              <w:t> </w:t>
            </w:r>
          </w:p>
        </w:tc>
        <w:tc>
          <w:tcPr>
            <w:tcW w:w="0" w:type="auto"/>
            <w:shd w:val="clear" w:color="auto" w:fill="CCEEFF"/>
            <w:vAlign w:val="bottom"/>
            <w:hideMark/>
          </w:tcPr>
          <w:p w:rsidR="00000000" w:rsidRDefault="00B64763">
            <w:pPr>
              <w:rPr>
                <w:rFonts w:eastAsia="Times New Roman"/>
              </w:rPr>
            </w:pPr>
            <w:r>
              <w:rPr>
                <w:rFonts w:eastAsia="Times New Roman"/>
              </w:rPr>
              <w:t> </w:t>
            </w:r>
          </w:p>
        </w:tc>
        <w:tc>
          <w:tcPr>
            <w:tcW w:w="0" w:type="auto"/>
            <w:shd w:val="clear" w:color="auto" w:fill="CCEEFF"/>
            <w:vAlign w:val="bottom"/>
            <w:hideMark/>
          </w:tcPr>
          <w:p w:rsidR="00000000" w:rsidRDefault="00B64763">
            <w:pPr>
              <w:jc w:val="right"/>
              <w:rPr>
                <w:rFonts w:eastAsia="Times New Roman"/>
              </w:rPr>
            </w:pPr>
            <w:r>
              <w:rPr>
                <w:rFonts w:eastAsia="Times New Roman"/>
              </w:rPr>
              <w:t> </w:t>
            </w:r>
          </w:p>
        </w:tc>
        <w:tc>
          <w:tcPr>
            <w:tcW w:w="0" w:type="auto"/>
            <w:shd w:val="clear" w:color="auto" w:fill="CCEEFF"/>
            <w:vAlign w:val="bottom"/>
            <w:hideMark/>
          </w:tcPr>
          <w:p w:rsidR="00000000" w:rsidRDefault="00B64763">
            <w:pPr>
              <w:rPr>
                <w:rFonts w:eastAsia="Times New Roman"/>
              </w:rPr>
            </w:pPr>
            <w:r>
              <w:rPr>
                <w:rFonts w:eastAsia="Times New Roman"/>
              </w:rPr>
              <w:t> </w:t>
            </w:r>
          </w:p>
        </w:tc>
        <w:tc>
          <w:tcPr>
            <w:tcW w:w="0" w:type="auto"/>
            <w:shd w:val="clear" w:color="auto" w:fill="CCEEFF"/>
            <w:vAlign w:val="bottom"/>
            <w:hideMark/>
          </w:tcPr>
          <w:p w:rsidR="00000000" w:rsidRDefault="00B64763">
            <w:pPr>
              <w:rPr>
                <w:rFonts w:eastAsia="Times New Roman"/>
              </w:rPr>
            </w:pPr>
            <w:r>
              <w:rPr>
                <w:rFonts w:eastAsia="Times New Roman"/>
              </w:rPr>
              <w:t> </w:t>
            </w:r>
          </w:p>
        </w:tc>
        <w:tc>
          <w:tcPr>
            <w:tcW w:w="0" w:type="auto"/>
            <w:shd w:val="clear" w:color="auto" w:fill="CCEEFF"/>
            <w:vAlign w:val="bottom"/>
            <w:hideMark/>
          </w:tcPr>
          <w:p w:rsidR="00000000" w:rsidRDefault="00B64763">
            <w:pPr>
              <w:rPr>
                <w:rFonts w:eastAsia="Times New Roman"/>
              </w:rPr>
            </w:pPr>
            <w:r>
              <w:rPr>
                <w:rFonts w:eastAsia="Times New Roman"/>
              </w:rPr>
              <w:t> </w:t>
            </w:r>
          </w:p>
        </w:tc>
        <w:tc>
          <w:tcPr>
            <w:tcW w:w="0" w:type="auto"/>
            <w:shd w:val="clear" w:color="auto" w:fill="CCEEFF"/>
            <w:vAlign w:val="bottom"/>
            <w:hideMark/>
          </w:tcPr>
          <w:p w:rsidR="00000000" w:rsidRDefault="00B64763">
            <w:pPr>
              <w:jc w:val="right"/>
              <w:rPr>
                <w:rFonts w:eastAsia="Times New Roman"/>
              </w:rPr>
            </w:pPr>
            <w:r>
              <w:rPr>
                <w:rFonts w:eastAsia="Times New Roman"/>
              </w:rPr>
              <w:t> </w:t>
            </w:r>
          </w:p>
        </w:tc>
        <w:tc>
          <w:tcPr>
            <w:tcW w:w="0" w:type="auto"/>
            <w:shd w:val="clear" w:color="auto" w:fill="CCEEFF"/>
            <w:vAlign w:val="bottom"/>
            <w:hideMark/>
          </w:tcPr>
          <w:p w:rsidR="00000000" w:rsidRDefault="00B64763">
            <w:pPr>
              <w:rPr>
                <w:rFonts w:eastAsia="Times New Roman"/>
              </w:rPr>
            </w:pPr>
            <w:r>
              <w:rPr>
                <w:rFonts w:eastAsia="Times New Roman"/>
              </w:rPr>
              <w:t> </w:t>
            </w:r>
          </w:p>
        </w:tc>
      </w:tr>
      <w:tr w:rsidR="00000000">
        <w:tc>
          <w:tcPr>
            <w:tcW w:w="0" w:type="auto"/>
            <w:shd w:val="clear" w:color="auto" w:fill="FFFFFF"/>
            <w:tcMar>
              <w:top w:w="0" w:type="dxa"/>
              <w:left w:w="200" w:type="dxa"/>
              <w:bottom w:w="2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xml:space="preserve">Series A Convertible Preferred stock, par value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10,000,00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4,000,00</w:t>
            </w:r>
            <w:r>
              <w:rPr>
                <w:rFonts w:eastAsia="Times New Roman"/>
                <w:sz w:val="20"/>
                <w:szCs w:val="20"/>
              </w:rPr>
              <w:t>0</w:t>
            </w:r>
            <w:r>
              <w:rPr>
                <w:rFonts w:eastAsia="Times New Roman"/>
                <w:sz w:val="20"/>
                <w:szCs w:val="20"/>
              </w:rPr>
              <w:t xml:space="preserve"> shares issued and outstanding as of September 30, 2021 and 2020, respectively</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rPr>
            </w:pPr>
            <w:r>
              <w:rPr>
                <w:rFonts w:eastAsia="Times New Roman"/>
                <w:sz w:val="20"/>
                <w:szCs w:val="20"/>
              </w:rPr>
              <w:t>    50,000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rPr>
            </w:pPr>
            <w:r>
              <w:rPr>
                <w:rFonts w:eastAsia="Times New Roman"/>
                <w:sz w:val="20"/>
                <w:szCs w:val="20"/>
              </w:rPr>
              <w:t>    50,000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Stoc</w:t>
            </w:r>
            <w:r>
              <w:rPr>
                <w:rFonts w:eastAsia="Times New Roman"/>
                <w:sz w:val="20"/>
                <w:szCs w:val="20"/>
              </w:rPr>
              <w:t>kholders’ Equity</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xml:space="preserve">Common stock, par value </w:t>
            </w:r>
            <w:r>
              <w:rPr>
                <w:rFonts w:eastAsia="Times New Roman"/>
                <w:sz w:val="20"/>
                <w:szCs w:val="20"/>
              </w:rPr>
              <w:t>$</w:t>
            </w:r>
            <w:r>
              <w:rPr>
                <w:rFonts w:eastAsia="Times New Roman"/>
                <w:sz w:val="20"/>
                <w:szCs w:val="20"/>
              </w:rPr>
              <w:t>0.000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2,000,000,00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279,437,80</w:t>
            </w:r>
            <w:r>
              <w:rPr>
                <w:rFonts w:eastAsia="Times New Roman"/>
                <w:sz w:val="20"/>
                <w:szCs w:val="20"/>
              </w:rPr>
              <w:t>4</w:t>
            </w:r>
            <w:r>
              <w:rPr>
                <w:rFonts w:eastAsia="Times New Roman"/>
                <w:sz w:val="20"/>
                <w:szCs w:val="20"/>
              </w:rPr>
              <w:t xml:space="preserve"> and</w:t>
            </w:r>
            <w:r>
              <w:rPr>
                <w:rFonts w:eastAsia="Times New Roman"/>
                <w:sz w:val="20"/>
                <w:szCs w:val="20"/>
              </w:rPr>
              <w:t xml:space="preserve"> </w:t>
            </w:r>
            <w:r>
              <w:rPr>
                <w:rFonts w:eastAsia="Times New Roman"/>
                <w:sz w:val="20"/>
                <w:szCs w:val="20"/>
              </w:rPr>
              <w:t>220,560,62</w:t>
            </w:r>
            <w:r>
              <w:rPr>
                <w:rFonts w:eastAsia="Times New Roman"/>
                <w:sz w:val="20"/>
                <w:szCs w:val="20"/>
              </w:rPr>
              <w:t>5</w:t>
            </w:r>
            <w:r>
              <w:rPr>
                <w:rFonts w:eastAsia="Times New Roman"/>
                <w:sz w:val="20"/>
                <w:szCs w:val="20"/>
              </w:rPr>
              <w:t>, shares issued and outstanding as of September 30, 2021 and 2020, respectively</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28,000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22,000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xml:space="preserve">Common </w:t>
            </w:r>
            <w:r>
              <w:rPr>
                <w:rFonts w:eastAsia="Times New Roman"/>
                <w:sz w:val="20"/>
                <w:szCs w:val="20"/>
              </w:rPr>
              <w:t xml:space="preserve">stock issuable </w:t>
            </w:r>
            <w:r>
              <w:rPr>
                <w:rFonts w:eastAsia="Times New Roman"/>
                <w:sz w:val="20"/>
                <w:szCs w:val="20"/>
              </w:rPr>
              <w:t>(</w:t>
            </w:r>
            <w:r>
              <w:rPr>
                <w:rFonts w:eastAsia="Times New Roman"/>
                <w:sz w:val="20"/>
                <w:szCs w:val="20"/>
              </w:rPr>
              <w:t>140,000</w:t>
            </w:r>
            <w:r>
              <w:rPr>
                <w:rFonts w:eastAsia="Times New Roman"/>
                <w:sz w:val="20"/>
                <w:szCs w:val="20"/>
              </w:rPr>
              <w:t xml:space="preserve"> </w:t>
            </w:r>
            <w:r>
              <w:rPr>
                <w:rFonts w:eastAsia="Times New Roman"/>
                <w:sz w:val="20"/>
                <w:szCs w:val="20"/>
              </w:rPr>
              <w:t>and</w:t>
            </w:r>
            <w:r>
              <w:rPr>
                <w:rFonts w:eastAsia="Times New Roman"/>
                <w:sz w:val="20"/>
                <w:szCs w:val="20"/>
              </w:rPr>
              <w:t xml:space="preserve"> </w:t>
            </w:r>
            <w:r>
              <w:rPr>
                <w:rFonts w:eastAsia="Times New Roman"/>
                <w:sz w:val="20"/>
                <w:szCs w:val="20"/>
              </w:rPr>
              <w:t>0</w:t>
            </w:r>
            <w:r>
              <w:rPr>
                <w:rFonts w:eastAsia="Times New Roman"/>
                <w:sz w:val="20"/>
                <w:szCs w:val="20"/>
              </w:rPr>
              <w:t xml:space="preserve"> shares at September 30, 2021 and 2020, respectively</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14,464,000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10,001,000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Accumulated deficit</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(13,564,000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(5,778,000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6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Total stockholders’ equity</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928,000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4,245,000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rPr>
            </w:pPr>
            <w:r>
              <w:rPr>
                <w:rFonts w:eastAsia="Times New Roman"/>
                <w:sz w:val="20"/>
                <w:szCs w:val="20"/>
              </w:rPr>
              <w:t> </w:t>
            </w:r>
          </w:p>
        </w:tc>
      </w:tr>
      <w:tr w:rsidR="00000000">
        <w:tc>
          <w:tcPr>
            <w:tcW w:w="0" w:type="auto"/>
            <w:shd w:val="clear" w:color="auto" w:fill="CCEEFF"/>
            <w:tcMar>
              <w:top w:w="0" w:type="dxa"/>
              <w:left w:w="6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Total liabilities and stockholders’ equity</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1,185,000</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4,455,000</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jc w:val="center"/>
        <w:rPr>
          <w:sz w:val="20"/>
          <w:szCs w:val="20"/>
        </w:rPr>
      </w:pPr>
      <w:r>
        <w:rPr>
          <w:i/>
          <w:iCs/>
          <w:sz w:val="20"/>
          <w:szCs w:val="20"/>
        </w:rPr>
        <w:t>The accompanying notes are an integral part of these consolidated financial statements.</w:t>
      </w:r>
    </w:p>
    <w:p w:rsidR="00000000" w:rsidRDefault="00B64763">
      <w:pPr>
        <w:pStyle w:val="a3"/>
        <w:spacing w:before="0" w:beforeAutospacing="0" w:after="0" w:afterAutospacing="0"/>
        <w:jc w:val="center"/>
        <w:rPr>
          <w:sz w:val="20"/>
          <w:szCs w:val="20"/>
        </w:rPr>
      </w:pPr>
      <w:r>
        <w:rPr>
          <w:i/>
          <w:iCs/>
          <w:sz w:val="20"/>
          <w:szCs w:val="20"/>
        </w:rPr>
        <w:t> </w:t>
      </w:r>
    </w:p>
    <w:p w:rsidR="00000000" w:rsidRDefault="00B64763">
      <w:pPr>
        <w:pStyle w:val="a3"/>
        <w:spacing w:before="0" w:beforeAutospacing="0" w:after="0" w:afterAutospacing="0"/>
        <w:jc w:val="center"/>
        <w:divId w:val="1658651439"/>
        <w:rPr>
          <w:sz w:val="20"/>
          <w:szCs w:val="20"/>
        </w:rPr>
      </w:pPr>
      <w:r>
        <w:rPr>
          <w:sz w:val="20"/>
          <w:szCs w:val="20"/>
        </w:rPr>
        <w:t>F</w:t>
      </w:r>
      <w:r>
        <w:rPr>
          <w:sz w:val="20"/>
          <w:szCs w:val="20"/>
        </w:rPr>
        <w:t>-</w:t>
      </w:r>
      <w:r>
        <w:rPr>
          <w:sz w:val="20"/>
          <w:szCs w:val="20"/>
        </w:rPr>
        <w:t>5</w:t>
      </w:r>
    </w:p>
    <w:p w:rsidR="00000000" w:rsidRDefault="00B64763">
      <w:pPr>
        <w:pStyle w:val="a3"/>
        <w:spacing w:before="0" w:beforeAutospacing="0" w:after="0" w:afterAutospacing="0"/>
        <w:divId w:val="750397162"/>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c>
          <w:tcPr>
            <w:tcW w:w="5000" w:type="pct"/>
            <w:noWrap/>
            <w:tcMar>
              <w:top w:w="0" w:type="dxa"/>
              <w:left w:w="14" w:type="dxa"/>
              <w:bottom w:w="0" w:type="dxa"/>
              <w:right w:w="14" w:type="dxa"/>
            </w:tcMar>
            <w:vAlign w:val="bottom"/>
            <w:hideMark/>
          </w:tcPr>
          <w:p w:rsidR="00000000" w:rsidRDefault="00B64763">
            <w:pPr>
              <w:jc w:val="center"/>
              <w:rPr>
                <w:rFonts w:eastAsia="Times New Roman"/>
                <w:sz w:val="20"/>
                <w:szCs w:val="20"/>
              </w:rPr>
            </w:pPr>
            <w:r>
              <w:rPr>
                <w:rFonts w:eastAsia="Times New Roman"/>
                <w:b/>
                <w:bCs/>
                <w:sz w:val="20"/>
                <w:szCs w:val="20"/>
              </w:rPr>
              <w:t>Clickstream Corp. and Subsidiaries</w:t>
            </w:r>
          </w:p>
        </w:tc>
      </w:tr>
      <w:tr w:rsidR="00000000">
        <w:tc>
          <w:tcPr>
            <w:tcW w:w="0" w:type="auto"/>
            <w:noWrap/>
            <w:tcMar>
              <w:top w:w="0" w:type="dxa"/>
              <w:left w:w="14" w:type="dxa"/>
              <w:bottom w:w="0" w:type="dxa"/>
              <w:right w:w="14" w:type="dxa"/>
            </w:tcMar>
            <w:vAlign w:val="bottom"/>
            <w:hideMark/>
          </w:tcPr>
          <w:p w:rsidR="00000000" w:rsidRDefault="00B64763">
            <w:pPr>
              <w:jc w:val="center"/>
              <w:rPr>
                <w:rFonts w:eastAsia="Times New Roman"/>
                <w:sz w:val="20"/>
                <w:szCs w:val="20"/>
              </w:rPr>
            </w:pPr>
            <w:r>
              <w:rPr>
                <w:rFonts w:eastAsia="Times New Roman"/>
                <w:b/>
                <w:bCs/>
                <w:sz w:val="20"/>
                <w:szCs w:val="20"/>
              </w:rPr>
              <w:t xml:space="preserve">Consolidated Statements of Operations </w:t>
            </w:r>
          </w:p>
        </w:tc>
      </w:tr>
      <w:tr w:rsidR="00000000">
        <w:tc>
          <w:tcPr>
            <w:tcW w:w="0" w:type="auto"/>
            <w:noWrap/>
            <w:tcMar>
              <w:top w:w="0" w:type="dxa"/>
              <w:left w:w="14" w:type="dxa"/>
              <w:bottom w:w="0" w:type="dxa"/>
              <w:right w:w="14" w:type="dxa"/>
            </w:tcMar>
            <w:vAlign w:val="center"/>
            <w:hideMark/>
          </w:tcPr>
          <w:p w:rsidR="00000000" w:rsidRDefault="00B64763">
            <w:pPr>
              <w:jc w:val="center"/>
              <w:rPr>
                <w:rFonts w:eastAsia="Times New Roman"/>
                <w:sz w:val="20"/>
                <w:szCs w:val="20"/>
              </w:rPr>
            </w:pPr>
            <w:r>
              <w:rPr>
                <w:rFonts w:eastAsia="Times New Roman"/>
                <w:b/>
                <w:bCs/>
                <w:sz w:val="20"/>
                <w:szCs w:val="20"/>
              </w:rPr>
              <w:t>(Rounded to nearest thousand except for share and per share data)</w:t>
            </w:r>
          </w:p>
        </w:tc>
      </w:tr>
    </w:tbl>
    <w:p w:rsidR="00000000" w:rsidRDefault="00B64763">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Operations"/>
      </w:tblPr>
      <w:tblGrid>
        <w:gridCol w:w="4643"/>
        <w:gridCol w:w="656"/>
        <w:gridCol w:w="100"/>
        <w:gridCol w:w="1000"/>
        <w:gridCol w:w="75"/>
        <w:gridCol w:w="656"/>
        <w:gridCol w:w="100"/>
        <w:gridCol w:w="1000"/>
        <w:gridCol w:w="76"/>
      </w:tblGrid>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rPr>
            </w:pPr>
            <w:r>
              <w:rPr>
                <w:rFonts w:eastAsia="Times New Roman"/>
              </w:rPr>
              <w:t> </w:t>
            </w:r>
          </w:p>
        </w:tc>
        <w:tc>
          <w:tcPr>
            <w:tcW w:w="0" w:type="auto"/>
            <w:vAlign w:val="bottom"/>
            <w:hideMark/>
          </w:tcPr>
          <w:p w:rsidR="00000000" w:rsidRDefault="00B64763">
            <w:pPr>
              <w:rPr>
                <w:rFonts w:eastAsia="Times New Roman"/>
                <w:b/>
                <w:bCs/>
              </w:rPr>
            </w:pPr>
            <w:r>
              <w:rPr>
                <w:rFonts w:eastAsia="Times New Roman"/>
                <w:b/>
                <w:bCs/>
              </w:rPr>
              <w:t> </w:t>
            </w:r>
          </w:p>
        </w:tc>
        <w:tc>
          <w:tcPr>
            <w:tcW w:w="0" w:type="auto"/>
            <w:vAlign w:val="bottom"/>
            <w:hideMark/>
          </w:tcPr>
          <w:p w:rsidR="00000000" w:rsidRDefault="00B64763">
            <w:pPr>
              <w:jc w:val="center"/>
              <w:rPr>
                <w:rFonts w:eastAsia="Times New Roman"/>
                <w:b/>
                <w:bCs/>
              </w:rPr>
            </w:pPr>
            <w:r>
              <w:rPr>
                <w:rFonts w:eastAsia="Times New Roman"/>
                <w:b/>
                <w:bCs/>
              </w:rPr>
              <w:t> </w:t>
            </w:r>
          </w:p>
        </w:tc>
        <w:tc>
          <w:tcPr>
            <w:tcW w:w="0" w:type="auto"/>
            <w:vAlign w:val="bottom"/>
            <w:hideMark/>
          </w:tcPr>
          <w:p w:rsidR="00000000" w:rsidRDefault="00B64763">
            <w:pPr>
              <w:jc w:val="center"/>
              <w:rPr>
                <w:rFonts w:eastAsia="Times New Roman"/>
                <w:b/>
                <w:bCs/>
              </w:rPr>
            </w:pPr>
            <w:r>
              <w:rPr>
                <w:rFonts w:eastAsia="Times New Roman"/>
                <w:b/>
                <w:bCs/>
              </w:rPr>
              <w:t> </w:t>
            </w:r>
          </w:p>
        </w:tc>
        <w:tc>
          <w:tcPr>
            <w:tcW w:w="0" w:type="auto"/>
            <w:vAlign w:val="bottom"/>
            <w:hideMark/>
          </w:tcPr>
          <w:p w:rsidR="00000000" w:rsidRDefault="00B64763">
            <w:pPr>
              <w:jc w:val="center"/>
              <w:rPr>
                <w:rFonts w:eastAsia="Times New Roman"/>
                <w:b/>
                <w:bCs/>
              </w:rPr>
            </w:pPr>
            <w:r>
              <w:rPr>
                <w:rFonts w:eastAsia="Times New Roman"/>
                <w:b/>
                <w:bCs/>
              </w:rPr>
              <w:t> </w:t>
            </w:r>
          </w:p>
        </w:tc>
        <w:tc>
          <w:tcPr>
            <w:tcW w:w="0" w:type="auto"/>
            <w:vAlign w:val="bottom"/>
            <w:hideMark/>
          </w:tcPr>
          <w:p w:rsidR="00000000" w:rsidRDefault="00B64763">
            <w:pPr>
              <w:jc w:val="center"/>
              <w:rPr>
                <w:rFonts w:eastAsia="Times New Roman"/>
                <w:b/>
                <w:bCs/>
              </w:rPr>
            </w:pPr>
            <w:r>
              <w:rPr>
                <w:rFonts w:eastAsia="Times New Roman"/>
                <w:b/>
                <w:bCs/>
              </w:rPr>
              <w:t> </w:t>
            </w:r>
          </w:p>
        </w:tc>
        <w:tc>
          <w:tcPr>
            <w:tcW w:w="0" w:type="auto"/>
            <w:vAlign w:val="bottom"/>
            <w:hideMark/>
          </w:tcPr>
          <w:p w:rsidR="00000000" w:rsidRDefault="00B64763">
            <w:pPr>
              <w:jc w:val="center"/>
              <w:rPr>
                <w:rFonts w:eastAsia="Times New Roman"/>
                <w:b/>
                <w:bCs/>
              </w:rPr>
            </w:pPr>
            <w:r>
              <w:rPr>
                <w:rFonts w:eastAsia="Times New Roman"/>
                <w:b/>
                <w:bCs/>
              </w:rPr>
              <w:t> </w:t>
            </w:r>
          </w:p>
        </w:tc>
        <w:tc>
          <w:tcPr>
            <w:tcW w:w="0" w:type="auto"/>
            <w:gridSpan w:val="2"/>
            <w:vAlign w:val="bottom"/>
            <w:hideMark/>
          </w:tcPr>
          <w:p w:rsidR="00000000" w:rsidRDefault="00B64763">
            <w:pPr>
              <w:jc w:val="center"/>
              <w:rPr>
                <w:rFonts w:eastAsia="Times New Roman"/>
                <w:b/>
                <w:bCs/>
              </w:rPr>
            </w:pPr>
            <w:r>
              <w:rPr>
                <w:rFonts w:eastAsia="Times New Roman"/>
                <w:b/>
                <w:bCs/>
              </w:rPr>
              <w:t> </w:t>
            </w:r>
          </w:p>
        </w:tc>
      </w:tr>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rPr>
            </w:pPr>
            <w:r>
              <w:rPr>
                <w:rFonts w:eastAsia="Times New Roman"/>
                <w:sz w:val="20"/>
                <w:szCs w:val="20"/>
              </w:rPr>
              <w:t> </w:t>
            </w:r>
          </w:p>
        </w:tc>
        <w:tc>
          <w:tcPr>
            <w:tcW w:w="0" w:type="auto"/>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7"/>
            <w:vAlign w:val="bottom"/>
            <w:hideMark/>
          </w:tcPr>
          <w:p w:rsidR="00000000" w:rsidRDefault="00B64763">
            <w:pPr>
              <w:jc w:val="center"/>
              <w:rPr>
                <w:rFonts w:eastAsia="Times New Roman"/>
                <w:b/>
                <w:bCs/>
                <w:sz w:val="20"/>
                <w:szCs w:val="20"/>
              </w:rPr>
            </w:pPr>
            <w:r>
              <w:rPr>
                <w:rFonts w:eastAsia="Times New Roman"/>
                <w:b/>
                <w:bCs/>
                <w:sz w:val="20"/>
                <w:szCs w:val="20"/>
              </w:rPr>
              <w:t>For the Year Ended</w:t>
            </w:r>
          </w:p>
        </w:tc>
      </w:tr>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7"/>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September 30,</w:t>
            </w:r>
          </w:p>
        </w:tc>
      </w:tr>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2020</w:t>
            </w:r>
          </w:p>
        </w:tc>
      </w:tr>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b/>
                <w:bCs/>
                <w:sz w:val="20"/>
                <w:szCs w:val="20"/>
              </w:rPr>
            </w:pPr>
            <w:r>
              <w:rPr>
                <w:rFonts w:eastAsia="Times New Roman"/>
                <w:b/>
                <w:bCs/>
                <w:sz w:val="20"/>
                <w:szCs w:val="20"/>
              </w:rPr>
              <w:t>Revenues</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b/>
                <w:bCs/>
                <w:sz w:val="20"/>
                <w:szCs w:val="20"/>
              </w:rPr>
            </w:pPr>
            <w:r>
              <w:rPr>
                <w:rFonts w:eastAsia="Times New Roman"/>
                <w:b/>
                <w:bCs/>
                <w:sz w:val="20"/>
                <w:szCs w:val="20"/>
              </w:rPr>
              <w:t>Operating Expenses:</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r>
      <w:tr w:rsidR="00000000">
        <w:tc>
          <w:tcPr>
            <w:tcW w:w="2800" w:type="pct"/>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Research and development</w:t>
            </w:r>
          </w:p>
        </w:tc>
        <w:tc>
          <w:tcPr>
            <w:tcW w:w="400" w:type="pct"/>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64763">
            <w:pPr>
              <w:jc w:val="right"/>
              <w:rPr>
                <w:rFonts w:eastAsia="Times New Roman"/>
                <w:sz w:val="20"/>
                <w:szCs w:val="20"/>
              </w:rPr>
            </w:pPr>
            <w:r>
              <w:rPr>
                <w:rFonts w:eastAsia="Times New Roman"/>
                <w:sz w:val="20"/>
                <w:szCs w:val="20"/>
              </w:rPr>
              <w:t>692,000</w:t>
            </w:r>
          </w:p>
        </w:tc>
        <w:tc>
          <w:tcPr>
            <w:tcW w:w="50" w:type="pct"/>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400" w:type="pct"/>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B64763">
            <w:pPr>
              <w:jc w:val="right"/>
              <w:rPr>
                <w:rFonts w:eastAsia="Times New Roman"/>
                <w:sz w:val="20"/>
                <w:szCs w:val="20"/>
              </w:rPr>
            </w:pPr>
            <w:r>
              <w:rPr>
                <w:rFonts w:eastAsia="Times New Roman"/>
                <w:sz w:val="20"/>
                <w:szCs w:val="20"/>
              </w:rPr>
              <w:t>302,000</w:t>
            </w:r>
          </w:p>
        </w:tc>
        <w:tc>
          <w:tcPr>
            <w:tcW w:w="50" w:type="pct"/>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Loss on impairment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128,000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Consulting and professional fees – related parties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924,000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238,000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General and administrative</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5,603,000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1,459,000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Loss from Operations</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7,347,000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1,999,000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b/>
                <w:bCs/>
                <w:sz w:val="20"/>
                <w:szCs w:val="20"/>
              </w:rPr>
            </w:pPr>
            <w:r>
              <w:rPr>
                <w:rFonts w:eastAsia="Times New Roman"/>
                <w:b/>
                <w:bCs/>
                <w:sz w:val="20"/>
                <w:szCs w:val="20"/>
              </w:rPr>
              <w:t>Other (Income) Expense</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Gain on settlement of debt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(4,000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Amortization of debt discount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375,000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165,000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Change in fair value - investments</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18,000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15,000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Interest income</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(41,000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b/>
                <w:bCs/>
                <w:sz w:val="20"/>
                <w:szCs w:val="20"/>
              </w:rPr>
            </w:pPr>
            <w:r>
              <w:rPr>
                <w:rFonts w:eastAsia="Times New Roman"/>
                <w:b/>
                <w:bCs/>
                <w:sz w:val="20"/>
                <w:szCs w:val="20"/>
              </w:rPr>
              <w:t>Total Other (Income) Expense, net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352,000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176,000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Loss before equity method investee loss</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(7,699,000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(2,175,000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Loss of equity method investee</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(87,000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(7,786,000</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(2,175,000</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Net loss per share</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Basic and diluted</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(0.03</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(0.02</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Weighted average common shares outstanding</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Basic and diluted</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238,850,782</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116,439,213</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jc w:val="center"/>
        <w:rPr>
          <w:sz w:val="20"/>
          <w:szCs w:val="20"/>
        </w:rPr>
      </w:pPr>
      <w:r>
        <w:rPr>
          <w:i/>
          <w:iCs/>
          <w:sz w:val="20"/>
          <w:szCs w:val="20"/>
        </w:rPr>
        <w:t>The accompanying notes are an integral part of these consolidated financial statements.</w:t>
      </w:r>
    </w:p>
    <w:p w:rsidR="00000000" w:rsidRDefault="00B64763">
      <w:pPr>
        <w:pStyle w:val="a3"/>
        <w:spacing w:before="0" w:beforeAutospacing="0" w:after="0" w:afterAutospacing="0"/>
        <w:jc w:val="center"/>
        <w:rPr>
          <w:sz w:val="20"/>
          <w:szCs w:val="20"/>
        </w:rPr>
      </w:pPr>
      <w:r>
        <w:rPr>
          <w:i/>
          <w:iCs/>
          <w:sz w:val="20"/>
          <w:szCs w:val="20"/>
        </w:rPr>
        <w:t> </w:t>
      </w:r>
    </w:p>
    <w:p w:rsidR="00000000" w:rsidRDefault="00B64763">
      <w:pPr>
        <w:pStyle w:val="a3"/>
        <w:spacing w:before="0" w:beforeAutospacing="0" w:after="0" w:afterAutospacing="0"/>
        <w:jc w:val="center"/>
        <w:divId w:val="1572498137"/>
        <w:rPr>
          <w:sz w:val="20"/>
          <w:szCs w:val="20"/>
        </w:rPr>
      </w:pPr>
      <w:r>
        <w:rPr>
          <w:sz w:val="20"/>
          <w:szCs w:val="20"/>
        </w:rPr>
        <w:t>F</w:t>
      </w:r>
      <w:r>
        <w:rPr>
          <w:sz w:val="20"/>
          <w:szCs w:val="20"/>
        </w:rPr>
        <w:t>-</w:t>
      </w:r>
      <w:r>
        <w:rPr>
          <w:sz w:val="20"/>
          <w:szCs w:val="20"/>
        </w:rPr>
        <w:t>6</w:t>
      </w:r>
    </w:p>
    <w:p w:rsidR="00000000" w:rsidRDefault="00B64763">
      <w:pPr>
        <w:pStyle w:val="a3"/>
        <w:spacing w:before="0" w:beforeAutospacing="0" w:after="0" w:afterAutospacing="0"/>
        <w:divId w:val="521866513"/>
        <w:rPr>
          <w:sz w:val="20"/>
          <w:szCs w:val="20"/>
        </w:rPr>
      </w:pPr>
      <w:r>
        <w:rPr>
          <w:sz w:val="20"/>
          <w:szCs w:val="20"/>
        </w:rPr>
        <w:t> </w:t>
      </w:r>
    </w:p>
    <w:p w:rsidR="00000000" w:rsidRDefault="00B64763">
      <w:pPr>
        <w:pStyle w:val="a3"/>
        <w:spacing w:before="0" w:beforeAutospacing="0" w:after="0" w:afterAutospacing="0"/>
        <w:jc w:val="center"/>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c>
          <w:tcPr>
            <w:tcW w:w="5000" w:type="pct"/>
            <w:noWrap/>
            <w:tcMar>
              <w:top w:w="0" w:type="dxa"/>
              <w:left w:w="14" w:type="dxa"/>
              <w:bottom w:w="0" w:type="dxa"/>
              <w:right w:w="14" w:type="dxa"/>
            </w:tcMar>
            <w:vAlign w:val="bottom"/>
            <w:hideMark/>
          </w:tcPr>
          <w:p w:rsidR="00000000" w:rsidRDefault="00B64763">
            <w:pPr>
              <w:jc w:val="center"/>
              <w:rPr>
                <w:rFonts w:eastAsia="Times New Roman"/>
                <w:sz w:val="20"/>
                <w:szCs w:val="20"/>
              </w:rPr>
            </w:pPr>
            <w:r>
              <w:rPr>
                <w:rFonts w:eastAsia="Times New Roman"/>
                <w:b/>
                <w:bCs/>
                <w:sz w:val="20"/>
                <w:szCs w:val="20"/>
              </w:rPr>
              <w:t>Clickstream Corp. and Subsidiaries</w:t>
            </w:r>
          </w:p>
        </w:tc>
      </w:tr>
      <w:tr w:rsidR="00000000">
        <w:tc>
          <w:tcPr>
            <w:tcW w:w="0" w:type="auto"/>
            <w:noWrap/>
            <w:tcMar>
              <w:top w:w="0" w:type="dxa"/>
              <w:left w:w="14" w:type="dxa"/>
              <w:bottom w:w="0" w:type="dxa"/>
              <w:right w:w="14" w:type="dxa"/>
            </w:tcMar>
            <w:vAlign w:val="bottom"/>
            <w:hideMark/>
          </w:tcPr>
          <w:p w:rsidR="00000000" w:rsidRDefault="00B64763">
            <w:pPr>
              <w:jc w:val="center"/>
              <w:rPr>
                <w:rFonts w:eastAsia="Times New Roman"/>
                <w:sz w:val="20"/>
                <w:szCs w:val="20"/>
              </w:rPr>
            </w:pPr>
            <w:r>
              <w:rPr>
                <w:rFonts w:eastAsia="Times New Roman"/>
                <w:b/>
                <w:bCs/>
                <w:sz w:val="20"/>
                <w:szCs w:val="20"/>
              </w:rPr>
              <w:t xml:space="preserve"> Consolidated Statements of Stockholders’ Equity (Deficit) </w:t>
            </w:r>
          </w:p>
        </w:tc>
      </w:tr>
      <w:tr w:rsidR="00000000">
        <w:tc>
          <w:tcPr>
            <w:tcW w:w="0" w:type="auto"/>
            <w:noWrap/>
            <w:tcMar>
              <w:top w:w="0" w:type="dxa"/>
              <w:left w:w="14" w:type="dxa"/>
              <w:bottom w:w="0" w:type="dxa"/>
              <w:right w:w="14" w:type="dxa"/>
            </w:tcMar>
            <w:vAlign w:val="bottom"/>
            <w:hideMark/>
          </w:tcPr>
          <w:p w:rsidR="00000000" w:rsidRDefault="00B64763">
            <w:pPr>
              <w:jc w:val="center"/>
              <w:rPr>
                <w:rFonts w:eastAsia="Times New Roman"/>
                <w:sz w:val="20"/>
                <w:szCs w:val="20"/>
              </w:rPr>
            </w:pPr>
            <w:r>
              <w:rPr>
                <w:rFonts w:eastAsia="Times New Roman"/>
                <w:b/>
                <w:bCs/>
                <w:sz w:val="20"/>
                <w:szCs w:val="20"/>
              </w:rPr>
              <w:t> </w:t>
            </w:r>
            <w:r>
              <w:rPr>
                <w:rFonts w:eastAsia="Times New Roman"/>
                <w:b/>
                <w:bCs/>
                <w:sz w:val="20"/>
                <w:szCs w:val="20"/>
              </w:rPr>
              <w:t xml:space="preserve">(Rounded to nearest thousand except for share quantities) </w:t>
            </w:r>
          </w:p>
        </w:tc>
      </w:tr>
    </w:tbl>
    <w:p w:rsidR="00000000" w:rsidRDefault="00B64763">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Stockholders Equity (Deficit)"/>
      </w:tblPr>
      <w:tblGrid>
        <w:gridCol w:w="1525"/>
        <w:gridCol w:w="50"/>
        <w:gridCol w:w="50"/>
        <w:gridCol w:w="1000"/>
        <w:gridCol w:w="50"/>
        <w:gridCol w:w="50"/>
        <w:gridCol w:w="100"/>
        <w:gridCol w:w="550"/>
        <w:gridCol w:w="50"/>
        <w:gridCol w:w="50"/>
        <w:gridCol w:w="50"/>
        <w:gridCol w:w="650"/>
        <w:gridCol w:w="50"/>
        <w:gridCol w:w="50"/>
        <w:gridCol w:w="101"/>
        <w:gridCol w:w="469"/>
        <w:gridCol w:w="93"/>
        <w:gridCol w:w="50"/>
        <w:gridCol w:w="100"/>
        <w:gridCol w:w="900"/>
        <w:gridCol w:w="50"/>
        <w:gridCol w:w="50"/>
        <w:gridCol w:w="100"/>
        <w:gridCol w:w="967"/>
        <w:gridCol w:w="67"/>
        <w:gridCol w:w="50"/>
        <w:gridCol w:w="100"/>
        <w:gridCol w:w="867"/>
        <w:gridCol w:w="67"/>
      </w:tblGrid>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Common Stock</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7"/>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Common Stock Issuable</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Additional Paid</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Accumulated</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Shares</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Amount</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in Capital</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Deficit</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Total</w:t>
            </w:r>
          </w:p>
        </w:tc>
      </w:tr>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r>
      <w:tr w:rsidR="00B64763">
        <w:tc>
          <w:tcPr>
            <w:tcW w:w="1850" w:type="pct"/>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Balance, September 30, 2019</w:t>
            </w:r>
          </w:p>
        </w:tc>
        <w:tc>
          <w:tcPr>
            <w:tcW w:w="1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83,438,231</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8,000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2,146,000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(3,603,000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1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(1,449,000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r>
      <w:tr w:rsidR="00B64763">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Inherent compensation from issuance of Preferred Series A</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180,000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180,000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Issuance of common stock for private placement offering</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100,000,000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4,990,000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5,000,000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Issuance of common stock for settlement of debt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7,850,000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28,000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29,000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Gain on settlement of debt from related parties</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1,010,000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1,010,000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Issuance of common stock for services</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29,272,394</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3,000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1,647,000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1,650,000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(2,175,000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(2,175,000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w:t>
            </w:r>
          </w:p>
        </w:tc>
      </w:tr>
      <w:tr w:rsidR="00B64763">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Balance, September 30, 2020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220,560,625</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22,000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10,001,000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(5,778,000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4,245,000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Issuance of common stock for services</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3,877,179</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140,000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221,000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221,000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Issuance of common stock for acquisition of subsidiary</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10,000,000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127,000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128,000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FFFFFF"/>
            <w:tcMar>
              <w:top w:w="0" w:type="dxa"/>
              <w:left w:w="200" w:type="dxa"/>
              <w:bottom w:w="0" w:type="dxa"/>
              <w:right w:w="0" w:type="dxa"/>
            </w:tcMar>
            <w:vAlign w:val="bottom"/>
            <w:hideMark/>
          </w:tcPr>
          <w:p w:rsidR="00000000" w:rsidRDefault="00B64763">
            <w:pPr>
              <w:rPr>
                <w:rFonts w:eastAsia="Times New Roman"/>
                <w:sz w:val="20"/>
                <w:szCs w:val="20"/>
              </w:rPr>
            </w:pP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Issuance of common stock for asset acquisition contingent consideration</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10,000,000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64763">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64763">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2,369,000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64763">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2,370,000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Issuance of common stock settlement of debt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35,000,000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4,000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1,746,000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1,750,000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r>
              <w:rPr>
                <w:rFonts w:eastAsia="Times New Roman"/>
                <w:sz w:val="20"/>
                <w:szCs w:val="20"/>
              </w:rPr>
              <w:t>7,786,000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(7,786,000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w:t>
            </w:r>
          </w:p>
        </w:tc>
      </w:tr>
      <w:tr w:rsidR="00B64763">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B64763">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Balance, September 30, 2021</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279,437,804</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28,000</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140,000</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14,464,000</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(13,564,000</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928,000</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jc w:val="center"/>
        <w:rPr>
          <w:sz w:val="20"/>
          <w:szCs w:val="20"/>
        </w:rPr>
      </w:pPr>
      <w:r>
        <w:rPr>
          <w:i/>
          <w:iCs/>
          <w:sz w:val="20"/>
          <w:szCs w:val="20"/>
        </w:rPr>
        <w:t>The accompanying notes are an integral part of these consolidated financial statements.</w:t>
      </w:r>
    </w:p>
    <w:p w:rsidR="00000000" w:rsidRDefault="00B64763">
      <w:pPr>
        <w:pStyle w:val="a3"/>
        <w:spacing w:before="0" w:beforeAutospacing="0" w:after="0" w:afterAutospacing="0"/>
        <w:jc w:val="center"/>
        <w:rPr>
          <w:sz w:val="20"/>
          <w:szCs w:val="20"/>
        </w:rPr>
      </w:pPr>
      <w:r>
        <w:rPr>
          <w:i/>
          <w:iCs/>
          <w:sz w:val="20"/>
          <w:szCs w:val="20"/>
        </w:rPr>
        <w:t> </w:t>
      </w:r>
    </w:p>
    <w:p w:rsidR="00000000" w:rsidRDefault="00B64763">
      <w:pPr>
        <w:pStyle w:val="a3"/>
        <w:spacing w:before="0" w:beforeAutospacing="0" w:after="0" w:afterAutospacing="0"/>
        <w:jc w:val="center"/>
        <w:divId w:val="938483757"/>
        <w:rPr>
          <w:sz w:val="20"/>
          <w:szCs w:val="20"/>
        </w:rPr>
      </w:pPr>
      <w:r>
        <w:rPr>
          <w:sz w:val="20"/>
          <w:szCs w:val="20"/>
        </w:rPr>
        <w:t>F</w:t>
      </w:r>
      <w:r>
        <w:rPr>
          <w:sz w:val="20"/>
          <w:szCs w:val="20"/>
        </w:rPr>
        <w:t>-</w:t>
      </w:r>
      <w:r>
        <w:rPr>
          <w:sz w:val="20"/>
          <w:szCs w:val="20"/>
        </w:rPr>
        <w:t>7</w:t>
      </w:r>
    </w:p>
    <w:p w:rsidR="00000000" w:rsidRDefault="00B64763">
      <w:pPr>
        <w:pStyle w:val="a3"/>
        <w:spacing w:before="0" w:beforeAutospacing="0" w:after="0" w:afterAutospacing="0"/>
        <w:divId w:val="1791046948"/>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c>
          <w:tcPr>
            <w:tcW w:w="5000" w:type="pct"/>
            <w:noWrap/>
            <w:tcMar>
              <w:top w:w="0" w:type="dxa"/>
              <w:left w:w="14" w:type="dxa"/>
              <w:bottom w:w="0" w:type="dxa"/>
              <w:right w:w="14" w:type="dxa"/>
            </w:tcMar>
            <w:vAlign w:val="bottom"/>
            <w:hideMark/>
          </w:tcPr>
          <w:p w:rsidR="00000000" w:rsidRDefault="00B64763">
            <w:pPr>
              <w:jc w:val="center"/>
              <w:rPr>
                <w:rFonts w:eastAsia="Times New Roman"/>
                <w:sz w:val="20"/>
                <w:szCs w:val="20"/>
              </w:rPr>
            </w:pPr>
            <w:r>
              <w:rPr>
                <w:rFonts w:eastAsia="Times New Roman"/>
                <w:b/>
                <w:bCs/>
                <w:sz w:val="20"/>
                <w:szCs w:val="20"/>
              </w:rPr>
              <w:t>Clickstream Corp. and Subsidiaries</w:t>
            </w:r>
          </w:p>
        </w:tc>
      </w:tr>
      <w:tr w:rsidR="00000000">
        <w:tc>
          <w:tcPr>
            <w:tcW w:w="0" w:type="auto"/>
            <w:noWrap/>
            <w:tcMar>
              <w:top w:w="0" w:type="dxa"/>
              <w:left w:w="14" w:type="dxa"/>
              <w:bottom w:w="0" w:type="dxa"/>
              <w:right w:w="14" w:type="dxa"/>
            </w:tcMar>
            <w:vAlign w:val="bottom"/>
            <w:hideMark/>
          </w:tcPr>
          <w:p w:rsidR="00000000" w:rsidRDefault="00B64763">
            <w:pPr>
              <w:jc w:val="center"/>
              <w:rPr>
                <w:rFonts w:eastAsia="Times New Roman"/>
                <w:sz w:val="20"/>
                <w:szCs w:val="20"/>
              </w:rPr>
            </w:pPr>
            <w:r>
              <w:rPr>
                <w:rFonts w:eastAsia="Times New Roman"/>
                <w:b/>
                <w:bCs/>
                <w:sz w:val="20"/>
                <w:szCs w:val="20"/>
              </w:rPr>
              <w:t>Consolidated Statements of Cash Flows</w:t>
            </w:r>
          </w:p>
        </w:tc>
      </w:tr>
      <w:tr w:rsidR="00000000">
        <w:tc>
          <w:tcPr>
            <w:tcW w:w="0" w:type="auto"/>
            <w:noWrap/>
            <w:tcMar>
              <w:top w:w="0" w:type="dxa"/>
              <w:left w:w="14" w:type="dxa"/>
              <w:bottom w:w="0" w:type="dxa"/>
              <w:right w:w="14" w:type="dxa"/>
            </w:tcMar>
            <w:vAlign w:val="bottom"/>
            <w:hideMark/>
          </w:tcPr>
          <w:p w:rsidR="00000000" w:rsidRDefault="00B64763">
            <w:pPr>
              <w:jc w:val="center"/>
              <w:rPr>
                <w:rFonts w:eastAsia="Times New Roman"/>
                <w:sz w:val="20"/>
                <w:szCs w:val="20"/>
              </w:rPr>
            </w:pPr>
            <w:r>
              <w:rPr>
                <w:rFonts w:eastAsia="Times New Roman"/>
                <w:b/>
                <w:bCs/>
                <w:sz w:val="20"/>
                <w:szCs w:val="20"/>
              </w:rPr>
              <w:t>(Rounded to nearest thousand)</w:t>
            </w:r>
          </w:p>
        </w:tc>
      </w:tr>
    </w:tbl>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Description w:val="xdx: Statement - Consolidated Statements of Cash Flows"/>
      </w:tblPr>
      <w:tblGrid>
        <w:gridCol w:w="4646"/>
        <w:gridCol w:w="659"/>
        <w:gridCol w:w="100"/>
        <w:gridCol w:w="992"/>
        <w:gridCol w:w="78"/>
        <w:gridCol w:w="659"/>
        <w:gridCol w:w="100"/>
        <w:gridCol w:w="993"/>
        <w:gridCol w:w="79"/>
      </w:tblGrid>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7"/>
            <w:vAlign w:val="bottom"/>
            <w:hideMark/>
          </w:tcPr>
          <w:p w:rsidR="00000000" w:rsidRDefault="00B64763">
            <w:pPr>
              <w:jc w:val="center"/>
              <w:rPr>
                <w:rFonts w:eastAsia="Times New Roman"/>
                <w:b/>
                <w:bCs/>
                <w:sz w:val="20"/>
                <w:szCs w:val="20"/>
              </w:rPr>
            </w:pPr>
            <w:r>
              <w:rPr>
                <w:rFonts w:eastAsia="Times New Roman"/>
                <w:b/>
                <w:bCs/>
                <w:sz w:val="20"/>
                <w:szCs w:val="20"/>
              </w:rPr>
              <w:t>For the Year Ended</w:t>
            </w:r>
          </w:p>
        </w:tc>
      </w:tr>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7"/>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September 30,</w:t>
            </w:r>
          </w:p>
        </w:tc>
      </w:tr>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2020</w:t>
            </w:r>
          </w:p>
        </w:tc>
      </w:tr>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CASH FLOWS FROM OPERATING ACTIVITIES:</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2800" w:type="pct"/>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Net loss</w:t>
            </w:r>
          </w:p>
        </w:tc>
        <w:tc>
          <w:tcPr>
            <w:tcW w:w="400" w:type="pct"/>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B64763">
            <w:pPr>
              <w:jc w:val="right"/>
              <w:rPr>
                <w:rFonts w:eastAsia="Times New Roman"/>
                <w:sz w:val="20"/>
                <w:szCs w:val="20"/>
              </w:rPr>
            </w:pPr>
            <w:r>
              <w:rPr>
                <w:rFonts w:eastAsia="Times New Roman"/>
                <w:sz w:val="20"/>
                <w:szCs w:val="20"/>
              </w:rPr>
              <w:t>(7,786,000</w:t>
            </w:r>
          </w:p>
        </w:tc>
        <w:tc>
          <w:tcPr>
            <w:tcW w:w="50" w:type="pct"/>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400" w:type="pct"/>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B64763">
            <w:pPr>
              <w:jc w:val="right"/>
              <w:rPr>
                <w:rFonts w:eastAsia="Times New Roman"/>
                <w:sz w:val="20"/>
                <w:szCs w:val="20"/>
              </w:rPr>
            </w:pPr>
            <w:r>
              <w:rPr>
                <w:rFonts w:eastAsia="Times New Roman"/>
                <w:sz w:val="20"/>
                <w:szCs w:val="20"/>
              </w:rPr>
              <w:t>(2,175,000</w:t>
            </w:r>
          </w:p>
        </w:tc>
        <w:tc>
          <w:tcPr>
            <w:tcW w:w="50" w:type="pct"/>
            <w:shd w:val="clear" w:color="auto" w:fill="FFFFFF"/>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Amortization of debt discount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375,000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165,000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Gain on settlement of debt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(5,000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Stock based contingent consideration</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2,370,000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Amortization of prepaid stock compensation</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461,000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Stock based compensation</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221,000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316,000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Loss on impairment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128,000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Loss of equity method investee</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87,000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Change in fair value - investment in Winners, Inc.</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18,000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15,000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Effect of changes in:</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Prepaid expenses</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1,003,000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(14,000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Interest receivable</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(41,000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63,000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(51,000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Accounts payable - related parties</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(77,000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Advances from stockholders</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(4,000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Net Cash Used in Operating Activities</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(3,562,000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r>
              <w:rPr>
                <w:rFonts w:eastAsia="Times New Roman"/>
                <w:sz w:val="20"/>
                <w:szCs w:val="20"/>
              </w:rPr>
              <w:t>1,369,000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CASH FLOWS FROM INVESTING ACTIVITIES:</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Deposit for the option to acquire common shares - Winners, Inc.</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(100,000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Investment in Winners, Inc.</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(75,000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(50,000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Advance to Winners, Inc.</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(315,000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(350,000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Repayment of advance to Winners, Inc.</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150,000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Net Cash Used in Investing Activities</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(390,000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(350,000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CASH FLOWS FROM FINANCING ACTIVITIES:</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Proceeds from issuance of notes payable</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1,500,000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165,000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Payment of notes payable</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(125,000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(378,000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Payment of advances - related parties</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(9,000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Payment of loan payable - stockholder</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(7,000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(65,000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Proceeds from private placement offering</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5,000,000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Proceeds from issuance of Series A preferred stock</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12,000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Net Cash Provided by Financing Activities</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1,359,000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4,734,000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Net Increase (Decrease) in Cash</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(2,593,000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3,015,000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Cash at Beginning of Year</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3,015,000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Cash at End of Year</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422,000</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3,015,000</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u w:val="single"/>
              </w:rPr>
            </w:pPr>
            <w:r>
              <w:rPr>
                <w:rFonts w:eastAsia="Times New Roman"/>
                <w:sz w:val="20"/>
                <w:szCs w:val="20"/>
                <w:u w:val="single"/>
              </w:rPr>
              <w:t>SUPPLEMENTAL DISCLOSURE OF CASH FLOW INFORMATION:</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Cash paid during the year for:</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Interest</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Income taxes paid</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u w:val="single"/>
              </w:rPr>
            </w:pPr>
            <w:r>
              <w:rPr>
                <w:rFonts w:eastAsia="Times New Roman"/>
                <w:sz w:val="20"/>
                <w:szCs w:val="20"/>
                <w:u w:val="single"/>
              </w:rPr>
              <w:t>SUPPLEMENTAL DISCLOSURE OF NON-CASH INVESTING AND FINANCING ACTIVITIES:</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Fair value of common stock issued for debt settlement</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1,750,000</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1,039,000</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Fair value of common stock issued accounted as prepaid stock compensation</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1,552,000</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Fair value of common stock issued for acquisition of subsidiary</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128,000</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64763">
            <w:pPr>
              <w:jc w:val="right"/>
              <w:rPr>
                <w:rFonts w:eastAsia="Times New Roman"/>
                <w:color w:val="FFFFFF"/>
                <w:sz w:val="20"/>
                <w:szCs w:val="20"/>
              </w:rPr>
            </w:pPr>
            <w:r>
              <w:rPr>
                <w:rFonts w:eastAsia="Times New Roman"/>
                <w:color w:val="FFFFFF"/>
                <w:sz w:val="20"/>
                <w:szCs w:val="20"/>
              </w:rPr>
              <w:t>—</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jc w:val="center"/>
        <w:rPr>
          <w:sz w:val="20"/>
          <w:szCs w:val="20"/>
        </w:rPr>
      </w:pPr>
      <w:r>
        <w:rPr>
          <w:i/>
          <w:iCs/>
          <w:sz w:val="20"/>
          <w:szCs w:val="20"/>
        </w:rPr>
        <w:t>The accompanying notes are an integral part of these consolidated financial statements.</w:t>
      </w:r>
    </w:p>
    <w:p w:rsidR="00000000" w:rsidRDefault="00B64763">
      <w:pPr>
        <w:pStyle w:val="a3"/>
        <w:spacing w:before="0" w:beforeAutospacing="0" w:after="0" w:afterAutospacing="0"/>
        <w:jc w:val="center"/>
        <w:rPr>
          <w:sz w:val="20"/>
          <w:szCs w:val="20"/>
        </w:rPr>
      </w:pPr>
      <w:r>
        <w:rPr>
          <w:i/>
          <w:iCs/>
          <w:sz w:val="20"/>
          <w:szCs w:val="20"/>
        </w:rPr>
        <w:t> </w:t>
      </w:r>
    </w:p>
    <w:p w:rsidR="00000000" w:rsidRDefault="00B64763">
      <w:pPr>
        <w:pStyle w:val="a3"/>
        <w:spacing w:before="0" w:beforeAutospacing="0" w:after="0" w:afterAutospacing="0"/>
        <w:jc w:val="center"/>
        <w:divId w:val="579758627"/>
        <w:rPr>
          <w:sz w:val="20"/>
          <w:szCs w:val="20"/>
        </w:rPr>
      </w:pPr>
      <w:r>
        <w:rPr>
          <w:sz w:val="20"/>
          <w:szCs w:val="20"/>
        </w:rPr>
        <w:t>F</w:t>
      </w:r>
      <w:r>
        <w:rPr>
          <w:sz w:val="20"/>
          <w:szCs w:val="20"/>
        </w:rPr>
        <w:t>-</w:t>
      </w:r>
      <w:r>
        <w:rPr>
          <w:sz w:val="20"/>
          <w:szCs w:val="20"/>
        </w:rPr>
        <w:t>8</w:t>
      </w:r>
    </w:p>
    <w:p w:rsidR="00000000" w:rsidRDefault="00B64763">
      <w:pPr>
        <w:pStyle w:val="a3"/>
        <w:spacing w:before="0" w:beforeAutospacing="0" w:after="0" w:afterAutospacing="0"/>
        <w:divId w:val="1783066252"/>
        <w:rPr>
          <w:sz w:val="20"/>
          <w:szCs w:val="20"/>
        </w:rPr>
      </w:pPr>
      <w:r>
        <w:rPr>
          <w:sz w:val="20"/>
          <w:szCs w:val="20"/>
        </w:rPr>
        <w:t> </w:t>
      </w:r>
    </w:p>
    <w:p w:rsidR="00000000" w:rsidRDefault="00B64763">
      <w:pPr>
        <w:pStyle w:val="a3"/>
        <w:spacing w:before="0" w:beforeAutospacing="0" w:after="0" w:afterAutospacing="0"/>
        <w:jc w:val="center"/>
        <w:rPr>
          <w:sz w:val="20"/>
          <w:szCs w:val="20"/>
        </w:rPr>
      </w:pPr>
      <w:r>
        <w:rPr>
          <w:b/>
          <w:bCs/>
          <w:i/>
          <w:iCs/>
          <w:sz w:val="20"/>
          <w:szCs w:val="20"/>
        </w:rPr>
        <w:t> </w:t>
      </w:r>
    </w:p>
    <w:p w:rsidR="00000000" w:rsidRDefault="00B64763">
      <w:pPr>
        <w:pStyle w:val="a3"/>
        <w:spacing w:before="0" w:beforeAutospacing="0" w:after="0" w:afterAutospacing="0"/>
        <w:jc w:val="center"/>
        <w:rPr>
          <w:sz w:val="20"/>
          <w:szCs w:val="20"/>
        </w:rPr>
      </w:pPr>
      <w:r>
        <w:rPr>
          <w:sz w:val="20"/>
          <w:szCs w:val="20"/>
        </w:rPr>
        <w:t>CLICKSTREAM 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September 30, 2021 and 2020</w:t>
      </w:r>
    </w:p>
    <w:p w:rsidR="00000000" w:rsidRDefault="00B64763">
      <w:pPr>
        <w:pStyle w:val="a3"/>
        <w:spacing w:before="0" w:beforeAutospacing="0" w:after="0" w:afterAutospacing="0"/>
        <w:jc w:val="center"/>
        <w:rPr>
          <w:sz w:val="20"/>
          <w:szCs w:val="20"/>
        </w:rPr>
      </w:pPr>
      <w:r>
        <w:rPr>
          <w:b/>
          <w:bCs/>
          <w:i/>
          <w:iCs/>
          <w:sz w:val="20"/>
          <w:szCs w:val="20"/>
        </w:rPr>
        <w:t> </w:t>
      </w:r>
    </w:p>
    <w:p w:rsidR="00000000" w:rsidRDefault="00B64763">
      <w:pPr>
        <w:pStyle w:val="a3"/>
        <w:spacing w:before="0" w:beforeAutospacing="0" w:after="0" w:afterAutospacing="0"/>
        <w:rPr>
          <w:sz w:val="20"/>
          <w:szCs w:val="20"/>
        </w:rPr>
      </w:pPr>
      <w:r>
        <w:rPr>
          <w:b/>
          <w:bCs/>
          <w:sz w:val="20"/>
          <w:szCs w:val="20"/>
        </w:rPr>
        <w:t>Note 1 –</w:t>
      </w:r>
      <w:r>
        <w:rPr>
          <w:b/>
          <w:bCs/>
          <w:sz w:val="20"/>
          <w:szCs w:val="20"/>
        </w:rPr>
        <w:t xml:space="preserve"> </w:t>
      </w:r>
      <w:r>
        <w:rPr>
          <w:b/>
          <w:bCs/>
          <w:sz w:val="20"/>
          <w:szCs w:val="20"/>
        </w:rPr>
        <w:t>Organization and Operation</w:t>
      </w:r>
      <w:r>
        <w:rPr>
          <w:b/>
          <w:bCs/>
          <w:sz w:val="20"/>
          <w:szCs w:val="20"/>
        </w:rPr>
        <w:t>s</w:t>
      </w:r>
    </w:p>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ind w:firstLine="720"/>
        <w:rPr>
          <w:sz w:val="20"/>
          <w:szCs w:val="20"/>
        </w:rPr>
      </w:pPr>
      <w:r>
        <w:rPr>
          <w:sz w:val="20"/>
          <w:szCs w:val="20"/>
        </w:rPr>
        <w:t>Clickstr</w:t>
      </w:r>
      <w:r>
        <w:rPr>
          <w:sz w:val="20"/>
          <w:szCs w:val="20"/>
        </w:rPr>
        <w:t>eam Corp. (“Clickstream,” “CLIS”, “we”, “our” or “the Company”), and its operating subsidiaries, have developed a free to play gaming app, WinQuikTM, based on an analytics platform that caters to the untapped market of casual users that will spend a few se</w:t>
      </w:r>
      <w:r>
        <w:rPr>
          <w:sz w:val="20"/>
          <w:szCs w:val="20"/>
        </w:rPr>
        <w:t>conds to interact with a platform for free in order to win real money. Our primary target is not the sports betters or the fantasy players, who will join over time, but rather individuals who enjoy the low barrier to entry of entering a quick contest (shor</w:t>
      </w:r>
      <w:r>
        <w:rPr>
          <w:sz w:val="20"/>
          <w:szCs w:val="20"/>
        </w:rPr>
        <w:t xml:space="preserve">t time investment) with the chance to win a prize (thrill of winning something for free). Our games will initially be quick to play quiz type games that allow the user to get involved in around 20 seconds, and then receive results from push notifications. </w:t>
      </w:r>
      <w:r>
        <w:rPr>
          <w:sz w:val="20"/>
          <w:szCs w:val="20"/>
        </w:rPr>
        <w:t>Game types are set up dynamically. Because the format doesn’t change, we can run games nightly for professional sports entities such as the NBA, NHL, and NFL to individual events such as the Oscars, other awards shows, and new sporting events such as Socce</w:t>
      </w:r>
      <w:r>
        <w:rPr>
          <w:sz w:val="20"/>
          <w:szCs w:val="20"/>
        </w:rPr>
        <w:t xml:space="preserve">r and NASCAR. Games and events can be automated from the backend of the operating system and launched automatically. Application Programming Interface (API) are plugged in to track results in real time, and there is a manual option to allow customs events </w:t>
      </w:r>
      <w:r>
        <w:rPr>
          <w:sz w:val="20"/>
          <w:szCs w:val="20"/>
        </w:rPr>
        <w:t>that can be run through the platform.</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rPr>
          <w:sz w:val="20"/>
          <w:szCs w:val="20"/>
        </w:rPr>
      </w:pPr>
      <w:r>
        <w:rPr>
          <w:sz w:val="20"/>
          <w:szCs w:val="20"/>
        </w:rPr>
        <w:t>In December 2020, the Company acquired Nebula Software Corp. (“NSC”) owner of HeyPalTM, a language exchange platform which allows users from around the world to learn new languages through interactive change and soci</w:t>
      </w:r>
      <w:r>
        <w:rPr>
          <w:sz w:val="20"/>
          <w:szCs w:val="20"/>
        </w:rPr>
        <w:t xml:space="preserve">al posts. The Company is currently in the process of commercializing this platform. </w:t>
      </w:r>
      <w:r>
        <w:rPr>
          <w:color w:val="212529"/>
          <w:sz w:val="20"/>
          <w:szCs w:val="20"/>
          <w:shd w:val="clear" w:color="auto" w:fill="FFFFFF"/>
        </w:rPr>
        <w:t xml:space="preserve">In November 2021, the Company launched its Android version of HeyPal™ in the Google Play Store. </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rPr>
          <w:sz w:val="20"/>
          <w:szCs w:val="20"/>
        </w:rPr>
      </w:pPr>
      <w:r>
        <w:rPr>
          <w:sz w:val="20"/>
          <w:szCs w:val="20"/>
        </w:rPr>
        <w:t xml:space="preserve">In March 2021, the Company acquired Rebel Blockchain, Inc. (“RBI”) which </w:t>
      </w:r>
      <w:r>
        <w:rPr>
          <w:sz w:val="20"/>
          <w:szCs w:val="20"/>
        </w:rPr>
        <w:t>has successfully launched the Beta version of its Nifter™ Music NFT Marketplace globally. Nifter™ allows artists to create, sell and discover unique music and sound NFTs. NFTs, or non-fungible tokens, are a new type of digital asset made possible through b</w:t>
      </w:r>
      <w:r>
        <w:rPr>
          <w:sz w:val="20"/>
          <w:szCs w:val="20"/>
        </w:rPr>
        <w:t>lockchain technology. NFTs can be created from any digital asset, including music and audio files, thus creating new streams of revenues for artists. The Nifter™ marketplace allows for the creation, buying and selling of these music NFTs.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rPr>
          <w:sz w:val="20"/>
          <w:szCs w:val="20"/>
        </w:rPr>
      </w:pPr>
      <w:r>
        <w:rPr>
          <w:sz w:val="20"/>
          <w:szCs w:val="20"/>
        </w:rPr>
        <w:t>In September 2021, the Company acquired approximately 53% of Winners, Inc. (WNRS) which together with its prior holdings gives an approximate 55% interest in the common stock of WNRS. Due to the existence of super-voting preferred stock of WNRS, the Compan</w:t>
      </w:r>
      <w:r>
        <w:rPr>
          <w:sz w:val="20"/>
          <w:szCs w:val="20"/>
        </w:rPr>
        <w:t>y has a vote of approximately 5%. However, management has concluded that Winners, Inc and its subsidiary VegasWinners, Inc. should be considered as an investment in equity method investee. (See Note 6)</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 xml:space="preserve">The parent (Clickstream Corp.) and subsidiaries are </w:t>
      </w:r>
      <w:r>
        <w:rPr>
          <w:sz w:val="20"/>
          <w:szCs w:val="20"/>
        </w:rPr>
        <w:t>organized as follows:</w:t>
      </w:r>
    </w:p>
    <w:p w:rsidR="00000000" w:rsidRDefault="00B647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Disclosure - Organization and Operations (Details)"/>
      </w:tblPr>
      <w:tblGrid>
        <w:gridCol w:w="2990"/>
        <w:gridCol w:w="2575"/>
        <w:gridCol w:w="2741"/>
      </w:tblGrid>
      <w:tr w:rsidR="00000000">
        <w:trPr>
          <w:hidden/>
        </w:trPr>
        <w:tc>
          <w:tcPr>
            <w:tcW w:w="0" w:type="auto"/>
            <w:shd w:val="clear" w:color="auto" w:fill="FFFFFF"/>
            <w:tcMar>
              <w:top w:w="0" w:type="dxa"/>
              <w:left w:w="0" w:type="dxa"/>
              <w:bottom w:w="0" w:type="dxa"/>
              <w:right w:w="86" w:type="dxa"/>
            </w:tcMar>
            <w:hideMark/>
          </w:tcPr>
          <w:p w:rsidR="00000000" w:rsidRDefault="00B64763">
            <w:pPr>
              <w:jc w:val="center"/>
              <w:rPr>
                <w:rFonts w:eastAsia="Times New Roman"/>
                <w:sz w:val="20"/>
                <w:szCs w:val="20"/>
              </w:rPr>
            </w:pPr>
            <w:r>
              <w:rPr>
                <w:rFonts w:eastAsia="Times New Roman"/>
                <w:vanish/>
                <w:sz w:val="20"/>
                <w:szCs w:val="20"/>
              </w:rPr>
              <w:t>Schedule of subsidiar</w:t>
            </w:r>
            <w:r>
              <w:rPr>
                <w:rFonts w:eastAsia="Times New Roman"/>
                <w:vanish/>
                <w:sz w:val="20"/>
                <w:szCs w:val="20"/>
              </w:rPr>
              <w:t>y</w:t>
            </w:r>
          </w:p>
        </w:tc>
        <w:tc>
          <w:tcPr>
            <w:tcW w:w="0" w:type="auto"/>
            <w:shd w:val="clear" w:color="auto" w:fill="FFFFFF"/>
            <w:hideMark/>
          </w:tcPr>
          <w:p w:rsidR="00000000" w:rsidRDefault="00B64763">
            <w:pPr>
              <w:jc w:val="center"/>
              <w:rPr>
                <w:rFonts w:eastAsia="Times New Roman"/>
                <w:sz w:val="20"/>
                <w:szCs w:val="20"/>
              </w:rPr>
            </w:pPr>
            <w:r>
              <w:rPr>
                <w:rFonts w:eastAsia="Times New Roman"/>
                <w:sz w:val="20"/>
                <w:szCs w:val="20"/>
              </w:rPr>
              <w:t> </w:t>
            </w:r>
          </w:p>
        </w:tc>
        <w:tc>
          <w:tcPr>
            <w:tcW w:w="0" w:type="auto"/>
            <w:shd w:val="clear" w:color="auto" w:fill="FFFFFF"/>
            <w:tcMar>
              <w:top w:w="0" w:type="dxa"/>
              <w:left w:w="95" w:type="dxa"/>
              <w:bottom w:w="0" w:type="dxa"/>
              <w:right w:w="0" w:type="dxa"/>
            </w:tcMar>
            <w:hideMark/>
          </w:tcPr>
          <w:p w:rsidR="00000000" w:rsidRDefault="00B64763">
            <w:pPr>
              <w:jc w:val="center"/>
              <w:rPr>
                <w:rFonts w:eastAsia="Times New Roman"/>
                <w:sz w:val="20"/>
                <w:szCs w:val="20"/>
              </w:rPr>
            </w:pPr>
            <w:r>
              <w:rPr>
                <w:rFonts w:eastAsia="Times New Roman"/>
                <w:sz w:val="20"/>
                <w:szCs w:val="20"/>
              </w:rPr>
              <w:t> </w:t>
            </w:r>
          </w:p>
        </w:tc>
      </w:tr>
      <w:tr w:rsidR="00000000">
        <w:tc>
          <w:tcPr>
            <w:tcW w:w="1800" w:type="pct"/>
            <w:tcMar>
              <w:top w:w="0" w:type="dxa"/>
              <w:left w:w="0" w:type="dxa"/>
              <w:bottom w:w="0" w:type="dxa"/>
              <w:right w:w="90" w:type="dxa"/>
            </w:tcMar>
            <w:hideMark/>
          </w:tcPr>
          <w:p w:rsidR="00000000" w:rsidRDefault="00B64763">
            <w:pPr>
              <w:jc w:val="center"/>
              <w:rPr>
                <w:rFonts w:eastAsia="Times New Roman"/>
                <w:sz w:val="20"/>
                <w:szCs w:val="20"/>
              </w:rPr>
            </w:pPr>
            <w:r>
              <w:rPr>
                <w:rFonts w:eastAsia="Times New Roman"/>
                <w:b/>
                <w:bCs/>
                <w:sz w:val="20"/>
                <w:szCs w:val="20"/>
                <w:u w:val="single"/>
              </w:rPr>
              <w:t> </w:t>
            </w:r>
            <w:r>
              <w:rPr>
                <w:rFonts w:eastAsia="Times New Roman"/>
                <w:b/>
                <w:bCs/>
                <w:sz w:val="20"/>
                <w:szCs w:val="20"/>
                <w:u w:val="single"/>
              </w:rPr>
              <w:tab/>
              <w:t>Company Name</w:t>
            </w:r>
            <w:r>
              <w:rPr>
                <w:rFonts w:eastAsia="Times New Roman"/>
                <w:b/>
                <w:bCs/>
                <w:sz w:val="20"/>
                <w:szCs w:val="20"/>
                <w:u w:val="single"/>
              </w:rPr>
              <w:tab/>
            </w:r>
          </w:p>
        </w:tc>
        <w:tc>
          <w:tcPr>
            <w:tcW w:w="1550" w:type="pct"/>
            <w:hideMark/>
          </w:tcPr>
          <w:p w:rsidR="00000000" w:rsidRDefault="00B64763">
            <w:pPr>
              <w:jc w:val="center"/>
              <w:rPr>
                <w:rFonts w:eastAsia="Times New Roman"/>
                <w:sz w:val="20"/>
                <w:szCs w:val="20"/>
              </w:rPr>
            </w:pPr>
            <w:r>
              <w:rPr>
                <w:rFonts w:eastAsia="Times New Roman"/>
                <w:b/>
                <w:bCs/>
                <w:spacing w:val="7"/>
                <w:sz w:val="20"/>
                <w:szCs w:val="20"/>
                <w:u w:val="single"/>
              </w:rPr>
              <w:t> </w:t>
            </w:r>
            <w:r>
              <w:rPr>
                <w:rFonts w:eastAsia="Times New Roman"/>
                <w:b/>
                <w:bCs/>
                <w:sz w:val="20"/>
                <w:szCs w:val="20"/>
                <w:u w:val="single"/>
              </w:rPr>
              <w:t>Incorporation Date</w:t>
            </w:r>
          </w:p>
        </w:tc>
        <w:tc>
          <w:tcPr>
            <w:tcW w:w="1650" w:type="pct"/>
            <w:tcMar>
              <w:top w:w="0" w:type="dxa"/>
              <w:left w:w="91" w:type="dxa"/>
              <w:bottom w:w="0" w:type="dxa"/>
              <w:right w:w="0" w:type="dxa"/>
            </w:tcMar>
            <w:hideMark/>
          </w:tcPr>
          <w:p w:rsidR="00000000" w:rsidRDefault="00B64763">
            <w:pPr>
              <w:jc w:val="center"/>
              <w:rPr>
                <w:rFonts w:eastAsia="Times New Roman"/>
                <w:sz w:val="20"/>
                <w:szCs w:val="20"/>
              </w:rPr>
            </w:pPr>
            <w:r>
              <w:rPr>
                <w:rFonts w:eastAsia="Times New Roman"/>
                <w:b/>
                <w:bCs/>
                <w:spacing w:val="14"/>
                <w:sz w:val="20"/>
                <w:szCs w:val="20"/>
                <w:u w:val="single"/>
              </w:rPr>
              <w:t> </w:t>
            </w:r>
            <w:r>
              <w:rPr>
                <w:rFonts w:eastAsia="Times New Roman"/>
                <w:b/>
                <w:bCs/>
                <w:sz w:val="20"/>
                <w:szCs w:val="20"/>
                <w:u w:val="single"/>
              </w:rPr>
              <w:t>State of Incorporation</w:t>
            </w:r>
          </w:p>
        </w:tc>
      </w:tr>
      <w:tr w:rsidR="00000000">
        <w:tc>
          <w:tcPr>
            <w:tcW w:w="0" w:type="auto"/>
            <w:shd w:val="clear" w:color="auto" w:fill="CCEEFF"/>
            <w:tcMar>
              <w:top w:w="0" w:type="dxa"/>
              <w:left w:w="0" w:type="dxa"/>
              <w:bottom w:w="0" w:type="dxa"/>
              <w:right w:w="83" w:type="dxa"/>
            </w:tcMar>
            <w:hideMark/>
          </w:tcPr>
          <w:p w:rsidR="00000000" w:rsidRDefault="00B64763">
            <w:pPr>
              <w:jc w:val="center"/>
              <w:rPr>
                <w:rFonts w:eastAsia="Times New Roman"/>
                <w:sz w:val="20"/>
                <w:szCs w:val="20"/>
              </w:rPr>
            </w:pPr>
            <w:r>
              <w:rPr>
                <w:rFonts w:eastAsia="Times New Roman"/>
                <w:sz w:val="20"/>
                <w:szCs w:val="20"/>
              </w:rPr>
              <w:t>Clickstream Corporatio</w:t>
            </w:r>
            <w:r>
              <w:rPr>
                <w:rFonts w:eastAsia="Times New Roman"/>
                <w:sz w:val="20"/>
                <w:szCs w:val="20"/>
              </w:rPr>
              <w:t>n</w:t>
            </w:r>
          </w:p>
        </w:tc>
        <w:tc>
          <w:tcPr>
            <w:tcW w:w="0" w:type="auto"/>
            <w:shd w:val="clear" w:color="auto" w:fill="CCEEFF"/>
            <w:hideMark/>
          </w:tcPr>
          <w:p w:rsidR="00000000" w:rsidRDefault="00B64763">
            <w:pPr>
              <w:jc w:val="center"/>
              <w:rPr>
                <w:rFonts w:eastAsia="Times New Roman"/>
                <w:sz w:val="20"/>
                <w:szCs w:val="20"/>
              </w:rPr>
            </w:pPr>
            <w:r>
              <w:rPr>
                <w:rFonts w:eastAsia="Times New Roman"/>
                <w:sz w:val="20"/>
                <w:szCs w:val="20"/>
              </w:rPr>
              <w:t>September 200</w:t>
            </w:r>
            <w:r>
              <w:rPr>
                <w:rFonts w:eastAsia="Times New Roman"/>
                <w:sz w:val="20"/>
                <w:szCs w:val="20"/>
              </w:rPr>
              <w:t>5</w:t>
            </w:r>
          </w:p>
        </w:tc>
        <w:tc>
          <w:tcPr>
            <w:tcW w:w="0" w:type="auto"/>
            <w:shd w:val="clear" w:color="auto" w:fill="CCEEFF"/>
            <w:tcMar>
              <w:top w:w="0" w:type="dxa"/>
              <w:left w:w="96" w:type="dxa"/>
              <w:bottom w:w="0" w:type="dxa"/>
              <w:right w:w="0" w:type="dxa"/>
            </w:tcMar>
            <w:hideMark/>
          </w:tcPr>
          <w:p w:rsidR="00000000" w:rsidRDefault="00B64763">
            <w:pPr>
              <w:jc w:val="center"/>
              <w:rPr>
                <w:rFonts w:eastAsia="Times New Roman"/>
                <w:sz w:val="20"/>
                <w:szCs w:val="20"/>
              </w:rPr>
            </w:pPr>
            <w:r>
              <w:rPr>
                <w:rFonts w:eastAsia="Times New Roman"/>
                <w:sz w:val="20"/>
                <w:szCs w:val="20"/>
              </w:rPr>
              <w:t>Nevad</w:t>
            </w:r>
            <w:r>
              <w:rPr>
                <w:rFonts w:eastAsia="Times New Roman"/>
                <w:sz w:val="20"/>
                <w:szCs w:val="20"/>
              </w:rPr>
              <w:t>a</w:t>
            </w:r>
          </w:p>
        </w:tc>
      </w:tr>
      <w:tr w:rsidR="00000000">
        <w:tc>
          <w:tcPr>
            <w:tcW w:w="0" w:type="auto"/>
            <w:shd w:val="clear" w:color="auto" w:fill="FFFFFF"/>
            <w:tcMar>
              <w:top w:w="0" w:type="dxa"/>
              <w:left w:w="0" w:type="dxa"/>
              <w:bottom w:w="0" w:type="dxa"/>
              <w:right w:w="86" w:type="dxa"/>
            </w:tcMar>
            <w:hideMark/>
          </w:tcPr>
          <w:p w:rsidR="00000000" w:rsidRDefault="00B64763">
            <w:pPr>
              <w:jc w:val="center"/>
              <w:rPr>
                <w:rFonts w:eastAsia="Times New Roman"/>
                <w:sz w:val="20"/>
                <w:szCs w:val="20"/>
              </w:rPr>
            </w:pPr>
            <w:r>
              <w:rPr>
                <w:rFonts w:eastAsia="Times New Roman"/>
                <w:sz w:val="20"/>
                <w:szCs w:val="20"/>
              </w:rPr>
              <w:t>Nebula Software Corp</w:t>
            </w:r>
            <w:r>
              <w:rPr>
                <w:rFonts w:eastAsia="Times New Roman"/>
                <w:sz w:val="20"/>
                <w:szCs w:val="20"/>
              </w:rPr>
              <w:t>.</w:t>
            </w:r>
          </w:p>
        </w:tc>
        <w:tc>
          <w:tcPr>
            <w:tcW w:w="0" w:type="auto"/>
            <w:shd w:val="clear" w:color="auto" w:fill="FFFFFF"/>
            <w:hideMark/>
          </w:tcPr>
          <w:p w:rsidR="00000000" w:rsidRDefault="00B64763">
            <w:pPr>
              <w:jc w:val="center"/>
              <w:rPr>
                <w:rFonts w:eastAsia="Times New Roman"/>
                <w:sz w:val="20"/>
                <w:szCs w:val="20"/>
              </w:rPr>
            </w:pPr>
            <w:r>
              <w:rPr>
                <w:rFonts w:eastAsia="Times New Roman"/>
                <w:sz w:val="20"/>
                <w:szCs w:val="20"/>
              </w:rPr>
              <w:t>December 202</w:t>
            </w:r>
            <w:r>
              <w:rPr>
                <w:rFonts w:eastAsia="Times New Roman"/>
                <w:sz w:val="20"/>
                <w:szCs w:val="20"/>
              </w:rPr>
              <w:t>0</w:t>
            </w:r>
          </w:p>
        </w:tc>
        <w:tc>
          <w:tcPr>
            <w:tcW w:w="0" w:type="auto"/>
            <w:shd w:val="clear" w:color="auto" w:fill="FFFFFF"/>
            <w:tcMar>
              <w:top w:w="0" w:type="dxa"/>
              <w:left w:w="95" w:type="dxa"/>
              <w:bottom w:w="0" w:type="dxa"/>
              <w:right w:w="0" w:type="dxa"/>
            </w:tcMar>
            <w:hideMark/>
          </w:tcPr>
          <w:p w:rsidR="00000000" w:rsidRDefault="00B64763">
            <w:pPr>
              <w:jc w:val="center"/>
              <w:rPr>
                <w:rFonts w:eastAsia="Times New Roman"/>
                <w:sz w:val="20"/>
                <w:szCs w:val="20"/>
              </w:rPr>
            </w:pPr>
            <w:r>
              <w:rPr>
                <w:rFonts w:eastAsia="Times New Roman"/>
                <w:sz w:val="20"/>
                <w:szCs w:val="20"/>
              </w:rPr>
              <w:t>Delawar</w:t>
            </w:r>
            <w:r>
              <w:rPr>
                <w:rFonts w:eastAsia="Times New Roman"/>
                <w:sz w:val="20"/>
                <w:szCs w:val="20"/>
              </w:rPr>
              <w:t>e</w:t>
            </w:r>
          </w:p>
        </w:tc>
      </w:tr>
      <w:tr w:rsidR="00000000">
        <w:tc>
          <w:tcPr>
            <w:tcW w:w="0" w:type="auto"/>
            <w:shd w:val="clear" w:color="auto" w:fill="CCEEFF"/>
            <w:tcMar>
              <w:top w:w="0" w:type="dxa"/>
              <w:left w:w="0" w:type="dxa"/>
              <w:bottom w:w="0" w:type="dxa"/>
              <w:right w:w="93" w:type="dxa"/>
            </w:tcMar>
            <w:hideMark/>
          </w:tcPr>
          <w:p w:rsidR="00000000" w:rsidRDefault="00B64763">
            <w:pPr>
              <w:jc w:val="center"/>
              <w:rPr>
                <w:rFonts w:eastAsia="Times New Roman"/>
                <w:sz w:val="20"/>
                <w:szCs w:val="20"/>
              </w:rPr>
            </w:pPr>
            <w:r>
              <w:rPr>
                <w:rFonts w:eastAsia="Times New Roman"/>
                <w:sz w:val="20"/>
                <w:szCs w:val="20"/>
              </w:rPr>
              <w:t>Rebel Blockchain, Inc</w:t>
            </w:r>
            <w:r>
              <w:rPr>
                <w:rFonts w:eastAsia="Times New Roman"/>
                <w:sz w:val="20"/>
                <w:szCs w:val="20"/>
              </w:rPr>
              <w:t>.</w:t>
            </w:r>
          </w:p>
        </w:tc>
        <w:tc>
          <w:tcPr>
            <w:tcW w:w="0" w:type="auto"/>
            <w:shd w:val="clear" w:color="auto" w:fill="CCEEFF"/>
            <w:hideMark/>
          </w:tcPr>
          <w:p w:rsidR="00000000" w:rsidRDefault="00B64763">
            <w:pPr>
              <w:jc w:val="center"/>
              <w:rPr>
                <w:rFonts w:eastAsia="Times New Roman"/>
                <w:sz w:val="20"/>
                <w:szCs w:val="20"/>
              </w:rPr>
            </w:pPr>
            <w:r>
              <w:rPr>
                <w:rFonts w:eastAsia="Times New Roman"/>
                <w:sz w:val="20"/>
                <w:szCs w:val="20"/>
              </w:rPr>
              <w:t>March 202</w:t>
            </w:r>
            <w:r>
              <w:rPr>
                <w:rFonts w:eastAsia="Times New Roman"/>
                <w:sz w:val="20"/>
                <w:szCs w:val="20"/>
              </w:rPr>
              <w:t>1</w:t>
            </w:r>
          </w:p>
        </w:tc>
        <w:tc>
          <w:tcPr>
            <w:tcW w:w="0" w:type="auto"/>
            <w:shd w:val="clear" w:color="auto" w:fill="CCEEFF"/>
            <w:tcMar>
              <w:top w:w="0" w:type="dxa"/>
              <w:left w:w="97" w:type="dxa"/>
              <w:bottom w:w="0" w:type="dxa"/>
              <w:right w:w="0" w:type="dxa"/>
            </w:tcMar>
            <w:hideMark/>
          </w:tcPr>
          <w:p w:rsidR="00000000" w:rsidRDefault="00B64763">
            <w:pPr>
              <w:jc w:val="center"/>
              <w:rPr>
                <w:rFonts w:eastAsia="Times New Roman"/>
                <w:sz w:val="20"/>
                <w:szCs w:val="20"/>
              </w:rPr>
            </w:pPr>
            <w:r>
              <w:rPr>
                <w:rFonts w:eastAsia="Times New Roman"/>
                <w:sz w:val="20"/>
                <w:szCs w:val="20"/>
              </w:rPr>
              <w:t>Montan</w:t>
            </w:r>
            <w:r>
              <w:rPr>
                <w:rFonts w:eastAsia="Times New Roman"/>
                <w:sz w:val="20"/>
                <w:szCs w:val="20"/>
              </w:rPr>
              <w:t>a</w:t>
            </w:r>
            <w:r>
              <w:rPr>
                <w:rFonts w:eastAsia="Times New Roman"/>
                <w:sz w:val="20"/>
                <w:szCs w:val="20"/>
              </w:rPr>
              <w:t xml:space="preserve"> </w:t>
            </w:r>
          </w:p>
        </w:tc>
      </w:tr>
    </w:tbl>
    <w:p w:rsidR="00000000" w:rsidRDefault="00B64763">
      <w:pPr>
        <w:pStyle w:val="a3"/>
        <w:spacing w:before="0" w:beforeAutospacing="0" w:after="0" w:afterAutospacing="0"/>
        <w:ind w:firstLine="720"/>
        <w:rPr>
          <w:sz w:val="20"/>
          <w:szCs w:val="20"/>
        </w:rPr>
      </w:pPr>
      <w:r>
        <w:rPr>
          <w:sz w:val="20"/>
          <w:szCs w:val="20"/>
        </w:rPr>
        <w:t> </w:t>
      </w:r>
    </w:p>
    <w:p w:rsidR="00000000" w:rsidRDefault="00B64763">
      <w:pPr>
        <w:pStyle w:val="a3"/>
        <w:spacing w:before="0" w:beforeAutospacing="0" w:after="0" w:afterAutospacing="0"/>
        <w:jc w:val="center"/>
        <w:divId w:val="257102869"/>
        <w:rPr>
          <w:sz w:val="20"/>
          <w:szCs w:val="20"/>
        </w:rPr>
      </w:pPr>
      <w:r>
        <w:rPr>
          <w:sz w:val="20"/>
          <w:szCs w:val="20"/>
        </w:rPr>
        <w:t>F</w:t>
      </w:r>
      <w:r>
        <w:rPr>
          <w:sz w:val="20"/>
          <w:szCs w:val="20"/>
        </w:rPr>
        <w:t>-</w:t>
      </w:r>
      <w:r>
        <w:rPr>
          <w:sz w:val="20"/>
          <w:szCs w:val="20"/>
        </w:rPr>
        <w:t>9</w:t>
      </w:r>
    </w:p>
    <w:p w:rsidR="00000000" w:rsidRDefault="00B64763">
      <w:pPr>
        <w:pStyle w:val="a3"/>
        <w:spacing w:before="0" w:beforeAutospacing="0" w:after="0" w:afterAutospacing="0"/>
        <w:divId w:val="1703362374"/>
        <w:rPr>
          <w:sz w:val="20"/>
          <w:szCs w:val="20"/>
        </w:rPr>
      </w:pPr>
      <w:r>
        <w:rPr>
          <w:sz w:val="20"/>
          <w:szCs w:val="20"/>
        </w:rPr>
        <w:t> </w:t>
      </w:r>
    </w:p>
    <w:p w:rsidR="00000000" w:rsidRDefault="00B64763">
      <w:pPr>
        <w:pStyle w:val="a3"/>
        <w:spacing w:before="0" w:beforeAutospacing="0" w:after="0" w:afterAutospacing="0"/>
        <w:ind w:firstLine="720"/>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CLICKSTREAM 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September 30, 2021 and 2020</w:t>
      </w:r>
    </w:p>
    <w:p w:rsidR="00000000" w:rsidRDefault="00B64763">
      <w:pPr>
        <w:pStyle w:val="a3"/>
        <w:spacing w:before="0" w:beforeAutospacing="0" w:after="0" w:afterAutospacing="0"/>
        <w:ind w:firstLine="720"/>
        <w:rPr>
          <w:sz w:val="20"/>
          <w:szCs w:val="20"/>
        </w:rPr>
      </w:pPr>
      <w:r>
        <w:rPr>
          <w:sz w:val="20"/>
          <w:szCs w:val="20"/>
        </w:rPr>
        <w:t> </w:t>
      </w:r>
    </w:p>
    <w:p w:rsidR="00000000" w:rsidRDefault="00B64763">
      <w:pPr>
        <w:pStyle w:val="a3"/>
        <w:spacing w:before="0" w:beforeAutospacing="0" w:after="0" w:afterAutospacing="0"/>
        <w:rPr>
          <w:color w:val="1F1F1F"/>
          <w:sz w:val="20"/>
          <w:szCs w:val="20"/>
        </w:rPr>
      </w:pPr>
      <w:r>
        <w:rPr>
          <w:color w:val="1F1F1F"/>
          <w:sz w:val="20"/>
          <w:szCs w:val="20"/>
          <w:u w:val="single"/>
        </w:rPr>
        <w:t>Impact of COVID-19</w:t>
      </w:r>
    </w:p>
    <w:p w:rsidR="00000000" w:rsidRDefault="00B64763">
      <w:pPr>
        <w:pStyle w:val="a3"/>
        <w:spacing w:before="0" w:beforeAutospacing="0" w:after="0" w:afterAutospacing="0"/>
        <w:rPr>
          <w:color w:val="1F1F1F"/>
          <w:sz w:val="20"/>
          <w:szCs w:val="20"/>
        </w:rPr>
      </w:pPr>
      <w:r>
        <w:rPr>
          <w:color w:val="1F1F1F"/>
          <w:sz w:val="20"/>
          <w:szCs w:val="20"/>
        </w:rPr>
        <w:t> </w:t>
      </w:r>
    </w:p>
    <w:p w:rsidR="00000000" w:rsidRDefault="00B64763">
      <w:pPr>
        <w:pStyle w:val="a3"/>
        <w:spacing w:before="0" w:beforeAutospacing="0" w:after="0" w:afterAutospacing="0"/>
        <w:ind w:firstLine="720"/>
        <w:rPr>
          <w:color w:val="1F1F1F"/>
          <w:sz w:val="20"/>
          <w:szCs w:val="20"/>
        </w:rPr>
      </w:pPr>
      <w:r>
        <w:rPr>
          <w:color w:val="1F1F1F"/>
          <w:sz w:val="20"/>
          <w:szCs w:val="20"/>
        </w:rPr>
        <w:t>The ongoing COVID-19 global and national health emergency has caused significant disruption in the international and Un</w:t>
      </w:r>
      <w:r>
        <w:rPr>
          <w:color w:val="1F1F1F"/>
          <w:sz w:val="20"/>
          <w:szCs w:val="20"/>
        </w:rPr>
        <w:t>ited States economies and financial markets. In March 2020, the World Health Organization declared the COVID-19 outbreak a pandemic. The spread of COVID-19 has caused illness, quarantines, cancellation of events and travel, business and school shutdowns, r</w:t>
      </w:r>
      <w:r>
        <w:rPr>
          <w:color w:val="1F1F1F"/>
          <w:sz w:val="20"/>
          <w:szCs w:val="20"/>
        </w:rPr>
        <w:t>eduction in business activity and financial transactions, labor shortages, supply chain interruptions and</w:t>
      </w:r>
    </w:p>
    <w:p w:rsidR="00000000" w:rsidRDefault="00B64763">
      <w:pPr>
        <w:pStyle w:val="a3"/>
        <w:spacing w:before="0" w:beforeAutospacing="0" w:after="0" w:afterAutospacing="0"/>
        <w:rPr>
          <w:color w:val="1F1F1F"/>
          <w:sz w:val="20"/>
          <w:szCs w:val="20"/>
        </w:rPr>
      </w:pPr>
      <w:r>
        <w:rPr>
          <w:color w:val="1F1F1F"/>
          <w:sz w:val="20"/>
          <w:szCs w:val="20"/>
        </w:rPr>
        <w:t> </w:t>
      </w:r>
    </w:p>
    <w:p w:rsidR="00000000" w:rsidRDefault="00B64763">
      <w:pPr>
        <w:pStyle w:val="a3"/>
        <w:spacing w:before="0" w:beforeAutospacing="0" w:after="0" w:afterAutospacing="0"/>
        <w:rPr>
          <w:color w:val="1F1F1F"/>
          <w:sz w:val="20"/>
          <w:szCs w:val="20"/>
        </w:rPr>
      </w:pPr>
      <w:r>
        <w:rPr>
          <w:color w:val="1F1F1F"/>
          <w:sz w:val="20"/>
          <w:szCs w:val="20"/>
        </w:rPr>
        <w:t>overall economic and financial market instability. The COVID-19 pandemic has the potential to significantly impact the Company’s supply chain, distr</w:t>
      </w:r>
      <w:r>
        <w:rPr>
          <w:color w:val="1F1F1F"/>
          <w:sz w:val="20"/>
          <w:szCs w:val="20"/>
        </w:rPr>
        <w:t>ibution centers, or logistics and other service providers.</w:t>
      </w:r>
    </w:p>
    <w:p w:rsidR="00000000" w:rsidRDefault="00B64763">
      <w:pPr>
        <w:pStyle w:val="a3"/>
        <w:spacing w:before="0" w:beforeAutospacing="0" w:after="0" w:afterAutospacing="0"/>
        <w:rPr>
          <w:color w:val="1F1F1F"/>
          <w:sz w:val="20"/>
          <w:szCs w:val="20"/>
        </w:rPr>
      </w:pPr>
      <w:r>
        <w:rPr>
          <w:color w:val="1F1F1F"/>
          <w:sz w:val="20"/>
          <w:szCs w:val="20"/>
        </w:rPr>
        <w:t> </w:t>
      </w:r>
    </w:p>
    <w:p w:rsidR="00000000" w:rsidRDefault="00B64763">
      <w:pPr>
        <w:pStyle w:val="a3"/>
        <w:spacing w:before="0" w:beforeAutospacing="0" w:after="0" w:afterAutospacing="0"/>
        <w:ind w:firstLine="720"/>
        <w:rPr>
          <w:color w:val="1F1F1F"/>
          <w:sz w:val="20"/>
          <w:szCs w:val="20"/>
        </w:rPr>
      </w:pPr>
      <w:r>
        <w:rPr>
          <w:color w:val="1F1F1F"/>
          <w:sz w:val="20"/>
          <w:szCs w:val="20"/>
        </w:rPr>
        <w:t>In addition, a severe prolonged economic downturn could result in a variety of risks to the business, including weakened demand for products and services and a decreased ability to raise addition</w:t>
      </w:r>
      <w:r>
        <w:rPr>
          <w:color w:val="1F1F1F"/>
          <w:sz w:val="20"/>
          <w:szCs w:val="20"/>
        </w:rPr>
        <w:t>al capital when needed on acceptable terms, if at all. As the situation continues to evolve, the Company will continue to closely monitor market conditions and respond accordingly.</w:t>
      </w:r>
    </w:p>
    <w:p w:rsidR="00000000" w:rsidRDefault="00B64763">
      <w:pPr>
        <w:pStyle w:val="a3"/>
        <w:spacing w:before="0" w:beforeAutospacing="0" w:after="0" w:afterAutospacing="0"/>
        <w:rPr>
          <w:color w:val="1F1F1F"/>
          <w:sz w:val="20"/>
          <w:szCs w:val="20"/>
        </w:rPr>
      </w:pPr>
      <w:r>
        <w:rPr>
          <w:color w:val="1F1F1F"/>
          <w:sz w:val="20"/>
          <w:szCs w:val="20"/>
        </w:rPr>
        <w:t> </w:t>
      </w:r>
    </w:p>
    <w:p w:rsidR="00000000" w:rsidRDefault="00B64763">
      <w:pPr>
        <w:pStyle w:val="a3"/>
        <w:spacing w:before="0" w:beforeAutospacing="0" w:after="0" w:afterAutospacing="0"/>
        <w:ind w:firstLine="720"/>
        <w:rPr>
          <w:color w:val="1F1F1F"/>
          <w:sz w:val="20"/>
          <w:szCs w:val="20"/>
        </w:rPr>
      </w:pPr>
      <w:r>
        <w:rPr>
          <w:color w:val="1F1F1F"/>
          <w:sz w:val="20"/>
          <w:szCs w:val="20"/>
        </w:rPr>
        <w:t xml:space="preserve">We have implemented adjustments to </w:t>
      </w:r>
      <w:r>
        <w:rPr>
          <w:color w:val="1F1F1F"/>
          <w:sz w:val="20"/>
          <w:szCs w:val="20"/>
        </w:rPr>
        <w:t xml:space="preserve">our operations designed to keep employees safe and comply with international, federal, state, and local guidelines, including those regarding social distancing. The extent to which COVID-19 may further impact the Company’s business, results of operations, </w:t>
      </w:r>
      <w:r>
        <w:rPr>
          <w:color w:val="1F1F1F"/>
          <w:sz w:val="20"/>
          <w:szCs w:val="20"/>
        </w:rPr>
        <w:t>financial condition and cash flows will depend on future developments, which are highly uncertain and cannot be predicted with confidence. In response to COVID- 19, the United States government has passed legislation and taken other actions to provide fina</w:t>
      </w:r>
      <w:r>
        <w:rPr>
          <w:color w:val="1F1F1F"/>
          <w:sz w:val="20"/>
          <w:szCs w:val="20"/>
        </w:rPr>
        <w:t>ncial relief to companies and other organizations affected by the pandemic.</w:t>
      </w:r>
    </w:p>
    <w:p w:rsidR="00000000" w:rsidRDefault="00B64763">
      <w:pPr>
        <w:pStyle w:val="a3"/>
        <w:spacing w:before="0" w:beforeAutospacing="0" w:after="0" w:afterAutospacing="0"/>
        <w:rPr>
          <w:color w:val="1F1F1F"/>
          <w:sz w:val="20"/>
          <w:szCs w:val="20"/>
        </w:rPr>
      </w:pPr>
      <w:r>
        <w:rPr>
          <w:color w:val="1F1F1F"/>
          <w:sz w:val="20"/>
          <w:szCs w:val="20"/>
        </w:rPr>
        <w:t> </w:t>
      </w:r>
    </w:p>
    <w:p w:rsidR="00000000" w:rsidRDefault="00B64763">
      <w:pPr>
        <w:pStyle w:val="a3"/>
        <w:spacing w:before="0" w:beforeAutospacing="0" w:after="0" w:afterAutospacing="0"/>
        <w:ind w:firstLine="720"/>
        <w:rPr>
          <w:color w:val="1F1F1F"/>
          <w:sz w:val="20"/>
          <w:szCs w:val="20"/>
        </w:rPr>
      </w:pPr>
      <w:r>
        <w:rPr>
          <w:color w:val="1F1F1F"/>
          <w:sz w:val="20"/>
          <w:szCs w:val="20"/>
        </w:rPr>
        <w:t>The ultimate impact of the COVID-19 pandemic on the Company’s operations is unknown and will depend on future developments, which are highly uncertain and cannot be predicted wit</w:t>
      </w:r>
      <w:r>
        <w:rPr>
          <w:color w:val="1F1F1F"/>
          <w:sz w:val="20"/>
          <w:szCs w:val="20"/>
        </w:rPr>
        <w:t>h confidence, including the duration of the COVID-19 outbreak, new information which may emerge concerning the severity of the COVID-19 pandemic, and any additional preventative and protective actions that governments, or the Company, may direct, which may</w:t>
      </w:r>
      <w:r>
        <w:rPr>
          <w:color w:val="1F1F1F"/>
          <w:sz w:val="20"/>
          <w:szCs w:val="20"/>
        </w:rPr>
        <w:t xml:space="preserve"> result in an extended period of continued business disruption, reduced customer traffic and reduced operations.</w:t>
      </w:r>
    </w:p>
    <w:p w:rsidR="00000000" w:rsidRDefault="00B64763">
      <w:pPr>
        <w:pStyle w:val="a3"/>
        <w:spacing w:before="0" w:beforeAutospacing="0" w:after="0" w:afterAutospacing="0"/>
        <w:rPr>
          <w:color w:val="1F1F1F"/>
          <w:sz w:val="20"/>
          <w:szCs w:val="20"/>
        </w:rPr>
      </w:pPr>
      <w:r>
        <w:rPr>
          <w:color w:val="1F1F1F"/>
          <w:sz w:val="20"/>
          <w:szCs w:val="20"/>
        </w:rPr>
        <w:t> </w:t>
      </w:r>
    </w:p>
    <w:p w:rsidR="00000000" w:rsidRDefault="00B64763">
      <w:pPr>
        <w:pStyle w:val="a3"/>
        <w:spacing w:before="0" w:beforeAutospacing="0" w:after="0" w:afterAutospacing="0"/>
        <w:ind w:firstLine="720"/>
        <w:rPr>
          <w:color w:val="1F1F1F"/>
          <w:sz w:val="20"/>
          <w:szCs w:val="20"/>
        </w:rPr>
      </w:pPr>
      <w:r>
        <w:rPr>
          <w:color w:val="1F1F1F"/>
          <w:sz w:val="20"/>
          <w:szCs w:val="20"/>
        </w:rPr>
        <w:t>Any resulting financial impact cannot be reasonably estimated at this time but is anticipated to have a material adverse impact on our busine</w:t>
      </w:r>
      <w:r>
        <w:rPr>
          <w:color w:val="1F1F1F"/>
          <w:sz w:val="20"/>
          <w:szCs w:val="20"/>
        </w:rPr>
        <w:t>ss, financial condition, and results of operations.</w:t>
      </w:r>
    </w:p>
    <w:p w:rsidR="00000000" w:rsidRDefault="00B64763">
      <w:pPr>
        <w:pStyle w:val="a3"/>
        <w:spacing w:before="0" w:beforeAutospacing="0" w:after="0" w:afterAutospacing="0"/>
        <w:rPr>
          <w:color w:val="1F1F1F"/>
          <w:sz w:val="20"/>
          <w:szCs w:val="20"/>
        </w:rPr>
      </w:pPr>
      <w:r>
        <w:rPr>
          <w:color w:val="1F1F1F"/>
          <w:sz w:val="20"/>
          <w:szCs w:val="20"/>
        </w:rPr>
        <w:t> </w:t>
      </w:r>
    </w:p>
    <w:p w:rsidR="00000000" w:rsidRDefault="00B64763">
      <w:pPr>
        <w:pStyle w:val="a3"/>
        <w:spacing w:before="0" w:beforeAutospacing="0" w:after="0" w:afterAutospacing="0"/>
        <w:ind w:firstLine="720"/>
        <w:rPr>
          <w:color w:val="1F1F1F"/>
          <w:sz w:val="20"/>
          <w:szCs w:val="20"/>
        </w:rPr>
      </w:pPr>
      <w:r>
        <w:rPr>
          <w:color w:val="1F1F1F"/>
          <w:sz w:val="20"/>
          <w:szCs w:val="20"/>
        </w:rPr>
        <w:t>To date, the Company has not experienced any significant economic impact due to COVID- 19.</w:t>
      </w:r>
    </w:p>
    <w:p w:rsidR="00000000" w:rsidRDefault="00B64763">
      <w:pPr>
        <w:pStyle w:val="a3"/>
        <w:spacing w:before="0" w:beforeAutospacing="0" w:after="0" w:afterAutospacing="0"/>
        <w:rPr>
          <w:color w:val="1F1F1F"/>
          <w:sz w:val="20"/>
          <w:szCs w:val="20"/>
        </w:rPr>
      </w:pPr>
      <w:r>
        <w:rPr>
          <w:color w:val="1F1F1F"/>
          <w:sz w:val="20"/>
          <w:szCs w:val="20"/>
        </w:rPr>
        <w:t> </w:t>
      </w:r>
    </w:p>
    <w:p w:rsidR="00000000" w:rsidRDefault="00B64763">
      <w:pPr>
        <w:pStyle w:val="a3"/>
        <w:spacing w:before="0" w:beforeAutospacing="0" w:after="0" w:afterAutospacing="0"/>
        <w:jc w:val="both"/>
        <w:rPr>
          <w:sz w:val="20"/>
          <w:szCs w:val="20"/>
        </w:rPr>
      </w:pPr>
      <w:r>
        <w:rPr>
          <w:b/>
          <w:bCs/>
          <w:sz w:val="20"/>
          <w:szCs w:val="20"/>
        </w:rPr>
        <w:t>Going Concern and Management’s Plans</w:t>
      </w:r>
    </w:p>
    <w:p w:rsidR="00000000" w:rsidRDefault="00B64763">
      <w:pPr>
        <w:pStyle w:val="a3"/>
        <w:spacing w:before="0" w:beforeAutospacing="0" w:after="0" w:afterAutospacing="0"/>
        <w:jc w:val="both"/>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pacing w:val="-1"/>
          <w:sz w:val="20"/>
          <w:szCs w:val="20"/>
        </w:rPr>
        <w:t>These</w:t>
      </w:r>
      <w:r>
        <w:rPr>
          <w:sz w:val="20"/>
          <w:szCs w:val="20"/>
        </w:rPr>
        <w:t xml:space="preserve"> consolidated financial statements have been prepared on a going </w:t>
      </w:r>
      <w:r>
        <w:rPr>
          <w:sz w:val="20"/>
          <w:szCs w:val="20"/>
        </w:rPr>
        <w:t>concern basis, which contemplates the realization of assets and the settlement of liabilities and commitments in the normal course of business.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As reflected in the accompanying consolidated financial statements, for the year ended September 30, 2021, the</w:t>
      </w:r>
      <w:r>
        <w:rPr>
          <w:sz w:val="20"/>
          <w:szCs w:val="20"/>
        </w:rPr>
        <w:t xml:space="preserve"> Company had:</w:t>
      </w:r>
    </w:p>
    <w:p w:rsidR="00000000" w:rsidRDefault="00B6476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 xml:space="preserve">Net loss of </w:t>
            </w:r>
            <w:r>
              <w:rPr>
                <w:rFonts w:eastAsia="Times New Roman"/>
                <w:sz w:val="20"/>
                <w:szCs w:val="20"/>
              </w:rPr>
              <w:t>$</w:t>
            </w:r>
            <w:r>
              <w:rPr>
                <w:rFonts w:eastAsia="Times New Roman"/>
                <w:sz w:val="20"/>
                <w:szCs w:val="20"/>
              </w:rPr>
              <w:t>7,786,00</w:t>
            </w:r>
            <w:r>
              <w:rPr>
                <w:rFonts w:eastAsia="Times New Roman"/>
                <w:sz w:val="20"/>
                <w:szCs w:val="20"/>
              </w:rPr>
              <w:t>0</w:t>
            </w:r>
            <w:r>
              <w:rPr>
                <w:rFonts w:eastAsia="Times New Roman"/>
                <w:sz w:val="20"/>
                <w:szCs w:val="20"/>
              </w:rPr>
              <w:t>; and</w:t>
            </w:r>
          </w:p>
        </w:tc>
      </w:tr>
      <w:tr w:rsidR="00000000">
        <w:trPr>
          <w:tblCellSpacing w:w="0" w:type="dxa"/>
        </w:trPr>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rPr>
          <w:tblCellSpacing w:w="0" w:type="dxa"/>
        </w:trPr>
        <w:tc>
          <w:tcPr>
            <w:tcW w:w="720" w:type="dxa"/>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 xml:space="preserve">Net cash used in operations was </w:t>
            </w:r>
            <w:r>
              <w:rPr>
                <w:rFonts w:eastAsia="Times New Roman"/>
                <w:sz w:val="20"/>
                <w:szCs w:val="20"/>
              </w:rPr>
              <w:t>$</w:t>
            </w:r>
            <w:r>
              <w:rPr>
                <w:rFonts w:eastAsia="Times New Roman"/>
                <w:sz w:val="20"/>
                <w:szCs w:val="20"/>
              </w:rPr>
              <w:t>3,562,00</w:t>
            </w:r>
            <w:r>
              <w:rPr>
                <w:rFonts w:eastAsia="Times New Roman"/>
                <w:sz w:val="20"/>
                <w:szCs w:val="20"/>
              </w:rPr>
              <w:t>0</w:t>
            </w:r>
            <w:r>
              <w:rPr>
                <w:rFonts w:eastAsia="Times New Roman"/>
                <w:sz w:val="20"/>
                <w:szCs w:val="20"/>
              </w:rPr>
              <w:t xml:space="preserve"> </w:t>
            </w:r>
          </w:p>
        </w:tc>
      </w:tr>
      <w:tr w:rsidR="00000000">
        <w:trPr>
          <w:tblCellSpacing w:w="0" w:type="dxa"/>
        </w:trPr>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Additionally, at September 30, 2021, the Company had:</w:t>
            </w:r>
          </w:p>
        </w:tc>
      </w:tr>
    </w:tbl>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center"/>
        <w:divId w:val="939067697"/>
        <w:rPr>
          <w:sz w:val="20"/>
          <w:szCs w:val="20"/>
        </w:rPr>
      </w:pPr>
      <w:r>
        <w:rPr>
          <w:sz w:val="20"/>
          <w:szCs w:val="20"/>
        </w:rPr>
        <w:t>F</w:t>
      </w:r>
      <w:r>
        <w:rPr>
          <w:sz w:val="20"/>
          <w:szCs w:val="20"/>
        </w:rPr>
        <w:t>-</w:t>
      </w:r>
      <w:r>
        <w:rPr>
          <w:sz w:val="20"/>
          <w:szCs w:val="20"/>
        </w:rPr>
        <w:t>1</w:t>
      </w:r>
      <w:r>
        <w:rPr>
          <w:sz w:val="20"/>
          <w:szCs w:val="20"/>
        </w:rPr>
        <w:t>0</w:t>
      </w:r>
    </w:p>
    <w:p w:rsidR="00000000" w:rsidRDefault="00B64763">
      <w:pPr>
        <w:pStyle w:val="a3"/>
        <w:spacing w:before="0" w:beforeAutospacing="0" w:after="0" w:afterAutospacing="0"/>
        <w:divId w:val="85808517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CLICKSTREAM 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September 30, 2021 and 2020</w:t>
      </w:r>
    </w:p>
    <w:p w:rsidR="00000000" w:rsidRDefault="00B6476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19"/>
        <w:gridCol w:w="7587"/>
      </w:tblGrid>
      <w:tr w:rsidR="00000000">
        <w:trPr>
          <w:tblCellSpacing w:w="0" w:type="dxa"/>
        </w:trPr>
        <w:tc>
          <w:tcPr>
            <w:tcW w:w="719" w:type="dxa"/>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rPr>
                <w:rFonts w:eastAsia="Times New Roman"/>
                <w:sz w:val="20"/>
                <w:szCs w:val="20"/>
              </w:rPr>
            </w:pPr>
            <w:r>
              <w:rPr>
                <w:rFonts w:eastAsia="Times New Roman"/>
                <w:sz w:val="20"/>
                <w:szCs w:val="20"/>
              </w:rPr>
              <w:t xml:space="preserve">Accumulated deficit of </w:t>
            </w:r>
            <w:r>
              <w:rPr>
                <w:rFonts w:eastAsia="Times New Roman"/>
                <w:sz w:val="20"/>
                <w:szCs w:val="20"/>
              </w:rPr>
              <w:t>$</w:t>
            </w:r>
            <w:r>
              <w:rPr>
                <w:rFonts w:eastAsia="Times New Roman"/>
                <w:sz w:val="20"/>
                <w:szCs w:val="20"/>
              </w:rPr>
              <w:t>13,564,00</w:t>
            </w:r>
            <w:r>
              <w:rPr>
                <w:rFonts w:eastAsia="Times New Roman"/>
                <w:sz w:val="20"/>
                <w:szCs w:val="20"/>
              </w:rPr>
              <w:t>0</w:t>
            </w:r>
          </w:p>
        </w:tc>
      </w:tr>
    </w:tbl>
    <w:p w:rsidR="00000000" w:rsidRDefault="00B64763">
      <w:pPr>
        <w:pStyle w:val="a3"/>
        <w:spacing w:before="0" w:beforeAutospacing="0" w:after="0" w:afterAutospacing="0"/>
        <w:ind w:hanging="720"/>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We manage liquidity risk by reviewing, on an ongoing basis, our sources of liquidity and capital requirements. The Company </w:t>
      </w:r>
      <w:r>
        <w:rPr>
          <w:sz w:val="20"/>
          <w:szCs w:val="20"/>
        </w:rPr>
        <w:t xml:space="preserve">has cash on hand of </w:t>
      </w:r>
      <w:r>
        <w:rPr>
          <w:sz w:val="20"/>
          <w:szCs w:val="20"/>
        </w:rPr>
        <w:t>$</w:t>
      </w:r>
      <w:r>
        <w:rPr>
          <w:sz w:val="20"/>
          <w:szCs w:val="20"/>
        </w:rPr>
        <w:t>422,00</w:t>
      </w:r>
      <w:r>
        <w:rPr>
          <w:sz w:val="20"/>
          <w:szCs w:val="20"/>
        </w:rPr>
        <w:t>0</w:t>
      </w:r>
      <w:r>
        <w:rPr>
          <w:sz w:val="20"/>
          <w:szCs w:val="20"/>
        </w:rPr>
        <w:t xml:space="preserve"> at September 30, 2021. Although the Company intends to raise additional debt or equity capital, the Company expects to continue to incur significant losses from operations and have negative cash flows from o</w:t>
      </w:r>
      <w:r>
        <w:rPr>
          <w:spacing w:val="-1"/>
          <w:sz w:val="20"/>
          <w:szCs w:val="20"/>
        </w:rPr>
        <w:t xml:space="preserve">perating activities </w:t>
      </w:r>
      <w:r>
        <w:rPr>
          <w:spacing w:val="-1"/>
          <w:sz w:val="20"/>
          <w:szCs w:val="20"/>
        </w:rPr>
        <w:t>for</w:t>
      </w:r>
      <w:r>
        <w:rPr>
          <w:sz w:val="20"/>
          <w:szCs w:val="20"/>
        </w:rPr>
        <w:t xml:space="preserve"> the near-term. These losses could be significant as the Company has not yet generated revenues but has continuing operating expenses including but not limited to compensation, professional fees, software development and regulatory.</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 Company has in</w:t>
      </w:r>
      <w:r>
        <w:rPr>
          <w:sz w:val="20"/>
          <w:szCs w:val="20"/>
        </w:rPr>
        <w:t>curred significant losses since its inception and has not demonstrated an ability to generate sufficient revenues from the sales of its products or services to achieve profitable operations. There can be no assurance that profitable operations will ever be</w:t>
      </w:r>
      <w:r>
        <w:rPr>
          <w:sz w:val="20"/>
          <w:szCs w:val="20"/>
        </w:rPr>
        <w:t xml:space="preserve"> achieved, or if achieved, could be sustained on a continuing basis. In making this assessment we performed a </w:t>
      </w:r>
      <w:r>
        <w:rPr>
          <w:spacing w:val="-8"/>
          <w:sz w:val="20"/>
          <w:szCs w:val="20"/>
        </w:rPr>
        <w:t>comprehensive</w:t>
      </w:r>
      <w:r>
        <w:rPr>
          <w:sz w:val="20"/>
          <w:szCs w:val="20"/>
        </w:rPr>
        <w:t xml:space="preserve"> analysis of our current circumstances including: our financial position, our cash flows and cash usage forecasts for the twelve mont</w:t>
      </w:r>
      <w:r>
        <w:rPr>
          <w:sz w:val="20"/>
          <w:szCs w:val="20"/>
        </w:rPr>
        <w:t>hs ended September 30, 2022, and our current capital structure including equity-based instruments and our obligations and debts.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If the Company does not obtain additional capital, the Company will be required to reduce </w:t>
      </w:r>
      <w:r>
        <w:rPr>
          <w:spacing w:val="-1"/>
          <w:sz w:val="20"/>
          <w:szCs w:val="20"/>
        </w:rPr>
        <w:t>the scope of its</w:t>
      </w:r>
      <w:r>
        <w:rPr>
          <w:sz w:val="20"/>
          <w:szCs w:val="20"/>
        </w:rPr>
        <w:t xml:space="preserve"> business developme</w:t>
      </w:r>
      <w:r>
        <w:rPr>
          <w:sz w:val="20"/>
          <w:szCs w:val="20"/>
        </w:rPr>
        <w:t>nt activities or cease operations. The Company continues to explore obtaining additional capital financing and the Company is closely monitoring its cash balances, cash needs, and expense levels.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These factors create substantial doubt about the Company’s</w:t>
      </w:r>
      <w:r>
        <w:rPr>
          <w:sz w:val="20"/>
          <w:szCs w:val="20"/>
        </w:rPr>
        <w:t xml:space="preserve"> ability to continue as a going concern within the twelve month period subsequent to the date that these consolidated financial statements are issued. The consolidated financial statements do not include any </w:t>
      </w:r>
      <w:r>
        <w:rPr>
          <w:spacing w:val="-1"/>
          <w:sz w:val="20"/>
          <w:szCs w:val="20"/>
        </w:rPr>
        <w:t>adjustments that might</w:t>
      </w:r>
      <w:r>
        <w:rPr>
          <w:sz w:val="20"/>
          <w:szCs w:val="20"/>
        </w:rPr>
        <w:t xml:space="preserve"> be necessary if the Compa</w:t>
      </w:r>
      <w:r>
        <w:rPr>
          <w:sz w:val="20"/>
          <w:szCs w:val="20"/>
        </w:rPr>
        <w:t>ny is unable to continue as a going concern. Accordingly, the consolidated financial statements have been prepared on a basis that assumes the Company will continue as a going concern and which contemplates the realization of assets and satisfaction of lia</w:t>
      </w:r>
      <w:r>
        <w:rPr>
          <w:sz w:val="20"/>
          <w:szCs w:val="20"/>
        </w:rPr>
        <w:t xml:space="preserve">bilities and commitments in the ordinary course </w:t>
      </w:r>
      <w:r>
        <w:rPr>
          <w:spacing w:val="-8"/>
          <w:sz w:val="20"/>
          <w:szCs w:val="20"/>
        </w:rPr>
        <w:t>of business.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u w:val="single"/>
        </w:rPr>
        <w:t>Management’s strategic plans include the following:</w:t>
      </w:r>
    </w:p>
    <w:p w:rsidR="00000000" w:rsidRDefault="00B6476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19"/>
        <w:gridCol w:w="7587"/>
      </w:tblGrid>
      <w:tr w:rsidR="00000000">
        <w:trPr>
          <w:tblCellSpacing w:w="0" w:type="dxa"/>
        </w:trPr>
        <w:tc>
          <w:tcPr>
            <w:tcW w:w="719" w:type="dxa"/>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rPr>
                <w:rFonts w:eastAsia="Times New Roman"/>
                <w:sz w:val="20"/>
                <w:szCs w:val="20"/>
              </w:rPr>
            </w:pPr>
            <w:r>
              <w:rPr>
                <w:rFonts w:eastAsia="Times New Roman"/>
                <w:sz w:val="20"/>
                <w:szCs w:val="20"/>
              </w:rPr>
              <w:t>Pursuing additional capital raising opportunities,</w:t>
            </w:r>
          </w:p>
        </w:tc>
      </w:tr>
      <w:tr w:rsidR="00000000">
        <w:trPr>
          <w:tblCellSpacing w:w="0" w:type="dxa"/>
        </w:trPr>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r>
      <w:tr w:rsidR="00000000">
        <w:trPr>
          <w:tblCellSpacing w:w="0" w:type="dxa"/>
        </w:trPr>
        <w:tc>
          <w:tcPr>
            <w:tcW w:w="719" w:type="dxa"/>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rPr>
                <w:rFonts w:eastAsia="Times New Roman"/>
                <w:sz w:val="20"/>
                <w:szCs w:val="20"/>
              </w:rPr>
            </w:pPr>
            <w:r>
              <w:rPr>
                <w:rFonts w:eastAsia="Times New Roman"/>
                <w:sz w:val="20"/>
                <w:szCs w:val="20"/>
              </w:rPr>
              <w:t xml:space="preserve">Continuing </w:t>
            </w:r>
            <w:r>
              <w:rPr>
                <w:rFonts w:eastAsia="Times New Roman"/>
                <w:sz w:val="20"/>
                <w:szCs w:val="20"/>
              </w:rPr>
              <w:t>to explore and execute prospective partnering or distribution opportunities</w:t>
            </w:r>
            <w:r>
              <w:rPr>
                <w:rFonts w:eastAsia="Times New Roman"/>
                <w:sz w:val="20"/>
                <w:szCs w:val="20"/>
              </w:rPr>
              <w:t>;</w:t>
            </w:r>
            <w:r>
              <w:rPr>
                <w:rFonts w:eastAsia="Times New Roman"/>
                <w:sz w:val="20"/>
                <w:szCs w:val="20"/>
              </w:rPr>
              <w:t xml:space="preserve"> and</w:t>
            </w:r>
          </w:p>
        </w:tc>
      </w:tr>
      <w:tr w:rsidR="00000000">
        <w:trPr>
          <w:tblCellSpacing w:w="0" w:type="dxa"/>
        </w:trPr>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r>
      <w:tr w:rsidR="00000000">
        <w:trPr>
          <w:tblCellSpacing w:w="0" w:type="dxa"/>
        </w:trPr>
        <w:tc>
          <w:tcPr>
            <w:tcW w:w="719" w:type="dxa"/>
            <w:hideMark/>
          </w:tcPr>
          <w:p w:rsidR="00000000" w:rsidRDefault="00B64763">
            <w:pPr>
              <w:rPr>
                <w:rFonts w:eastAsia="Times New Roman"/>
                <w:sz w:val="20"/>
                <w:szCs w:val="20"/>
              </w:rPr>
            </w:pPr>
            <w:r>
              <w:rPr>
                <w:rFonts w:eastAsia="Times New Roman"/>
                <w:sz w:val="20"/>
                <w:szCs w:val="20"/>
              </w:rPr>
              <w:t>●</w:t>
            </w:r>
          </w:p>
        </w:tc>
        <w:tc>
          <w:tcPr>
            <w:tcW w:w="0" w:type="auto"/>
            <w:tcMar>
              <w:top w:w="0" w:type="dxa"/>
              <w:left w:w="0" w:type="dxa"/>
              <w:bottom w:w="0" w:type="dxa"/>
              <w:right w:w="740" w:type="dxa"/>
            </w:tcMar>
            <w:hideMark/>
          </w:tcPr>
          <w:p w:rsidR="00000000" w:rsidRDefault="00B64763">
            <w:pPr>
              <w:rPr>
                <w:rFonts w:eastAsia="Times New Roman"/>
                <w:sz w:val="20"/>
                <w:szCs w:val="20"/>
              </w:rPr>
            </w:pPr>
            <w:r>
              <w:rPr>
                <w:rFonts w:eastAsia="Times New Roman"/>
                <w:sz w:val="20"/>
                <w:szCs w:val="20"/>
              </w:rPr>
              <w:t>Identifying unique market opportunities that represent potential positive short-term cash flow.</w:t>
            </w:r>
          </w:p>
        </w:tc>
      </w:tr>
    </w:tbl>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b/>
          <w:bCs/>
          <w:sz w:val="20"/>
          <w:szCs w:val="20"/>
        </w:rPr>
      </w:pPr>
      <w:r>
        <w:rPr>
          <w:b/>
          <w:bCs/>
          <w:sz w:val="20"/>
          <w:szCs w:val="20"/>
        </w:rPr>
        <w:t> </w:t>
      </w:r>
    </w:p>
    <w:p w:rsidR="00000000" w:rsidRDefault="00B64763">
      <w:pPr>
        <w:pStyle w:val="a3"/>
        <w:spacing w:before="0" w:beforeAutospacing="0" w:after="0" w:afterAutospacing="0"/>
        <w:jc w:val="center"/>
        <w:divId w:val="576788766"/>
        <w:rPr>
          <w:sz w:val="20"/>
          <w:szCs w:val="20"/>
        </w:rPr>
      </w:pPr>
      <w:r>
        <w:rPr>
          <w:sz w:val="20"/>
          <w:szCs w:val="20"/>
        </w:rPr>
        <w:t>F</w:t>
      </w:r>
      <w:r>
        <w:rPr>
          <w:sz w:val="20"/>
          <w:szCs w:val="20"/>
        </w:rPr>
        <w:t>-</w:t>
      </w:r>
      <w:r>
        <w:rPr>
          <w:sz w:val="20"/>
          <w:szCs w:val="20"/>
        </w:rPr>
        <w:t>1</w:t>
      </w:r>
      <w:r>
        <w:rPr>
          <w:sz w:val="20"/>
          <w:szCs w:val="20"/>
        </w:rPr>
        <w:t>1</w:t>
      </w:r>
    </w:p>
    <w:p w:rsidR="00000000" w:rsidRDefault="00B64763">
      <w:pPr>
        <w:pStyle w:val="a3"/>
        <w:spacing w:before="0" w:beforeAutospacing="0" w:after="0" w:afterAutospacing="0"/>
        <w:divId w:val="725759666"/>
        <w:rPr>
          <w:sz w:val="20"/>
          <w:szCs w:val="20"/>
        </w:rPr>
      </w:pPr>
      <w:r>
        <w:rPr>
          <w:sz w:val="20"/>
          <w:szCs w:val="20"/>
        </w:rPr>
        <w:t> </w:t>
      </w:r>
    </w:p>
    <w:p w:rsidR="00000000" w:rsidRDefault="00B64763">
      <w:pPr>
        <w:pStyle w:val="a3"/>
        <w:spacing w:before="0" w:beforeAutospacing="0" w:after="0" w:afterAutospacing="0"/>
        <w:rPr>
          <w:b/>
          <w:bCs/>
          <w:sz w:val="20"/>
          <w:szCs w:val="20"/>
        </w:rPr>
      </w:pPr>
      <w:r>
        <w:rPr>
          <w:b/>
          <w:bCs/>
          <w:sz w:val="20"/>
          <w:szCs w:val="20"/>
        </w:rPr>
        <w:t> </w:t>
      </w:r>
    </w:p>
    <w:p w:rsidR="00000000" w:rsidRDefault="00B64763">
      <w:pPr>
        <w:pStyle w:val="a3"/>
        <w:spacing w:before="0" w:beforeAutospacing="0" w:after="0" w:afterAutospacing="0"/>
        <w:jc w:val="center"/>
        <w:rPr>
          <w:sz w:val="20"/>
          <w:szCs w:val="20"/>
        </w:rPr>
      </w:pPr>
      <w:r>
        <w:rPr>
          <w:sz w:val="20"/>
          <w:szCs w:val="20"/>
        </w:rPr>
        <w:t>CLICKSTREAM 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September 30, 2021 and 2020</w:t>
      </w:r>
    </w:p>
    <w:p w:rsidR="00000000" w:rsidRDefault="00B64763">
      <w:pPr>
        <w:pStyle w:val="a3"/>
        <w:spacing w:before="0" w:beforeAutospacing="0" w:after="0" w:afterAutospacing="0"/>
        <w:rPr>
          <w:b/>
          <w:bCs/>
          <w:sz w:val="20"/>
          <w:szCs w:val="20"/>
        </w:rPr>
      </w:pPr>
      <w:r>
        <w:rPr>
          <w:b/>
          <w:bCs/>
          <w:sz w:val="20"/>
          <w:szCs w:val="20"/>
        </w:rPr>
        <w:t> </w:t>
      </w:r>
    </w:p>
    <w:p w:rsidR="00000000" w:rsidRDefault="00B64763">
      <w:pPr>
        <w:pStyle w:val="a3"/>
        <w:spacing w:before="0" w:beforeAutospacing="0" w:after="0" w:afterAutospacing="0"/>
        <w:rPr>
          <w:b/>
          <w:bCs/>
          <w:sz w:val="20"/>
          <w:szCs w:val="20"/>
        </w:rPr>
      </w:pPr>
      <w:r>
        <w:rPr>
          <w:b/>
          <w:bCs/>
          <w:sz w:val="20"/>
          <w:szCs w:val="20"/>
        </w:rPr>
        <w:t>Note 2 –</w:t>
      </w:r>
      <w:r>
        <w:rPr>
          <w:b/>
          <w:bCs/>
          <w:sz w:val="20"/>
          <w:szCs w:val="20"/>
        </w:rPr>
        <w:t xml:space="preserve"> </w:t>
      </w:r>
      <w:r>
        <w:rPr>
          <w:b/>
          <w:bCs/>
          <w:sz w:val="20"/>
          <w:szCs w:val="20"/>
        </w:rPr>
        <w:t>Summary of Significant Accounting Policie</w:t>
      </w:r>
      <w:r>
        <w:rPr>
          <w:b/>
          <w:bCs/>
          <w:sz w:val="20"/>
          <w:szCs w:val="20"/>
        </w:rPr>
        <w:t>s</w:t>
      </w:r>
    </w:p>
    <w:p w:rsidR="00000000" w:rsidRDefault="00B64763">
      <w:pPr>
        <w:pStyle w:val="a3"/>
        <w:spacing w:before="0" w:beforeAutospacing="0" w:after="0" w:afterAutospacing="0"/>
        <w:rPr>
          <w:b/>
          <w:bCs/>
          <w:sz w:val="20"/>
          <w:szCs w:val="20"/>
        </w:rPr>
      </w:pPr>
      <w:r>
        <w:rPr>
          <w:b/>
          <w:bCs/>
          <w:sz w:val="20"/>
          <w:szCs w:val="20"/>
        </w:rPr>
        <w:t> </w:t>
      </w:r>
    </w:p>
    <w:p w:rsidR="00000000" w:rsidRDefault="00B64763">
      <w:pPr>
        <w:pStyle w:val="a3"/>
        <w:spacing w:before="0" w:beforeAutospacing="0" w:after="0" w:afterAutospacing="0"/>
        <w:jc w:val="both"/>
        <w:rPr>
          <w:sz w:val="20"/>
          <w:szCs w:val="20"/>
        </w:rPr>
      </w:pPr>
      <w:r>
        <w:rPr>
          <w:b/>
          <w:bCs/>
          <w:sz w:val="20"/>
          <w:szCs w:val="20"/>
        </w:rPr>
        <w:t>Principles of Consolidatio</w:t>
      </w:r>
      <w:r>
        <w:rPr>
          <w:b/>
          <w:bCs/>
          <w:sz w:val="20"/>
          <w:szCs w:val="20"/>
        </w:rPr>
        <w:t>n</w:t>
      </w:r>
    </w:p>
    <w:p w:rsidR="00000000" w:rsidRDefault="00B64763">
      <w:pPr>
        <w:pStyle w:val="a3"/>
        <w:spacing w:before="0" w:beforeAutospacing="0" w:after="0" w:afterAutospacing="0"/>
        <w:jc w:val="both"/>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These consolidated financial statements have been prepared in accordance with U</w:t>
      </w:r>
      <w:r>
        <w:rPr>
          <w:sz w:val="20"/>
          <w:szCs w:val="20"/>
        </w:rPr>
        <w:t xml:space="preserve">.S. GAAP and include the </w:t>
      </w:r>
      <w:r>
        <w:rPr>
          <w:spacing w:val="1"/>
          <w:sz w:val="20"/>
          <w:szCs w:val="20"/>
        </w:rPr>
        <w:tab/>
      </w:r>
      <w:r>
        <w:rPr>
          <w:sz w:val="20"/>
          <w:szCs w:val="20"/>
        </w:rPr>
        <w:t xml:space="preserve">accounts of the Company and its wholly owned subsidiaries. All intercompany transactions and balances have been </w:t>
      </w:r>
      <w:r>
        <w:rPr>
          <w:spacing w:val="-1"/>
          <w:sz w:val="20"/>
          <w:szCs w:val="20"/>
        </w:rPr>
        <w:tab/>
      </w:r>
      <w:r>
        <w:rPr>
          <w:sz w:val="20"/>
          <w:szCs w:val="20"/>
        </w:rPr>
        <w:t>eliminated.</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Use of Estimate</w:t>
      </w:r>
      <w:r>
        <w:rPr>
          <w:b/>
          <w:bCs/>
          <w:sz w:val="20"/>
          <w:szCs w:val="20"/>
        </w:rPr>
        <w:t>s</w:t>
      </w:r>
    </w:p>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Preparing financial statements in conformity with U.S. GAAP requires management to m</w:t>
      </w:r>
      <w:r>
        <w:rPr>
          <w:sz w:val="20"/>
          <w:szCs w:val="20"/>
        </w:rPr>
        <w:t xml:space="preserve">ake estimates and </w:t>
      </w:r>
      <w:r>
        <w:rPr>
          <w:sz w:val="20"/>
          <w:szCs w:val="20"/>
        </w:rPr>
        <w:tab/>
        <w:t xml:space="preserve">assumptions that affect the reported amounts of assets and liabilities and the disclosure of contingent assets and </w:t>
      </w:r>
      <w:r>
        <w:rPr>
          <w:sz w:val="20"/>
          <w:szCs w:val="20"/>
        </w:rPr>
        <w:tab/>
        <w:t xml:space="preserve">liabilities at the date of the financial statements and revenues and expenses during the reported period. Actual results </w:t>
      </w:r>
      <w:r>
        <w:rPr>
          <w:sz w:val="20"/>
          <w:szCs w:val="20"/>
        </w:rPr>
        <w:tab/>
        <w:t>could differ from those estimates, and those estimates may be material.</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Significant estimates during the years ended September 30, 2021 and 2020, respectively, include relative fair </w:t>
      </w:r>
      <w:r>
        <w:rPr>
          <w:sz w:val="20"/>
          <w:szCs w:val="20"/>
        </w:rPr>
        <w:tab/>
        <w:t>value of assets acquired, valuation of intangible assets for impairmen</w:t>
      </w:r>
      <w:r>
        <w:rPr>
          <w:sz w:val="20"/>
          <w:szCs w:val="20"/>
        </w:rPr>
        <w:t xml:space="preserve">t testing, valuation of stock-based compensation, </w:t>
      </w:r>
      <w:r>
        <w:rPr>
          <w:sz w:val="20"/>
          <w:szCs w:val="20"/>
        </w:rPr>
        <w:tab/>
        <w:t>uncertain tax positions, and the valuation allowance on deferred tax assets.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Asset Acquisition</w:t>
      </w:r>
      <w:r>
        <w:rPr>
          <w:b/>
          <w:bCs/>
          <w:sz w:val="20"/>
          <w:szCs w:val="20"/>
        </w:rPr>
        <w:t>s</w:t>
      </w:r>
    </w:p>
    <w:p w:rsidR="00000000" w:rsidRDefault="00B64763">
      <w:pPr>
        <w:pStyle w:val="a3"/>
        <w:spacing w:before="0" w:beforeAutospacing="0" w:after="0" w:afterAutospacing="0"/>
        <w:jc w:val="both"/>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 Company accounts for acquisitions of legal entities that do not meet the definition of a business und</w:t>
      </w:r>
      <w:r>
        <w:rPr>
          <w:sz w:val="20"/>
          <w:szCs w:val="20"/>
        </w:rPr>
        <w:t xml:space="preserve">er </w:t>
      </w:r>
      <w:r>
        <w:rPr>
          <w:sz w:val="20"/>
          <w:szCs w:val="20"/>
        </w:rPr>
        <w:tab/>
        <w:t xml:space="preserve">ASC 805 as asset acquisitions. Assets acquired and liabilities assumed are recorded at their relative fair value </w:t>
      </w:r>
      <w:r>
        <w:rPr>
          <w:sz w:val="20"/>
          <w:szCs w:val="20"/>
        </w:rPr>
        <w:tab/>
        <w:t xml:space="preserve">and no goodwill is recorded. Contingent consideration for assets acquired is measured and is recognized as an </w:t>
      </w:r>
      <w:r>
        <w:rPr>
          <w:sz w:val="20"/>
          <w:szCs w:val="20"/>
        </w:rPr>
        <w:tab/>
        <w:t>expense on the date the con</w:t>
      </w:r>
      <w:r>
        <w:rPr>
          <w:sz w:val="20"/>
          <w:szCs w:val="20"/>
        </w:rPr>
        <w:t>tingency occurs.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Equity Method Investmen</w:t>
      </w:r>
      <w:r>
        <w:rPr>
          <w:b/>
          <w:bCs/>
          <w:sz w:val="20"/>
          <w:szCs w:val="20"/>
        </w:rPr>
        <w:t>t</w:t>
      </w:r>
    </w:p>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equity method is applied to investments in affiliated companies and joint ventures. An affiliated company is an </w:t>
      </w:r>
      <w:r>
        <w:rPr>
          <w:sz w:val="20"/>
          <w:szCs w:val="20"/>
        </w:rPr>
        <w:tab/>
      </w:r>
      <w:r>
        <w:rPr>
          <w:sz w:val="20"/>
          <w:szCs w:val="20"/>
        </w:rPr>
        <w:t xml:space="preserve">entity which is not controlled by the Company but for which the Company is able to exert significant influence over the </w:t>
      </w:r>
      <w:r>
        <w:rPr>
          <w:sz w:val="20"/>
          <w:szCs w:val="20"/>
        </w:rPr>
        <w:tab/>
        <w:t xml:space="preserve">decisions on financial and operating business policies. If the Company has 20% or more but not more than 50% of the voting </w:t>
      </w:r>
      <w:r>
        <w:rPr>
          <w:sz w:val="20"/>
          <w:szCs w:val="20"/>
        </w:rPr>
        <w:tab/>
        <w:t>rights of a</w:t>
      </w:r>
      <w:r>
        <w:rPr>
          <w:sz w:val="20"/>
          <w:szCs w:val="20"/>
        </w:rPr>
        <w:t xml:space="preserve">nother entity, the Company is presumed to have significant influence over that entity however, if a company has less than 20% of the voting rights and is able to exert significant influence the equity method should be applied. Under the </w:t>
      </w:r>
      <w:r>
        <w:rPr>
          <w:sz w:val="20"/>
          <w:szCs w:val="20"/>
        </w:rPr>
        <w:tab/>
        <w:t>equity method, the</w:t>
      </w:r>
      <w:r>
        <w:rPr>
          <w:sz w:val="20"/>
          <w:szCs w:val="20"/>
        </w:rPr>
        <w:t xml:space="preserve"> investment in an affiliated company or joint venture is initially recognized at cost and the carrying amount </w:t>
      </w:r>
      <w:r>
        <w:rPr>
          <w:sz w:val="20"/>
          <w:szCs w:val="20"/>
        </w:rPr>
        <w:tab/>
        <w:t xml:space="preserve">is increased or decreased to recognize the Company’s share of the net income or loss of the affiliated company or joint </w:t>
      </w:r>
      <w:r>
        <w:rPr>
          <w:sz w:val="20"/>
          <w:szCs w:val="20"/>
        </w:rPr>
        <w:tab/>
        <w:t>venture. When the Compan</w:t>
      </w:r>
      <w:r>
        <w:rPr>
          <w:sz w:val="20"/>
          <w:szCs w:val="20"/>
        </w:rPr>
        <w:t>y’s share of losses of an affiliated company equals or exceeds it interest in the affiliated company or joint venture, the Company discontinues recognizing its share of further losses. All intercompany profits have been eliminated in proportion to interest</w:t>
      </w:r>
      <w:r>
        <w:rPr>
          <w:sz w:val="20"/>
          <w:szCs w:val="20"/>
        </w:rPr>
        <w:t>s in affiliated companies or joint ventures.</w:t>
      </w:r>
    </w:p>
    <w:p w:rsidR="00000000" w:rsidRDefault="00B64763">
      <w:pPr>
        <w:pStyle w:val="a3"/>
        <w:spacing w:before="0" w:beforeAutospacing="0" w:after="0" w:afterAutospacing="0"/>
        <w:jc w:val="both"/>
        <w:rPr>
          <w:sz w:val="20"/>
          <w:szCs w:val="20"/>
        </w:rPr>
      </w:pPr>
      <w:r>
        <w:rPr>
          <w:b/>
          <w:bCs/>
          <w:sz w:val="20"/>
          <w:szCs w:val="20"/>
        </w:rPr>
        <w:t> </w:t>
      </w:r>
    </w:p>
    <w:p w:rsidR="00000000" w:rsidRDefault="00B64763">
      <w:pPr>
        <w:pStyle w:val="a3"/>
        <w:spacing w:before="0" w:beforeAutospacing="0" w:after="0" w:afterAutospacing="0"/>
        <w:jc w:val="both"/>
        <w:rPr>
          <w:sz w:val="20"/>
          <w:szCs w:val="20"/>
        </w:rPr>
      </w:pPr>
      <w:r>
        <w:rPr>
          <w:b/>
          <w:bCs/>
          <w:sz w:val="20"/>
          <w:szCs w:val="20"/>
        </w:rPr>
        <w:t>Business Segments and Concentration</w:t>
      </w:r>
      <w:r>
        <w:rPr>
          <w:b/>
          <w:bCs/>
          <w:sz w:val="20"/>
          <w:szCs w:val="20"/>
        </w:rPr>
        <w:t>s</w:t>
      </w:r>
    </w:p>
    <w:p w:rsidR="00000000" w:rsidRDefault="00B64763">
      <w:pPr>
        <w:pStyle w:val="a3"/>
        <w:spacing w:before="0" w:beforeAutospacing="0" w:after="0" w:afterAutospacing="0"/>
        <w:jc w:val="both"/>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 uses the “management approach” to identify its reportable segments. The management </w:t>
      </w:r>
      <w:r>
        <w:rPr>
          <w:spacing w:val="1"/>
          <w:sz w:val="20"/>
          <w:szCs w:val="20"/>
        </w:rPr>
        <w:tab/>
      </w:r>
      <w:r>
        <w:rPr>
          <w:sz w:val="20"/>
          <w:szCs w:val="20"/>
        </w:rPr>
        <w:t>approach requires companies to report segment financial information consis</w:t>
      </w:r>
      <w:r>
        <w:rPr>
          <w:sz w:val="20"/>
          <w:szCs w:val="20"/>
        </w:rPr>
        <w:t xml:space="preserve">tent with information used by </w:t>
      </w:r>
      <w:r>
        <w:rPr>
          <w:spacing w:val="1"/>
          <w:sz w:val="20"/>
          <w:szCs w:val="20"/>
        </w:rPr>
        <w:tab/>
      </w:r>
      <w:r>
        <w:rPr>
          <w:sz w:val="20"/>
          <w:szCs w:val="20"/>
        </w:rPr>
        <w:t>management for making operating decisions and assessing performance as the basis for identifying the Company’s reportable segments. Management has determined that the Company has one operating segment.</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Risks and Uncertainti</w:t>
      </w:r>
      <w:r>
        <w:rPr>
          <w:b/>
          <w:bCs/>
          <w:sz w:val="20"/>
          <w:szCs w:val="20"/>
        </w:rPr>
        <w:t>e</w:t>
      </w:r>
      <w:r>
        <w:rPr>
          <w:b/>
          <w:bCs/>
          <w:sz w:val="20"/>
          <w:szCs w:val="20"/>
        </w:rPr>
        <w:t>s</w:t>
      </w:r>
    </w:p>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 operates in an industry that is subject to intense competition and change in consumer demand. The Company’s operations are subject to significant risk and uncertainties including financial and operational risks </w:t>
      </w:r>
      <w:r>
        <w:rPr>
          <w:spacing w:val="1"/>
          <w:sz w:val="20"/>
          <w:szCs w:val="20"/>
        </w:rPr>
        <w:tab/>
      </w:r>
      <w:r>
        <w:rPr>
          <w:sz w:val="20"/>
          <w:szCs w:val="20"/>
        </w:rPr>
        <w:t>including the potential ris</w:t>
      </w:r>
      <w:r>
        <w:rPr>
          <w:sz w:val="20"/>
          <w:szCs w:val="20"/>
        </w:rPr>
        <w:t>k of business failure.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center"/>
        <w:divId w:val="1831020354"/>
        <w:rPr>
          <w:sz w:val="20"/>
          <w:szCs w:val="20"/>
        </w:rPr>
      </w:pPr>
      <w:r>
        <w:rPr>
          <w:sz w:val="20"/>
          <w:szCs w:val="20"/>
        </w:rPr>
        <w:t>F</w:t>
      </w:r>
      <w:r>
        <w:rPr>
          <w:sz w:val="20"/>
          <w:szCs w:val="20"/>
        </w:rPr>
        <w:t>-</w:t>
      </w:r>
      <w:r>
        <w:rPr>
          <w:sz w:val="20"/>
          <w:szCs w:val="20"/>
        </w:rPr>
        <w:t>1</w:t>
      </w:r>
      <w:r>
        <w:rPr>
          <w:sz w:val="20"/>
          <w:szCs w:val="20"/>
        </w:rPr>
        <w:t>2</w:t>
      </w:r>
    </w:p>
    <w:p w:rsidR="00000000" w:rsidRDefault="00B64763">
      <w:pPr>
        <w:pStyle w:val="a3"/>
        <w:spacing w:before="0" w:beforeAutospacing="0" w:after="0" w:afterAutospacing="0"/>
        <w:divId w:val="856385039"/>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CLICKSTREAM 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September 30, 2021 and 2020</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 has experienced, and in the future expects to continue to experience, </w:t>
      </w:r>
      <w:r>
        <w:rPr>
          <w:spacing w:val="-1"/>
          <w:sz w:val="20"/>
          <w:szCs w:val="20"/>
        </w:rPr>
        <w:t>variability in sales and earn</w:t>
      </w:r>
      <w:r>
        <w:rPr>
          <w:spacing w:val="-1"/>
          <w:sz w:val="20"/>
          <w:szCs w:val="20"/>
        </w:rPr>
        <w:t>ings.</w:t>
      </w:r>
      <w:r>
        <w:rPr>
          <w:sz w:val="20"/>
          <w:szCs w:val="20"/>
        </w:rPr>
        <w:t xml:space="preserve"> </w:t>
      </w:r>
      <w:r>
        <w:rPr>
          <w:spacing w:val="-11"/>
          <w:sz w:val="20"/>
          <w:szCs w:val="20"/>
        </w:rPr>
        <w:tab/>
      </w:r>
      <w:r>
        <w:rPr>
          <w:spacing w:val="-1"/>
          <w:sz w:val="20"/>
          <w:szCs w:val="20"/>
        </w:rPr>
        <w:t>The</w:t>
      </w:r>
      <w:r>
        <w:rPr>
          <w:sz w:val="20"/>
          <w:szCs w:val="20"/>
        </w:rPr>
        <w:t xml:space="preserve"> factors expected to contribute to this variability include, among others, (i) the cyclical nature of the industry, (ii) </w:t>
      </w:r>
      <w:r>
        <w:rPr>
          <w:sz w:val="20"/>
          <w:szCs w:val="20"/>
        </w:rPr>
        <w:tab/>
        <w:t xml:space="preserve">general economic conditions in the various local markets in which the Company competes, including a potential </w:t>
      </w:r>
      <w:r>
        <w:rPr>
          <w:spacing w:val="1"/>
          <w:sz w:val="20"/>
          <w:szCs w:val="20"/>
        </w:rPr>
        <w:tab/>
      </w:r>
      <w:r>
        <w:rPr>
          <w:sz w:val="20"/>
          <w:szCs w:val="20"/>
        </w:rPr>
        <w:t>general downt</w:t>
      </w:r>
      <w:r>
        <w:rPr>
          <w:sz w:val="20"/>
          <w:szCs w:val="20"/>
        </w:rPr>
        <w:t xml:space="preserve">urn in the economy, and (iii) the volatility of prices in connection with the Company’s distribution of </w:t>
      </w:r>
      <w:r>
        <w:rPr>
          <w:sz w:val="20"/>
          <w:szCs w:val="20"/>
        </w:rPr>
        <w:tab/>
        <w:t xml:space="preserve">the product. These factors, among others, make it difficult to project the Company’s operating results on a consistent </w:t>
      </w:r>
      <w:r>
        <w:rPr>
          <w:spacing w:val="-1"/>
          <w:sz w:val="20"/>
          <w:szCs w:val="20"/>
        </w:rPr>
        <w:tab/>
      </w:r>
      <w:r>
        <w:rPr>
          <w:sz w:val="20"/>
          <w:szCs w:val="20"/>
        </w:rPr>
        <w:t>basis.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sz w:val="20"/>
          <w:szCs w:val="20"/>
        </w:rPr>
        <w:t>Fair Value of Financia</w:t>
      </w:r>
      <w:r>
        <w:rPr>
          <w:b/>
          <w:bCs/>
          <w:sz w:val="20"/>
          <w:szCs w:val="20"/>
        </w:rPr>
        <w:t>l Instrument</w:t>
      </w:r>
      <w:r>
        <w:rPr>
          <w:b/>
          <w:bCs/>
          <w:sz w:val="20"/>
          <w:szCs w:val="20"/>
        </w:rPr>
        <w:t>s</w:t>
      </w:r>
    </w:p>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 accounts for financial instruments under Financial Accounting Standards Board (“FASB”) </w:t>
      </w:r>
      <w:r>
        <w:rPr>
          <w:sz w:val="20"/>
          <w:szCs w:val="20"/>
        </w:rPr>
        <w:tab/>
        <w:t xml:space="preserve">ASC 820, </w:t>
      </w:r>
      <w:r>
        <w:rPr>
          <w:i/>
          <w:iCs/>
          <w:sz w:val="20"/>
          <w:szCs w:val="20"/>
        </w:rPr>
        <w:t>Fair Value Measurements</w:t>
      </w:r>
      <w:r>
        <w:rPr>
          <w:sz w:val="20"/>
          <w:szCs w:val="20"/>
        </w:rPr>
        <w:t xml:space="preserve">. ASC 820 provides a framework for measuring fair value and requires disclosures </w:t>
      </w:r>
      <w:r>
        <w:rPr>
          <w:spacing w:val="-10"/>
          <w:sz w:val="20"/>
          <w:szCs w:val="20"/>
        </w:rPr>
        <w:tab/>
      </w:r>
      <w:r>
        <w:rPr>
          <w:sz w:val="20"/>
          <w:szCs w:val="20"/>
        </w:rPr>
        <w:t>regarding fair value measu</w:t>
      </w:r>
      <w:r>
        <w:rPr>
          <w:sz w:val="20"/>
          <w:szCs w:val="20"/>
        </w:rPr>
        <w:t xml:space="preserve">rements. Fair value is defined as the price that would be received to sell an asset or paid to </w:t>
      </w:r>
      <w:r>
        <w:rPr>
          <w:sz w:val="20"/>
          <w:szCs w:val="20"/>
        </w:rPr>
        <w:tab/>
        <w:t xml:space="preserve">transfer a liability in an orderly transaction between market participants at the measurement date, based on the </w:t>
      </w:r>
      <w:r>
        <w:rPr>
          <w:spacing w:val="-50"/>
          <w:sz w:val="20"/>
          <w:szCs w:val="20"/>
        </w:rPr>
        <w:tab/>
      </w:r>
      <w:r>
        <w:rPr>
          <w:sz w:val="20"/>
          <w:szCs w:val="20"/>
        </w:rPr>
        <w:t xml:space="preserve">Company’s principal </w:t>
      </w:r>
      <w:r>
        <w:rPr>
          <w:sz w:val="20"/>
          <w:szCs w:val="20"/>
        </w:rPr>
        <w:t>or, in absence of a principal, most advantageous market for the specific asset or liability.</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 uses a three-tier fair value hierarchy to classify and disclose all assets and liabilities measured </w:t>
      </w:r>
      <w:r>
        <w:rPr>
          <w:spacing w:val="1"/>
          <w:sz w:val="20"/>
          <w:szCs w:val="20"/>
        </w:rPr>
        <w:tab/>
      </w:r>
      <w:r>
        <w:rPr>
          <w:sz w:val="20"/>
          <w:szCs w:val="20"/>
        </w:rPr>
        <w:t>at fair value on a recurring basis, as well as a</w:t>
      </w:r>
      <w:r>
        <w:rPr>
          <w:sz w:val="20"/>
          <w:szCs w:val="20"/>
        </w:rPr>
        <w:t xml:space="preserve">ssets and liabilities measured at fair value on a non-recurring basis, in </w:t>
      </w:r>
      <w:r>
        <w:rPr>
          <w:sz w:val="20"/>
          <w:szCs w:val="20"/>
        </w:rPr>
        <w:tab/>
        <w:t xml:space="preserve">periods subsequent to their initial </w:t>
      </w:r>
      <w:r>
        <w:rPr>
          <w:spacing w:val="-1"/>
          <w:sz w:val="20"/>
          <w:szCs w:val="20"/>
        </w:rPr>
        <w:t>measurement. The</w:t>
      </w:r>
      <w:r>
        <w:rPr>
          <w:sz w:val="20"/>
          <w:szCs w:val="20"/>
        </w:rPr>
        <w:t xml:space="preserve"> hierarchy requires the Company to use observable inputs when </w:t>
      </w:r>
      <w:r>
        <w:rPr>
          <w:spacing w:val="-12"/>
          <w:sz w:val="20"/>
          <w:szCs w:val="20"/>
        </w:rPr>
        <w:tab/>
      </w:r>
      <w:r>
        <w:rPr>
          <w:sz w:val="20"/>
          <w:szCs w:val="20"/>
        </w:rPr>
        <w:t>available, and to minimize the use of unobservable inputs, when de</w:t>
      </w:r>
      <w:r>
        <w:rPr>
          <w:sz w:val="20"/>
          <w:szCs w:val="20"/>
        </w:rPr>
        <w:t>termining fair value.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 three tiers are defined as follows:</w:t>
      </w:r>
    </w:p>
    <w:p w:rsidR="00000000" w:rsidRDefault="00B6476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64763">
            <w:pPr>
              <w:rPr>
                <w:sz w:val="20"/>
                <w:szCs w:val="20"/>
              </w:rPr>
            </w:pPr>
          </w:p>
        </w:tc>
        <w:tc>
          <w:tcPr>
            <w:tcW w:w="360" w:type="dxa"/>
            <w:hideMark/>
          </w:tcPr>
          <w:p w:rsidR="00000000" w:rsidRDefault="00B64763">
            <w:pPr>
              <w:rPr>
                <w:rFonts w:eastAsia="Times New Roman"/>
                <w:sz w:val="20"/>
                <w:szCs w:val="20"/>
              </w:rPr>
            </w:pPr>
            <w:r>
              <w:rPr>
                <w:rFonts w:eastAsia="Times New Roman"/>
                <w:sz w:val="20"/>
                <w:szCs w:val="20"/>
              </w:rPr>
              <w:t>●</w:t>
            </w:r>
          </w:p>
        </w:tc>
        <w:tc>
          <w:tcPr>
            <w:tcW w:w="0" w:type="auto"/>
            <w:tcMar>
              <w:top w:w="0" w:type="dxa"/>
              <w:left w:w="0" w:type="dxa"/>
              <w:bottom w:w="0" w:type="dxa"/>
              <w:right w:w="735" w:type="dxa"/>
            </w:tcMar>
            <w:hideMark/>
          </w:tcPr>
          <w:p w:rsidR="00000000" w:rsidRDefault="00B64763">
            <w:pPr>
              <w:jc w:val="both"/>
              <w:rPr>
                <w:rFonts w:eastAsia="Times New Roman"/>
                <w:sz w:val="20"/>
                <w:szCs w:val="20"/>
              </w:rPr>
            </w:pPr>
            <w:r>
              <w:rPr>
                <w:rFonts w:eastAsia="Times New Roman"/>
                <w:sz w:val="20"/>
                <w:szCs w:val="20"/>
              </w:rPr>
              <w:t>Level 1 —Observable inputs that reflect quoted market prices (unadjusted) for identical assets or liabilities in active markets;</w:t>
            </w:r>
          </w:p>
        </w:tc>
      </w:tr>
      <w:tr w:rsidR="00000000">
        <w:trPr>
          <w:tblCellSpacing w:w="0" w:type="dxa"/>
        </w:trPr>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tcMar>
              <w:top w:w="0" w:type="dxa"/>
              <w:left w:w="0" w:type="dxa"/>
              <w:bottom w:w="0" w:type="dxa"/>
              <w:right w:w="735" w:type="dxa"/>
            </w:tcMar>
            <w:hideMark/>
          </w:tcPr>
          <w:p w:rsidR="00000000" w:rsidRDefault="00B6476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B64763">
            <w:pPr>
              <w:jc w:val="both"/>
              <w:rPr>
                <w:rFonts w:eastAsia="Times New Roman"/>
                <w:sz w:val="20"/>
                <w:szCs w:val="20"/>
              </w:rPr>
            </w:pPr>
          </w:p>
        </w:tc>
        <w:tc>
          <w:tcPr>
            <w:tcW w:w="0" w:type="auto"/>
            <w:hideMark/>
          </w:tcPr>
          <w:p w:rsidR="00000000" w:rsidRDefault="00B64763">
            <w:pPr>
              <w:rPr>
                <w:rFonts w:eastAsia="Times New Roman"/>
                <w:sz w:val="20"/>
                <w:szCs w:val="20"/>
              </w:rPr>
            </w:pPr>
            <w:r>
              <w:rPr>
                <w:rFonts w:eastAsia="Times New Roman"/>
                <w:sz w:val="20"/>
                <w:szCs w:val="20"/>
              </w:rPr>
              <w:t>●</w:t>
            </w:r>
          </w:p>
        </w:tc>
        <w:tc>
          <w:tcPr>
            <w:tcW w:w="0" w:type="auto"/>
            <w:tcMar>
              <w:top w:w="0" w:type="dxa"/>
              <w:left w:w="0" w:type="dxa"/>
              <w:bottom w:w="0" w:type="dxa"/>
              <w:right w:w="736" w:type="dxa"/>
            </w:tcMar>
            <w:hideMark/>
          </w:tcPr>
          <w:p w:rsidR="00000000" w:rsidRDefault="00B64763">
            <w:pPr>
              <w:jc w:val="both"/>
              <w:rPr>
                <w:rFonts w:eastAsia="Times New Roman"/>
                <w:sz w:val="20"/>
                <w:szCs w:val="20"/>
              </w:rPr>
            </w:pPr>
            <w:r>
              <w:rPr>
                <w:rFonts w:eastAsia="Times New Roman"/>
                <w:sz w:val="20"/>
                <w:szCs w:val="20"/>
              </w:rPr>
              <w:t>Level 2—</w:t>
            </w:r>
            <w:r>
              <w:rPr>
                <w:rFonts w:eastAsia="Times New Roman"/>
                <w:sz w:val="20"/>
                <w:szCs w:val="20"/>
              </w:rPr>
              <w:t>Observable inputs other than quoted prices in active markets that are observable either directly or indirectly in the marketplace for identical or similar assets and liabilities; and</w:t>
            </w:r>
          </w:p>
        </w:tc>
      </w:tr>
      <w:tr w:rsidR="00000000">
        <w:trPr>
          <w:tblCellSpacing w:w="0" w:type="dxa"/>
        </w:trPr>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tcMar>
              <w:top w:w="0" w:type="dxa"/>
              <w:left w:w="0" w:type="dxa"/>
              <w:bottom w:w="0" w:type="dxa"/>
              <w:right w:w="736" w:type="dxa"/>
            </w:tcMar>
            <w:hideMark/>
          </w:tcPr>
          <w:p w:rsidR="00000000" w:rsidRDefault="00B6476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B64763">
            <w:pPr>
              <w:jc w:val="both"/>
              <w:rPr>
                <w:rFonts w:eastAsia="Times New Roman"/>
                <w:sz w:val="20"/>
                <w:szCs w:val="20"/>
              </w:rPr>
            </w:pPr>
          </w:p>
        </w:tc>
        <w:tc>
          <w:tcPr>
            <w:tcW w:w="0" w:type="auto"/>
            <w:hideMark/>
          </w:tcPr>
          <w:p w:rsidR="00000000" w:rsidRDefault="00B64763">
            <w:pPr>
              <w:rPr>
                <w:rFonts w:eastAsia="Times New Roman"/>
                <w:sz w:val="20"/>
                <w:szCs w:val="20"/>
              </w:rPr>
            </w:pPr>
            <w:r>
              <w:rPr>
                <w:rFonts w:eastAsia="Times New Roman"/>
                <w:sz w:val="20"/>
                <w:szCs w:val="20"/>
              </w:rPr>
              <w:t>●</w:t>
            </w:r>
          </w:p>
        </w:tc>
        <w:tc>
          <w:tcPr>
            <w:tcW w:w="0" w:type="auto"/>
            <w:tcMar>
              <w:top w:w="0" w:type="dxa"/>
              <w:left w:w="0" w:type="dxa"/>
              <w:bottom w:w="0" w:type="dxa"/>
              <w:right w:w="735" w:type="dxa"/>
            </w:tcMar>
            <w:hideMark/>
          </w:tcPr>
          <w:p w:rsidR="00000000" w:rsidRDefault="00B64763">
            <w:pPr>
              <w:jc w:val="both"/>
              <w:rPr>
                <w:rFonts w:eastAsia="Times New Roman"/>
                <w:sz w:val="20"/>
                <w:szCs w:val="20"/>
              </w:rPr>
            </w:pPr>
            <w:r>
              <w:rPr>
                <w:rFonts w:eastAsia="Times New Roman"/>
                <w:sz w:val="20"/>
                <w:szCs w:val="20"/>
              </w:rPr>
              <w:t>Level 3—</w:t>
            </w:r>
            <w:r>
              <w:rPr>
                <w:rFonts w:eastAsia="Times New Roman"/>
                <w:sz w:val="20"/>
                <w:szCs w:val="20"/>
              </w:rPr>
              <w:t>Unobservable inputs that are supported by little or no market data, which require the Company to develop its own assumptions.</w:t>
            </w:r>
          </w:p>
        </w:tc>
      </w:tr>
    </w:tbl>
    <w:p w:rsidR="00000000" w:rsidRDefault="00B64763">
      <w:pPr>
        <w:pStyle w:val="a3"/>
        <w:spacing w:before="0" w:beforeAutospacing="0" w:after="0" w:afterAutospacing="0"/>
        <w:ind w:hanging="992"/>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determination of fair value and the assessment of a measurement’s placement within the hierarchy </w:t>
      </w:r>
      <w:r>
        <w:rPr>
          <w:spacing w:val="1"/>
          <w:sz w:val="20"/>
          <w:szCs w:val="20"/>
        </w:rPr>
        <w:tab/>
      </w:r>
      <w:r>
        <w:rPr>
          <w:sz w:val="20"/>
          <w:szCs w:val="20"/>
        </w:rPr>
        <w:t xml:space="preserve">requires judgment. Level </w:t>
      </w:r>
      <w:r>
        <w:rPr>
          <w:sz w:val="20"/>
          <w:szCs w:val="20"/>
        </w:rPr>
        <w:t xml:space="preserve">3 valuations often involve a higher degree of judgment and complexity. Level 3 valuations </w:t>
      </w:r>
      <w:r>
        <w:rPr>
          <w:spacing w:val="-4"/>
          <w:sz w:val="20"/>
          <w:szCs w:val="20"/>
        </w:rPr>
        <w:tab/>
      </w:r>
      <w:r>
        <w:rPr>
          <w:sz w:val="20"/>
          <w:szCs w:val="20"/>
        </w:rPr>
        <w:t xml:space="preserve">may require the use of various cost, market, or income valuation methodologies applied to unobservable management </w:t>
      </w:r>
      <w:r>
        <w:rPr>
          <w:spacing w:val="1"/>
          <w:sz w:val="20"/>
          <w:szCs w:val="20"/>
        </w:rPr>
        <w:tab/>
      </w:r>
      <w:r>
        <w:rPr>
          <w:sz w:val="20"/>
          <w:szCs w:val="20"/>
        </w:rPr>
        <w:t>estimates and assumptions. Management’s assumption</w:t>
      </w:r>
      <w:r>
        <w:rPr>
          <w:sz w:val="20"/>
          <w:szCs w:val="20"/>
        </w:rPr>
        <w:t xml:space="preserve">s could vary depending on the asset or liability valued and the </w:t>
      </w:r>
      <w:r>
        <w:rPr>
          <w:sz w:val="20"/>
          <w:szCs w:val="20"/>
        </w:rPr>
        <w:tab/>
        <w:t xml:space="preserve">valuation method used. Such assumptions could include estimates of prices, earnings, costs, actions of market </w:t>
      </w:r>
      <w:r>
        <w:rPr>
          <w:sz w:val="20"/>
          <w:szCs w:val="20"/>
        </w:rPr>
        <w:tab/>
        <w:t>participants, market factors, or the weighting of various valuation methods. The</w:t>
      </w:r>
      <w:r>
        <w:rPr>
          <w:sz w:val="20"/>
          <w:szCs w:val="20"/>
        </w:rPr>
        <w:t xml:space="preserve"> Company may also engage external </w:t>
      </w:r>
      <w:r>
        <w:rPr>
          <w:spacing w:val="1"/>
          <w:sz w:val="20"/>
          <w:szCs w:val="20"/>
        </w:rPr>
        <w:tab/>
      </w:r>
      <w:r>
        <w:rPr>
          <w:sz w:val="20"/>
          <w:szCs w:val="20"/>
        </w:rPr>
        <w:t>advisors to assist us in determining fair value, as appropriate.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Although the Company believes that the recorded fair value of our financial instruments is appropriate, these </w:t>
      </w:r>
      <w:r>
        <w:rPr>
          <w:sz w:val="20"/>
          <w:szCs w:val="20"/>
        </w:rPr>
        <w:tab/>
        <w:t>fair values may not be indicative of net re</w:t>
      </w:r>
      <w:r>
        <w:rPr>
          <w:sz w:val="20"/>
          <w:szCs w:val="20"/>
        </w:rPr>
        <w:t>alizable value or reflective of future fair values.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 recorded intangible assets for an asset acquisition (See Note 4). The Company performs </w:t>
      </w:r>
      <w:r>
        <w:rPr>
          <w:sz w:val="20"/>
          <w:szCs w:val="20"/>
        </w:rPr>
        <w:tab/>
        <w:t>impairment tests on these assets to reduce such asset to their fair value as applicable. These are con</w:t>
      </w:r>
      <w:r>
        <w:rPr>
          <w:sz w:val="20"/>
          <w:szCs w:val="20"/>
        </w:rPr>
        <w:t xml:space="preserve">sidered level 3 </w:t>
      </w:r>
      <w:r>
        <w:rPr>
          <w:sz w:val="20"/>
          <w:szCs w:val="20"/>
        </w:rPr>
        <w:tab/>
        <w:t xml:space="preserve">non-recurring fair value measurements. The Company may use both qualitative and quantitative techniques such as </w:t>
      </w:r>
      <w:r>
        <w:rPr>
          <w:sz w:val="20"/>
          <w:szCs w:val="20"/>
        </w:rPr>
        <w:tab/>
        <w:t xml:space="preserve">the income method to value such assets. At September 30, 2021, the Company recorded impairment of intangible </w:t>
      </w:r>
      <w:r>
        <w:rPr>
          <w:sz w:val="20"/>
          <w:szCs w:val="20"/>
        </w:rPr>
        <w:tab/>
        <w:t xml:space="preserve">assets of </w:t>
      </w:r>
      <w:r>
        <w:rPr>
          <w:sz w:val="20"/>
          <w:szCs w:val="20"/>
        </w:rPr>
        <w:t>$</w:t>
      </w:r>
      <w:r>
        <w:rPr>
          <w:sz w:val="20"/>
          <w:szCs w:val="20"/>
        </w:rPr>
        <w:t>128,0</w:t>
      </w:r>
      <w:r>
        <w:rPr>
          <w:sz w:val="20"/>
          <w:szCs w:val="20"/>
        </w:rPr>
        <w:t>0</w:t>
      </w:r>
      <w:r>
        <w:rPr>
          <w:sz w:val="20"/>
          <w:szCs w:val="20"/>
        </w:rPr>
        <w:t>0</w:t>
      </w:r>
      <w:r>
        <w:rPr>
          <w:sz w:val="20"/>
          <w:szCs w:val="20"/>
        </w:rPr>
        <w:t>.</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Company’s financial instruments, including cash, accounts payable and accrued expenses, and accounts </w:t>
      </w:r>
      <w:r>
        <w:rPr>
          <w:spacing w:val="1"/>
          <w:sz w:val="20"/>
          <w:szCs w:val="20"/>
        </w:rPr>
        <w:tab/>
      </w:r>
      <w:r>
        <w:rPr>
          <w:sz w:val="20"/>
          <w:szCs w:val="20"/>
        </w:rPr>
        <w:t xml:space="preserve">payable and accrued expenses – related party, are carried at historical cost. At September 30, 2021 and 2020, </w:t>
      </w:r>
      <w:r>
        <w:rPr>
          <w:spacing w:val="-8"/>
          <w:sz w:val="20"/>
          <w:szCs w:val="20"/>
        </w:rPr>
        <w:tab/>
      </w:r>
      <w:r>
        <w:rPr>
          <w:sz w:val="20"/>
          <w:szCs w:val="20"/>
        </w:rPr>
        <w:t>respectively, the carrying amount</w:t>
      </w:r>
      <w:r>
        <w:rPr>
          <w:sz w:val="20"/>
          <w:szCs w:val="20"/>
        </w:rPr>
        <w:t xml:space="preserve">s of these instruments approximated their fair values because of the short-term nature </w:t>
      </w:r>
      <w:r>
        <w:rPr>
          <w:sz w:val="20"/>
          <w:szCs w:val="20"/>
        </w:rPr>
        <w:tab/>
        <w:t>of these instruments.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ASC 825-10 </w:t>
      </w:r>
      <w:r>
        <w:rPr>
          <w:i/>
          <w:iCs/>
          <w:sz w:val="20"/>
          <w:szCs w:val="20"/>
        </w:rPr>
        <w:t xml:space="preserve">“Financial Instruments” </w:t>
      </w:r>
      <w:r>
        <w:rPr>
          <w:sz w:val="20"/>
          <w:szCs w:val="20"/>
        </w:rPr>
        <w:t xml:space="preserve">allows entities to voluntarily choose to measure certain financial assets </w:t>
      </w:r>
      <w:r>
        <w:rPr>
          <w:spacing w:val="-5"/>
          <w:sz w:val="20"/>
          <w:szCs w:val="20"/>
        </w:rPr>
        <w:tab/>
      </w:r>
      <w:r>
        <w:rPr>
          <w:sz w:val="20"/>
          <w:szCs w:val="20"/>
        </w:rPr>
        <w:t>and liabilities at fair value (“fa</w:t>
      </w:r>
      <w:r>
        <w:rPr>
          <w:sz w:val="20"/>
          <w:szCs w:val="20"/>
        </w:rPr>
        <w:t xml:space="preserve">ir value option”). The fair value option may be elected on an instrument-by-instrument </w:t>
      </w:r>
      <w:r>
        <w:rPr>
          <w:sz w:val="20"/>
          <w:szCs w:val="20"/>
        </w:rPr>
        <w:tab/>
        <w:t xml:space="preserve">basis and is irrevocable unless a new election date occurs. If the fair value option is elected for an instrument, </w:t>
      </w:r>
      <w:r>
        <w:rPr>
          <w:sz w:val="20"/>
          <w:szCs w:val="20"/>
        </w:rPr>
        <w:tab/>
        <w:t>unrealized gains and losses for that instrument shou</w:t>
      </w:r>
      <w:r>
        <w:rPr>
          <w:sz w:val="20"/>
          <w:szCs w:val="20"/>
        </w:rPr>
        <w:t xml:space="preserve">ld be reported in earnings at each subsequent reporting date. The </w:t>
      </w:r>
      <w:r>
        <w:rPr>
          <w:spacing w:val="1"/>
          <w:sz w:val="20"/>
          <w:szCs w:val="20"/>
        </w:rPr>
        <w:tab/>
      </w:r>
      <w:r>
        <w:rPr>
          <w:sz w:val="20"/>
          <w:szCs w:val="20"/>
        </w:rPr>
        <w:t>Company did not elect to apply the fair value option to any outstanding financial instruments.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center"/>
        <w:divId w:val="1309237952"/>
        <w:rPr>
          <w:sz w:val="20"/>
          <w:szCs w:val="20"/>
        </w:rPr>
      </w:pPr>
      <w:r>
        <w:rPr>
          <w:sz w:val="20"/>
          <w:szCs w:val="20"/>
        </w:rPr>
        <w:t>F</w:t>
      </w:r>
      <w:r>
        <w:rPr>
          <w:sz w:val="20"/>
          <w:szCs w:val="20"/>
        </w:rPr>
        <w:t>-</w:t>
      </w:r>
      <w:r>
        <w:rPr>
          <w:sz w:val="20"/>
          <w:szCs w:val="20"/>
        </w:rPr>
        <w:t>1</w:t>
      </w:r>
      <w:r>
        <w:rPr>
          <w:sz w:val="20"/>
          <w:szCs w:val="20"/>
        </w:rPr>
        <w:t>3</w:t>
      </w:r>
    </w:p>
    <w:p w:rsidR="00000000" w:rsidRDefault="00B64763">
      <w:pPr>
        <w:pStyle w:val="a3"/>
        <w:spacing w:before="0" w:beforeAutospacing="0" w:after="0" w:afterAutospacing="0"/>
        <w:divId w:val="37219930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CLICKSTREAM 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September 30, 2021 and 2020</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Cash and Cash Equivalents and Concentration of Credit Ris</w:t>
      </w:r>
      <w:r>
        <w:rPr>
          <w:b/>
          <w:bCs/>
          <w:sz w:val="20"/>
          <w:szCs w:val="20"/>
        </w:rPr>
        <w:t>k</w:t>
      </w:r>
    </w:p>
    <w:p w:rsidR="00000000" w:rsidRDefault="00B64763">
      <w:pPr>
        <w:pStyle w:val="a3"/>
        <w:spacing w:before="0" w:beforeAutospacing="0" w:after="0" w:afterAutospacing="0"/>
        <w:jc w:val="both"/>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For purposes of the consolidated statements of cash flows, the Company considers all highly liquid </w:t>
      </w:r>
      <w:r>
        <w:rPr>
          <w:sz w:val="20"/>
          <w:szCs w:val="20"/>
        </w:rPr>
        <w:tab/>
        <w:t>in</w:t>
      </w:r>
      <w:r>
        <w:rPr>
          <w:sz w:val="20"/>
          <w:szCs w:val="20"/>
        </w:rPr>
        <w:t xml:space="preserve">struments with a maturity of three months or less at the purchase date and money market accounts to be cash </w:t>
      </w:r>
      <w:r>
        <w:rPr>
          <w:spacing w:val="-1"/>
          <w:sz w:val="20"/>
          <w:szCs w:val="20"/>
        </w:rPr>
        <w:tab/>
      </w:r>
      <w:r>
        <w:rPr>
          <w:sz w:val="20"/>
          <w:szCs w:val="20"/>
        </w:rPr>
        <w:t>equivalents.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At September 30, 2021 and September 30, 2020, respectively, the Company did not have any cash </w:t>
      </w:r>
      <w:r>
        <w:rPr>
          <w:sz w:val="20"/>
          <w:szCs w:val="20"/>
        </w:rPr>
        <w:tab/>
        <w:t>equivalents.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 Company is exposed</w:t>
      </w:r>
      <w:r>
        <w:rPr>
          <w:sz w:val="20"/>
          <w:szCs w:val="20"/>
        </w:rPr>
        <w:t xml:space="preserve"> to credit risk on its cash and cash equivalents in the event of default by the financial </w:t>
      </w:r>
      <w:r>
        <w:rPr>
          <w:spacing w:val="-10"/>
          <w:sz w:val="20"/>
          <w:szCs w:val="20"/>
        </w:rPr>
        <w:tab/>
      </w:r>
      <w:r>
        <w:rPr>
          <w:sz w:val="20"/>
          <w:szCs w:val="20"/>
        </w:rPr>
        <w:t xml:space="preserve">institutions to the extent account balances exceed the amount insured by the FDIC, which is $250,000. At September </w:t>
      </w:r>
      <w:r>
        <w:rPr>
          <w:sz w:val="20"/>
          <w:szCs w:val="20"/>
        </w:rPr>
        <w:tab/>
        <w:t xml:space="preserve">30, 2021 and September 30, 2020, the Company had </w:t>
      </w:r>
      <w:r>
        <w:rPr>
          <w:sz w:val="20"/>
          <w:szCs w:val="20"/>
        </w:rPr>
        <w:t xml:space="preserve">cash in banks exceeding the insured FDIC limit of </w:t>
      </w:r>
      <w:r>
        <w:rPr>
          <w:sz w:val="20"/>
          <w:szCs w:val="20"/>
        </w:rPr>
        <w:t>$</w:t>
      </w:r>
      <w:r>
        <w:rPr>
          <w:sz w:val="20"/>
          <w:szCs w:val="20"/>
        </w:rPr>
        <w:t>172,00</w:t>
      </w:r>
      <w:r>
        <w:rPr>
          <w:sz w:val="20"/>
          <w:szCs w:val="20"/>
        </w:rPr>
        <w:t>0</w:t>
      </w:r>
      <w:r>
        <w:rPr>
          <w:sz w:val="20"/>
          <w:szCs w:val="20"/>
        </w:rPr>
        <w:t xml:space="preserve"> and </w:t>
      </w:r>
      <w:r>
        <w:rPr>
          <w:sz w:val="20"/>
          <w:szCs w:val="20"/>
        </w:rPr>
        <w:tab/>
      </w:r>
      <w:r>
        <w:rPr>
          <w:sz w:val="20"/>
          <w:szCs w:val="20"/>
        </w:rPr>
        <w:t>$</w:t>
      </w:r>
      <w:r>
        <w:rPr>
          <w:sz w:val="20"/>
          <w:szCs w:val="20"/>
        </w:rPr>
        <w:t>2,765,00</w:t>
      </w:r>
      <w:r>
        <w:rPr>
          <w:sz w:val="20"/>
          <w:szCs w:val="20"/>
        </w:rPr>
        <w:t>0</w:t>
      </w:r>
      <w:r>
        <w:rPr>
          <w:sz w:val="20"/>
          <w:szCs w:val="20"/>
        </w:rPr>
        <w:t>, respectively.</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Impairment of Long-lived Asset</w:t>
      </w:r>
      <w:r>
        <w:rPr>
          <w:b/>
          <w:bCs/>
          <w:sz w:val="20"/>
          <w:szCs w:val="20"/>
        </w:rPr>
        <w:t>s</w:t>
      </w:r>
    </w:p>
    <w:p w:rsidR="00000000" w:rsidRDefault="00B64763">
      <w:pPr>
        <w:pStyle w:val="a3"/>
        <w:spacing w:before="0" w:beforeAutospacing="0" w:after="0" w:afterAutospacing="0"/>
        <w:jc w:val="both"/>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pacing w:val="-1"/>
          <w:sz w:val="20"/>
          <w:szCs w:val="20"/>
        </w:rPr>
        <w:t>Management evaluates the recoverability</w:t>
      </w:r>
      <w:r>
        <w:rPr>
          <w:sz w:val="20"/>
          <w:szCs w:val="20"/>
        </w:rPr>
        <w:t xml:space="preserve"> of the Company’s identifiable intangible assets and other long-lived assets when events or</w:t>
      </w:r>
      <w:r>
        <w:rPr>
          <w:sz w:val="20"/>
          <w:szCs w:val="20"/>
        </w:rPr>
        <w:t xml:space="preserve"> circumstances indicate a potential impairment exists, in accordance with the provisions of ASC 360-10-35-15 </w:t>
      </w:r>
      <w:r>
        <w:rPr>
          <w:i/>
          <w:iCs/>
          <w:sz w:val="20"/>
          <w:szCs w:val="20"/>
        </w:rPr>
        <w:t>“Impairment or Disposal of Long- Lived Assets.”</w:t>
      </w:r>
      <w:r>
        <w:rPr>
          <w:sz w:val="20"/>
          <w:szCs w:val="20"/>
        </w:rPr>
        <w:t xml:space="preserve"> Events and circumstances considered by the Company in determining whether the carrying value of ide</w:t>
      </w:r>
      <w:r>
        <w:rPr>
          <w:sz w:val="20"/>
          <w:szCs w:val="20"/>
        </w:rPr>
        <w:t>ntifiable intangible assets and other long-lived assets may not be recoverable include but are not limited to significant changes in performance relative to expected operating results; significant changes in the use of the assets; significant negative indu</w:t>
      </w:r>
      <w:r>
        <w:rPr>
          <w:sz w:val="20"/>
          <w:szCs w:val="20"/>
        </w:rPr>
        <w:t>stry or economic trends; and changes in the Company’s business strategy. In determining if impairment exists, the Company estimates the undiscounted cash flows to be generated from the use and ultimate disposition of these assets.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If impairment is indica</w:t>
      </w:r>
      <w:r>
        <w:rPr>
          <w:sz w:val="20"/>
          <w:szCs w:val="20"/>
        </w:rPr>
        <w:t xml:space="preserve">ted based on a comparison of the assets’ carrying values and the undiscounted cash </w:t>
      </w:r>
      <w:r>
        <w:rPr>
          <w:sz w:val="20"/>
          <w:szCs w:val="20"/>
        </w:rPr>
        <w:tab/>
        <w:t xml:space="preserve">flows, the impairment to be recognized is measured as the amount by which the carrying amount of the assets exceeds </w:t>
      </w:r>
      <w:r>
        <w:rPr>
          <w:sz w:val="20"/>
          <w:szCs w:val="20"/>
        </w:rPr>
        <w:tab/>
        <w:t>the fair value of the assets.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During the year ended S</w:t>
      </w:r>
      <w:r>
        <w:rPr>
          <w:sz w:val="20"/>
          <w:szCs w:val="20"/>
        </w:rPr>
        <w:t xml:space="preserve">eptember 30, 2021, the Company recorded an impairment loss of </w:t>
      </w:r>
      <w:r>
        <w:rPr>
          <w:sz w:val="20"/>
          <w:szCs w:val="20"/>
        </w:rPr>
        <w:t>$</w:t>
      </w:r>
      <w:r>
        <w:rPr>
          <w:sz w:val="20"/>
          <w:szCs w:val="20"/>
        </w:rPr>
        <w:t>128,00</w:t>
      </w:r>
      <w:r>
        <w:rPr>
          <w:sz w:val="20"/>
          <w:szCs w:val="20"/>
        </w:rPr>
        <w:t>0</w:t>
      </w:r>
      <w:r>
        <w:rPr>
          <w:sz w:val="20"/>
          <w:szCs w:val="20"/>
        </w:rPr>
        <w:t xml:space="preserve">. There </w:t>
      </w:r>
      <w:r>
        <w:rPr>
          <w:sz w:val="20"/>
          <w:szCs w:val="20"/>
        </w:rPr>
        <w:tab/>
        <w:t>was</w:t>
      </w:r>
      <w:r>
        <w:rPr>
          <w:sz w:val="20"/>
          <w:szCs w:val="20"/>
        </w:rPr>
        <w:t xml:space="preserve"> </w:t>
      </w:r>
      <w:r>
        <w:rPr>
          <w:sz w:val="20"/>
          <w:szCs w:val="20"/>
        </w:rPr>
        <w:t>n</w:t>
      </w:r>
      <w:r>
        <w:rPr>
          <w:sz w:val="20"/>
          <w:szCs w:val="20"/>
        </w:rPr>
        <w:t>o</w:t>
      </w:r>
      <w:r>
        <w:rPr>
          <w:sz w:val="20"/>
          <w:szCs w:val="20"/>
        </w:rPr>
        <w:t xml:space="preserve"> such impairment loss in the year ended September 30, 2020.</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Management reviews the carrying value of its property and equipment whenever events or changes in </w:t>
      </w:r>
      <w:r>
        <w:rPr>
          <w:spacing w:val="1"/>
          <w:sz w:val="20"/>
          <w:szCs w:val="20"/>
        </w:rPr>
        <w:tab/>
      </w:r>
      <w:r>
        <w:rPr>
          <w:sz w:val="20"/>
          <w:szCs w:val="20"/>
        </w:rPr>
        <w:t>circumstan</w:t>
      </w:r>
      <w:r>
        <w:rPr>
          <w:sz w:val="20"/>
          <w:szCs w:val="20"/>
        </w:rPr>
        <w:t>ces indicate that the carrying amount of the asset may not be recoverable.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Investment</w:t>
      </w:r>
      <w:r>
        <w:rPr>
          <w:b/>
          <w:bCs/>
          <w:sz w:val="20"/>
          <w:szCs w:val="20"/>
        </w:rPr>
        <w:t>s</w:t>
      </w:r>
    </w:p>
    <w:p w:rsidR="00000000" w:rsidRDefault="00B64763">
      <w:pPr>
        <w:pStyle w:val="a3"/>
        <w:spacing w:before="0" w:beforeAutospacing="0" w:after="0" w:afterAutospacing="0"/>
        <w:jc w:val="both"/>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Equity investments with readily determinable fair values are measured at fair value. Equity investments without </w:t>
      </w:r>
      <w:r>
        <w:rPr>
          <w:sz w:val="20"/>
          <w:szCs w:val="20"/>
        </w:rPr>
        <w:tab/>
      </w:r>
      <w:r>
        <w:rPr>
          <w:sz w:val="20"/>
          <w:szCs w:val="20"/>
        </w:rPr>
        <w:t xml:space="preserve">readily determinable fair values are measured using the equity method or measured at cost with adjustments for observable </w:t>
      </w:r>
      <w:r>
        <w:rPr>
          <w:sz w:val="20"/>
          <w:szCs w:val="20"/>
        </w:rPr>
        <w:tab/>
        <w:t xml:space="preserve">changes in price or impairments (referred to as the measurement alternative). We perform a qualitative assessment on an </w:t>
      </w:r>
      <w:r>
        <w:rPr>
          <w:sz w:val="20"/>
          <w:szCs w:val="20"/>
        </w:rPr>
        <w:tab/>
        <w:t>annual basis</w:t>
      </w:r>
      <w:r>
        <w:rPr>
          <w:sz w:val="20"/>
          <w:szCs w:val="20"/>
        </w:rPr>
        <w:t xml:space="preserve"> and recognize an impairment if there are sufficient indicators that the fair value of the investment is less than </w:t>
      </w:r>
      <w:r>
        <w:rPr>
          <w:sz w:val="20"/>
          <w:szCs w:val="20"/>
        </w:rPr>
        <w:tab/>
        <w:t>carrying value. Changes in value are recorded as part of other (income) expense.</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Income Taxe</w:t>
      </w:r>
      <w:r>
        <w:rPr>
          <w:b/>
          <w:bCs/>
          <w:sz w:val="20"/>
          <w:szCs w:val="20"/>
        </w:rPr>
        <w:t>s</w:t>
      </w:r>
    </w:p>
    <w:p w:rsidR="00000000" w:rsidRDefault="00B64763">
      <w:pPr>
        <w:pStyle w:val="a3"/>
        <w:spacing w:before="0" w:beforeAutospacing="0" w:after="0" w:afterAutospacing="0"/>
        <w:jc w:val="both"/>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 accounts for income tax using </w:t>
      </w:r>
      <w:r>
        <w:rPr>
          <w:sz w:val="20"/>
          <w:szCs w:val="20"/>
        </w:rPr>
        <w:t xml:space="preserve">the asset and liability method prescribed by ASC 740, </w:t>
      </w:r>
      <w:r>
        <w:rPr>
          <w:sz w:val="20"/>
          <w:szCs w:val="20"/>
        </w:rPr>
        <w:tab/>
      </w:r>
      <w:r>
        <w:rPr>
          <w:i/>
          <w:iCs/>
          <w:sz w:val="20"/>
          <w:szCs w:val="20"/>
        </w:rPr>
        <w:t xml:space="preserve">“Income Taxes”. </w:t>
      </w:r>
      <w:r>
        <w:rPr>
          <w:sz w:val="20"/>
          <w:szCs w:val="20"/>
        </w:rPr>
        <w:t xml:space="preserve">Under this method, deferred tax assets and liabilities are determined based on the difference between </w:t>
      </w:r>
      <w:r>
        <w:rPr>
          <w:spacing w:val="-9"/>
          <w:sz w:val="20"/>
          <w:szCs w:val="20"/>
        </w:rPr>
        <w:tab/>
      </w:r>
      <w:r>
        <w:rPr>
          <w:sz w:val="20"/>
          <w:szCs w:val="20"/>
        </w:rPr>
        <w:t xml:space="preserve">the financial reporting and tax bases of assets and liabilities using enacted tax </w:t>
      </w:r>
      <w:r>
        <w:rPr>
          <w:sz w:val="20"/>
          <w:szCs w:val="20"/>
        </w:rPr>
        <w:t xml:space="preserve">rates that will be in effect in the year in </w:t>
      </w:r>
      <w:r>
        <w:rPr>
          <w:spacing w:val="-6"/>
          <w:sz w:val="20"/>
          <w:szCs w:val="20"/>
        </w:rPr>
        <w:tab/>
      </w:r>
      <w:r>
        <w:rPr>
          <w:sz w:val="20"/>
          <w:szCs w:val="20"/>
        </w:rPr>
        <w:t xml:space="preserve">which the differences are expected to reverse. The Company records a valuation allowance to offset deferred tax assets </w:t>
      </w:r>
      <w:r>
        <w:rPr>
          <w:spacing w:val="-4"/>
          <w:sz w:val="20"/>
          <w:szCs w:val="20"/>
        </w:rPr>
        <w:tab/>
      </w:r>
      <w:r>
        <w:rPr>
          <w:sz w:val="20"/>
          <w:szCs w:val="20"/>
        </w:rPr>
        <w:t>if based on the weight of available evidence, it is more-likely-than-not that some portion,</w:t>
      </w:r>
      <w:r>
        <w:rPr>
          <w:sz w:val="20"/>
          <w:szCs w:val="20"/>
        </w:rPr>
        <w:t xml:space="preserve"> or all, of the deferred tax assets </w:t>
      </w:r>
      <w:r>
        <w:rPr>
          <w:sz w:val="20"/>
          <w:szCs w:val="20"/>
        </w:rPr>
        <w:tab/>
        <w:t xml:space="preserve">will not be realized. The effect on deferred taxes of a change in tax rates is recognized as income or loss in the period </w:t>
      </w:r>
      <w:r>
        <w:rPr>
          <w:sz w:val="20"/>
          <w:szCs w:val="20"/>
        </w:rPr>
        <w:tab/>
        <w:t>that includes the enactment date.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center"/>
        <w:divId w:val="165484633"/>
        <w:rPr>
          <w:sz w:val="20"/>
          <w:szCs w:val="20"/>
        </w:rPr>
      </w:pPr>
      <w:r>
        <w:rPr>
          <w:sz w:val="20"/>
          <w:szCs w:val="20"/>
        </w:rPr>
        <w:t>F</w:t>
      </w:r>
      <w:r>
        <w:rPr>
          <w:sz w:val="20"/>
          <w:szCs w:val="20"/>
        </w:rPr>
        <w:t>-</w:t>
      </w:r>
      <w:r>
        <w:rPr>
          <w:sz w:val="20"/>
          <w:szCs w:val="20"/>
        </w:rPr>
        <w:t>1</w:t>
      </w:r>
      <w:r>
        <w:rPr>
          <w:sz w:val="20"/>
          <w:szCs w:val="20"/>
        </w:rPr>
        <w:t>4</w:t>
      </w:r>
    </w:p>
    <w:p w:rsidR="00000000" w:rsidRDefault="00B64763">
      <w:pPr>
        <w:pStyle w:val="a3"/>
        <w:spacing w:before="0" w:beforeAutospacing="0" w:after="0" w:afterAutospacing="0"/>
        <w:divId w:val="588738380"/>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CLICKSTREAM CORP.</w:t>
      </w:r>
    </w:p>
    <w:p w:rsidR="00000000" w:rsidRDefault="00B64763">
      <w:pPr>
        <w:pStyle w:val="a3"/>
        <w:spacing w:before="0" w:beforeAutospacing="0" w:after="0" w:afterAutospacing="0"/>
        <w:jc w:val="center"/>
        <w:rPr>
          <w:sz w:val="20"/>
          <w:szCs w:val="20"/>
        </w:rPr>
      </w:pPr>
      <w:r>
        <w:rPr>
          <w:sz w:val="20"/>
          <w:szCs w:val="20"/>
        </w:rPr>
        <w:t>NOTES TO CONSOLIDATED FINANCIAL S</w:t>
      </w:r>
      <w:r>
        <w:rPr>
          <w:sz w:val="20"/>
          <w:szCs w:val="20"/>
        </w:rPr>
        <w:t>TATEMENTS</w:t>
      </w:r>
    </w:p>
    <w:p w:rsidR="00000000" w:rsidRDefault="00B64763">
      <w:pPr>
        <w:pStyle w:val="a3"/>
        <w:spacing w:before="0" w:beforeAutospacing="0" w:after="0" w:afterAutospacing="0"/>
        <w:jc w:val="center"/>
        <w:rPr>
          <w:sz w:val="20"/>
          <w:szCs w:val="20"/>
        </w:rPr>
      </w:pPr>
      <w:r>
        <w:rPr>
          <w:sz w:val="20"/>
          <w:szCs w:val="20"/>
        </w:rPr>
        <w:t>For the Years Ended September 30, 2021 and 2020</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 follows the accounting guidance for uncertainty in income taxes using the provisions of ASC </w:t>
      </w:r>
      <w:r>
        <w:rPr>
          <w:spacing w:val="-3"/>
          <w:sz w:val="20"/>
          <w:szCs w:val="20"/>
        </w:rPr>
        <w:tab/>
      </w:r>
      <w:r>
        <w:rPr>
          <w:sz w:val="20"/>
          <w:szCs w:val="20"/>
        </w:rPr>
        <w:t>740 “Income Taxes”</w:t>
      </w:r>
      <w:r>
        <w:rPr>
          <w:sz w:val="20"/>
          <w:szCs w:val="20"/>
        </w:rPr>
        <w:t xml:space="preserve">. Using that guidance, tax positions initially need to be recognized in the financial statements when </w:t>
      </w:r>
      <w:r>
        <w:rPr>
          <w:sz w:val="20"/>
          <w:szCs w:val="20"/>
        </w:rPr>
        <w:tab/>
        <w:t xml:space="preserve">it is more likely than not the position will be sustained upon examination by the tax authorities. As of September 30, </w:t>
      </w:r>
      <w:r>
        <w:rPr>
          <w:sz w:val="20"/>
          <w:szCs w:val="20"/>
        </w:rPr>
        <w:tab/>
        <w:t>2021 and September 30, 2020, resp</w:t>
      </w:r>
      <w:r>
        <w:rPr>
          <w:sz w:val="20"/>
          <w:szCs w:val="20"/>
        </w:rPr>
        <w:t xml:space="preserve">ectively, the Company had no uncertain tax positions that qualify for either </w:t>
      </w:r>
      <w:r>
        <w:rPr>
          <w:spacing w:val="1"/>
          <w:sz w:val="20"/>
          <w:szCs w:val="20"/>
        </w:rPr>
        <w:tab/>
      </w:r>
      <w:r>
        <w:rPr>
          <w:sz w:val="20"/>
          <w:szCs w:val="20"/>
        </w:rPr>
        <w:t>recognition or disclosure in the financial statements.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 recognizes interest and penalties related to uncertain income tax positions in other expense. </w:t>
      </w:r>
      <w:r>
        <w:rPr>
          <w:sz w:val="20"/>
          <w:szCs w:val="20"/>
        </w:rPr>
        <w:tab/>
        <w:t>No interest an</w:t>
      </w:r>
      <w:r>
        <w:rPr>
          <w:sz w:val="20"/>
          <w:szCs w:val="20"/>
        </w:rPr>
        <w:t xml:space="preserve">d penalties related to uncertain income tax positions were recorded for the years ended September 30, </w:t>
      </w:r>
      <w:r>
        <w:rPr>
          <w:sz w:val="20"/>
          <w:szCs w:val="20"/>
        </w:rPr>
        <w:tab/>
        <w:t>2021 and 2020, respectively.</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As of September 30, 2021, tax years 2018-2020 remain open for IRS audit.</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In response to the COVID-19 pandemic, the Coron</w:t>
      </w:r>
      <w:r>
        <w:rPr>
          <w:sz w:val="20"/>
          <w:szCs w:val="20"/>
        </w:rPr>
        <w:t>avirus Aid, Relief and Economic Security Act (“</w:t>
      </w:r>
      <w:r>
        <w:rPr>
          <w:i/>
          <w:iCs/>
          <w:sz w:val="20"/>
          <w:szCs w:val="20"/>
        </w:rPr>
        <w:t>CARES Act</w:t>
      </w:r>
      <w:r>
        <w:rPr>
          <w:sz w:val="20"/>
          <w:szCs w:val="20"/>
        </w:rPr>
        <w:t xml:space="preserve">”) was signed into law in March 2020. The CARES Act lifts certain deduction limitations originally imposed by </w:t>
      </w:r>
      <w:r>
        <w:rPr>
          <w:sz w:val="20"/>
          <w:szCs w:val="20"/>
        </w:rPr>
        <w:tab/>
        <w:t>the Tax Cuts and Jobs Act of 2017 (“</w:t>
      </w:r>
      <w:r>
        <w:rPr>
          <w:i/>
          <w:iCs/>
          <w:sz w:val="20"/>
          <w:szCs w:val="20"/>
        </w:rPr>
        <w:t>2017 Tax Act</w:t>
      </w:r>
      <w:r>
        <w:rPr>
          <w:sz w:val="20"/>
          <w:szCs w:val="20"/>
        </w:rPr>
        <w:t>”). Corporate taxpayers may carryback net</w:t>
      </w:r>
      <w:r>
        <w:rPr>
          <w:sz w:val="20"/>
          <w:szCs w:val="20"/>
        </w:rPr>
        <w:t xml:space="preserve"> operating losses (NOLs) originating between 2018 and 2020 for up to five years, which was not previously allowed under the 2017 Tax Act. </w:t>
      </w:r>
      <w:r>
        <w:rPr>
          <w:spacing w:val="-8"/>
          <w:sz w:val="20"/>
          <w:szCs w:val="20"/>
        </w:rPr>
        <w:tab/>
      </w:r>
      <w:r>
        <w:rPr>
          <w:sz w:val="20"/>
          <w:szCs w:val="20"/>
        </w:rPr>
        <w:t>The CARES Act also eliminates the 80% of taxable income limitations by allowing corporate entities to fully utilize N</w:t>
      </w:r>
      <w:r>
        <w:rPr>
          <w:sz w:val="20"/>
          <w:szCs w:val="20"/>
        </w:rPr>
        <w:t xml:space="preserve">OL carryforwards to offset taxable income in 2018, 2019 or 2020. Taxpayers may generally deduct interest up to </w:t>
      </w:r>
      <w:r>
        <w:rPr>
          <w:sz w:val="20"/>
          <w:szCs w:val="20"/>
        </w:rPr>
        <w:tab/>
        <w:t xml:space="preserve">the sum of 50% of adjusted taxable income plus business interest income (30% limit under the 2017 Tax Act) for </w:t>
      </w:r>
      <w:r>
        <w:rPr>
          <w:sz w:val="20"/>
          <w:szCs w:val="20"/>
        </w:rPr>
        <w:tab/>
        <w:t>2019 and 2020. The CARES Act all</w:t>
      </w:r>
      <w:r>
        <w:rPr>
          <w:sz w:val="20"/>
          <w:szCs w:val="20"/>
        </w:rPr>
        <w:t xml:space="preserve">ows taxpayers with alternative minimum tax credits to claim a refund in 2020 for </w:t>
      </w:r>
      <w:r>
        <w:rPr>
          <w:sz w:val="20"/>
          <w:szCs w:val="20"/>
        </w:rPr>
        <w:tab/>
        <w:t>the entire amount of the credits instead of recovering the credits through refunds over a period of years, as originally enacted by the 2017 Tax Act.</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In addition, the CARES</w:t>
      </w:r>
      <w:r>
        <w:rPr>
          <w:sz w:val="20"/>
          <w:szCs w:val="20"/>
        </w:rPr>
        <w:t xml:space="preserve"> Act raises the corporate charitable deduction limit to 25% of taxable income and </w:t>
      </w:r>
      <w:r>
        <w:rPr>
          <w:spacing w:val="1"/>
          <w:sz w:val="20"/>
          <w:szCs w:val="20"/>
        </w:rPr>
        <w:tab/>
      </w:r>
      <w:r>
        <w:rPr>
          <w:sz w:val="20"/>
          <w:szCs w:val="20"/>
        </w:rPr>
        <w:t xml:space="preserve">makes qualified improvement property generally eligible for 15-year cost- recovery and 100% bonus depreciation. </w:t>
      </w:r>
      <w:r>
        <w:rPr>
          <w:sz w:val="20"/>
          <w:szCs w:val="20"/>
        </w:rPr>
        <w:tab/>
        <w:t>The enactment of the CARES Act did not result in any materia</w:t>
      </w:r>
      <w:r>
        <w:rPr>
          <w:sz w:val="20"/>
          <w:szCs w:val="20"/>
        </w:rPr>
        <w:t xml:space="preserve">l adjustments to our income tax provision for the years </w:t>
      </w:r>
      <w:r>
        <w:rPr>
          <w:sz w:val="20"/>
          <w:szCs w:val="20"/>
        </w:rPr>
        <w:tab/>
        <w:t>ended September 30, 2021 and 2020, respectively.</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Advertising Cost</w:t>
      </w:r>
      <w:r>
        <w:rPr>
          <w:b/>
          <w:bCs/>
          <w:sz w:val="20"/>
          <w:szCs w:val="20"/>
        </w:rPr>
        <w:t>s</w:t>
      </w:r>
    </w:p>
    <w:p w:rsidR="00000000" w:rsidRDefault="00B64763">
      <w:pPr>
        <w:pStyle w:val="a3"/>
        <w:spacing w:before="0" w:beforeAutospacing="0" w:after="0" w:afterAutospacing="0"/>
        <w:jc w:val="both"/>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Advertising costs are expensed as </w:t>
      </w:r>
      <w:r>
        <w:rPr>
          <w:sz w:val="20"/>
          <w:szCs w:val="20"/>
        </w:rPr>
        <w:t xml:space="preserve">incurred. Advertising costs are included as a component of general and </w:t>
      </w:r>
      <w:r>
        <w:rPr>
          <w:sz w:val="20"/>
          <w:szCs w:val="20"/>
        </w:rPr>
        <w:tab/>
        <w:t>administrative expense in the consolidated statements of operations.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 recognized </w:t>
      </w:r>
      <w:r>
        <w:rPr>
          <w:sz w:val="20"/>
          <w:szCs w:val="20"/>
        </w:rPr>
        <w:t>$</w:t>
      </w:r>
      <w:r>
        <w:rPr>
          <w:sz w:val="20"/>
          <w:szCs w:val="20"/>
        </w:rPr>
        <w:t>260,00</w:t>
      </w:r>
      <w:r>
        <w:rPr>
          <w:sz w:val="20"/>
          <w:szCs w:val="20"/>
        </w:rPr>
        <w:t>0</w:t>
      </w:r>
      <w:r>
        <w:rPr>
          <w:sz w:val="20"/>
          <w:szCs w:val="20"/>
        </w:rPr>
        <w:t xml:space="preserve"> and </w:t>
      </w:r>
      <w:r>
        <w:rPr>
          <w:sz w:val="20"/>
          <w:szCs w:val="20"/>
        </w:rPr>
        <w:t>$</w:t>
      </w:r>
      <w:r>
        <w:rPr>
          <w:sz w:val="20"/>
          <w:szCs w:val="20"/>
        </w:rPr>
        <w:t>0</w:t>
      </w:r>
      <w:r>
        <w:rPr>
          <w:sz w:val="20"/>
          <w:szCs w:val="20"/>
        </w:rPr>
        <w:t xml:space="preserve"> in marketing and advertising costs during the years ended </w:t>
      </w:r>
      <w:r>
        <w:rPr>
          <w:spacing w:val="1"/>
          <w:sz w:val="20"/>
          <w:szCs w:val="20"/>
        </w:rPr>
        <w:tab/>
      </w:r>
      <w:r>
        <w:rPr>
          <w:sz w:val="20"/>
          <w:szCs w:val="20"/>
        </w:rPr>
        <w:t>September 30, 2</w:t>
      </w:r>
      <w:r>
        <w:rPr>
          <w:sz w:val="20"/>
          <w:szCs w:val="20"/>
        </w:rPr>
        <w:t>021 and 2020, respectively.</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Research and Development Cost</w:t>
      </w:r>
      <w:r>
        <w:rPr>
          <w:b/>
          <w:bCs/>
          <w:sz w:val="20"/>
          <w:szCs w:val="20"/>
        </w:rPr>
        <w:t>s</w:t>
      </w:r>
    </w:p>
    <w:p w:rsidR="00000000" w:rsidRDefault="00B64763">
      <w:pPr>
        <w:pStyle w:val="a3"/>
        <w:spacing w:before="0" w:beforeAutospacing="0" w:after="0" w:afterAutospacing="0"/>
        <w:jc w:val="both"/>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Research and development costs consist of expenditures for the research and development of new products </w:t>
      </w:r>
      <w:r>
        <w:rPr>
          <w:sz w:val="20"/>
          <w:szCs w:val="20"/>
        </w:rPr>
        <w:tab/>
        <w:t>and technology. These costs are primarily expenses to vendors contracted to perform rese</w:t>
      </w:r>
      <w:r>
        <w:rPr>
          <w:sz w:val="20"/>
          <w:szCs w:val="20"/>
        </w:rPr>
        <w:t xml:space="preserve">arch projects and develop </w:t>
      </w:r>
      <w:r>
        <w:rPr>
          <w:sz w:val="20"/>
          <w:szCs w:val="20"/>
        </w:rPr>
        <w:tab/>
        <w:t xml:space="preserve">technology for the Company’s mobile gaming applications. Costs incurred for research and development are expensed </w:t>
      </w:r>
      <w:r>
        <w:rPr>
          <w:sz w:val="20"/>
          <w:szCs w:val="20"/>
        </w:rPr>
        <w:tab/>
        <w:t>as incurred.</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Stock-Based Compensatio</w:t>
      </w:r>
      <w:r>
        <w:rPr>
          <w:b/>
          <w:bCs/>
          <w:sz w:val="20"/>
          <w:szCs w:val="20"/>
        </w:rPr>
        <w:t>n</w:t>
      </w:r>
    </w:p>
    <w:p w:rsidR="00000000" w:rsidRDefault="00B64763">
      <w:pPr>
        <w:pStyle w:val="a3"/>
        <w:spacing w:before="0" w:beforeAutospacing="0" w:after="0" w:afterAutospacing="0"/>
        <w:jc w:val="both"/>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ab/>
        <w:t>We account for our stock-based compensation to employees and non-employ</w:t>
      </w:r>
      <w:r>
        <w:rPr>
          <w:sz w:val="20"/>
          <w:szCs w:val="20"/>
        </w:rPr>
        <w:t xml:space="preserve">ees under ASC 718 </w:t>
      </w:r>
      <w:r>
        <w:rPr>
          <w:spacing w:val="1"/>
          <w:sz w:val="20"/>
          <w:szCs w:val="20"/>
        </w:rPr>
        <w:tab/>
      </w:r>
      <w:r>
        <w:rPr>
          <w:i/>
          <w:iCs/>
          <w:sz w:val="20"/>
          <w:szCs w:val="20"/>
        </w:rPr>
        <w:t xml:space="preserve">“Compensation – Stock Compensation” </w:t>
      </w:r>
      <w:r>
        <w:rPr>
          <w:sz w:val="20"/>
          <w:szCs w:val="20"/>
        </w:rPr>
        <w:t xml:space="preserve">using the fair value-based method. Under this method, compensation cost is </w:t>
      </w:r>
      <w:r>
        <w:rPr>
          <w:spacing w:val="1"/>
          <w:sz w:val="20"/>
          <w:szCs w:val="20"/>
        </w:rPr>
        <w:tab/>
      </w:r>
      <w:r>
        <w:rPr>
          <w:spacing w:val="-1"/>
          <w:sz w:val="20"/>
          <w:szCs w:val="20"/>
        </w:rPr>
        <w:t>measured at the grant date based on the value of the</w:t>
      </w:r>
      <w:r>
        <w:rPr>
          <w:sz w:val="20"/>
          <w:szCs w:val="20"/>
        </w:rPr>
        <w:t xml:space="preserve"> award and is recognized over the requisite service period, which is </w:t>
      </w:r>
      <w:r>
        <w:rPr>
          <w:sz w:val="20"/>
          <w:szCs w:val="20"/>
        </w:rPr>
        <w:tab/>
        <w:t>usu</w:t>
      </w:r>
      <w:r>
        <w:rPr>
          <w:sz w:val="20"/>
          <w:szCs w:val="20"/>
        </w:rPr>
        <w:t xml:space="preserve">ally the vesting period. This guidance establishes standards for the accounting for transactions in which an entity </w:t>
      </w:r>
      <w:r>
        <w:rPr>
          <w:sz w:val="20"/>
          <w:szCs w:val="20"/>
        </w:rPr>
        <w:tab/>
        <w:t xml:space="preserve">exchanges it equity instruments for goods or services. It also addresses transactions in which an entity incurs liabilities </w:t>
      </w:r>
      <w:r>
        <w:rPr>
          <w:sz w:val="20"/>
          <w:szCs w:val="20"/>
        </w:rPr>
        <w:tab/>
        <w:t>in exchange fo</w:t>
      </w:r>
      <w:r>
        <w:rPr>
          <w:sz w:val="20"/>
          <w:szCs w:val="20"/>
        </w:rPr>
        <w:t xml:space="preserve">r goods or services that are based on the fair value of the entity’s equity instruments or that may be </w:t>
      </w:r>
      <w:r>
        <w:rPr>
          <w:sz w:val="20"/>
          <w:szCs w:val="20"/>
        </w:rPr>
        <w:tab/>
        <w:t>settled by the issuance of those equity instruments.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center"/>
        <w:divId w:val="1377437068"/>
        <w:rPr>
          <w:sz w:val="20"/>
          <w:szCs w:val="20"/>
        </w:rPr>
      </w:pPr>
      <w:r>
        <w:rPr>
          <w:sz w:val="20"/>
          <w:szCs w:val="20"/>
        </w:rPr>
        <w:t>F</w:t>
      </w:r>
      <w:r>
        <w:rPr>
          <w:sz w:val="20"/>
          <w:szCs w:val="20"/>
        </w:rPr>
        <w:t>-</w:t>
      </w:r>
      <w:r>
        <w:rPr>
          <w:sz w:val="20"/>
          <w:szCs w:val="20"/>
        </w:rPr>
        <w:t>1</w:t>
      </w:r>
      <w:r>
        <w:rPr>
          <w:sz w:val="20"/>
          <w:szCs w:val="20"/>
        </w:rPr>
        <w:t>5</w:t>
      </w:r>
    </w:p>
    <w:p w:rsidR="00000000" w:rsidRDefault="00B64763">
      <w:pPr>
        <w:pStyle w:val="a3"/>
        <w:spacing w:before="0" w:beforeAutospacing="0" w:after="0" w:afterAutospacing="0"/>
        <w:divId w:val="1352604511"/>
        <w:rPr>
          <w:sz w:val="20"/>
          <w:szCs w:val="20"/>
        </w:rPr>
      </w:pPr>
      <w:r>
        <w:rPr>
          <w:sz w:val="20"/>
          <w:szCs w:val="20"/>
        </w:rPr>
        <w:t> </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CLICKSTREAM 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w:t>
      </w:r>
      <w:r>
        <w:rPr>
          <w:sz w:val="20"/>
          <w:szCs w:val="20"/>
        </w:rPr>
        <w:t>er 30, 2021 and 2020</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jc w:val="both"/>
        <w:rPr>
          <w:sz w:val="20"/>
          <w:szCs w:val="20"/>
        </w:rPr>
      </w:pPr>
      <w:r>
        <w:rPr>
          <w:b/>
          <w:bCs/>
          <w:sz w:val="20"/>
          <w:szCs w:val="20"/>
        </w:rPr>
        <w:t>Basic and Diluted Earnings (Loss) per Shar</w:t>
      </w:r>
      <w:r>
        <w:rPr>
          <w:b/>
          <w:bCs/>
          <w:sz w:val="20"/>
          <w:szCs w:val="20"/>
        </w:rPr>
        <w:t>e</w:t>
      </w:r>
    </w:p>
    <w:p w:rsidR="00000000" w:rsidRDefault="00B64763">
      <w:pPr>
        <w:pStyle w:val="a3"/>
        <w:spacing w:before="0" w:beforeAutospacing="0" w:after="0" w:afterAutospacing="0"/>
        <w:jc w:val="both"/>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Pursuant to ASC 260-10-45, basic earnings (loss) per common share is computed by dividing net income (loss) </w:t>
      </w:r>
      <w:r>
        <w:rPr>
          <w:sz w:val="20"/>
          <w:szCs w:val="20"/>
        </w:rPr>
        <w:tab/>
      </w:r>
      <w:r>
        <w:rPr>
          <w:sz w:val="20"/>
          <w:szCs w:val="20"/>
        </w:rPr>
        <w:t xml:space="preserve">by the weighted average number of shares of common stock outstanding for the periods presented. Diluted earnings </w:t>
      </w:r>
      <w:r>
        <w:rPr>
          <w:spacing w:val="-7"/>
          <w:sz w:val="20"/>
          <w:szCs w:val="20"/>
        </w:rPr>
        <w:tab/>
      </w:r>
      <w:r>
        <w:rPr>
          <w:sz w:val="20"/>
          <w:szCs w:val="20"/>
        </w:rPr>
        <w:t xml:space="preserve">per share is computed by dividing net income by the weighted average number of shares of common stock, common </w:t>
      </w:r>
      <w:r>
        <w:rPr>
          <w:sz w:val="20"/>
          <w:szCs w:val="20"/>
        </w:rPr>
        <w:tab/>
        <w:t>stock equivalents and potential</w:t>
      </w:r>
      <w:r>
        <w:rPr>
          <w:sz w:val="20"/>
          <w:szCs w:val="20"/>
        </w:rPr>
        <w:t xml:space="preserve">ly dilutive securities outstanding during the period. Potentially dilutive common shares </w:t>
      </w:r>
      <w:r>
        <w:rPr>
          <w:sz w:val="20"/>
          <w:szCs w:val="20"/>
        </w:rPr>
        <w:tab/>
        <w:t xml:space="preserve">may consist of common stock issuable for stock options and warrants (using the treasury stock method), convertible </w:t>
      </w:r>
      <w:r>
        <w:rPr>
          <w:spacing w:val="-8"/>
          <w:sz w:val="20"/>
          <w:szCs w:val="20"/>
        </w:rPr>
        <w:tab/>
      </w:r>
      <w:r>
        <w:rPr>
          <w:sz w:val="20"/>
          <w:szCs w:val="20"/>
        </w:rPr>
        <w:t>notes and common stock issuable. These common stoc</w:t>
      </w:r>
      <w:r>
        <w:rPr>
          <w:sz w:val="20"/>
          <w:szCs w:val="20"/>
        </w:rPr>
        <w:t xml:space="preserve">k equivalents may be dilutive in the future. In the event of a net </w:t>
      </w:r>
      <w:r>
        <w:rPr>
          <w:sz w:val="20"/>
          <w:szCs w:val="20"/>
        </w:rPr>
        <w:tab/>
        <w:t xml:space="preserve">loss, diluted loss per share is the same as basic loss per share since the effect of the potential common stock equivalents </w:t>
      </w:r>
      <w:r>
        <w:rPr>
          <w:spacing w:val="1"/>
          <w:sz w:val="20"/>
          <w:szCs w:val="20"/>
        </w:rPr>
        <w:tab/>
      </w:r>
      <w:r>
        <w:rPr>
          <w:sz w:val="20"/>
          <w:szCs w:val="20"/>
        </w:rPr>
        <w:t>upon conversion would be anti-dilutive.</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 following potenti</w:t>
      </w:r>
      <w:r>
        <w:rPr>
          <w:sz w:val="20"/>
          <w:szCs w:val="20"/>
        </w:rPr>
        <w:t xml:space="preserve">ally dilutive equity securities outstanding as of September 30, 2021 and 2020 are as </w:t>
      </w:r>
      <w:r>
        <w:rPr>
          <w:sz w:val="20"/>
          <w:szCs w:val="20"/>
        </w:rPr>
        <w:tab/>
        <w:t>follows:</w:t>
      </w:r>
    </w:p>
    <w:p w:rsidR="00000000" w:rsidRDefault="00B64763">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Disclosure - Summary of Significant Accounting Policies (Details)"/>
      </w:tblPr>
      <w:tblGrid>
        <w:gridCol w:w="414"/>
        <w:gridCol w:w="4235"/>
        <w:gridCol w:w="663"/>
        <w:gridCol w:w="82"/>
        <w:gridCol w:w="1000"/>
        <w:gridCol w:w="82"/>
        <w:gridCol w:w="664"/>
        <w:gridCol w:w="83"/>
        <w:gridCol w:w="1000"/>
        <w:gridCol w:w="83"/>
      </w:tblGrid>
      <w:tr w:rsidR="00000000">
        <w:trPr>
          <w:hidden/>
        </w:trPr>
        <w:tc>
          <w:tcPr>
            <w:tcW w:w="0" w:type="auto"/>
            <w:gridSpan w:val="2"/>
            <w:vAlign w:val="bottom"/>
            <w:hideMark/>
          </w:tcPr>
          <w:p w:rsidR="00000000" w:rsidRDefault="00B64763">
            <w:pPr>
              <w:rPr>
                <w:rFonts w:eastAsia="Times New Roman"/>
                <w:sz w:val="20"/>
                <w:szCs w:val="20"/>
              </w:rPr>
            </w:pPr>
            <w:r>
              <w:rPr>
                <w:rFonts w:eastAsia="Times New Roman"/>
                <w:vanish/>
                <w:sz w:val="20"/>
                <w:szCs w:val="20"/>
              </w:rPr>
              <w:t>Schedule of potentially dilutive equity securitie</w:t>
            </w:r>
            <w:r>
              <w:rPr>
                <w:rFonts w:eastAsia="Times New Roman"/>
                <w:vanish/>
                <w:sz w:val="20"/>
                <w:szCs w:val="20"/>
              </w:rPr>
              <w:t>s</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c>
          <w:tcPr>
            <w:tcW w:w="0" w:type="auto"/>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gridSpan w:val="2"/>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September 30, 2021</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September 30, 2020</w:t>
            </w:r>
          </w:p>
        </w:tc>
      </w:tr>
      <w:tr w:rsidR="00000000">
        <w:tc>
          <w:tcPr>
            <w:tcW w:w="0" w:type="auto"/>
            <w:gridSpan w:val="2"/>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Series A, convertible preferred stock (1)</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400,000,000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400,000,000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gridSpan w:val="2"/>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Total common stock equivalents</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400,000,000</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400,000,000</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250" w:type="pct"/>
            <w:vAlign w:val="bottom"/>
            <w:hideMark/>
          </w:tcPr>
          <w:p w:rsidR="00000000" w:rsidRDefault="00B64763">
            <w:pPr>
              <w:rPr>
                <w:rFonts w:eastAsia="Times New Roman"/>
                <w:sz w:val="20"/>
                <w:szCs w:val="20"/>
              </w:rPr>
            </w:pPr>
            <w:r>
              <w:rPr>
                <w:rFonts w:eastAsia="Times New Roman"/>
                <w:sz w:val="20"/>
                <w:szCs w:val="20"/>
              </w:rPr>
              <w:t>(1)</w:t>
            </w:r>
          </w:p>
        </w:tc>
        <w:tc>
          <w:tcPr>
            <w:tcW w:w="2550" w:type="pct"/>
            <w:vAlign w:val="bottom"/>
            <w:hideMark/>
          </w:tcPr>
          <w:p w:rsidR="00000000" w:rsidRDefault="00B64763">
            <w:pPr>
              <w:rPr>
                <w:rFonts w:eastAsia="Times New Roman"/>
                <w:sz w:val="20"/>
                <w:szCs w:val="20"/>
              </w:rPr>
            </w:pPr>
            <w:r>
              <w:rPr>
                <w:rFonts w:eastAsia="Times New Roman"/>
                <w:sz w:val="20"/>
                <w:szCs w:val="20"/>
              </w:rPr>
              <w:t>each share converts to 100 shares of common stock</w:t>
            </w:r>
          </w:p>
        </w:tc>
        <w:tc>
          <w:tcPr>
            <w:tcW w:w="400" w:type="pct"/>
            <w:vAlign w:val="bottom"/>
            <w:hideMark/>
          </w:tcPr>
          <w:p w:rsidR="00000000" w:rsidRDefault="00B64763">
            <w:pPr>
              <w:rPr>
                <w:rFonts w:eastAsia="Times New Roman"/>
                <w:sz w:val="20"/>
                <w:szCs w:val="20"/>
              </w:rPr>
            </w:pPr>
            <w:r>
              <w:rPr>
                <w:rFonts w:eastAsia="Times New Roman"/>
                <w:sz w:val="20"/>
                <w:szCs w:val="20"/>
              </w:rPr>
              <w:t> </w:t>
            </w:r>
          </w:p>
        </w:tc>
        <w:tc>
          <w:tcPr>
            <w:tcW w:w="50" w:type="pct"/>
            <w:vAlign w:val="bottom"/>
            <w:hideMark/>
          </w:tcPr>
          <w:p w:rsidR="00000000" w:rsidRDefault="00B64763">
            <w:pPr>
              <w:rPr>
                <w:rFonts w:eastAsia="Times New Roman"/>
                <w:sz w:val="20"/>
                <w:szCs w:val="20"/>
              </w:rPr>
            </w:pPr>
            <w:r>
              <w:rPr>
                <w:rFonts w:eastAsia="Times New Roman"/>
                <w:sz w:val="20"/>
                <w:szCs w:val="20"/>
              </w:rPr>
              <w:t> </w:t>
            </w:r>
          </w:p>
        </w:tc>
        <w:tc>
          <w:tcPr>
            <w:tcW w:w="600" w:type="pct"/>
            <w:vAlign w:val="bottom"/>
            <w:hideMark/>
          </w:tcPr>
          <w:p w:rsidR="00000000" w:rsidRDefault="00B64763">
            <w:pPr>
              <w:jc w:val="right"/>
              <w:rPr>
                <w:rFonts w:eastAsia="Times New Roman"/>
                <w:sz w:val="20"/>
                <w:szCs w:val="20"/>
              </w:rPr>
            </w:pPr>
            <w:r>
              <w:rPr>
                <w:rFonts w:eastAsia="Times New Roman"/>
                <w:sz w:val="20"/>
                <w:szCs w:val="20"/>
              </w:rPr>
              <w:t> </w:t>
            </w:r>
          </w:p>
        </w:tc>
        <w:tc>
          <w:tcPr>
            <w:tcW w:w="50" w:type="pct"/>
            <w:vAlign w:val="bottom"/>
            <w:hideMark/>
          </w:tcPr>
          <w:p w:rsidR="00000000" w:rsidRDefault="00B64763">
            <w:pPr>
              <w:rPr>
                <w:rFonts w:eastAsia="Times New Roman"/>
                <w:sz w:val="20"/>
                <w:szCs w:val="20"/>
              </w:rPr>
            </w:pPr>
            <w:r>
              <w:rPr>
                <w:rFonts w:eastAsia="Times New Roman"/>
                <w:sz w:val="20"/>
                <w:szCs w:val="20"/>
              </w:rPr>
              <w:t> </w:t>
            </w:r>
          </w:p>
        </w:tc>
        <w:tc>
          <w:tcPr>
            <w:tcW w:w="400" w:type="pct"/>
            <w:vAlign w:val="bottom"/>
            <w:hideMark/>
          </w:tcPr>
          <w:p w:rsidR="00000000" w:rsidRDefault="00B64763">
            <w:pPr>
              <w:rPr>
                <w:rFonts w:eastAsia="Times New Roman"/>
                <w:sz w:val="20"/>
                <w:szCs w:val="20"/>
              </w:rPr>
            </w:pPr>
            <w:r>
              <w:rPr>
                <w:rFonts w:eastAsia="Times New Roman"/>
                <w:sz w:val="20"/>
                <w:szCs w:val="20"/>
              </w:rPr>
              <w:t> </w:t>
            </w:r>
          </w:p>
        </w:tc>
        <w:tc>
          <w:tcPr>
            <w:tcW w:w="50" w:type="pct"/>
            <w:vAlign w:val="bottom"/>
            <w:hideMark/>
          </w:tcPr>
          <w:p w:rsidR="00000000" w:rsidRDefault="00B64763">
            <w:pPr>
              <w:rPr>
                <w:rFonts w:eastAsia="Times New Roman"/>
                <w:sz w:val="20"/>
                <w:szCs w:val="20"/>
              </w:rPr>
            </w:pPr>
            <w:r>
              <w:rPr>
                <w:rFonts w:eastAsia="Times New Roman"/>
                <w:sz w:val="20"/>
                <w:szCs w:val="20"/>
              </w:rPr>
              <w:t> </w:t>
            </w:r>
          </w:p>
        </w:tc>
        <w:tc>
          <w:tcPr>
            <w:tcW w:w="600" w:type="pct"/>
            <w:vAlign w:val="bottom"/>
            <w:hideMark/>
          </w:tcPr>
          <w:p w:rsidR="00000000" w:rsidRDefault="00B64763">
            <w:pPr>
              <w:jc w:val="right"/>
              <w:rPr>
                <w:rFonts w:eastAsia="Times New Roman"/>
                <w:sz w:val="20"/>
                <w:szCs w:val="20"/>
              </w:rPr>
            </w:pPr>
            <w:r>
              <w:rPr>
                <w:rFonts w:eastAsia="Times New Roman"/>
                <w:sz w:val="20"/>
                <w:szCs w:val="20"/>
              </w:rPr>
              <w:t> </w:t>
            </w:r>
          </w:p>
        </w:tc>
        <w:tc>
          <w:tcPr>
            <w:tcW w:w="50" w:type="pct"/>
            <w:vAlign w:val="bottom"/>
            <w:hideMark/>
          </w:tcPr>
          <w:p w:rsidR="00000000" w:rsidRDefault="00B64763">
            <w:pP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Based on the potential common stock equivalents noted above at September 30, 2021, the Company has sufficient authorized shares of common stock (2,000,000,000) to settle any potential exercises of common stock equivalents.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rPr>
          <w:sz w:val="20"/>
          <w:szCs w:val="20"/>
        </w:rPr>
      </w:pPr>
      <w:r>
        <w:rPr>
          <w:b/>
          <w:bCs/>
          <w:sz w:val="20"/>
          <w:szCs w:val="20"/>
        </w:rPr>
        <w:t>Related Partie</w:t>
      </w:r>
      <w:r>
        <w:rPr>
          <w:b/>
          <w:bCs/>
          <w:sz w:val="20"/>
          <w:szCs w:val="20"/>
        </w:rPr>
        <w:t>s</w:t>
      </w:r>
    </w:p>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Parties are c</w:t>
      </w:r>
      <w:r>
        <w:rPr>
          <w:sz w:val="20"/>
          <w:szCs w:val="20"/>
        </w:rPr>
        <w:t xml:space="preserve">onsidered to be related to the Company if the parties, directly or indirectly, </w:t>
      </w:r>
      <w:r>
        <w:rPr>
          <w:spacing w:val="-1"/>
          <w:sz w:val="20"/>
          <w:szCs w:val="20"/>
        </w:rPr>
        <w:t>through one or more</w:t>
      </w:r>
      <w:r>
        <w:rPr>
          <w:sz w:val="20"/>
          <w:szCs w:val="20"/>
        </w:rPr>
        <w:t xml:space="preserve"> </w:t>
      </w:r>
      <w:r>
        <w:rPr>
          <w:spacing w:val="-12"/>
          <w:sz w:val="20"/>
          <w:szCs w:val="20"/>
        </w:rPr>
        <w:tab/>
      </w:r>
      <w:r>
        <w:rPr>
          <w:spacing w:val="-1"/>
          <w:sz w:val="20"/>
          <w:szCs w:val="20"/>
        </w:rPr>
        <w:t>intermediaries, control, are</w:t>
      </w:r>
      <w:r>
        <w:rPr>
          <w:sz w:val="20"/>
          <w:szCs w:val="20"/>
        </w:rPr>
        <w:t xml:space="preserve"> controlled by, or are under common control with the Company. Related parties also include </w:t>
      </w:r>
      <w:r>
        <w:rPr>
          <w:spacing w:val="1"/>
          <w:sz w:val="20"/>
          <w:szCs w:val="20"/>
        </w:rPr>
        <w:tab/>
      </w:r>
      <w:r>
        <w:rPr>
          <w:sz w:val="20"/>
          <w:szCs w:val="20"/>
        </w:rPr>
        <w:t>principal owners of the Company, its</w:t>
      </w:r>
      <w:r>
        <w:rPr>
          <w:sz w:val="20"/>
          <w:szCs w:val="20"/>
        </w:rPr>
        <w:t xml:space="preserve"> management, members of the immediate families of principal owners of the </w:t>
      </w:r>
      <w:r>
        <w:rPr>
          <w:sz w:val="20"/>
          <w:szCs w:val="20"/>
        </w:rPr>
        <w:tab/>
        <w:t xml:space="preserve">Company and its management and other parties with which the Company may deal with if one party controls or can </w:t>
      </w:r>
      <w:r>
        <w:rPr>
          <w:sz w:val="20"/>
          <w:szCs w:val="20"/>
        </w:rPr>
        <w:tab/>
        <w:t>significantly influence the management or operating policies of the o</w:t>
      </w:r>
      <w:r>
        <w:rPr>
          <w:sz w:val="20"/>
          <w:szCs w:val="20"/>
        </w:rPr>
        <w:t xml:space="preserve">ther to an extent that one of the transacting parties </w:t>
      </w:r>
      <w:r>
        <w:rPr>
          <w:sz w:val="20"/>
          <w:szCs w:val="20"/>
        </w:rPr>
        <w:tab/>
        <w:t>might be prevented from fully pursuing its own separate interests.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sz w:val="20"/>
          <w:szCs w:val="20"/>
        </w:rPr>
        <w:t>Recent Accounting Standard</w:t>
      </w:r>
      <w:r>
        <w:rPr>
          <w:b/>
          <w:bCs/>
          <w:sz w:val="20"/>
          <w:szCs w:val="20"/>
        </w:rPr>
        <w:t>s</w:t>
      </w:r>
    </w:p>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Changes to accounting principles are established by the FASB in the form of ASU’s to the FASB’s </w:t>
      </w:r>
      <w:r>
        <w:rPr>
          <w:spacing w:val="1"/>
          <w:sz w:val="20"/>
          <w:szCs w:val="20"/>
        </w:rPr>
        <w:tab/>
      </w:r>
      <w:r>
        <w:rPr>
          <w:sz w:val="20"/>
          <w:szCs w:val="20"/>
        </w:rPr>
        <w:t xml:space="preserve">Codification. We consider the applicability and impact of all ASU’s on our consolidated financial position, results of </w:t>
      </w:r>
      <w:r>
        <w:rPr>
          <w:sz w:val="20"/>
          <w:szCs w:val="20"/>
        </w:rPr>
        <w:tab/>
        <w:t>operations, stockholders’ deficit, cash</w:t>
      </w:r>
      <w:r>
        <w:rPr>
          <w:sz w:val="20"/>
          <w:szCs w:val="20"/>
        </w:rPr>
        <w:t xml:space="preserve"> flows, or presentation thereof. Management has evaluated all recent accounting </w:t>
      </w:r>
      <w:r>
        <w:rPr>
          <w:sz w:val="20"/>
          <w:szCs w:val="20"/>
        </w:rPr>
        <w:tab/>
        <w:t xml:space="preserve">pronouncements as issued by the FASB in the form of Accounting Standards Updates (“ASU”) through the date these </w:t>
      </w:r>
      <w:r>
        <w:rPr>
          <w:sz w:val="20"/>
          <w:szCs w:val="20"/>
        </w:rPr>
        <w:tab/>
        <w:t xml:space="preserve">financial statements were available to be issued and found no </w:t>
      </w:r>
      <w:r>
        <w:rPr>
          <w:sz w:val="20"/>
          <w:szCs w:val="20"/>
        </w:rPr>
        <w:t xml:space="preserve">recent accounting pronouncements issued, but not yet </w:t>
      </w:r>
      <w:r>
        <w:rPr>
          <w:sz w:val="20"/>
          <w:szCs w:val="20"/>
        </w:rPr>
        <w:tab/>
        <w:t xml:space="preserve">effective </w:t>
      </w:r>
      <w:r>
        <w:rPr>
          <w:sz w:val="20"/>
          <w:szCs w:val="20"/>
        </w:rPr>
        <w:tab/>
        <w:t xml:space="preserve">accounting pronouncements, when adopted, will have a material impact on the financial statements of the </w:t>
      </w:r>
      <w:r>
        <w:rPr>
          <w:spacing w:val="-1"/>
          <w:sz w:val="20"/>
          <w:szCs w:val="20"/>
        </w:rPr>
        <w:tab/>
      </w:r>
      <w:r>
        <w:rPr>
          <w:sz w:val="20"/>
          <w:szCs w:val="20"/>
        </w:rPr>
        <w:t>Company.</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In June 2016, the Financial Accounting Standards Board (“FASB”) issued Accounting Standards Update </w:t>
      </w:r>
      <w:r>
        <w:rPr>
          <w:spacing w:val="1"/>
          <w:sz w:val="20"/>
          <w:szCs w:val="20"/>
        </w:rPr>
        <w:tab/>
      </w:r>
      <w:r>
        <w:rPr>
          <w:sz w:val="20"/>
          <w:szCs w:val="20"/>
        </w:rPr>
        <w:t xml:space="preserve">(“ASU”) No. 2016-13, </w:t>
      </w:r>
      <w:r>
        <w:rPr>
          <w:i/>
          <w:iCs/>
          <w:sz w:val="20"/>
          <w:szCs w:val="20"/>
        </w:rPr>
        <w:t>Measurement of Credit Losses on Financial Instruments</w:t>
      </w:r>
      <w:r>
        <w:rPr>
          <w:sz w:val="20"/>
          <w:szCs w:val="20"/>
        </w:rPr>
        <w:t xml:space="preserve">, which supersedes current guidance </w:t>
      </w:r>
      <w:r>
        <w:rPr>
          <w:sz w:val="20"/>
          <w:szCs w:val="20"/>
        </w:rPr>
        <w:tab/>
        <w:t xml:space="preserve">by </w:t>
      </w:r>
      <w:r>
        <w:rPr>
          <w:sz w:val="20"/>
          <w:szCs w:val="20"/>
        </w:rPr>
        <w:tab/>
        <w:t>requiring recognition of credit losses wh</w:t>
      </w:r>
      <w:r>
        <w:rPr>
          <w:sz w:val="20"/>
          <w:szCs w:val="20"/>
        </w:rPr>
        <w:t xml:space="preserve">en it is probable that a loss has been incurred. The new standard requires the </w:t>
      </w:r>
      <w:r>
        <w:rPr>
          <w:spacing w:val="1"/>
          <w:sz w:val="20"/>
          <w:szCs w:val="20"/>
        </w:rPr>
        <w:tab/>
      </w:r>
      <w:r>
        <w:rPr>
          <w:sz w:val="20"/>
          <w:szCs w:val="20"/>
        </w:rPr>
        <w:t xml:space="preserve">establishment of an allowance for estimated credit losses on financial assets including trade and other receivables at each </w:t>
      </w:r>
      <w:r>
        <w:rPr>
          <w:spacing w:val="1"/>
          <w:sz w:val="20"/>
          <w:szCs w:val="20"/>
        </w:rPr>
        <w:tab/>
      </w:r>
      <w:r>
        <w:rPr>
          <w:sz w:val="20"/>
          <w:szCs w:val="20"/>
        </w:rPr>
        <w:t>reporting date. The new standard will result in ear</w:t>
      </w:r>
      <w:r>
        <w:rPr>
          <w:sz w:val="20"/>
          <w:szCs w:val="20"/>
        </w:rPr>
        <w:t xml:space="preserve">lier recognition of allowances for losses on trade and other receivables and </w:t>
      </w:r>
      <w:r>
        <w:rPr>
          <w:sz w:val="20"/>
          <w:szCs w:val="20"/>
        </w:rPr>
        <w:tab/>
        <w:t xml:space="preserve">other contractual rights to receive cash. In November 2019, the FASB issued ASU No. 2019-10, </w:t>
      </w:r>
      <w:r>
        <w:rPr>
          <w:i/>
          <w:iCs/>
          <w:sz w:val="20"/>
          <w:szCs w:val="20"/>
        </w:rPr>
        <w:t xml:space="preserve">Financial Instruments – </w:t>
      </w:r>
      <w:r>
        <w:rPr>
          <w:i/>
          <w:iCs/>
          <w:sz w:val="20"/>
          <w:szCs w:val="20"/>
        </w:rPr>
        <w:tab/>
        <w:t>Credit Losses (Topic 326), Derivatives and Hedging (Topic 81</w:t>
      </w:r>
      <w:r>
        <w:rPr>
          <w:i/>
          <w:iCs/>
          <w:sz w:val="20"/>
          <w:szCs w:val="20"/>
        </w:rPr>
        <w:t>5) and Leases (Topic 842)</w:t>
      </w:r>
      <w:r>
        <w:rPr>
          <w:sz w:val="20"/>
          <w:szCs w:val="20"/>
        </w:rPr>
        <w:t>, which extends the</w:t>
      </w:r>
      <w:r>
        <w:rPr>
          <w:sz w:val="20"/>
          <w:szCs w:val="20"/>
        </w:rPr>
        <w:tab/>
        <w:t xml:space="preserve">effective </w:t>
      </w:r>
      <w:r>
        <w:rPr>
          <w:sz w:val="20"/>
          <w:szCs w:val="20"/>
        </w:rPr>
        <w:tab/>
        <w:t xml:space="preserve">date of Topic 326 for certain companies until fiscal years beginning after December 15, 2022. The new standard will be </w:t>
      </w:r>
      <w:r>
        <w:rPr>
          <w:spacing w:val="1"/>
          <w:sz w:val="20"/>
          <w:szCs w:val="20"/>
        </w:rPr>
        <w:tab/>
      </w:r>
      <w:r>
        <w:rPr>
          <w:sz w:val="20"/>
          <w:szCs w:val="20"/>
        </w:rPr>
        <w:t xml:space="preserve">effective for the Company in the first quarter of fiscal year beginning October </w:t>
      </w:r>
      <w:r>
        <w:rPr>
          <w:sz w:val="20"/>
          <w:szCs w:val="20"/>
        </w:rPr>
        <w:t xml:space="preserve">1, 2023, and early adoption is permitted. The </w:t>
      </w:r>
      <w:r>
        <w:rPr>
          <w:sz w:val="20"/>
          <w:szCs w:val="20"/>
        </w:rPr>
        <w:tab/>
        <w:t>Company has not completed its review of the impact of this standard on its consolidated financial statements.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center"/>
        <w:divId w:val="1624728706"/>
        <w:rPr>
          <w:sz w:val="20"/>
          <w:szCs w:val="20"/>
        </w:rPr>
      </w:pPr>
      <w:r>
        <w:rPr>
          <w:sz w:val="20"/>
          <w:szCs w:val="20"/>
        </w:rPr>
        <w:t>F</w:t>
      </w:r>
      <w:r>
        <w:rPr>
          <w:sz w:val="20"/>
          <w:szCs w:val="20"/>
        </w:rPr>
        <w:t>-</w:t>
      </w:r>
      <w:r>
        <w:rPr>
          <w:sz w:val="20"/>
          <w:szCs w:val="20"/>
        </w:rPr>
        <w:t>1</w:t>
      </w:r>
      <w:r>
        <w:rPr>
          <w:sz w:val="20"/>
          <w:szCs w:val="20"/>
        </w:rPr>
        <w:t>6</w:t>
      </w:r>
    </w:p>
    <w:p w:rsidR="00000000" w:rsidRDefault="00B64763">
      <w:pPr>
        <w:pStyle w:val="a3"/>
        <w:spacing w:before="0" w:beforeAutospacing="0" w:after="0" w:afterAutospacing="0"/>
        <w:divId w:val="2072655358"/>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CLICKSTREAM 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w:t>
      </w:r>
      <w:r>
        <w:rPr>
          <w:sz w:val="20"/>
          <w:szCs w:val="20"/>
        </w:rPr>
        <w:t>er 30, 2021 and 2020</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In December 2019, the FASB issued ASU 2019-12, “Simplifying the Accounting for Income Taxes.” This </w:t>
      </w:r>
      <w:r>
        <w:rPr>
          <w:sz w:val="20"/>
          <w:szCs w:val="20"/>
        </w:rPr>
        <w:tab/>
        <w:t xml:space="preserve">guidance, among other provisions, eliminates certain exceptions to existing guidance related to the approach for </w:t>
      </w:r>
      <w:r>
        <w:rPr>
          <w:spacing w:val="1"/>
          <w:sz w:val="20"/>
          <w:szCs w:val="20"/>
        </w:rPr>
        <w:tab/>
      </w:r>
      <w:r>
        <w:rPr>
          <w:sz w:val="20"/>
          <w:szCs w:val="20"/>
        </w:rPr>
        <w:t>intraperiod tax all</w:t>
      </w:r>
      <w:r>
        <w:rPr>
          <w:sz w:val="20"/>
          <w:szCs w:val="20"/>
        </w:rPr>
        <w:t xml:space="preserve">ocation, the methodology for calculating income taxes in an interim period and the recognition of </w:t>
      </w:r>
      <w:r>
        <w:rPr>
          <w:sz w:val="20"/>
          <w:szCs w:val="20"/>
        </w:rPr>
        <w:tab/>
        <w:t xml:space="preserve">deferred </w:t>
      </w:r>
      <w:r>
        <w:rPr>
          <w:sz w:val="20"/>
          <w:szCs w:val="20"/>
        </w:rPr>
        <w:tab/>
        <w:t xml:space="preserve">tax liabilities for outside basis differences. This guidance also requires an entity to reflect the effect of an enacted change </w:t>
      </w:r>
      <w:r>
        <w:rPr>
          <w:sz w:val="20"/>
          <w:szCs w:val="20"/>
        </w:rPr>
        <w:tab/>
        <w:t>in tax laws or rat</w:t>
      </w:r>
      <w:r>
        <w:rPr>
          <w:sz w:val="20"/>
          <w:szCs w:val="20"/>
        </w:rPr>
        <w:t xml:space="preserve">es in its effective income tax rate in the first interim period that includes the enactment date of the new </w:t>
      </w:r>
      <w:r>
        <w:rPr>
          <w:spacing w:val="-4"/>
          <w:sz w:val="20"/>
          <w:szCs w:val="20"/>
        </w:rPr>
        <w:tab/>
      </w:r>
      <w:r>
        <w:rPr>
          <w:sz w:val="20"/>
          <w:szCs w:val="20"/>
        </w:rPr>
        <w:t xml:space="preserve">legislation, aligning the timing of recognition of the effects from enacted tax law changes on the </w:t>
      </w:r>
      <w:r>
        <w:rPr>
          <w:sz w:val="20"/>
          <w:szCs w:val="20"/>
        </w:rPr>
        <w:tab/>
        <w:t xml:space="preserve">effective income tax rate </w:t>
      </w:r>
      <w:r>
        <w:rPr>
          <w:sz w:val="20"/>
          <w:szCs w:val="20"/>
        </w:rPr>
        <w:tab/>
        <w:t xml:space="preserve">with the effects on </w:t>
      </w:r>
      <w:r>
        <w:rPr>
          <w:sz w:val="20"/>
          <w:szCs w:val="20"/>
        </w:rPr>
        <w:t xml:space="preserve">deferred income tax assets and liabilities. Under existing guidance, an </w:t>
      </w:r>
      <w:r>
        <w:rPr>
          <w:sz w:val="20"/>
          <w:szCs w:val="20"/>
        </w:rPr>
        <w:tab/>
        <w:t xml:space="preserve">entity recognizes the effects of the </w:t>
      </w:r>
      <w:r>
        <w:rPr>
          <w:sz w:val="20"/>
          <w:szCs w:val="20"/>
        </w:rPr>
        <w:tab/>
        <w:t xml:space="preserve">enacted tax law change on the effective income tax rate in the period that includes the effective date of the tax law. </w:t>
      </w:r>
      <w:r>
        <w:rPr>
          <w:sz w:val="20"/>
          <w:szCs w:val="20"/>
        </w:rPr>
        <w:tab/>
        <w:t xml:space="preserve">ASU </w:t>
      </w:r>
      <w:r>
        <w:rPr>
          <w:sz w:val="20"/>
          <w:szCs w:val="20"/>
        </w:rPr>
        <w:tab/>
        <w:t>2019-12 is effective</w:t>
      </w:r>
      <w:r>
        <w:rPr>
          <w:sz w:val="20"/>
          <w:szCs w:val="20"/>
        </w:rPr>
        <w:t xml:space="preserve"> for interim and annual periods beginning after December 15, 2020, with early adoption permitted. We </w:t>
      </w:r>
      <w:r>
        <w:rPr>
          <w:spacing w:val="-7"/>
          <w:sz w:val="20"/>
          <w:szCs w:val="20"/>
        </w:rPr>
        <w:tab/>
      </w:r>
      <w:r>
        <w:rPr>
          <w:sz w:val="20"/>
          <w:szCs w:val="20"/>
        </w:rPr>
        <w:t xml:space="preserve">adopted this pronouncement on January 1, 2021; however, the adoption </w:t>
      </w:r>
      <w:r>
        <w:rPr>
          <w:sz w:val="20"/>
          <w:szCs w:val="20"/>
        </w:rPr>
        <w:tab/>
        <w:t xml:space="preserve">of this standard did not have material effect on </w:t>
      </w:r>
      <w:r>
        <w:rPr>
          <w:spacing w:val="-1"/>
          <w:sz w:val="20"/>
          <w:szCs w:val="20"/>
        </w:rPr>
        <w:tab/>
      </w:r>
      <w:r>
        <w:rPr>
          <w:sz w:val="20"/>
          <w:szCs w:val="20"/>
        </w:rPr>
        <w:t>the Company’s consolidated financi</w:t>
      </w:r>
      <w:r>
        <w:rPr>
          <w:sz w:val="20"/>
          <w:szCs w:val="20"/>
        </w:rPr>
        <w:t>al statements.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pacing w:val="-1"/>
          <w:sz w:val="20"/>
          <w:szCs w:val="20"/>
        </w:rPr>
        <w:t>However, based on the Company’s history</w:t>
      </w:r>
      <w:r>
        <w:rPr>
          <w:sz w:val="20"/>
          <w:szCs w:val="20"/>
        </w:rPr>
        <w:t xml:space="preserve"> of immaterial credit losses from trade receivables, management </w:t>
      </w:r>
      <w:r>
        <w:rPr>
          <w:spacing w:val="-9"/>
          <w:sz w:val="20"/>
          <w:szCs w:val="20"/>
        </w:rPr>
        <w:tab/>
      </w:r>
      <w:r>
        <w:rPr>
          <w:sz w:val="20"/>
          <w:szCs w:val="20"/>
        </w:rPr>
        <w:t xml:space="preserve">does not </w:t>
      </w:r>
      <w:r>
        <w:rPr>
          <w:spacing w:val="-9"/>
          <w:sz w:val="20"/>
          <w:szCs w:val="20"/>
        </w:rPr>
        <w:tab/>
      </w:r>
      <w:r>
        <w:rPr>
          <w:sz w:val="20"/>
          <w:szCs w:val="20"/>
        </w:rPr>
        <w:t xml:space="preserve">expect that the adoption of this standard will have a material effect on the Company’s consolidated financial </w:t>
      </w:r>
      <w:r>
        <w:rPr>
          <w:spacing w:val="-1"/>
          <w:sz w:val="20"/>
          <w:szCs w:val="20"/>
        </w:rPr>
        <w:tab/>
      </w:r>
      <w:r>
        <w:rPr>
          <w:sz w:val="20"/>
          <w:szCs w:val="20"/>
        </w:rPr>
        <w:t>statements.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ab/>
        <w:t xml:space="preserve">In August 2020, the FASB issued ASU 2020-06, “Debt – Debt with Conversion and Other Options (Subtopic </w:t>
      </w:r>
      <w:r>
        <w:rPr>
          <w:sz w:val="20"/>
          <w:szCs w:val="20"/>
        </w:rPr>
        <w:tab/>
        <w:t xml:space="preserve">470-20) and Derivatives and Hedging – Contracts in Entity’s Own Equity </w:t>
      </w:r>
      <w:r>
        <w:rPr>
          <w:spacing w:val="-1"/>
          <w:sz w:val="20"/>
          <w:szCs w:val="20"/>
        </w:rPr>
        <w:t>(Subtopic</w:t>
      </w:r>
      <w:r>
        <w:rPr>
          <w:sz w:val="20"/>
          <w:szCs w:val="20"/>
        </w:rPr>
        <w:t xml:space="preserve"> 815-40): Accounting for </w:t>
      </w:r>
      <w:r>
        <w:rPr>
          <w:spacing w:val="-11"/>
          <w:sz w:val="20"/>
          <w:szCs w:val="20"/>
        </w:rPr>
        <w:tab/>
      </w:r>
      <w:r>
        <w:rPr>
          <w:sz w:val="20"/>
          <w:szCs w:val="20"/>
        </w:rPr>
        <w:t>Convertible Instruments and Contracts in an En</w:t>
      </w:r>
      <w:r>
        <w:rPr>
          <w:sz w:val="20"/>
          <w:szCs w:val="20"/>
        </w:rPr>
        <w:t xml:space="preserve">tity’s Own Equity”, to reduce complexity in applying GAAP to certain </w:t>
      </w:r>
      <w:r>
        <w:rPr>
          <w:spacing w:val="1"/>
          <w:sz w:val="20"/>
          <w:szCs w:val="20"/>
        </w:rPr>
        <w:tab/>
      </w:r>
      <w:r>
        <w:rPr>
          <w:sz w:val="20"/>
          <w:szCs w:val="20"/>
        </w:rPr>
        <w:t xml:space="preserve">financial instruments with characteristics of liabilities and equity. ASU 2020-06 is effective for interim and annual periods </w:t>
      </w:r>
      <w:r>
        <w:rPr>
          <w:spacing w:val="-7"/>
          <w:sz w:val="20"/>
          <w:szCs w:val="20"/>
        </w:rPr>
        <w:tab/>
      </w:r>
      <w:r>
        <w:rPr>
          <w:sz w:val="20"/>
          <w:szCs w:val="20"/>
        </w:rPr>
        <w:t>beginning after December 15, 2023, with early adoption perm</w:t>
      </w:r>
      <w:r>
        <w:rPr>
          <w:sz w:val="20"/>
          <w:szCs w:val="20"/>
        </w:rPr>
        <w:t xml:space="preserve">itted. We adopted this pronouncement on January 1, 2021; </w:t>
      </w:r>
      <w:r>
        <w:rPr>
          <w:sz w:val="20"/>
          <w:szCs w:val="20"/>
        </w:rPr>
        <w:tab/>
        <w:t xml:space="preserve">however, the adoption of this standard did not have material effect on the Company’s consolidated financial </w:t>
      </w:r>
      <w:r>
        <w:rPr>
          <w:spacing w:val="-2"/>
          <w:sz w:val="20"/>
          <w:szCs w:val="20"/>
        </w:rPr>
        <w:tab/>
      </w:r>
      <w:r>
        <w:rPr>
          <w:sz w:val="20"/>
          <w:szCs w:val="20"/>
        </w:rPr>
        <w:t>statements.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sz w:val="20"/>
          <w:szCs w:val="20"/>
        </w:rPr>
        <w:t>Note 3 –</w:t>
      </w:r>
      <w:r>
        <w:rPr>
          <w:b/>
          <w:bCs/>
          <w:sz w:val="20"/>
          <w:szCs w:val="20"/>
        </w:rPr>
        <w:t xml:space="preserve"> </w:t>
      </w:r>
      <w:r>
        <w:rPr>
          <w:b/>
          <w:bCs/>
          <w:sz w:val="20"/>
          <w:szCs w:val="20"/>
        </w:rPr>
        <w:t>Note Receivable, Investment In and Option to Acquire Common Shares</w:t>
      </w:r>
      <w:r>
        <w:rPr>
          <w:b/>
          <w:bCs/>
          <w:sz w:val="20"/>
          <w:szCs w:val="20"/>
        </w:rPr>
        <w:t xml:space="preserve"> - Winners, Inc. – Related Part</w:t>
      </w:r>
      <w:r>
        <w:rPr>
          <w:b/>
          <w:bCs/>
          <w:sz w:val="20"/>
          <w:szCs w:val="20"/>
        </w:rPr>
        <w:t>y</w:t>
      </w:r>
    </w:p>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During the year ended September 30, 2020, the Company completed certain transactions with Winners Inc., formerly known as GoooGreen, Inc. (OTC:WNRS) (www.vegaswinners.com). Winners, Inc. is engaged in the business of spor</w:t>
      </w:r>
      <w:r>
        <w:rPr>
          <w:sz w:val="20"/>
          <w:szCs w:val="20"/>
        </w:rPr>
        <w:t>ts gambling research, data, advice, analysis and predictions utilizing all available media, advertising formats and its database of users. The business and customers of Winners is expected to compliment and benefit that of the Company. These transactions a</w:t>
      </w:r>
      <w:r>
        <w:rPr>
          <w:sz w:val="20"/>
          <w:szCs w:val="20"/>
        </w:rPr>
        <w:t>re considered related party transactions since certain officers and members’ of the Company’s Board of Directors are also members of Winner’s Inc. Board of Directors.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On September 8, 2021 the Company exercised the option to acquire common shares of Winne</w:t>
      </w:r>
      <w:r>
        <w:rPr>
          <w:sz w:val="20"/>
          <w:szCs w:val="20"/>
        </w:rPr>
        <w:t>rs, Inc and the Company recorded the investment using the equity method of accounting and reflecting it as an equity method investee.</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These transactions are as follows:</w:t>
      </w:r>
    </w:p>
    <w:p w:rsidR="00000000" w:rsidRDefault="00B647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Disclosure - Note Receivable, Investment In and Option to Acquire Common Shares - Winners, Inc. (Details))"/>
      </w:tblPr>
      <w:tblGrid>
        <w:gridCol w:w="4646"/>
        <w:gridCol w:w="659"/>
        <w:gridCol w:w="100"/>
        <w:gridCol w:w="992"/>
        <w:gridCol w:w="78"/>
        <w:gridCol w:w="659"/>
        <w:gridCol w:w="100"/>
        <w:gridCol w:w="993"/>
        <w:gridCol w:w="79"/>
      </w:tblGrid>
      <w:tr w:rsidR="00000000">
        <w:trPr>
          <w:hidden/>
        </w:trPr>
        <w:tc>
          <w:tcPr>
            <w:tcW w:w="0" w:type="auto"/>
            <w:vAlign w:val="bottom"/>
            <w:hideMark/>
          </w:tcPr>
          <w:p w:rsidR="00000000" w:rsidRDefault="00B64763">
            <w:pPr>
              <w:jc w:val="center"/>
              <w:rPr>
                <w:rFonts w:eastAsia="Times New Roman"/>
              </w:rPr>
            </w:pPr>
            <w:r>
              <w:rPr>
                <w:rFonts w:eastAsia="Times New Roman"/>
                <w:vanish/>
              </w:rPr>
              <w:t>Schedule of note receivabl</w:t>
            </w:r>
            <w:r>
              <w:rPr>
                <w:rFonts w:eastAsia="Times New Roman"/>
                <w:vanish/>
              </w:rPr>
              <w:t>e</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B64763">
            <w:pPr>
              <w:jc w:val="center"/>
              <w:rPr>
                <w:rFonts w:eastAsia="Times New Roman"/>
                <w:b/>
                <w:bCs/>
                <w:sz w:val="20"/>
                <w:szCs w:val="20"/>
              </w:rPr>
            </w:pPr>
            <w:r>
              <w:rPr>
                <w:rFonts w:eastAsia="Times New Roman"/>
                <w:b/>
                <w:bCs/>
                <w:sz w:val="20"/>
                <w:szCs w:val="20"/>
              </w:rPr>
              <w:t> </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B64763">
            <w:pPr>
              <w:jc w:val="center"/>
              <w:rPr>
                <w:rFonts w:eastAsia="Times New Roman"/>
                <w:b/>
                <w:bCs/>
                <w:sz w:val="20"/>
                <w:szCs w:val="20"/>
              </w:rPr>
            </w:pPr>
            <w:r>
              <w:rPr>
                <w:rFonts w:eastAsia="Times New Roman"/>
                <w:b/>
                <w:bCs/>
                <w:sz w:val="20"/>
                <w:szCs w:val="20"/>
              </w:rPr>
              <w:t> </w:t>
            </w:r>
          </w:p>
        </w:tc>
      </w:tr>
      <w:tr w:rsidR="00000000">
        <w:tc>
          <w:tcPr>
            <w:tcW w:w="0" w:type="auto"/>
            <w:vAlign w:val="bottom"/>
            <w:hideMark/>
          </w:tcPr>
          <w:p w:rsidR="00000000" w:rsidRDefault="00B64763">
            <w:pPr>
              <w:jc w:val="center"/>
              <w:rPr>
                <w:rFonts w:eastAsia="Times New Roman"/>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30-09-2021</w:t>
            </w:r>
          </w:p>
        </w:tc>
        <w:tc>
          <w:tcPr>
            <w:tcW w:w="0" w:type="auto"/>
            <w:tcMar>
              <w:top w:w="0" w:type="dxa"/>
              <w:left w:w="0" w:type="dxa"/>
              <w:bottom w:w="2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b/>
                <w:bCs/>
                <w:sz w:val="20"/>
                <w:szCs w:val="20"/>
              </w:rPr>
            </w:pPr>
            <w:r>
              <w:rPr>
                <w:rFonts w:eastAsia="Times New Roman"/>
                <w:b/>
                <w:bCs/>
                <w:sz w:val="20"/>
                <w:szCs w:val="20"/>
              </w:rPr>
              <w:t>30-09-2020</w:t>
            </w:r>
          </w:p>
        </w:tc>
      </w:tr>
      <w:tr w:rsidR="00000000">
        <w:tc>
          <w:tcPr>
            <w:tcW w:w="2800" w:type="pct"/>
            <w:shd w:val="clear" w:color="auto" w:fill="CCEEFF"/>
            <w:tcMar>
              <w:top w:w="0" w:type="dxa"/>
              <w:left w:w="15" w:type="dxa"/>
              <w:bottom w:w="0" w:type="dxa"/>
              <w:right w:w="0" w:type="dxa"/>
            </w:tcMar>
            <w:vAlign w:val="bottom"/>
            <w:hideMark/>
          </w:tcPr>
          <w:p w:rsidR="00000000" w:rsidRDefault="00B64763">
            <w:pPr>
              <w:rPr>
                <w:rFonts w:eastAsia="Times New Roman"/>
                <w:sz w:val="20"/>
                <w:szCs w:val="20"/>
              </w:rPr>
            </w:pPr>
            <w:r>
              <w:rPr>
                <w:rFonts w:eastAsia="Times New Roman"/>
                <w:sz w:val="20"/>
                <w:szCs w:val="20"/>
              </w:rPr>
              <w:t xml:space="preserve">A. </w:t>
            </w:r>
            <w:r>
              <w:rPr>
                <w:rFonts w:eastAsia="Times New Roman"/>
                <w:sz w:val="20"/>
                <w:szCs w:val="20"/>
              </w:rPr>
              <w:t>Notes Receivable</w:t>
            </w:r>
          </w:p>
        </w:tc>
        <w:tc>
          <w:tcPr>
            <w:tcW w:w="4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515,000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200,000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5" w:type="dxa"/>
              <w:bottom w:w="0" w:type="dxa"/>
              <w:right w:w="0" w:type="dxa"/>
            </w:tcMar>
            <w:vAlign w:val="bottom"/>
            <w:hideMark/>
          </w:tcPr>
          <w:p w:rsidR="00000000" w:rsidRDefault="00B64763">
            <w:pPr>
              <w:rPr>
                <w:rFonts w:eastAsia="Times New Roman"/>
                <w:sz w:val="20"/>
                <w:szCs w:val="20"/>
              </w:rPr>
            </w:pPr>
            <w:r>
              <w:rPr>
                <w:rFonts w:eastAsia="Times New Roman"/>
                <w:sz w:val="20"/>
                <w:szCs w:val="20"/>
              </w:rPr>
              <w:t>B. Accrued interest income</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41,000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5" w:type="dxa"/>
              <w:bottom w:w="0" w:type="dxa"/>
              <w:right w:w="0" w:type="dxa"/>
            </w:tcMar>
            <w:vAlign w:val="bottom"/>
            <w:hideMark/>
          </w:tcPr>
          <w:p w:rsidR="00000000" w:rsidRDefault="00B64763">
            <w:pPr>
              <w:rPr>
                <w:rFonts w:eastAsia="Times New Roman"/>
                <w:sz w:val="20"/>
                <w:szCs w:val="20"/>
              </w:rPr>
            </w:pPr>
            <w:r>
              <w:rPr>
                <w:rFonts w:eastAsia="Times New Roman"/>
                <w:sz w:val="20"/>
                <w:szCs w:val="20"/>
              </w:rPr>
              <w:t>C. Investment in Winners, Inc.</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35,000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5" w:type="dxa"/>
              <w:bottom w:w="0" w:type="dxa"/>
              <w:right w:w="0" w:type="dxa"/>
            </w:tcMar>
            <w:vAlign w:val="bottom"/>
            <w:hideMark/>
          </w:tcPr>
          <w:p w:rsidR="00000000" w:rsidRDefault="00B64763">
            <w:pPr>
              <w:rPr>
                <w:rFonts w:eastAsia="Times New Roman"/>
                <w:sz w:val="20"/>
                <w:szCs w:val="20"/>
              </w:rPr>
            </w:pPr>
            <w:r>
              <w:rPr>
                <w:rFonts w:eastAsia="Times New Roman"/>
                <w:sz w:val="20"/>
                <w:szCs w:val="20"/>
              </w:rPr>
              <w:t>D. Option to acquire common shares of Winners, Inc.</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5"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xml:space="preserve">E. </w:t>
            </w:r>
            <w:r>
              <w:rPr>
                <w:rFonts w:eastAsia="Times New Roman"/>
                <w:sz w:val="20"/>
                <w:szCs w:val="20"/>
              </w:rPr>
              <w:t>Investment in Winners, Inc. equity investment method</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105,000</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5" w:type="dxa"/>
              <w:bottom w:w="50" w:type="dxa"/>
              <w:right w:w="0" w:type="dxa"/>
            </w:tcMar>
            <w:vAlign w:val="bottom"/>
            <w:hideMark/>
          </w:tcPr>
          <w:p w:rsidR="00000000" w:rsidRDefault="00B64763">
            <w:pPr>
              <w:rPr>
                <w:rFonts w:eastAsia="Times New Roman"/>
              </w:rPr>
            </w:pPr>
            <w:r>
              <w:rPr>
                <w:rFonts w:eastAsia="Times New Roman"/>
                <w:color w:val="FFFFFF"/>
                <w:sz w:val="20"/>
                <w:szCs w:val="20"/>
              </w:rPr>
              <w:t> Total</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661,000</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335,000</w:t>
            </w:r>
          </w:p>
        </w:tc>
        <w:tc>
          <w:tcPr>
            <w:tcW w:w="0" w:type="auto"/>
            <w:shd w:val="clear" w:color="auto" w:fill="FFFF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hideMark/>
          </w:tcPr>
          <w:p w:rsidR="00000000" w:rsidRDefault="00B64763">
            <w:pPr>
              <w:rPr>
                <w:rFonts w:eastAsia="Times New Roman"/>
                <w:sz w:val="20"/>
                <w:szCs w:val="20"/>
              </w:rPr>
            </w:pPr>
            <w:r>
              <w:rPr>
                <w:rFonts w:eastAsia="Times New Roman"/>
                <w:i/>
                <w:iCs/>
                <w:sz w:val="20"/>
                <w:szCs w:val="20"/>
              </w:rPr>
              <w:t>A.</w:t>
            </w:r>
          </w:p>
        </w:tc>
        <w:tc>
          <w:tcPr>
            <w:tcW w:w="0" w:type="auto"/>
            <w:hideMark/>
          </w:tcPr>
          <w:p w:rsidR="00000000" w:rsidRDefault="00B64763">
            <w:pPr>
              <w:rPr>
                <w:rFonts w:eastAsia="Times New Roman"/>
                <w:sz w:val="20"/>
                <w:szCs w:val="20"/>
              </w:rPr>
            </w:pPr>
            <w:r>
              <w:rPr>
                <w:rFonts w:eastAsia="Times New Roman"/>
                <w:i/>
                <w:iCs/>
                <w:sz w:val="20"/>
                <w:szCs w:val="20"/>
                <w:u w:val="single"/>
              </w:rPr>
              <w:t>Notes Receivable</w:t>
            </w:r>
          </w:p>
        </w:tc>
      </w:tr>
    </w:tbl>
    <w:p w:rsidR="00000000" w:rsidRDefault="00B64763">
      <w:pPr>
        <w:pStyle w:val="a3"/>
        <w:spacing w:before="0" w:beforeAutospacing="0" w:after="0" w:afterAutospacing="0"/>
        <w:ind w:hanging="360"/>
        <w:rPr>
          <w:sz w:val="20"/>
          <w:szCs w:val="20"/>
        </w:rPr>
      </w:pPr>
      <w:r>
        <w:rPr>
          <w:i/>
          <w:iCs/>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In July, 2020, </w:t>
      </w:r>
      <w:r>
        <w:rPr>
          <w:sz w:val="20"/>
          <w:szCs w:val="20"/>
        </w:rPr>
        <w:t xml:space="preserve">the Company received a promissory note in the amount of $350,000 from Winners Inc., formerly known as GoooGreen, Inc. in exchange for cash. Winners Inc. (OTC:WNRS)(www.vegaswinners.com) is engaged in the business of sports gambling research, data, advice, </w:t>
      </w:r>
      <w:r>
        <w:rPr>
          <w:sz w:val="20"/>
          <w:szCs w:val="20"/>
        </w:rPr>
        <w:t>analysis and predictions utilizing all available media, advertising formats and its database of users. The business and customers of Winners is expected to compliment and benefit that of the Company.</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divId w:val="1022972443"/>
        <w:rPr>
          <w:sz w:val="20"/>
          <w:szCs w:val="20"/>
        </w:rPr>
      </w:pPr>
      <w:r>
        <w:rPr>
          <w:sz w:val="20"/>
          <w:szCs w:val="20"/>
        </w:rPr>
        <w:t>F</w:t>
      </w:r>
      <w:r>
        <w:rPr>
          <w:sz w:val="20"/>
          <w:szCs w:val="20"/>
        </w:rPr>
        <w:t>-</w:t>
      </w:r>
      <w:r>
        <w:rPr>
          <w:sz w:val="20"/>
          <w:szCs w:val="20"/>
        </w:rPr>
        <w:t>1</w:t>
      </w:r>
      <w:r>
        <w:rPr>
          <w:sz w:val="20"/>
          <w:szCs w:val="20"/>
        </w:rPr>
        <w:t>7</w:t>
      </w:r>
    </w:p>
    <w:p w:rsidR="00000000" w:rsidRDefault="00B64763">
      <w:pPr>
        <w:pStyle w:val="a3"/>
        <w:spacing w:before="0" w:beforeAutospacing="0" w:after="0" w:afterAutospacing="0"/>
        <w:divId w:val="123626599"/>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CLICKSTREAM 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September 30, 2021 and 2020</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19"/>
        <w:jc w:val="both"/>
        <w:rPr>
          <w:sz w:val="20"/>
          <w:szCs w:val="20"/>
        </w:rPr>
      </w:pPr>
      <w:r>
        <w:rPr>
          <w:sz w:val="20"/>
          <w:szCs w:val="20"/>
        </w:rPr>
        <w:t xml:space="preserve">The note is secured by all tangible and intangible assets of Winners Inc., bears interest at a rate of 10% per annum and matured on August 11, 2021. Subsequent to </w:t>
      </w:r>
      <w:r>
        <w:rPr>
          <w:sz w:val="20"/>
          <w:szCs w:val="20"/>
        </w:rPr>
        <w:t xml:space="preserve">the receipt of the promissory note, a total of $150,000 has been collected. The balance of the note receivable as of September 30, 2020 is </w:t>
      </w:r>
      <w:r>
        <w:rPr>
          <w:spacing w:val="-28"/>
          <w:sz w:val="20"/>
          <w:szCs w:val="20"/>
        </w:rPr>
        <w:t>$</w:t>
      </w:r>
      <w:r>
        <w:rPr>
          <w:spacing w:val="-28"/>
          <w:sz w:val="20"/>
          <w:szCs w:val="20"/>
        </w:rPr>
        <w:t xml:space="preserve"> </w:t>
      </w:r>
      <w:r>
        <w:rPr>
          <w:sz w:val="20"/>
          <w:szCs w:val="20"/>
        </w:rPr>
        <w:t>200,00</w:t>
      </w:r>
      <w:r>
        <w:rPr>
          <w:sz w:val="20"/>
          <w:szCs w:val="20"/>
        </w:rPr>
        <w:t>0</w:t>
      </w:r>
      <w:r>
        <w:rPr>
          <w:sz w:val="20"/>
          <w:szCs w:val="20"/>
        </w:rPr>
        <w:t>. This note is past due as of September 30, 2021</w:t>
      </w:r>
    </w:p>
    <w:p w:rsidR="00000000" w:rsidRDefault="00B64763">
      <w:pPr>
        <w:pStyle w:val="a3"/>
        <w:spacing w:before="0" w:beforeAutospacing="0" w:after="0" w:afterAutospacing="0"/>
        <w:ind w:firstLine="719"/>
        <w:jc w:val="both"/>
        <w:rPr>
          <w:sz w:val="20"/>
          <w:szCs w:val="20"/>
        </w:rPr>
      </w:pPr>
      <w:r>
        <w:rPr>
          <w:sz w:val="20"/>
          <w:szCs w:val="20"/>
        </w:rPr>
        <w:t> </w:t>
      </w:r>
    </w:p>
    <w:p w:rsidR="00000000" w:rsidRDefault="00B64763">
      <w:pPr>
        <w:pStyle w:val="a3"/>
        <w:spacing w:before="0" w:beforeAutospacing="0" w:after="0" w:afterAutospacing="0"/>
        <w:ind w:firstLine="719"/>
        <w:jc w:val="both"/>
        <w:rPr>
          <w:sz w:val="20"/>
          <w:szCs w:val="20"/>
        </w:rPr>
      </w:pPr>
      <w:r>
        <w:rPr>
          <w:sz w:val="20"/>
          <w:szCs w:val="20"/>
        </w:rPr>
        <w:t>During the year ended September 30, 2021, the Company rec</w:t>
      </w:r>
      <w:r>
        <w:rPr>
          <w:sz w:val="20"/>
          <w:szCs w:val="20"/>
        </w:rPr>
        <w:t xml:space="preserve">eived two promissory notes from Winners Inc. in the aggregate of </w:t>
      </w:r>
      <w:r>
        <w:rPr>
          <w:sz w:val="20"/>
          <w:szCs w:val="20"/>
        </w:rPr>
        <w:t>$</w:t>
      </w:r>
      <w:r>
        <w:rPr>
          <w:sz w:val="20"/>
          <w:szCs w:val="20"/>
        </w:rPr>
        <w:t>315,00</w:t>
      </w:r>
      <w:r>
        <w:rPr>
          <w:sz w:val="20"/>
          <w:szCs w:val="20"/>
        </w:rPr>
        <w:t>0</w:t>
      </w:r>
      <w:r>
        <w:rPr>
          <w:sz w:val="20"/>
          <w:szCs w:val="20"/>
        </w:rPr>
        <w:t>. The promissory notes are secured by tangible and intangible assets of Winners, Inc., bears interest at a rate of 10% per annum and will mature in November and December 2021.</w:t>
      </w:r>
    </w:p>
    <w:p w:rsidR="00000000" w:rsidRDefault="00B64763">
      <w:pPr>
        <w:pStyle w:val="a3"/>
        <w:spacing w:before="0" w:beforeAutospacing="0" w:after="0" w:afterAutospacing="0"/>
        <w:ind w:firstLine="719"/>
        <w:jc w:val="both"/>
        <w:rPr>
          <w:sz w:val="20"/>
          <w:szCs w:val="20"/>
        </w:rPr>
      </w:pPr>
      <w:r>
        <w:rPr>
          <w:sz w:val="20"/>
          <w:szCs w:val="20"/>
        </w:rPr>
        <w:t> </w:t>
      </w:r>
    </w:p>
    <w:p w:rsidR="00000000" w:rsidRDefault="00B64763">
      <w:pPr>
        <w:pStyle w:val="a3"/>
        <w:spacing w:before="0" w:beforeAutospacing="0" w:after="0" w:afterAutospacing="0"/>
        <w:ind w:firstLine="718"/>
        <w:jc w:val="both"/>
        <w:rPr>
          <w:sz w:val="20"/>
          <w:szCs w:val="20"/>
        </w:rPr>
      </w:pPr>
      <w:r>
        <w:rPr>
          <w:sz w:val="20"/>
          <w:szCs w:val="20"/>
        </w:rPr>
        <w:t>The b</w:t>
      </w:r>
      <w:r>
        <w:rPr>
          <w:sz w:val="20"/>
          <w:szCs w:val="20"/>
        </w:rPr>
        <w:t xml:space="preserve">alance of the notes receivable as of September 30, 2021 is </w:t>
      </w:r>
      <w:r>
        <w:rPr>
          <w:spacing w:val="-28"/>
          <w:sz w:val="20"/>
          <w:szCs w:val="20"/>
        </w:rPr>
        <w:t>$</w:t>
      </w:r>
      <w:r>
        <w:rPr>
          <w:spacing w:val="-28"/>
          <w:sz w:val="20"/>
          <w:szCs w:val="20"/>
        </w:rPr>
        <w:t xml:space="preserve"> </w:t>
      </w:r>
      <w:r>
        <w:rPr>
          <w:sz w:val="20"/>
          <w:szCs w:val="20"/>
        </w:rPr>
        <w:t>515,00</w:t>
      </w:r>
      <w:r>
        <w:rPr>
          <w:sz w:val="20"/>
          <w:szCs w:val="20"/>
        </w:rPr>
        <w:t>0</w:t>
      </w:r>
      <w:r>
        <w:rPr>
          <w:sz w:val="20"/>
          <w:szCs w:val="20"/>
        </w:rPr>
        <w:t xml:space="preserve"> with </w:t>
      </w:r>
      <w:r>
        <w:rPr>
          <w:sz w:val="20"/>
          <w:szCs w:val="20"/>
        </w:rPr>
        <w:t>$</w:t>
      </w:r>
      <w:r>
        <w:rPr>
          <w:sz w:val="20"/>
          <w:szCs w:val="20"/>
        </w:rPr>
        <w:t>200,00</w:t>
      </w:r>
      <w:r>
        <w:rPr>
          <w:sz w:val="20"/>
          <w:szCs w:val="20"/>
        </w:rPr>
        <w:t>0</w:t>
      </w:r>
      <w:r>
        <w:rPr>
          <w:sz w:val="20"/>
          <w:szCs w:val="20"/>
        </w:rPr>
        <w:t xml:space="preserve"> past due. Subsequent to September 30, 2021, the Company has received </w:t>
      </w:r>
      <w:r>
        <w:rPr>
          <w:sz w:val="20"/>
          <w:szCs w:val="20"/>
        </w:rPr>
        <w:t>$</w:t>
      </w:r>
      <w:r>
        <w:rPr>
          <w:sz w:val="20"/>
          <w:szCs w:val="20"/>
        </w:rPr>
        <w:t xml:space="preserve">425,000 </w:t>
      </w:r>
      <w:r>
        <w:rPr>
          <w:sz w:val="20"/>
          <w:szCs w:val="20"/>
        </w:rPr>
        <w:t>i</w:t>
      </w:r>
      <w:r>
        <w:rPr>
          <w:sz w:val="20"/>
          <w:szCs w:val="20"/>
        </w:rPr>
        <w:t>n principal from the notes receivable.</w:t>
      </w:r>
    </w:p>
    <w:p w:rsidR="00000000" w:rsidRDefault="00B64763">
      <w:pPr>
        <w:pStyle w:val="a3"/>
        <w:spacing w:before="0" w:beforeAutospacing="0" w:after="0" w:afterAutospacing="0"/>
        <w:ind w:firstLine="718"/>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hideMark/>
          </w:tcPr>
          <w:p w:rsidR="00000000" w:rsidRDefault="00B64763">
            <w:pPr>
              <w:rPr>
                <w:rFonts w:eastAsia="Times New Roman"/>
                <w:sz w:val="20"/>
                <w:szCs w:val="20"/>
              </w:rPr>
            </w:pPr>
            <w:r>
              <w:rPr>
                <w:rFonts w:eastAsia="Times New Roman"/>
                <w:i/>
                <w:iCs/>
                <w:sz w:val="20"/>
                <w:szCs w:val="20"/>
              </w:rPr>
              <w:t>B.</w:t>
            </w:r>
          </w:p>
        </w:tc>
        <w:tc>
          <w:tcPr>
            <w:tcW w:w="0" w:type="auto"/>
            <w:hideMark/>
          </w:tcPr>
          <w:p w:rsidR="00000000" w:rsidRDefault="00B64763">
            <w:pPr>
              <w:rPr>
                <w:rFonts w:eastAsia="Times New Roman"/>
                <w:sz w:val="20"/>
                <w:szCs w:val="20"/>
              </w:rPr>
            </w:pPr>
            <w:r>
              <w:rPr>
                <w:rFonts w:eastAsia="Times New Roman"/>
                <w:i/>
                <w:iCs/>
                <w:sz w:val="20"/>
                <w:szCs w:val="20"/>
                <w:u w:val="single"/>
              </w:rPr>
              <w:t>Accrued interest income</w:t>
            </w:r>
          </w:p>
        </w:tc>
      </w:tr>
    </w:tbl>
    <w:p w:rsidR="00000000" w:rsidRDefault="00B64763">
      <w:pPr>
        <w:pStyle w:val="a3"/>
        <w:spacing w:before="0" w:beforeAutospacing="0" w:after="0" w:afterAutospacing="0"/>
        <w:ind w:hanging="360"/>
        <w:rPr>
          <w:sz w:val="20"/>
          <w:szCs w:val="20"/>
        </w:rPr>
      </w:pPr>
      <w:r>
        <w:rPr>
          <w:i/>
          <w:iCs/>
          <w:sz w:val="20"/>
          <w:szCs w:val="20"/>
        </w:rPr>
        <w:t> </w:t>
      </w:r>
    </w:p>
    <w:p w:rsidR="00000000" w:rsidRDefault="00B64763">
      <w:pPr>
        <w:pStyle w:val="a3"/>
        <w:spacing w:before="0" w:beforeAutospacing="0" w:after="0" w:afterAutospacing="0"/>
        <w:ind w:firstLine="719"/>
        <w:jc w:val="both"/>
        <w:rPr>
          <w:sz w:val="20"/>
          <w:szCs w:val="20"/>
        </w:rPr>
      </w:pPr>
      <w:r>
        <w:rPr>
          <w:sz w:val="20"/>
          <w:szCs w:val="20"/>
        </w:rPr>
        <w:tab/>
        <w:t xml:space="preserve">During </w:t>
      </w:r>
      <w:r>
        <w:rPr>
          <w:sz w:val="20"/>
          <w:szCs w:val="20"/>
        </w:rPr>
        <w:t xml:space="preserve">the year ended September 30, 2021, the Company recorded interest income receivable of </w:t>
      </w:r>
      <w:r>
        <w:rPr>
          <w:sz w:val="20"/>
          <w:szCs w:val="20"/>
        </w:rPr>
        <w:t>$</w:t>
      </w:r>
      <w:r>
        <w:rPr>
          <w:sz w:val="20"/>
          <w:szCs w:val="20"/>
        </w:rPr>
        <w:t>41,00</w:t>
      </w:r>
      <w:r>
        <w:rPr>
          <w:sz w:val="20"/>
          <w:szCs w:val="20"/>
        </w:rPr>
        <w:t>0</w:t>
      </w:r>
      <w:r>
        <w:rPr>
          <w:sz w:val="20"/>
          <w:szCs w:val="20"/>
        </w:rPr>
        <w:t xml:space="preserve"> from the notes receivable.</w:t>
      </w:r>
    </w:p>
    <w:p w:rsidR="00000000" w:rsidRDefault="00B64763">
      <w:pPr>
        <w:pStyle w:val="a3"/>
        <w:spacing w:before="0" w:beforeAutospacing="0" w:after="0" w:afterAutospacing="0"/>
        <w:ind w:firstLine="719"/>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hideMark/>
          </w:tcPr>
          <w:p w:rsidR="00000000" w:rsidRDefault="00B64763">
            <w:pPr>
              <w:rPr>
                <w:rFonts w:eastAsia="Times New Roman"/>
                <w:sz w:val="20"/>
                <w:szCs w:val="20"/>
              </w:rPr>
            </w:pPr>
            <w:r>
              <w:rPr>
                <w:rFonts w:eastAsia="Times New Roman"/>
                <w:i/>
                <w:iCs/>
                <w:sz w:val="20"/>
                <w:szCs w:val="20"/>
              </w:rPr>
              <w:t>C.</w:t>
            </w:r>
          </w:p>
        </w:tc>
        <w:tc>
          <w:tcPr>
            <w:tcW w:w="0" w:type="auto"/>
            <w:hideMark/>
          </w:tcPr>
          <w:p w:rsidR="00000000" w:rsidRDefault="00B64763">
            <w:pPr>
              <w:jc w:val="both"/>
              <w:rPr>
                <w:rFonts w:eastAsia="Times New Roman"/>
                <w:sz w:val="20"/>
                <w:szCs w:val="20"/>
              </w:rPr>
            </w:pPr>
            <w:r>
              <w:rPr>
                <w:rFonts w:eastAsia="Times New Roman"/>
                <w:i/>
                <w:iCs/>
                <w:sz w:val="20"/>
                <w:szCs w:val="20"/>
                <w:u w:val="single"/>
              </w:rPr>
              <w:t>Investment in Winners Inc.</w:t>
            </w:r>
          </w:p>
        </w:tc>
      </w:tr>
    </w:tbl>
    <w:p w:rsidR="00000000" w:rsidRDefault="00B64763">
      <w:pPr>
        <w:pStyle w:val="a3"/>
        <w:spacing w:before="0" w:beforeAutospacing="0" w:after="0" w:afterAutospacing="0"/>
        <w:rPr>
          <w:sz w:val="20"/>
          <w:szCs w:val="20"/>
        </w:rPr>
      </w:pPr>
      <w:r>
        <w:rPr>
          <w:i/>
          <w:iCs/>
          <w:sz w:val="20"/>
          <w:szCs w:val="20"/>
        </w:rPr>
        <w:t> </w:t>
      </w:r>
    </w:p>
    <w:p w:rsidR="00000000" w:rsidRDefault="00B64763">
      <w:pPr>
        <w:pStyle w:val="a3"/>
        <w:spacing w:before="0" w:beforeAutospacing="0" w:after="0" w:afterAutospacing="0"/>
        <w:ind w:firstLine="719"/>
        <w:jc w:val="both"/>
        <w:rPr>
          <w:sz w:val="20"/>
          <w:szCs w:val="20"/>
        </w:rPr>
      </w:pPr>
      <w:r>
        <w:rPr>
          <w:sz w:val="20"/>
          <w:szCs w:val="20"/>
        </w:rPr>
        <w:t>In July 2020, the Company purchased 500,000 shares of Winners Inc. common stock representing approxi</w:t>
      </w:r>
      <w:r>
        <w:rPr>
          <w:sz w:val="20"/>
          <w:szCs w:val="20"/>
        </w:rPr>
        <w:t>mately 3% of Winners, Inc. issued and outstanding common stock in exchange for cash of $50,000.</w:t>
      </w:r>
    </w:p>
    <w:p w:rsidR="00000000" w:rsidRDefault="00B64763">
      <w:pPr>
        <w:pStyle w:val="a3"/>
        <w:spacing w:before="0" w:beforeAutospacing="0" w:after="0" w:afterAutospacing="0"/>
        <w:ind w:firstLine="719"/>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 Company accounted for the investment to Winners Inc. pursuant to ASC 320, Investments - Debt and Equity, as the Company’s equity interest does not give it</w:t>
      </w:r>
      <w:r>
        <w:rPr>
          <w:sz w:val="20"/>
          <w:szCs w:val="20"/>
        </w:rPr>
        <w:t xml:space="preserve"> the ability to exercise significant influence (generally less than 20% of an investee’s equity) and accounts for the investment at fair value. The investment is then re-valued at each reporting date, with changes in the fair value reported in the consolid</w:t>
      </w:r>
      <w:r>
        <w:rPr>
          <w:sz w:val="20"/>
          <w:szCs w:val="20"/>
        </w:rPr>
        <w:t>ated statements of operations. As of September 30, 2020, the investment had a fair value of $35,000, resulting in a loss on investment of $15,000 during the year ended September 30, 2020.</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On September 8, 2021 the Company started accounting for its invest</w:t>
      </w:r>
      <w:r>
        <w:rPr>
          <w:sz w:val="20"/>
          <w:szCs w:val="20"/>
        </w:rPr>
        <w:t>ment in Winners, Inc as an equity method investment (See Note 6)</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hideMark/>
          </w:tcPr>
          <w:p w:rsidR="00000000" w:rsidRDefault="00B64763">
            <w:pPr>
              <w:rPr>
                <w:rFonts w:eastAsia="Times New Roman"/>
                <w:sz w:val="20"/>
                <w:szCs w:val="20"/>
              </w:rPr>
            </w:pPr>
            <w:r>
              <w:rPr>
                <w:rFonts w:eastAsia="Times New Roman"/>
                <w:i/>
                <w:iCs/>
                <w:sz w:val="20"/>
                <w:szCs w:val="20"/>
              </w:rPr>
              <w:t>D.</w:t>
            </w:r>
          </w:p>
        </w:tc>
        <w:tc>
          <w:tcPr>
            <w:tcW w:w="0" w:type="auto"/>
            <w:hideMark/>
          </w:tcPr>
          <w:p w:rsidR="00000000" w:rsidRDefault="00B64763">
            <w:pPr>
              <w:jc w:val="both"/>
              <w:rPr>
                <w:rFonts w:eastAsia="Times New Roman"/>
                <w:sz w:val="20"/>
                <w:szCs w:val="20"/>
              </w:rPr>
            </w:pPr>
            <w:r>
              <w:rPr>
                <w:rFonts w:eastAsia="Times New Roman"/>
                <w:i/>
                <w:iCs/>
                <w:sz w:val="20"/>
                <w:szCs w:val="20"/>
                <w:u w:val="single"/>
              </w:rPr>
              <w:t>Option to acquire common shares of Winners, Inc.</w:t>
            </w:r>
          </w:p>
        </w:tc>
      </w:tr>
    </w:tbl>
    <w:p w:rsidR="00000000" w:rsidRDefault="00B64763">
      <w:pPr>
        <w:pStyle w:val="a3"/>
        <w:spacing w:before="0" w:beforeAutospacing="0" w:after="0" w:afterAutospacing="0"/>
        <w:rPr>
          <w:sz w:val="20"/>
          <w:szCs w:val="20"/>
        </w:rPr>
      </w:pPr>
      <w:r>
        <w:rPr>
          <w:i/>
          <w:iCs/>
          <w:sz w:val="20"/>
          <w:szCs w:val="20"/>
        </w:rPr>
        <w:t> </w:t>
      </w:r>
    </w:p>
    <w:p w:rsidR="00000000" w:rsidRDefault="00B64763">
      <w:pPr>
        <w:pStyle w:val="a3"/>
        <w:spacing w:before="0" w:beforeAutospacing="0" w:after="0" w:afterAutospacing="0"/>
        <w:ind w:firstLine="719"/>
        <w:jc w:val="both"/>
        <w:rPr>
          <w:sz w:val="20"/>
          <w:szCs w:val="20"/>
        </w:rPr>
      </w:pPr>
      <w:r>
        <w:rPr>
          <w:sz w:val="20"/>
          <w:szCs w:val="20"/>
        </w:rPr>
        <w:t>In August 2020, the Company obtained an option as amended from Thomas Terwilliger, Winners Inc.’s Chief Executive Officer and sharehol</w:t>
      </w:r>
      <w:r>
        <w:rPr>
          <w:sz w:val="20"/>
          <w:szCs w:val="20"/>
        </w:rPr>
        <w:t>der, to purchase 149,012,000 (14,901,200 pre-split) common shares for $175,000 for which the Company has provided a $100,000 non-refundable deposit. Once the Company has remitted the remaining $75,000 to Mr. Terwilliger, the option will be exercisable anyt</w:t>
      </w:r>
      <w:r>
        <w:rPr>
          <w:sz w:val="20"/>
          <w:szCs w:val="20"/>
        </w:rPr>
        <w:t>ime through May 31, 2021 and which was subsequently extended.</w:t>
      </w:r>
    </w:p>
    <w:p w:rsidR="00000000" w:rsidRDefault="00B64763">
      <w:pPr>
        <w:pStyle w:val="a3"/>
        <w:spacing w:before="0" w:beforeAutospacing="0" w:after="0" w:afterAutospacing="0"/>
        <w:ind w:firstLine="719"/>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 followed the guidance of ASC 321, Investment – </w:t>
      </w:r>
      <w:r>
        <w:rPr>
          <w:sz w:val="20"/>
          <w:szCs w:val="20"/>
        </w:rPr>
        <w:t>Equity Securities and accounted the option at cost of $100,000 at September 30, 2020. The remaining balance of $75,000 was paid to Mr. Terwilliger and the option was exercised on September 8, 2020. (See Note 6)</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hideMark/>
          </w:tcPr>
          <w:p w:rsidR="00000000" w:rsidRDefault="00B64763">
            <w:pPr>
              <w:rPr>
                <w:rFonts w:eastAsia="Times New Roman"/>
                <w:sz w:val="20"/>
                <w:szCs w:val="20"/>
              </w:rPr>
            </w:pPr>
            <w:r>
              <w:rPr>
                <w:rFonts w:eastAsia="Times New Roman"/>
                <w:i/>
                <w:iCs/>
                <w:sz w:val="20"/>
                <w:szCs w:val="20"/>
              </w:rPr>
              <w:t>E.</w:t>
            </w:r>
          </w:p>
        </w:tc>
        <w:tc>
          <w:tcPr>
            <w:tcW w:w="0" w:type="auto"/>
            <w:hideMark/>
          </w:tcPr>
          <w:p w:rsidR="00000000" w:rsidRDefault="00B64763">
            <w:pPr>
              <w:jc w:val="both"/>
              <w:rPr>
                <w:rFonts w:eastAsia="Times New Roman"/>
                <w:sz w:val="20"/>
                <w:szCs w:val="20"/>
              </w:rPr>
            </w:pPr>
            <w:r>
              <w:rPr>
                <w:rFonts w:eastAsia="Times New Roman"/>
                <w:i/>
                <w:iCs/>
                <w:sz w:val="20"/>
                <w:szCs w:val="20"/>
                <w:u w:val="single"/>
              </w:rPr>
              <w:t>Investment in equity method investee - W</w:t>
            </w:r>
            <w:r>
              <w:rPr>
                <w:rFonts w:eastAsia="Times New Roman"/>
                <w:i/>
                <w:iCs/>
                <w:sz w:val="20"/>
                <w:szCs w:val="20"/>
                <w:u w:val="single"/>
              </w:rPr>
              <w:t>inners, Inc.</w:t>
            </w:r>
          </w:p>
        </w:tc>
      </w:tr>
    </w:tbl>
    <w:p w:rsidR="00000000" w:rsidRDefault="00B64763">
      <w:pPr>
        <w:pStyle w:val="a3"/>
        <w:spacing w:before="0" w:beforeAutospacing="0" w:after="0" w:afterAutospacing="0"/>
        <w:rPr>
          <w:sz w:val="20"/>
          <w:szCs w:val="20"/>
        </w:rPr>
      </w:pPr>
      <w:r>
        <w:rPr>
          <w:i/>
          <w:iCs/>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 remaining balance of $75,000 was paid to Mr. Terwilliger and the option was exercised on September 8, 2021. The Company followed the guidance of ASC 323, Investment - Equity Method and Joint Ventures (See Note 6)</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divId w:val="185221056"/>
        <w:rPr>
          <w:sz w:val="20"/>
          <w:szCs w:val="20"/>
        </w:rPr>
      </w:pPr>
      <w:r>
        <w:rPr>
          <w:sz w:val="20"/>
          <w:szCs w:val="20"/>
        </w:rPr>
        <w:t>F</w:t>
      </w:r>
      <w:r>
        <w:rPr>
          <w:sz w:val="20"/>
          <w:szCs w:val="20"/>
        </w:rPr>
        <w:t>-</w:t>
      </w:r>
      <w:r>
        <w:rPr>
          <w:sz w:val="20"/>
          <w:szCs w:val="20"/>
        </w:rPr>
        <w:t>1</w:t>
      </w:r>
      <w:r>
        <w:rPr>
          <w:sz w:val="20"/>
          <w:szCs w:val="20"/>
        </w:rPr>
        <w:t>8</w:t>
      </w:r>
    </w:p>
    <w:p w:rsidR="00000000" w:rsidRDefault="00B64763">
      <w:pPr>
        <w:pStyle w:val="a3"/>
        <w:spacing w:before="0" w:beforeAutospacing="0" w:after="0" w:afterAutospacing="0"/>
        <w:divId w:val="1190290888"/>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 xml:space="preserve">CLICKSTREAM </w:t>
      </w:r>
      <w:r>
        <w:rPr>
          <w:sz w:val="20"/>
          <w:szCs w:val="20"/>
        </w:rPr>
        <w:t>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September 30, 2021 and 2020</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rPr>
          <w:b/>
          <w:bCs/>
          <w:sz w:val="20"/>
          <w:szCs w:val="20"/>
        </w:rPr>
      </w:pPr>
      <w:r>
        <w:rPr>
          <w:b/>
          <w:bCs/>
          <w:sz w:val="20"/>
          <w:szCs w:val="20"/>
        </w:rPr>
        <w:t>Note 4–</w:t>
      </w:r>
      <w:r>
        <w:rPr>
          <w:b/>
          <w:bCs/>
          <w:sz w:val="20"/>
          <w:szCs w:val="20"/>
        </w:rPr>
        <w:t xml:space="preserve"> </w:t>
      </w:r>
      <w:r>
        <w:rPr>
          <w:b/>
          <w:bCs/>
          <w:sz w:val="20"/>
          <w:szCs w:val="20"/>
        </w:rPr>
        <w:t>Acquisition of Nebula Software Corp. (Asset Purchase</w:t>
      </w:r>
      <w:r>
        <w:rPr>
          <w:b/>
          <w:bCs/>
          <w:sz w:val="20"/>
          <w:szCs w:val="20"/>
        </w:rPr>
        <w:t>)</w:t>
      </w:r>
    </w:p>
    <w:p w:rsidR="00000000" w:rsidRDefault="00B64763">
      <w:pPr>
        <w:pStyle w:val="a3"/>
        <w:spacing w:before="0" w:beforeAutospacing="0" w:after="0" w:afterAutospacing="0"/>
        <w:rPr>
          <w:b/>
          <w:bCs/>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On December 3, 2020, </w:t>
      </w:r>
      <w:r>
        <w:rPr>
          <w:sz w:val="20"/>
          <w:szCs w:val="20"/>
        </w:rPr>
        <w:t xml:space="preserve">the Company acquired 100% of the outstanding shares of Nebula in exchange for 10,000,000 shares of common stock having a fair value of $128,000 ($0.0128/share), based upon the quoted closing trading price. The $128,000 was recorded as an intangible asset. </w:t>
      </w:r>
      <w:r>
        <w:rPr>
          <w:sz w:val="20"/>
          <w:szCs w:val="20"/>
        </w:rPr>
        <w:t>In addition there was 10,000,000 additional common shares due as contingent consideration upon the launch of HeyPal™ App without major software bugs which inhibit large functionality. These were issued and accounted for as a $2,370,000 expense in March 202</w:t>
      </w:r>
      <w:r>
        <w:rPr>
          <w:sz w:val="20"/>
          <w:szCs w:val="20"/>
        </w:rPr>
        <w:t>1 when the contingency occurred, which is included in general and administrative expenses.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With the acquisition, the Company is able to consolidate and complement existing content operations, trained workforce, proprietary software and operating platform</w:t>
      </w:r>
      <w:r>
        <w:rPr>
          <w:sz w:val="20"/>
          <w:szCs w:val="20"/>
        </w:rPr>
        <w:t>, and the opportunity to generate future synergies with our existing business.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 Company has included the results of operations of Nebula from the acquisition date through the end of the period. There were no acquisition related costs.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Pursuant to AS</w:t>
      </w:r>
      <w:r>
        <w:rPr>
          <w:sz w:val="20"/>
          <w:szCs w:val="20"/>
        </w:rPr>
        <w:t xml:space="preserve">U 2017-01, Business Combinations (Topic 805): “Clarifying the Definition of a Business”, this acquisition was determined to be that of an asset and not a business, therefore, there was not a business combination requiring acquisition accounting or related </w:t>
      </w:r>
      <w:r>
        <w:rPr>
          <w:sz w:val="20"/>
          <w:szCs w:val="20"/>
        </w:rPr>
        <w:t>financial reporting. Since this was deemed to be an asset purchase, this did not result in the recognition of goodwill.</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rPr>
          <w:sz w:val="20"/>
          <w:szCs w:val="20"/>
        </w:rPr>
      </w:pPr>
      <w:r>
        <w:rPr>
          <w:sz w:val="20"/>
          <w:szCs w:val="20"/>
        </w:rPr>
        <w:t xml:space="preserve">During the year ended September 30, 2021, the Company recorded an impairment expense of </w:t>
      </w:r>
      <w:r>
        <w:rPr>
          <w:sz w:val="20"/>
          <w:szCs w:val="20"/>
        </w:rPr>
        <w:t>$</w:t>
      </w:r>
      <w:r>
        <w:rPr>
          <w:sz w:val="20"/>
          <w:szCs w:val="20"/>
        </w:rPr>
        <w:t>128,00</w:t>
      </w:r>
      <w:r>
        <w:rPr>
          <w:sz w:val="20"/>
          <w:szCs w:val="20"/>
        </w:rPr>
        <w:t>0</w:t>
      </w:r>
      <w:r>
        <w:rPr>
          <w:sz w:val="20"/>
          <w:szCs w:val="20"/>
        </w:rPr>
        <w:t xml:space="preserve"> since the asset has not generated any</w:t>
      </w:r>
      <w:r>
        <w:rPr>
          <w:sz w:val="20"/>
          <w:szCs w:val="20"/>
        </w:rPr>
        <w:t xml:space="preserve"> revenue and the Company cannot project any positive cash flows.</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b/>
          <w:bCs/>
          <w:sz w:val="20"/>
          <w:szCs w:val="20"/>
        </w:rPr>
      </w:pPr>
      <w:r>
        <w:rPr>
          <w:b/>
          <w:bCs/>
          <w:sz w:val="20"/>
          <w:szCs w:val="20"/>
        </w:rPr>
        <w:t>Note 5 –</w:t>
      </w:r>
      <w:r>
        <w:rPr>
          <w:b/>
          <w:bCs/>
          <w:sz w:val="20"/>
          <w:szCs w:val="20"/>
        </w:rPr>
        <w:t xml:space="preserve"> </w:t>
      </w:r>
      <w:r>
        <w:rPr>
          <w:b/>
          <w:bCs/>
          <w:sz w:val="20"/>
          <w:szCs w:val="20"/>
        </w:rPr>
        <w:t>Acquisition of Rebel Blockchain, Inc. (“RBI”) (Asset Purchase</w:t>
      </w:r>
      <w:r>
        <w:rPr>
          <w:b/>
          <w:bCs/>
          <w:sz w:val="20"/>
          <w:szCs w:val="20"/>
        </w:rPr>
        <w:t>)</w:t>
      </w:r>
    </w:p>
    <w:p w:rsidR="00000000" w:rsidRDefault="00B64763">
      <w:pPr>
        <w:pStyle w:val="a3"/>
        <w:spacing w:before="0" w:beforeAutospacing="0" w:after="0" w:afterAutospacing="0"/>
        <w:rPr>
          <w:b/>
          <w:bCs/>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On March 19, 2021, the Company acquired 100% of Rebel Blockchain, Inc. (a start-up) in exchange for a contingent co</w:t>
      </w:r>
      <w:r>
        <w:rPr>
          <w:sz w:val="20"/>
          <w:szCs w:val="20"/>
        </w:rPr>
        <w:t>nsideration arrangement for additional compensation in the form of up to 15,000,000 of CLIS common shares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Pursuant to the agreement, the Company would be required to issue milestone payments in the form of common stock as follows:</w:t>
      </w:r>
    </w:p>
    <w:p w:rsidR="00000000" w:rsidRDefault="00B64763">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64763">
            <w:pPr>
              <w:jc w:val="both"/>
              <w:rPr>
                <w:rFonts w:eastAsia="Times New Roman"/>
                <w:sz w:val="20"/>
                <w:szCs w:val="20"/>
              </w:rPr>
            </w:pPr>
            <w:r>
              <w:rPr>
                <w:rFonts w:eastAsia="Times New Roman"/>
                <w:sz w:val="20"/>
                <w:szCs w:val="20"/>
              </w:rPr>
              <w:t> </w:t>
            </w:r>
          </w:p>
        </w:tc>
        <w:tc>
          <w:tcPr>
            <w:tcW w:w="360" w:type="dxa"/>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 xml:space="preserve">2,000,000 shares </w:t>
            </w:r>
            <w:r>
              <w:rPr>
                <w:rFonts w:eastAsia="Times New Roman"/>
                <w:sz w:val="20"/>
                <w:szCs w:val="20"/>
              </w:rPr>
              <w:t>upon launch of Nifter™ marketplace without major software bugs which inhibit large functionality subject to and issuable upon CLIS common stock 10-day volume weighted minimum average price per share of $0.30 within 15 days of the benchmark being reached.</w:t>
            </w:r>
          </w:p>
        </w:tc>
      </w:tr>
      <w:tr w:rsidR="00000000">
        <w:trPr>
          <w:tblCellSpacing w:w="0" w:type="dxa"/>
        </w:trPr>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3,000,000 shares upon reaching $100,000 in monthly gross merchandise value on the Nifter™ platform subject to and issuable upon CLIS common stock 10-day volume weighted minimum average price per share of $0.50 within 15 days of the benchmark bei</w:t>
            </w:r>
            <w:r>
              <w:rPr>
                <w:rFonts w:eastAsia="Times New Roman"/>
                <w:sz w:val="20"/>
                <w:szCs w:val="20"/>
              </w:rPr>
              <w:t>ng reached.</w:t>
            </w:r>
          </w:p>
        </w:tc>
      </w:tr>
      <w:tr w:rsidR="00000000">
        <w:trPr>
          <w:tblCellSpacing w:w="0" w:type="dxa"/>
        </w:trPr>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4,000,000 shares upon reaching $1,000,000 in yearly gross merchandise value on the Nifter™ platform subject to and issuable upon CLIS common stock 10-day volume weighted minimum average price per share of $0.75 within 15 days of the</w:t>
            </w:r>
            <w:r>
              <w:rPr>
                <w:rFonts w:eastAsia="Times New Roman"/>
                <w:sz w:val="20"/>
                <w:szCs w:val="20"/>
              </w:rPr>
              <w:t xml:space="preserve"> benchmark being reached.</w:t>
            </w:r>
          </w:p>
        </w:tc>
      </w:tr>
      <w:tr w:rsidR="00000000">
        <w:trPr>
          <w:tblCellSpacing w:w="0" w:type="dxa"/>
        </w:trPr>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rPr>
          <w:tblCellSpacing w:w="0" w:type="dxa"/>
        </w:trPr>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 xml:space="preserve">6,000,000 shares upon reaching $10,000,000 in 3-year gross merchandise value on the Nifter™ </w:t>
            </w:r>
            <w:r>
              <w:rPr>
                <w:rFonts w:eastAsia="Times New Roman"/>
                <w:sz w:val="20"/>
                <w:szCs w:val="20"/>
              </w:rPr>
              <w:t>platform subject to and issuable upon CLIS common stock 10-day volume weighted minimum average price per share of $ 1.00 within 15 days of the benchmark being reached.</w:t>
            </w:r>
          </w:p>
        </w:tc>
      </w:tr>
    </w:tbl>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As of the issuance date of this report, no contingency has been met and no contingent</w:t>
      </w:r>
      <w:r>
        <w:rPr>
          <w:sz w:val="20"/>
          <w:szCs w:val="20"/>
        </w:rPr>
        <w:t xml:space="preserve"> shares have been issued.</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Pursuant to ASU 2017-01, Business Combinations (Topic 805): “Clarifying the Definition of a Business”, this acquisition was determined to be that of an asset and not a business, therefore, there was not a business combination re</w:t>
      </w:r>
      <w:r>
        <w:rPr>
          <w:sz w:val="20"/>
          <w:szCs w:val="20"/>
        </w:rPr>
        <w:t>quiring acquisition accounting or related financial reporting. Since this was deemed to be an asset purchase, this did not result in the recognition of goodwill and no assets or liabilities were recorded on the acquisition date as there was no initial cons</w:t>
      </w:r>
      <w:r>
        <w:rPr>
          <w:sz w:val="20"/>
          <w:szCs w:val="20"/>
        </w:rPr>
        <w:t>ideration.</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divId w:val="238104801"/>
        <w:rPr>
          <w:sz w:val="20"/>
          <w:szCs w:val="20"/>
        </w:rPr>
      </w:pPr>
      <w:r>
        <w:rPr>
          <w:sz w:val="20"/>
          <w:szCs w:val="20"/>
        </w:rPr>
        <w:t>F</w:t>
      </w:r>
      <w:r>
        <w:rPr>
          <w:sz w:val="20"/>
          <w:szCs w:val="20"/>
        </w:rPr>
        <w:t>-</w:t>
      </w:r>
      <w:r>
        <w:rPr>
          <w:sz w:val="20"/>
          <w:szCs w:val="20"/>
        </w:rPr>
        <w:t>1</w:t>
      </w:r>
      <w:r>
        <w:rPr>
          <w:sz w:val="20"/>
          <w:szCs w:val="20"/>
        </w:rPr>
        <w:t>9</w:t>
      </w:r>
    </w:p>
    <w:p w:rsidR="00000000" w:rsidRDefault="00B64763">
      <w:pPr>
        <w:pStyle w:val="a3"/>
        <w:spacing w:before="0" w:beforeAutospacing="0" w:after="0" w:afterAutospacing="0"/>
        <w:divId w:val="1302809014"/>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CLICKSTREAM 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September 30, 2021 and 2020</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rPr>
          <w:b/>
          <w:bCs/>
          <w:sz w:val="20"/>
          <w:szCs w:val="20"/>
        </w:rPr>
      </w:pPr>
      <w:r>
        <w:rPr>
          <w:b/>
          <w:bCs/>
          <w:sz w:val="20"/>
          <w:szCs w:val="20"/>
        </w:rPr>
        <w:t>Note 6 –</w:t>
      </w:r>
      <w:r>
        <w:rPr>
          <w:b/>
          <w:bCs/>
          <w:sz w:val="20"/>
          <w:szCs w:val="20"/>
        </w:rPr>
        <w:t xml:space="preserve"> </w:t>
      </w:r>
      <w:r>
        <w:rPr>
          <w:b/>
          <w:bCs/>
          <w:sz w:val="20"/>
          <w:szCs w:val="20"/>
        </w:rPr>
        <w:t>Equity Method Investment – Related Part</w:t>
      </w:r>
      <w:r>
        <w:rPr>
          <w:b/>
          <w:bCs/>
          <w:sz w:val="20"/>
          <w:szCs w:val="20"/>
        </w:rPr>
        <w:t>y</w:t>
      </w:r>
    </w:p>
    <w:p w:rsidR="00000000" w:rsidRDefault="00B64763">
      <w:pPr>
        <w:pStyle w:val="a3"/>
        <w:spacing w:before="0" w:beforeAutospacing="0" w:after="0" w:afterAutospacing="0"/>
        <w:rPr>
          <w:b/>
          <w:bCs/>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In fiscal 2020, the Company was granted by Thomas Terwilliger, Winners </w:t>
      </w:r>
      <w:r>
        <w:rPr>
          <w:sz w:val="20"/>
          <w:szCs w:val="20"/>
        </w:rPr>
        <w:t>Inc.’s Chief Executive Officer an option to purchase 149,012,000 shares owned by him representing approximately 83.3% of the Winners Inc.’s then outstanding common stock for $175,000 for which the Company has provided a $100,000 non-refundable deposit in 2</w:t>
      </w:r>
      <w:r>
        <w:rPr>
          <w:sz w:val="20"/>
          <w:szCs w:val="20"/>
        </w:rPr>
        <w:t xml:space="preserve">020. On September 8, 2021 the Company completed the option exercise and paid the remaining $75,000 to Thomas Terwilliger. Prior to the exercise of the option, the Company owned 5,000,000 shares of Winners, Inc. With the exercise of the option, the Company </w:t>
      </w:r>
      <w:r>
        <w:rPr>
          <w:sz w:val="20"/>
          <w:szCs w:val="20"/>
        </w:rPr>
        <w:t>now owns 154,012,000 shares of the common stock of Winners, Inc. The total shares outstanding of Winners, Inc. on the date of exercise was 280,090,934.</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As a result the Company </w:t>
      </w:r>
      <w:r>
        <w:rPr>
          <w:sz w:val="20"/>
          <w:szCs w:val="20"/>
        </w:rPr>
        <w:t>owned approximately 55% of Winners, Inc. common shares but does not have voting control due to the outstanding Series A preferred stock which has super-voting rights (See Below)</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Winners, Inc has outstanding Redeemable Preferred Stock with the following t</w:t>
      </w:r>
      <w:r>
        <w:rPr>
          <w:sz w:val="20"/>
          <w:szCs w:val="20"/>
        </w:rPr>
        <w:t>erms:</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hideMark/>
          </w:tcPr>
          <w:p w:rsidR="00000000" w:rsidRDefault="00B64763">
            <w:pPr>
              <w:jc w:val="both"/>
              <w:rPr>
                <w:rFonts w:eastAsia="Times New Roman"/>
                <w:sz w:val="20"/>
                <w:szCs w:val="20"/>
              </w:rPr>
            </w:pPr>
            <w:r>
              <w:rPr>
                <w:rFonts w:eastAsia="Times New Roman"/>
                <w:sz w:val="20"/>
                <w:szCs w:val="20"/>
              </w:rPr>
              <w:t> </w:t>
            </w:r>
          </w:p>
        </w:tc>
        <w:tc>
          <w:tcPr>
            <w:tcW w:w="360" w:type="dxa"/>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100,000,000 shares authorized</w:t>
            </w:r>
          </w:p>
        </w:tc>
      </w:tr>
      <w:tr w:rsidR="00000000">
        <w:trPr>
          <w:tblCellSpacing w:w="0" w:type="dxa"/>
        </w:trPr>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Par value – $0.001</w:t>
            </w:r>
          </w:p>
        </w:tc>
      </w:tr>
      <w:tr w:rsidR="00000000">
        <w:trPr>
          <w:tblCellSpacing w:w="0" w:type="dxa"/>
        </w:trPr>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Convertible – one hundred (100) shares of common stock for each one (1) share of preferred stock</w:t>
            </w:r>
          </w:p>
        </w:tc>
      </w:tr>
      <w:tr w:rsidR="00000000">
        <w:trPr>
          <w:tblCellSpacing w:w="0" w:type="dxa"/>
        </w:trPr>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Dividends – para passu with common stock</w:t>
            </w:r>
          </w:p>
        </w:tc>
      </w:tr>
      <w:tr w:rsidR="00000000">
        <w:trPr>
          <w:tblCellSpacing w:w="0" w:type="dxa"/>
        </w:trPr>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 xml:space="preserve">Voting </w:t>
            </w:r>
            <w:r>
              <w:rPr>
                <w:rFonts w:eastAsia="Times New Roman"/>
                <w:sz w:val="20"/>
                <w:szCs w:val="20"/>
              </w:rPr>
              <w:t>- equivalent to the as converted number of common shares (100:1)</w:t>
            </w:r>
          </w:p>
        </w:tc>
      </w:tr>
      <w:tr w:rsidR="00000000">
        <w:trPr>
          <w:tblCellSpacing w:w="0" w:type="dxa"/>
        </w:trPr>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Liquidation value – no stated value but para passu with common stock on an as converted basis Deemed liquidation provision relating to any reorganization, recapitalization, reclassificat</w:t>
            </w:r>
            <w:r>
              <w:rPr>
                <w:rFonts w:eastAsia="Times New Roman"/>
                <w:sz w:val="20"/>
                <w:szCs w:val="20"/>
              </w:rPr>
              <w:t xml:space="preserve">ion, </w:t>
            </w:r>
            <w:r>
              <w:rPr>
                <w:rFonts w:eastAsia="Times New Roman"/>
                <w:sz w:val="20"/>
                <w:szCs w:val="20"/>
              </w:rPr>
              <w:tab/>
              <w:t>consolidation or merger.</w:t>
            </w:r>
          </w:p>
        </w:tc>
      </w:tr>
      <w:tr w:rsidR="00000000">
        <w:trPr>
          <w:tblCellSpacing w:w="0" w:type="dxa"/>
        </w:trPr>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 xml:space="preserve">Convertible – Automatic upon the later of (a) written consent of at least a majority of the then </w:t>
            </w:r>
            <w:r>
              <w:rPr>
                <w:rFonts w:eastAsia="Times New Roman"/>
                <w:sz w:val="20"/>
                <w:szCs w:val="20"/>
              </w:rPr>
              <w:tab/>
              <w:t xml:space="preserve"> </w:t>
            </w:r>
            <w:r>
              <w:rPr>
                <w:rFonts w:eastAsia="Times New Roman"/>
                <w:sz w:val="20"/>
                <w:szCs w:val="20"/>
              </w:rPr>
              <w:tab/>
              <w:t>outstanding Series A preferred stock or (b) January 1, 2023.</w:t>
            </w:r>
          </w:p>
        </w:tc>
      </w:tr>
      <w:tr w:rsidR="00000000">
        <w:trPr>
          <w:tblCellSpacing w:w="0" w:type="dxa"/>
        </w:trPr>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Anti-dilution rights – Ability to maintain a 90% inter</w:t>
            </w:r>
            <w:r>
              <w:rPr>
                <w:rFonts w:eastAsia="Times New Roman"/>
                <w:sz w:val="20"/>
                <w:szCs w:val="20"/>
              </w:rPr>
              <w:t xml:space="preserve">est on a fully-diluted basis of all common </w:t>
            </w:r>
            <w:r>
              <w:rPr>
                <w:rFonts w:eastAsia="Times New Roman"/>
                <w:sz w:val="20"/>
                <w:szCs w:val="20"/>
              </w:rPr>
              <w:tab/>
              <w:t xml:space="preserve"> </w:t>
            </w:r>
            <w:r>
              <w:rPr>
                <w:rFonts w:eastAsia="Times New Roman"/>
                <w:sz w:val="20"/>
                <w:szCs w:val="20"/>
              </w:rPr>
              <w:tab/>
              <w:t>stock and related common stock equivalents for the period ending January 1, 2024.</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There are 9,000,000 Series A preferred shares issued and outstanding. The total voting power of those shares is 900,000,000 v</w:t>
      </w:r>
      <w:r>
        <w:rPr>
          <w:sz w:val="20"/>
          <w:szCs w:val="20"/>
        </w:rPr>
        <w:t>otes.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 conducted an analysis to determine the proper accounting method and although Clickstream directly holds less than 20% of the vote of Winners (approximately 5.5%), Clickstream can exert influence over Winners due to among other reasons, </w:t>
      </w:r>
      <w:r>
        <w:rPr>
          <w:sz w:val="20"/>
          <w:szCs w:val="20"/>
        </w:rPr>
        <w:t>voting shares held by related parties of Clickstream and board representation. Therefore, the Company determined that the investment should be recorded pursuant ASC 323, Investment - Equity Method and Joint Ventures.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Accordingly, the </w:t>
      </w:r>
      <w:r>
        <w:rPr>
          <w:sz w:val="20"/>
          <w:szCs w:val="20"/>
        </w:rPr>
        <w:t>Company has recognized the investment in Winners and its subsidiary VegasWinners, Inc. effective September 8, 2021 as an equity method investment.</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At September 30, 2021 the underlying equity in net assets of Winners, Inc and its subsidiary was $1,456,000</w:t>
      </w:r>
      <w:r>
        <w:rPr>
          <w:sz w:val="20"/>
          <w:szCs w:val="20"/>
        </w:rPr>
        <w:t>. The Company owns 54.99% of the common stock of Winners, Inc., or $800,000. The book value on the initial date of September 8, 2021 is $192,000. Therefore the book value exceeds the purchase price of $192,000 (See table below) by $608,000.</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divId w:val="674305958"/>
        <w:rPr>
          <w:sz w:val="20"/>
          <w:szCs w:val="20"/>
        </w:rPr>
      </w:pPr>
      <w:r>
        <w:rPr>
          <w:sz w:val="20"/>
          <w:szCs w:val="20"/>
        </w:rPr>
        <w:t>F</w:t>
      </w:r>
      <w:r>
        <w:rPr>
          <w:sz w:val="20"/>
          <w:szCs w:val="20"/>
        </w:rPr>
        <w:t>-</w:t>
      </w:r>
      <w:r>
        <w:rPr>
          <w:sz w:val="20"/>
          <w:szCs w:val="20"/>
        </w:rPr>
        <w:t>2</w:t>
      </w:r>
      <w:r>
        <w:rPr>
          <w:sz w:val="20"/>
          <w:szCs w:val="20"/>
        </w:rPr>
        <w:t>0</w:t>
      </w:r>
    </w:p>
    <w:p w:rsidR="00000000" w:rsidRDefault="00B64763">
      <w:pPr>
        <w:pStyle w:val="a3"/>
        <w:spacing w:before="0" w:beforeAutospacing="0" w:after="0" w:afterAutospacing="0"/>
        <w:divId w:val="1479803905"/>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CLIC</w:t>
      </w:r>
      <w:r>
        <w:rPr>
          <w:sz w:val="20"/>
          <w:szCs w:val="20"/>
        </w:rPr>
        <w:t>KSTREAM 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September 30, 2021 and 2020</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Disclosure - Equity Method Investment (Details)"/>
      </w:tblPr>
      <w:tblGrid>
        <w:gridCol w:w="5809"/>
        <w:gridCol w:w="827"/>
        <w:gridCol w:w="100"/>
        <w:gridCol w:w="1491"/>
        <w:gridCol w:w="79"/>
      </w:tblGrid>
      <w:tr w:rsidR="00000000">
        <w:trPr>
          <w:hidden/>
        </w:trPr>
        <w:tc>
          <w:tcPr>
            <w:tcW w:w="0" w:type="auto"/>
            <w:vAlign w:val="bottom"/>
            <w:hideMark/>
          </w:tcPr>
          <w:p w:rsidR="00000000" w:rsidRDefault="00B64763">
            <w:pPr>
              <w:rPr>
                <w:rFonts w:eastAsia="Times New Roman"/>
                <w:b/>
                <w:bCs/>
                <w:sz w:val="20"/>
                <w:szCs w:val="20"/>
              </w:rPr>
            </w:pPr>
            <w:r>
              <w:rPr>
                <w:rFonts w:eastAsia="Times New Roman"/>
                <w:b/>
                <w:bCs/>
                <w:vanish/>
                <w:sz w:val="20"/>
                <w:szCs w:val="20"/>
              </w:rPr>
              <w:t>Schedule of purchase price allocation</w:t>
            </w:r>
            <w:r>
              <w:rPr>
                <w:rFonts w:eastAsia="Times New Roman"/>
                <w:b/>
                <w:bCs/>
                <w:vanish/>
                <w:sz w:val="20"/>
                <w:szCs w:val="20"/>
              </w:rPr>
              <w:t> </w:t>
            </w:r>
          </w:p>
        </w:tc>
        <w:tc>
          <w:tcPr>
            <w:tcW w:w="0" w:type="auto"/>
            <w:vAlign w:val="bottom"/>
            <w:hideMark/>
          </w:tcPr>
          <w:p w:rsidR="00000000" w:rsidRDefault="00B64763">
            <w:pPr>
              <w:rPr>
                <w:rFonts w:eastAsia="Times New Roman"/>
              </w:rPr>
            </w:pPr>
            <w:r>
              <w:rPr>
                <w:rFonts w:eastAsia="Times New Roman"/>
              </w:rPr>
              <w:t> </w:t>
            </w:r>
          </w:p>
        </w:tc>
        <w:tc>
          <w:tcPr>
            <w:tcW w:w="0" w:type="auto"/>
            <w:gridSpan w:val="3"/>
            <w:vAlign w:val="bottom"/>
            <w:hideMark/>
          </w:tcPr>
          <w:p w:rsidR="00000000" w:rsidRDefault="00B64763">
            <w:pPr>
              <w:jc w:val="center"/>
              <w:rPr>
                <w:rFonts w:eastAsia="Times New Roman"/>
              </w:rPr>
            </w:pPr>
            <w:r>
              <w:rPr>
                <w:rFonts w:eastAsia="Times New Roman"/>
              </w:rPr>
              <w:t> </w:t>
            </w:r>
          </w:p>
        </w:tc>
      </w:tr>
      <w:tr w:rsidR="00000000">
        <w:tc>
          <w:tcPr>
            <w:tcW w:w="0" w:type="auto"/>
            <w:vAlign w:val="bottom"/>
            <w:hideMark/>
          </w:tcPr>
          <w:p w:rsidR="00000000" w:rsidRDefault="00B64763">
            <w:pPr>
              <w:rPr>
                <w:rFonts w:eastAsia="Times New Roman"/>
                <w:b/>
                <w:bCs/>
                <w:sz w:val="20"/>
                <w:szCs w:val="20"/>
              </w:rPr>
            </w:pPr>
            <w:r>
              <w:rPr>
                <w:rFonts w:eastAsia="Times New Roman"/>
                <w:b/>
                <w:bCs/>
                <w:sz w:val="20"/>
                <w:szCs w:val="20"/>
              </w:rPr>
              <w:t>Consideration Paid:</w:t>
            </w:r>
          </w:p>
        </w:tc>
        <w:tc>
          <w:tcPr>
            <w:tcW w:w="0" w:type="auto"/>
            <w:vAlign w:val="bottom"/>
            <w:hideMark/>
          </w:tcPr>
          <w:p w:rsidR="00000000" w:rsidRDefault="00B64763">
            <w:pPr>
              <w:rPr>
                <w:rFonts w:eastAsia="Times New Roman"/>
              </w:rPr>
            </w:pPr>
            <w:r>
              <w:rPr>
                <w:rFonts w:eastAsia="Times New Roman"/>
              </w:rPr>
              <w:t> </w:t>
            </w:r>
          </w:p>
        </w:tc>
        <w:tc>
          <w:tcPr>
            <w:tcW w:w="0" w:type="auto"/>
            <w:gridSpan w:val="3"/>
            <w:vAlign w:val="bottom"/>
            <w:hideMark/>
          </w:tcPr>
          <w:p w:rsidR="00000000" w:rsidRDefault="00B64763">
            <w:pPr>
              <w:jc w:val="center"/>
              <w:rPr>
                <w:rFonts w:eastAsia="Times New Roman"/>
              </w:rPr>
            </w:pPr>
            <w:r>
              <w:rPr>
                <w:rFonts w:eastAsia="Times New Roman"/>
              </w:rPr>
              <w:t> </w:t>
            </w:r>
          </w:p>
        </w:tc>
      </w:tr>
      <w:tr w:rsidR="00000000">
        <w:tc>
          <w:tcPr>
            <w:tcW w:w="0" w:type="auto"/>
            <w:vAlign w:val="bottom"/>
            <w:hideMark/>
          </w:tcPr>
          <w:p w:rsidR="00000000" w:rsidRDefault="00B64763">
            <w:pPr>
              <w:jc w:val="center"/>
              <w:rPr>
                <w:rFonts w:eastAsia="Times New Roman"/>
              </w:rPr>
            </w:pPr>
            <w:r>
              <w:rPr>
                <w:rFonts w:eastAsia="Times New Roman"/>
              </w:rPr>
              <w:t> </w:t>
            </w:r>
          </w:p>
        </w:tc>
        <w:tc>
          <w:tcPr>
            <w:tcW w:w="0" w:type="auto"/>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gridSpan w:val="3"/>
            <w:vAlign w:val="bottom"/>
            <w:hideMark/>
          </w:tcPr>
          <w:p w:rsidR="00000000" w:rsidRDefault="00B64763">
            <w:pPr>
              <w:jc w:val="center"/>
              <w:rPr>
                <w:rFonts w:eastAsia="Times New Roman"/>
                <w:b/>
                <w:bCs/>
                <w:sz w:val="20"/>
                <w:szCs w:val="20"/>
              </w:rPr>
            </w:pPr>
            <w:r>
              <w:rPr>
                <w:rFonts w:eastAsia="Times New Roman"/>
                <w:b/>
                <w:bCs/>
                <w:sz w:val="20"/>
                <w:szCs w:val="20"/>
              </w:rPr>
              <w:t>Fair Value</w:t>
            </w:r>
          </w:p>
        </w:tc>
      </w:tr>
      <w:tr w:rsidR="00000000">
        <w:tc>
          <w:tcPr>
            <w:tcW w:w="0" w:type="auto"/>
            <w:vAlign w:val="bottom"/>
            <w:hideMark/>
          </w:tcPr>
          <w:p w:rsidR="00000000" w:rsidRDefault="00B64763">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B64763">
            <w:pPr>
              <w:rPr>
                <w:rFonts w:eastAsia="Times New Roman"/>
              </w:rPr>
            </w:pPr>
            <w:r>
              <w:rPr>
                <w:rFonts w:eastAsia="Times New Roman"/>
              </w:rPr>
              <w:t> </w:t>
            </w:r>
          </w:p>
        </w:tc>
        <w:tc>
          <w:tcPr>
            <w:tcW w:w="0" w:type="auto"/>
            <w:gridSpan w:val="3"/>
            <w:vAlign w:val="bottom"/>
            <w:hideMark/>
          </w:tcPr>
          <w:p w:rsidR="00000000" w:rsidRDefault="00B64763">
            <w:pPr>
              <w:jc w:val="center"/>
              <w:rPr>
                <w:rFonts w:eastAsia="Times New Roman"/>
              </w:rPr>
            </w:pPr>
            <w:r>
              <w:rPr>
                <w:rFonts w:eastAsia="Times New Roman"/>
              </w:rPr>
              <w:t> </w:t>
            </w:r>
          </w:p>
        </w:tc>
      </w:tr>
      <w:tr w:rsidR="00000000">
        <w:tc>
          <w:tcPr>
            <w:tcW w:w="3500" w:type="pct"/>
            <w:shd w:val="clear" w:color="auto" w:fill="CCEEFF"/>
            <w:tcMar>
              <w:top w:w="0" w:type="dxa"/>
              <w:left w:w="14" w:type="dxa"/>
              <w:bottom w:w="0" w:type="dxa"/>
              <w:right w:w="0" w:type="dxa"/>
            </w:tcMar>
            <w:vAlign w:val="bottom"/>
            <w:hideMark/>
          </w:tcPr>
          <w:p w:rsidR="00000000" w:rsidRDefault="00B64763">
            <w:pPr>
              <w:rPr>
                <w:rFonts w:eastAsia="Times New Roman"/>
                <w:sz w:val="20"/>
                <w:szCs w:val="20"/>
              </w:rPr>
            </w:pPr>
            <w:r>
              <w:rPr>
                <w:rFonts w:eastAsia="Times New Roman"/>
                <w:sz w:val="20"/>
                <w:szCs w:val="20"/>
              </w:rPr>
              <w:t>Cash</w:t>
            </w:r>
          </w:p>
        </w:tc>
        <w:tc>
          <w:tcPr>
            <w:tcW w:w="5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175,000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4"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Pre-existing investment at fair value</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17,000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4"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Total consideration paid</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192,000</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 measured </w:t>
      </w:r>
      <w:r>
        <w:rPr>
          <w:sz w:val="20"/>
          <w:szCs w:val="20"/>
        </w:rPr>
        <w:t>the fair value per share of the outstanding capital stock on the initial date of September 8, 2021 utilizing a dribble out method which resulted in a fair value of the pre-existing interest of $17,000.</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A loss of $18,000 </w:t>
      </w:r>
      <w:r>
        <w:rPr>
          <w:sz w:val="20"/>
          <w:szCs w:val="20"/>
        </w:rPr>
        <w:t>was recognized in operations on the re-measurement to fair value of the pre-existing equity interest held.</w:t>
      </w:r>
    </w:p>
    <w:p w:rsidR="00000000" w:rsidRDefault="00B64763">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Disclosure - Equity Method Investment (Details 1)"/>
      </w:tblPr>
      <w:tblGrid>
        <w:gridCol w:w="5809"/>
        <w:gridCol w:w="826"/>
        <w:gridCol w:w="101"/>
        <w:gridCol w:w="1491"/>
        <w:gridCol w:w="79"/>
      </w:tblGrid>
      <w:tr w:rsidR="00000000">
        <w:trPr>
          <w:hidden/>
        </w:trPr>
        <w:tc>
          <w:tcPr>
            <w:tcW w:w="0" w:type="auto"/>
            <w:vAlign w:val="bottom"/>
            <w:hideMark/>
          </w:tcPr>
          <w:p w:rsidR="00000000" w:rsidRDefault="00B64763">
            <w:pPr>
              <w:jc w:val="center"/>
              <w:rPr>
                <w:rFonts w:eastAsia="Times New Roman"/>
              </w:rPr>
            </w:pPr>
            <w:r>
              <w:rPr>
                <w:rFonts w:eastAsia="Times New Roman"/>
                <w:vanish/>
              </w:rPr>
              <w:t>Schedule of remeasurement of fair value of equity interes</w:t>
            </w:r>
            <w:r>
              <w:rPr>
                <w:rFonts w:eastAsia="Times New Roman"/>
                <w:vanish/>
              </w:rPr>
              <w:t>t</w:t>
            </w:r>
            <w:r>
              <w:rPr>
                <w:rFonts w:eastAsia="Times New Roman"/>
              </w:rPr>
              <w:t> </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September 30, 2021</w:t>
            </w:r>
          </w:p>
        </w:tc>
      </w:tr>
      <w:tr w:rsidR="00000000">
        <w:tc>
          <w:tcPr>
            <w:tcW w:w="3500" w:type="pct"/>
            <w:shd w:val="clear" w:color="auto" w:fill="CCEEFF"/>
            <w:tcMar>
              <w:top w:w="0" w:type="dxa"/>
              <w:left w:w="15" w:type="dxa"/>
              <w:bottom w:w="0" w:type="dxa"/>
              <w:right w:w="0" w:type="dxa"/>
            </w:tcMar>
            <w:vAlign w:val="bottom"/>
            <w:hideMark/>
          </w:tcPr>
          <w:p w:rsidR="00000000" w:rsidRDefault="00B64763">
            <w:pPr>
              <w:rPr>
                <w:rFonts w:eastAsia="Times New Roman"/>
                <w:sz w:val="20"/>
                <w:szCs w:val="20"/>
              </w:rPr>
            </w:pPr>
            <w:r>
              <w:rPr>
                <w:rFonts w:eastAsia="Times New Roman"/>
                <w:sz w:val="20"/>
                <w:szCs w:val="20"/>
              </w:rPr>
              <w:t>Initial recognition, September 8, 2021</w:t>
            </w:r>
          </w:p>
        </w:tc>
        <w:tc>
          <w:tcPr>
            <w:tcW w:w="5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192,000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5"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Proporti</w:t>
            </w:r>
            <w:r>
              <w:rPr>
                <w:rFonts w:eastAsia="Times New Roman"/>
                <w:sz w:val="20"/>
                <w:szCs w:val="20"/>
              </w:rPr>
              <w:t>onate loss of equity method investee</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(87,000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5"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Investment in equity method investee - Winners, Inc.</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105,000</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Disclosure - Equity Method Investment (Details 2)"/>
      </w:tblPr>
      <w:tblGrid>
        <w:gridCol w:w="5809"/>
        <w:gridCol w:w="827"/>
        <w:gridCol w:w="100"/>
        <w:gridCol w:w="1491"/>
        <w:gridCol w:w="79"/>
      </w:tblGrid>
      <w:tr w:rsidR="00000000">
        <w:tc>
          <w:tcPr>
            <w:tcW w:w="0" w:type="auto"/>
            <w:gridSpan w:val="5"/>
            <w:vAlign w:val="bottom"/>
            <w:hideMark/>
          </w:tcPr>
          <w:p w:rsidR="00000000" w:rsidRDefault="00B64763">
            <w:pPr>
              <w:jc w:val="center"/>
              <w:rPr>
                <w:rFonts w:eastAsia="Times New Roman"/>
                <w:sz w:val="20"/>
                <w:szCs w:val="20"/>
              </w:rPr>
            </w:pPr>
            <w:r>
              <w:rPr>
                <w:rFonts w:eastAsia="Times New Roman"/>
                <w:sz w:val="20"/>
                <w:szCs w:val="20"/>
              </w:rPr>
              <w:t>Summarized Financial Information of Investe</w:t>
            </w:r>
            <w:r>
              <w:rPr>
                <w:rFonts w:eastAsia="Times New Roman"/>
                <w:sz w:val="20"/>
                <w:szCs w:val="20"/>
              </w:rPr>
              <w:t>e</w:t>
            </w:r>
          </w:p>
        </w:tc>
      </w:tr>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rPr>
            </w:pPr>
            <w:r>
              <w:rPr>
                <w:rFonts w:eastAsia="Times New Roman"/>
                <w:sz w:val="20"/>
                <w:szCs w:val="20"/>
              </w:rPr>
              <w:t> </w:t>
            </w:r>
          </w:p>
        </w:tc>
        <w:tc>
          <w:tcPr>
            <w:tcW w:w="0" w:type="auto"/>
            <w:vAlign w:val="bottom"/>
            <w:hideMark/>
          </w:tcPr>
          <w:p w:rsidR="00000000" w:rsidRDefault="00B64763">
            <w:pPr>
              <w:rPr>
                <w:rFonts w:eastAsia="Times New Roman"/>
              </w:rPr>
            </w:pPr>
            <w:r>
              <w:rPr>
                <w:rFonts w:eastAsia="Times New Roman"/>
                <w:sz w:val="20"/>
                <w:szCs w:val="20"/>
              </w:rPr>
              <w:t> </w:t>
            </w:r>
          </w:p>
        </w:tc>
        <w:tc>
          <w:tcPr>
            <w:tcW w:w="0" w:type="auto"/>
            <w:gridSpan w:val="3"/>
            <w:vAlign w:val="bottom"/>
            <w:hideMark/>
          </w:tcPr>
          <w:p w:rsidR="00000000" w:rsidRDefault="00B64763">
            <w:pPr>
              <w:jc w:val="center"/>
              <w:rPr>
                <w:rFonts w:eastAsia="Times New Roman"/>
              </w:rPr>
            </w:pPr>
            <w:r>
              <w:rPr>
                <w:rFonts w:eastAsia="Times New Roman"/>
                <w:sz w:val="20"/>
                <w:szCs w:val="20"/>
              </w:rPr>
              <w:t> </w:t>
            </w:r>
          </w:p>
        </w:tc>
      </w:tr>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September 30, 2021</w:t>
            </w:r>
          </w:p>
        </w:tc>
      </w:tr>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rPr>
            </w:pPr>
            <w:r>
              <w:rPr>
                <w:rFonts w:eastAsia="Times New Roman"/>
                <w:sz w:val="20"/>
                <w:szCs w:val="20"/>
              </w:rPr>
              <w:t> </w:t>
            </w:r>
          </w:p>
        </w:tc>
        <w:tc>
          <w:tcPr>
            <w:tcW w:w="0" w:type="auto"/>
            <w:vAlign w:val="bottom"/>
            <w:hideMark/>
          </w:tcPr>
          <w:p w:rsidR="00000000" w:rsidRDefault="00B64763">
            <w:pPr>
              <w:rPr>
                <w:rFonts w:eastAsia="Times New Roman"/>
              </w:rPr>
            </w:pPr>
            <w:r>
              <w:rPr>
                <w:rFonts w:eastAsia="Times New Roman"/>
                <w:sz w:val="20"/>
                <w:szCs w:val="20"/>
              </w:rPr>
              <w:t> </w:t>
            </w:r>
          </w:p>
        </w:tc>
        <w:tc>
          <w:tcPr>
            <w:tcW w:w="0" w:type="auto"/>
            <w:gridSpan w:val="3"/>
            <w:vAlign w:val="bottom"/>
            <w:hideMark/>
          </w:tcPr>
          <w:p w:rsidR="00000000" w:rsidRDefault="00B64763">
            <w:pPr>
              <w:jc w:val="center"/>
              <w:rPr>
                <w:rFonts w:eastAsia="Times New Roman"/>
              </w:rPr>
            </w:pPr>
            <w:r>
              <w:rPr>
                <w:rFonts w:eastAsia="Times New Roman"/>
                <w:sz w:val="20"/>
                <w:szCs w:val="20"/>
              </w:rPr>
              <w:t> </w:t>
            </w:r>
          </w:p>
        </w:tc>
      </w:tr>
      <w:tr w:rsidR="00000000">
        <w:tc>
          <w:tcPr>
            <w:tcW w:w="3500" w:type="pct"/>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Revenues</w:t>
            </w:r>
          </w:p>
        </w:tc>
        <w:tc>
          <w:tcPr>
            <w:tcW w:w="5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xml:space="preserve">Operating </w:t>
            </w:r>
            <w:r>
              <w:rPr>
                <w:rFonts w:eastAsia="Times New Roman"/>
                <w:sz w:val="20"/>
                <w:szCs w:val="20"/>
              </w:rPr>
              <w:t>expenses</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154,000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(154,000</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w:t>
            </w:r>
          </w:p>
        </w:tc>
      </w:tr>
    </w:tbl>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As of September </w:t>
      </w:r>
      <w:r>
        <w:rPr>
          <w:sz w:val="20"/>
          <w:szCs w:val="20"/>
        </w:rPr>
        <w:t>30, 2021, the Company owns 154,012,000 shares of Winners, Inc. The quoted closing price on that date was $.0517. As such, the market value of the investment based on the closing price is $7,962,420.</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b/>
          <w:bCs/>
          <w:sz w:val="20"/>
          <w:szCs w:val="20"/>
        </w:rPr>
      </w:pPr>
      <w:r>
        <w:rPr>
          <w:b/>
          <w:bCs/>
          <w:sz w:val="20"/>
          <w:szCs w:val="20"/>
        </w:rPr>
        <w:t>Note 7 –</w:t>
      </w:r>
      <w:r>
        <w:rPr>
          <w:b/>
          <w:bCs/>
          <w:sz w:val="20"/>
          <w:szCs w:val="20"/>
        </w:rPr>
        <w:t xml:space="preserve"> </w:t>
      </w:r>
      <w:r>
        <w:rPr>
          <w:b/>
          <w:bCs/>
          <w:sz w:val="20"/>
          <w:szCs w:val="20"/>
        </w:rPr>
        <w:t>Notes Payabl</w:t>
      </w:r>
      <w:r>
        <w:rPr>
          <w:b/>
          <w:bCs/>
          <w:sz w:val="20"/>
          <w:szCs w:val="20"/>
        </w:rPr>
        <w:t>e</w:t>
      </w:r>
    </w:p>
    <w:p w:rsidR="00000000" w:rsidRDefault="00B64763">
      <w:pPr>
        <w:pStyle w:val="a3"/>
        <w:spacing w:before="0" w:beforeAutospacing="0" w:after="0" w:afterAutospacing="0"/>
        <w:rPr>
          <w:b/>
          <w:bCs/>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From June 2016 through June 20</w:t>
      </w:r>
      <w:r>
        <w:rPr>
          <w:sz w:val="20"/>
          <w:szCs w:val="20"/>
        </w:rPr>
        <w:t xml:space="preserve">17, the Company issued notes payable in the aggregate of $48,000 in exchange for cash. The notes payable are unsecured, bear interest starting at 8% up to 20% per annum, and matured starting in September 2016 through January 2018. </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In March 2020, the Com</w:t>
      </w:r>
      <w:r>
        <w:rPr>
          <w:sz w:val="20"/>
          <w:szCs w:val="20"/>
        </w:rPr>
        <w:t>pany issued notes payable in the aggregate of $330,000 in exchange for cash of $165,000, representing an original issue discount (OID) of $165,000. The notes did not bear interest, however, the implied interest rate was determined to be 50% as the notes we</w:t>
      </w:r>
      <w:r>
        <w:rPr>
          <w:sz w:val="20"/>
          <w:szCs w:val="20"/>
        </w:rPr>
        <w:t>re issued at a discount of 50%, and matured starting in June 2020 through September 2020. The OID was accounted as debt discount and was amortized to interest expense over the term of the notes payable.</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During the year ended September 30, 2020, the Compa</w:t>
      </w:r>
      <w:r>
        <w:rPr>
          <w:sz w:val="20"/>
          <w:szCs w:val="20"/>
        </w:rPr>
        <w:t xml:space="preserve">ny paid all outstanding notes payable in the aggregate of </w:t>
      </w:r>
      <w:r>
        <w:rPr>
          <w:sz w:val="20"/>
          <w:szCs w:val="20"/>
        </w:rPr>
        <w:t>$</w:t>
      </w:r>
      <w:r>
        <w:rPr>
          <w:sz w:val="20"/>
          <w:szCs w:val="20"/>
        </w:rPr>
        <w:t>378,00</w:t>
      </w:r>
      <w:r>
        <w:rPr>
          <w:sz w:val="20"/>
          <w:szCs w:val="20"/>
        </w:rPr>
        <w:t>0</w:t>
      </w:r>
      <w:r>
        <w:rPr>
          <w:sz w:val="20"/>
          <w:szCs w:val="20"/>
        </w:rPr>
        <w:t>. As of September 30, 2020, there were no outstanding balance of our notes payable.</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 </w:t>
      </w:r>
      <w:r>
        <w:rPr>
          <w:sz w:val="20"/>
          <w:szCs w:val="20"/>
        </w:rPr>
        <w:t xml:space="preserve">also issued five convertible notes payable with unrelated parties during 2021. The notes were issued with a combined principal value of </w:t>
      </w:r>
      <w:r>
        <w:rPr>
          <w:sz w:val="20"/>
          <w:szCs w:val="20"/>
        </w:rPr>
        <w:t>$</w:t>
      </w:r>
      <w:r>
        <w:rPr>
          <w:sz w:val="20"/>
          <w:szCs w:val="20"/>
        </w:rPr>
        <w:t>1,875,00</w:t>
      </w:r>
      <w:r>
        <w:rPr>
          <w:sz w:val="20"/>
          <w:szCs w:val="20"/>
        </w:rPr>
        <w:t>0</w:t>
      </w:r>
      <w:r>
        <w:rPr>
          <w:sz w:val="20"/>
          <w:szCs w:val="20"/>
        </w:rPr>
        <w:t xml:space="preserve"> and original issuance discount of </w:t>
      </w:r>
      <w:r>
        <w:rPr>
          <w:sz w:val="20"/>
          <w:szCs w:val="20"/>
        </w:rPr>
        <w:t>$</w:t>
      </w:r>
      <w:r>
        <w:rPr>
          <w:sz w:val="20"/>
          <w:szCs w:val="20"/>
        </w:rPr>
        <w:t>375,00</w:t>
      </w:r>
      <w:r>
        <w:rPr>
          <w:sz w:val="20"/>
          <w:szCs w:val="20"/>
        </w:rPr>
        <w:t>0</w:t>
      </w:r>
      <w:r>
        <w:rPr>
          <w:sz w:val="20"/>
          <w:szCs w:val="20"/>
        </w:rPr>
        <w:t xml:space="preserve"> for net proceeds of </w:t>
      </w:r>
      <w:r>
        <w:rPr>
          <w:sz w:val="20"/>
          <w:szCs w:val="20"/>
        </w:rPr>
        <w:t>$</w:t>
      </w:r>
      <w:r>
        <w:rPr>
          <w:sz w:val="20"/>
          <w:szCs w:val="20"/>
        </w:rPr>
        <w:t>1,500,00</w:t>
      </w:r>
      <w:r>
        <w:rPr>
          <w:sz w:val="20"/>
          <w:szCs w:val="20"/>
        </w:rPr>
        <w:t>0</w:t>
      </w:r>
      <w:r>
        <w:rPr>
          <w:sz w:val="20"/>
          <w:szCs w:val="20"/>
        </w:rPr>
        <w:t>. The notes convert at $0.05 per sha</w:t>
      </w:r>
      <w:r>
        <w:rPr>
          <w:sz w:val="20"/>
          <w:szCs w:val="20"/>
        </w:rPr>
        <w:t>re.</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During the year ended September 30, 2021, one of these notes for </w:t>
      </w:r>
      <w:r>
        <w:rPr>
          <w:sz w:val="20"/>
          <w:szCs w:val="20"/>
        </w:rPr>
        <w:t>$</w:t>
      </w:r>
      <w:r>
        <w:rPr>
          <w:sz w:val="20"/>
          <w:szCs w:val="20"/>
        </w:rPr>
        <w:t>125,000</w:t>
      </w:r>
      <w:r>
        <w:rPr>
          <w:sz w:val="20"/>
          <w:szCs w:val="20"/>
        </w:rPr>
        <w:t xml:space="preserve"> </w:t>
      </w:r>
      <w:r>
        <w:rPr>
          <w:sz w:val="20"/>
          <w:szCs w:val="20"/>
        </w:rPr>
        <w:t xml:space="preserve">was repaid in cash, and the other four notes with a balance of </w:t>
      </w:r>
      <w:r>
        <w:rPr>
          <w:sz w:val="20"/>
          <w:szCs w:val="20"/>
        </w:rPr>
        <w:t>$</w:t>
      </w:r>
      <w:r>
        <w:rPr>
          <w:sz w:val="20"/>
          <w:szCs w:val="20"/>
        </w:rPr>
        <w:t>1,750,00</w:t>
      </w:r>
      <w:r>
        <w:rPr>
          <w:sz w:val="20"/>
          <w:szCs w:val="20"/>
        </w:rPr>
        <w:t>0</w:t>
      </w:r>
      <w:r>
        <w:rPr>
          <w:sz w:val="20"/>
          <w:szCs w:val="20"/>
        </w:rPr>
        <w:t xml:space="preserve"> were converted into</w:t>
      </w:r>
      <w:r>
        <w:rPr>
          <w:sz w:val="20"/>
          <w:szCs w:val="20"/>
        </w:rPr>
        <w:t xml:space="preserve"> </w:t>
      </w:r>
      <w:r>
        <w:rPr>
          <w:sz w:val="20"/>
          <w:szCs w:val="20"/>
        </w:rPr>
        <w:t>35,000,00</w:t>
      </w:r>
      <w:r>
        <w:rPr>
          <w:sz w:val="20"/>
          <w:szCs w:val="20"/>
        </w:rPr>
        <w:t>0</w:t>
      </w:r>
      <w:r>
        <w:rPr>
          <w:sz w:val="20"/>
          <w:szCs w:val="20"/>
        </w:rPr>
        <w:t xml:space="preserve"> shares of common stock. These notes have no balance as of September 30,</w:t>
      </w:r>
      <w:r>
        <w:rPr>
          <w:sz w:val="20"/>
          <w:szCs w:val="20"/>
        </w:rPr>
        <w:t xml:space="preserve"> 2021.</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center"/>
        <w:divId w:val="1453816933"/>
        <w:rPr>
          <w:sz w:val="20"/>
          <w:szCs w:val="20"/>
        </w:rPr>
      </w:pPr>
      <w:r>
        <w:rPr>
          <w:sz w:val="20"/>
          <w:szCs w:val="20"/>
        </w:rPr>
        <w:t>F</w:t>
      </w:r>
      <w:r>
        <w:rPr>
          <w:sz w:val="20"/>
          <w:szCs w:val="20"/>
        </w:rPr>
        <w:t>-</w:t>
      </w:r>
      <w:r>
        <w:rPr>
          <w:sz w:val="20"/>
          <w:szCs w:val="20"/>
        </w:rPr>
        <w:t>2</w:t>
      </w:r>
      <w:r>
        <w:rPr>
          <w:sz w:val="20"/>
          <w:szCs w:val="20"/>
        </w:rPr>
        <w:t>1</w:t>
      </w:r>
    </w:p>
    <w:p w:rsidR="00000000" w:rsidRDefault="00B64763">
      <w:pPr>
        <w:pStyle w:val="a3"/>
        <w:spacing w:before="0" w:beforeAutospacing="0" w:after="0" w:afterAutospacing="0"/>
        <w:divId w:val="1322386754"/>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CLICKSTREAM 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September 30, 2021 and 2020</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b/>
          <w:bCs/>
          <w:sz w:val="20"/>
          <w:szCs w:val="20"/>
        </w:rPr>
      </w:pPr>
      <w:r>
        <w:rPr>
          <w:b/>
          <w:bCs/>
          <w:sz w:val="20"/>
          <w:szCs w:val="20"/>
        </w:rPr>
        <w:t>Note 8–</w:t>
      </w:r>
      <w:r>
        <w:rPr>
          <w:b/>
          <w:bCs/>
          <w:sz w:val="20"/>
          <w:szCs w:val="20"/>
        </w:rPr>
        <w:t xml:space="preserve"> </w:t>
      </w:r>
      <w:r>
        <w:rPr>
          <w:b/>
          <w:bCs/>
          <w:sz w:val="20"/>
          <w:szCs w:val="20"/>
        </w:rPr>
        <w:t>Loan Payable - Stockholde</w:t>
      </w:r>
      <w:r>
        <w:rPr>
          <w:b/>
          <w:bCs/>
          <w:sz w:val="20"/>
          <w:szCs w:val="20"/>
        </w:rPr>
        <w:t>r</w:t>
      </w:r>
    </w:p>
    <w:p w:rsidR="00000000" w:rsidRDefault="00B64763">
      <w:pPr>
        <w:pStyle w:val="a3"/>
        <w:spacing w:before="0" w:beforeAutospacing="0" w:after="0" w:afterAutospacing="0"/>
        <w:rPr>
          <w:b/>
          <w:bCs/>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In fiscals 2017 and 2016, the Company issued promissory notes to a stockholder, in the agg</w:t>
      </w:r>
      <w:r>
        <w:rPr>
          <w:sz w:val="20"/>
          <w:szCs w:val="20"/>
        </w:rPr>
        <w:t xml:space="preserve">regate of $65,000 in exchange for cash. The notes are unsecured and are due within ten days upon on the completion of an initial financing by the Company. </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During the year ended September 30, 2020, the Company repaid the balance of </w:t>
      </w:r>
      <w:r>
        <w:rPr>
          <w:sz w:val="20"/>
          <w:szCs w:val="20"/>
        </w:rPr>
        <w:t>$</w:t>
      </w:r>
      <w:r>
        <w:rPr>
          <w:sz w:val="20"/>
          <w:szCs w:val="20"/>
        </w:rPr>
        <w:t>65,00</w:t>
      </w:r>
      <w:r>
        <w:rPr>
          <w:sz w:val="20"/>
          <w:szCs w:val="20"/>
        </w:rPr>
        <w:t>0</w:t>
      </w:r>
      <w:r>
        <w:rPr>
          <w:sz w:val="20"/>
          <w:szCs w:val="20"/>
        </w:rPr>
        <w:t>. As of Septemb</w:t>
      </w:r>
      <w:r>
        <w:rPr>
          <w:sz w:val="20"/>
          <w:szCs w:val="20"/>
        </w:rPr>
        <w:t>er 30, 2020, there was no outstanding balance of loan payable to stockholder.</w:t>
      </w:r>
    </w:p>
    <w:p w:rsidR="00000000" w:rsidRDefault="00B64763">
      <w:pPr>
        <w:pStyle w:val="a3"/>
        <w:spacing w:before="0" w:beforeAutospacing="0" w:after="0" w:afterAutospacing="0"/>
        <w:rPr>
          <w:b/>
          <w:bCs/>
          <w:sz w:val="20"/>
          <w:szCs w:val="20"/>
        </w:rPr>
      </w:pPr>
      <w:r>
        <w:rPr>
          <w:b/>
          <w:bCs/>
          <w:sz w:val="20"/>
          <w:szCs w:val="20"/>
        </w:rPr>
        <w:t> </w:t>
      </w:r>
    </w:p>
    <w:p w:rsidR="00000000" w:rsidRDefault="00B64763">
      <w:pPr>
        <w:pStyle w:val="a3"/>
        <w:spacing w:before="0" w:beforeAutospacing="0" w:after="0" w:afterAutospacing="0"/>
        <w:rPr>
          <w:b/>
          <w:bCs/>
          <w:sz w:val="20"/>
          <w:szCs w:val="20"/>
        </w:rPr>
      </w:pPr>
      <w:r>
        <w:rPr>
          <w:b/>
          <w:bCs/>
          <w:sz w:val="20"/>
          <w:szCs w:val="20"/>
        </w:rPr>
        <w:t>Note 9–</w:t>
      </w:r>
      <w:r>
        <w:rPr>
          <w:b/>
          <w:bCs/>
          <w:sz w:val="20"/>
          <w:szCs w:val="20"/>
        </w:rPr>
        <w:t xml:space="preserve"> </w:t>
      </w:r>
      <w:r>
        <w:rPr>
          <w:b/>
          <w:bCs/>
          <w:sz w:val="20"/>
          <w:szCs w:val="20"/>
        </w:rPr>
        <w:t>Related Party Transaction</w:t>
      </w:r>
      <w:r>
        <w:rPr>
          <w:b/>
          <w:bCs/>
          <w:sz w:val="20"/>
          <w:szCs w:val="20"/>
        </w:rPr>
        <w:t>s</w:t>
      </w:r>
    </w:p>
    <w:p w:rsidR="00000000" w:rsidRDefault="00B64763">
      <w:pPr>
        <w:pStyle w:val="a3"/>
        <w:spacing w:before="0" w:beforeAutospacing="0" w:after="0" w:afterAutospacing="0"/>
        <w:rPr>
          <w:b/>
          <w:bCs/>
          <w:sz w:val="20"/>
          <w:szCs w:val="20"/>
        </w:rPr>
      </w:pPr>
      <w:r>
        <w:rPr>
          <w:b/>
          <w:bCs/>
          <w:sz w:val="20"/>
          <w:szCs w:val="20"/>
        </w:rPr>
        <w:t> </w:t>
      </w:r>
    </w:p>
    <w:p w:rsidR="00000000" w:rsidRDefault="00B64763">
      <w:pPr>
        <w:pStyle w:val="a3"/>
        <w:spacing w:before="0" w:beforeAutospacing="0" w:after="0" w:afterAutospacing="0"/>
        <w:rPr>
          <w:sz w:val="20"/>
          <w:szCs w:val="20"/>
        </w:rPr>
      </w:pPr>
      <w:r>
        <w:rPr>
          <w:i/>
          <w:iCs/>
          <w:sz w:val="20"/>
          <w:szCs w:val="20"/>
          <w:u w:val="single"/>
        </w:rPr>
        <w:t>Accounts Payable – Related Parties:</w:t>
      </w:r>
    </w:p>
    <w:p w:rsidR="00000000" w:rsidRDefault="00B64763">
      <w:pPr>
        <w:pStyle w:val="a3"/>
        <w:spacing w:before="0" w:beforeAutospacing="0" w:after="0" w:afterAutospacing="0"/>
        <w:rPr>
          <w:sz w:val="20"/>
          <w:szCs w:val="20"/>
        </w:rPr>
      </w:pPr>
      <w:r>
        <w:rPr>
          <w:i/>
          <w:iCs/>
          <w:sz w:val="20"/>
          <w:szCs w:val="20"/>
        </w:rPr>
        <w:t> </w:t>
      </w:r>
    </w:p>
    <w:p w:rsidR="00000000" w:rsidRDefault="00B64763">
      <w:pPr>
        <w:pStyle w:val="a3"/>
        <w:spacing w:before="0" w:beforeAutospacing="0" w:after="0" w:afterAutospacing="0"/>
        <w:ind w:firstLine="720"/>
        <w:jc w:val="both"/>
        <w:rPr>
          <w:sz w:val="20"/>
          <w:szCs w:val="20"/>
        </w:rPr>
      </w:pPr>
      <w:r>
        <w:rPr>
          <w:sz w:val="20"/>
          <w:szCs w:val="20"/>
        </w:rPr>
        <w:t>Accounts Payable – Related Parties represents unpaid fees to officers and stockholders for consulting</w:t>
      </w:r>
      <w:r>
        <w:rPr>
          <w:sz w:val="20"/>
          <w:szCs w:val="20"/>
        </w:rPr>
        <w:t xml:space="preserve"> and corporate services rendered to the Company.</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During the year ended September 30, 2020, the </w:t>
      </w:r>
      <w:r>
        <w:rPr>
          <w:spacing w:val="-3"/>
          <w:sz w:val="20"/>
          <w:szCs w:val="20"/>
        </w:rPr>
        <w:t xml:space="preserve">Company </w:t>
      </w:r>
      <w:r>
        <w:rPr>
          <w:sz w:val="20"/>
          <w:szCs w:val="20"/>
        </w:rPr>
        <w:t xml:space="preserve">entered into settlement agreements </w:t>
      </w:r>
      <w:r>
        <w:rPr>
          <w:spacing w:val="-6"/>
          <w:sz w:val="20"/>
          <w:szCs w:val="20"/>
        </w:rPr>
        <w:t xml:space="preserve">with certain </w:t>
      </w:r>
      <w:r>
        <w:rPr>
          <w:sz w:val="20"/>
          <w:szCs w:val="20"/>
        </w:rPr>
        <w:t xml:space="preserve">officers and stockholders for the settlement of unpaid fees in the aggregate of $1,123,000 in exchange </w:t>
      </w:r>
      <w:r>
        <w:rPr>
          <w:sz w:val="20"/>
          <w:szCs w:val="20"/>
        </w:rPr>
        <w:t xml:space="preserve">for cash payment of $100,000 and issuance of 6,750,000 shares of common stock with fair value of $18,000. As a result of these settlements, the Company recorded a gain of $1,005,000 to account the difference between the amount of debt settled and the fair </w:t>
      </w:r>
      <w:r>
        <w:rPr>
          <w:sz w:val="20"/>
          <w:szCs w:val="20"/>
        </w:rPr>
        <w:t xml:space="preserve">value of the common shares issued. The gain was accounted as part of additional paid in capital pursuant to current accounting guidelines as it was the result of a settlement with related parties. As of September 30, 2020, outstanding amounts due to these </w:t>
      </w:r>
      <w:r>
        <w:rPr>
          <w:sz w:val="20"/>
          <w:szCs w:val="20"/>
        </w:rPr>
        <w:t>officers and stockholders amounted to $9,000. During the year ended September 30, 2021, the balance has been repaid.</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rPr>
          <w:sz w:val="20"/>
          <w:szCs w:val="20"/>
        </w:rPr>
      </w:pPr>
      <w:r>
        <w:rPr>
          <w:i/>
          <w:iCs/>
          <w:sz w:val="20"/>
          <w:szCs w:val="20"/>
          <w:u w:val="single"/>
        </w:rPr>
        <w:t>Advances from Stockholders:</w:t>
      </w:r>
    </w:p>
    <w:p w:rsidR="00000000" w:rsidRDefault="00B64763">
      <w:pPr>
        <w:pStyle w:val="a3"/>
        <w:spacing w:before="0" w:beforeAutospacing="0" w:after="0" w:afterAutospacing="0"/>
        <w:rPr>
          <w:sz w:val="20"/>
          <w:szCs w:val="20"/>
        </w:rPr>
      </w:pPr>
      <w:r>
        <w:rPr>
          <w:i/>
          <w:iCs/>
          <w:sz w:val="20"/>
          <w:szCs w:val="20"/>
        </w:rPr>
        <w:t> </w:t>
      </w:r>
    </w:p>
    <w:p w:rsidR="00000000" w:rsidRDefault="00B64763">
      <w:pPr>
        <w:pStyle w:val="a3"/>
        <w:spacing w:before="0" w:beforeAutospacing="0" w:after="0" w:afterAutospacing="0"/>
        <w:ind w:firstLine="719"/>
        <w:jc w:val="both"/>
        <w:rPr>
          <w:sz w:val="20"/>
          <w:szCs w:val="20"/>
        </w:rPr>
      </w:pPr>
      <w:r>
        <w:rPr>
          <w:sz w:val="20"/>
          <w:szCs w:val="20"/>
        </w:rPr>
        <w:t xml:space="preserve">Advances from </w:t>
      </w:r>
      <w:r>
        <w:rPr>
          <w:sz w:val="20"/>
          <w:szCs w:val="20"/>
        </w:rPr>
        <w:t>stockholders represents cash advances received from stockholders or expenses paid by the stockholders on behalf of the Company.</w:t>
      </w:r>
    </w:p>
    <w:p w:rsidR="00000000" w:rsidRDefault="00B64763">
      <w:pPr>
        <w:pStyle w:val="a3"/>
        <w:spacing w:before="0" w:beforeAutospacing="0" w:after="0" w:afterAutospacing="0"/>
        <w:ind w:firstLine="719"/>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During the year ended September 30, 2020, the Company recorded advances of $4,000 and paid $8,000. In addition, one stockholde</w:t>
      </w:r>
      <w:r>
        <w:rPr>
          <w:sz w:val="20"/>
          <w:szCs w:val="20"/>
        </w:rPr>
        <w:t>r settled advances of $8,000 in exchange for the issuance of 1,000,000 shares of common stock with a fair value of $3,000. As a result of this settlement, the Company recorded a gain of $5,000 to account for the difference between the amount of debt settle</w:t>
      </w:r>
      <w:r>
        <w:rPr>
          <w:sz w:val="20"/>
          <w:szCs w:val="20"/>
        </w:rPr>
        <w:t>d and the fair value of the common shares issued. The gain was accounted as part of additional paid in capital pursuant to current accounting guidelines as it was the result of settlement with a related party. As of September 30, 2020, outstanding advances</w:t>
      </w:r>
      <w:r>
        <w:rPr>
          <w:sz w:val="20"/>
          <w:szCs w:val="20"/>
        </w:rPr>
        <w:t xml:space="preserve"> from stockholders amounted to $7,000. During the year ended September 30, 2021, the balance has been repaid.</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rPr>
          <w:sz w:val="20"/>
          <w:szCs w:val="20"/>
        </w:rPr>
      </w:pPr>
      <w:r>
        <w:rPr>
          <w:i/>
          <w:iCs/>
          <w:sz w:val="20"/>
          <w:szCs w:val="20"/>
          <w:u w:val="single"/>
        </w:rPr>
        <w:t>Consulting Agreements:</w:t>
      </w:r>
    </w:p>
    <w:p w:rsidR="00000000" w:rsidRDefault="00B64763">
      <w:pPr>
        <w:pStyle w:val="a3"/>
        <w:spacing w:before="0" w:beforeAutospacing="0" w:after="0" w:afterAutospacing="0"/>
        <w:rPr>
          <w:sz w:val="20"/>
          <w:szCs w:val="20"/>
        </w:rPr>
      </w:pPr>
      <w:r>
        <w:rPr>
          <w:i/>
          <w:iCs/>
          <w:sz w:val="20"/>
          <w:szCs w:val="20"/>
        </w:rPr>
        <w:t> </w:t>
      </w:r>
    </w:p>
    <w:p w:rsidR="00000000" w:rsidRDefault="00B64763">
      <w:pPr>
        <w:pStyle w:val="a3"/>
        <w:spacing w:before="0" w:beforeAutospacing="0" w:after="0" w:afterAutospacing="0"/>
        <w:ind w:firstLine="720"/>
        <w:jc w:val="both"/>
        <w:rPr>
          <w:sz w:val="20"/>
          <w:szCs w:val="20"/>
        </w:rPr>
      </w:pPr>
      <w:r>
        <w:rPr>
          <w:sz w:val="20"/>
          <w:szCs w:val="20"/>
        </w:rPr>
        <w:t>During fiscal 2020, the company executed consulting agreements with shareholders and/or officers of the Company ranging</w:t>
      </w:r>
      <w:r>
        <w:rPr>
          <w:sz w:val="20"/>
          <w:szCs w:val="20"/>
        </w:rPr>
        <w:t xml:space="preserve"> from 12 months to 36 months. As a result the Company recognized consulting expense of $238,000.</w:t>
      </w:r>
    </w:p>
    <w:p w:rsidR="00000000" w:rsidRDefault="00B64763">
      <w:pPr>
        <w:pStyle w:val="a3"/>
        <w:spacing w:before="0" w:beforeAutospacing="0" w:after="0" w:afterAutospacing="0"/>
        <w:ind w:firstLine="719"/>
        <w:jc w:val="both"/>
        <w:rPr>
          <w:sz w:val="20"/>
          <w:szCs w:val="20"/>
        </w:rPr>
      </w:pPr>
      <w:r>
        <w:rPr>
          <w:sz w:val="20"/>
          <w:szCs w:val="20"/>
        </w:rPr>
        <w:t> </w:t>
      </w:r>
    </w:p>
    <w:p w:rsidR="00000000" w:rsidRDefault="00B64763">
      <w:pPr>
        <w:pStyle w:val="a3"/>
        <w:spacing w:before="0" w:beforeAutospacing="0" w:after="0" w:afterAutospacing="0"/>
        <w:ind w:firstLine="719"/>
        <w:jc w:val="both"/>
        <w:rPr>
          <w:sz w:val="20"/>
          <w:szCs w:val="20"/>
        </w:rPr>
      </w:pPr>
      <w:r>
        <w:rPr>
          <w:sz w:val="20"/>
          <w:szCs w:val="20"/>
        </w:rPr>
        <w:t>During fiscal 2021, the Company recognized consulting expense of $924,000.</w:t>
      </w:r>
    </w:p>
    <w:p w:rsidR="00000000" w:rsidRDefault="00B64763">
      <w:pPr>
        <w:pStyle w:val="a3"/>
        <w:spacing w:before="0" w:beforeAutospacing="0" w:after="0" w:afterAutospacing="0"/>
        <w:ind w:firstLine="719"/>
        <w:jc w:val="both"/>
        <w:rPr>
          <w:sz w:val="20"/>
          <w:szCs w:val="20"/>
        </w:rPr>
      </w:pPr>
      <w:r>
        <w:rPr>
          <w:i/>
          <w:iCs/>
          <w:sz w:val="20"/>
          <w:szCs w:val="20"/>
        </w:rPr>
        <w:t> </w:t>
      </w:r>
    </w:p>
    <w:p w:rsidR="00000000" w:rsidRDefault="00B64763">
      <w:pPr>
        <w:pStyle w:val="a3"/>
        <w:spacing w:before="0" w:beforeAutospacing="0" w:after="0" w:afterAutospacing="0"/>
        <w:rPr>
          <w:sz w:val="20"/>
          <w:szCs w:val="20"/>
        </w:rPr>
      </w:pPr>
      <w:r>
        <w:rPr>
          <w:i/>
          <w:iCs/>
          <w:sz w:val="20"/>
          <w:szCs w:val="20"/>
          <w:u w:val="single"/>
        </w:rPr>
        <w:t>Winners Inc:</w:t>
      </w:r>
    </w:p>
    <w:p w:rsidR="00000000" w:rsidRDefault="00B64763">
      <w:pPr>
        <w:pStyle w:val="a3"/>
        <w:spacing w:before="0" w:beforeAutospacing="0" w:after="0" w:afterAutospacing="0"/>
        <w:rPr>
          <w:sz w:val="20"/>
          <w:szCs w:val="20"/>
        </w:rPr>
      </w:pPr>
      <w:r>
        <w:rPr>
          <w:i/>
          <w:iCs/>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During the year ended September 30, 2020, the Company received a </w:t>
      </w:r>
      <w:r>
        <w:rPr>
          <w:sz w:val="20"/>
          <w:szCs w:val="20"/>
        </w:rPr>
        <w:t>promissory note from Winners, Inc. and also purchased equity interests. See Note 3.</w:t>
      </w:r>
    </w:p>
    <w:p w:rsidR="00000000" w:rsidRDefault="00B64763">
      <w:pPr>
        <w:pStyle w:val="a3"/>
        <w:spacing w:before="0" w:beforeAutospacing="0" w:after="0" w:afterAutospacing="0"/>
        <w:ind w:firstLine="719"/>
        <w:jc w:val="both"/>
        <w:rPr>
          <w:sz w:val="20"/>
          <w:szCs w:val="20"/>
        </w:rPr>
      </w:pPr>
      <w:r>
        <w:rPr>
          <w:sz w:val="20"/>
          <w:szCs w:val="20"/>
        </w:rPr>
        <w:t> </w:t>
      </w:r>
    </w:p>
    <w:p w:rsidR="00000000" w:rsidRDefault="00B64763">
      <w:pPr>
        <w:pStyle w:val="a3"/>
        <w:spacing w:before="0" w:beforeAutospacing="0" w:after="0" w:afterAutospacing="0"/>
        <w:jc w:val="center"/>
        <w:divId w:val="1061487185"/>
        <w:rPr>
          <w:sz w:val="20"/>
          <w:szCs w:val="20"/>
        </w:rPr>
      </w:pPr>
      <w:r>
        <w:rPr>
          <w:sz w:val="20"/>
          <w:szCs w:val="20"/>
        </w:rPr>
        <w:t>F</w:t>
      </w:r>
      <w:r>
        <w:rPr>
          <w:sz w:val="20"/>
          <w:szCs w:val="20"/>
        </w:rPr>
        <w:t>-</w:t>
      </w:r>
      <w:r>
        <w:rPr>
          <w:sz w:val="20"/>
          <w:szCs w:val="20"/>
        </w:rPr>
        <w:t>2</w:t>
      </w:r>
      <w:r>
        <w:rPr>
          <w:sz w:val="20"/>
          <w:szCs w:val="20"/>
        </w:rPr>
        <w:t>2</w:t>
      </w:r>
    </w:p>
    <w:p w:rsidR="00000000" w:rsidRDefault="00B64763">
      <w:pPr>
        <w:pStyle w:val="a3"/>
        <w:spacing w:before="0" w:beforeAutospacing="0" w:after="0" w:afterAutospacing="0"/>
        <w:divId w:val="1522039583"/>
        <w:rPr>
          <w:sz w:val="20"/>
          <w:szCs w:val="20"/>
        </w:rPr>
      </w:pPr>
      <w:r>
        <w:rPr>
          <w:sz w:val="20"/>
          <w:szCs w:val="20"/>
        </w:rPr>
        <w:t> </w:t>
      </w:r>
    </w:p>
    <w:p w:rsidR="00000000" w:rsidRDefault="00B64763">
      <w:pPr>
        <w:pStyle w:val="a3"/>
        <w:spacing w:before="0" w:beforeAutospacing="0" w:after="0" w:afterAutospacing="0"/>
        <w:ind w:firstLine="719"/>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CLICKSTREAM 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September 30, 2021 and 2020</w:t>
      </w:r>
    </w:p>
    <w:p w:rsidR="00000000" w:rsidRDefault="00B64763">
      <w:pPr>
        <w:pStyle w:val="a3"/>
        <w:spacing w:before="0" w:beforeAutospacing="0" w:after="0" w:afterAutospacing="0"/>
        <w:ind w:firstLine="719"/>
        <w:jc w:val="both"/>
        <w:rPr>
          <w:sz w:val="20"/>
          <w:szCs w:val="20"/>
        </w:rPr>
      </w:pPr>
      <w:r>
        <w:rPr>
          <w:sz w:val="20"/>
          <w:szCs w:val="20"/>
        </w:rPr>
        <w:t> </w:t>
      </w:r>
    </w:p>
    <w:p w:rsidR="00000000" w:rsidRDefault="00B64763">
      <w:pPr>
        <w:pStyle w:val="a3"/>
        <w:spacing w:before="0" w:beforeAutospacing="0" w:after="0" w:afterAutospacing="0"/>
        <w:rPr>
          <w:b/>
          <w:bCs/>
          <w:sz w:val="20"/>
          <w:szCs w:val="20"/>
        </w:rPr>
      </w:pPr>
      <w:r>
        <w:rPr>
          <w:b/>
          <w:bCs/>
          <w:sz w:val="20"/>
          <w:szCs w:val="20"/>
        </w:rPr>
        <w:t>Note 10–</w:t>
      </w:r>
      <w:r>
        <w:rPr>
          <w:b/>
          <w:bCs/>
          <w:sz w:val="20"/>
          <w:szCs w:val="20"/>
        </w:rPr>
        <w:t xml:space="preserve"> </w:t>
      </w:r>
      <w:r>
        <w:rPr>
          <w:b/>
          <w:bCs/>
          <w:sz w:val="20"/>
          <w:szCs w:val="20"/>
        </w:rPr>
        <w:t>Convertible Series A Preferred Stoc</w:t>
      </w:r>
      <w:r>
        <w:rPr>
          <w:b/>
          <w:bCs/>
          <w:sz w:val="20"/>
          <w:szCs w:val="20"/>
        </w:rPr>
        <w:t>k</w:t>
      </w:r>
    </w:p>
    <w:p w:rsidR="00000000" w:rsidRDefault="00B64763">
      <w:pPr>
        <w:pStyle w:val="a3"/>
        <w:spacing w:before="0" w:beforeAutospacing="0" w:after="0" w:afterAutospacing="0"/>
        <w:rPr>
          <w:b/>
          <w:bCs/>
          <w:sz w:val="20"/>
          <w:szCs w:val="20"/>
        </w:rPr>
      </w:pPr>
      <w:r>
        <w:rPr>
          <w:b/>
          <w:bCs/>
          <w:sz w:val="20"/>
          <w:szCs w:val="20"/>
        </w:rPr>
        <w:t> </w:t>
      </w:r>
      <w:r>
        <w:rPr>
          <w:b/>
          <w:bCs/>
          <w:i/>
          <w:iCs/>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 Company is authorized to issue 10,000,000 shares of preferred stock and has designated 4,000,000 preferred shares as Series A preferred.</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The Series A has the following rights and privileges as amended:</w:t>
      </w:r>
    </w:p>
    <w:p w:rsidR="00000000" w:rsidRDefault="00B647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7586"/>
      </w:tblGrid>
      <w:tr w:rsidR="00000000">
        <w:tc>
          <w:tcPr>
            <w:tcW w:w="720" w:type="dxa"/>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have</w:t>
            </w:r>
            <w:r>
              <w:rPr>
                <w:rFonts w:eastAsia="Times New Roman"/>
                <w:sz w:val="20"/>
                <w:szCs w:val="20"/>
              </w:rPr>
              <w:t xml:space="preserve"> a conversion rate of 100 shares of Common Stock for each share of Preferred Stock;</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rPr>
            </w:pPr>
            <w:r>
              <w:rPr>
                <w:rFonts w:eastAsia="Times New Roman"/>
                <w:sz w:val="20"/>
                <w:szCs w:val="20"/>
              </w:rPr>
              <w:t xml:space="preserve">shall be treated pari passu with Common Stock except that </w:t>
            </w:r>
            <w:r>
              <w:rPr>
                <w:rFonts w:eastAsia="Times New Roman"/>
                <w:sz w:val="20"/>
                <w:szCs w:val="20"/>
              </w:rPr>
              <w:t>the dividend on each share of Preferred Stock shall be the amount of dividend declared and paid on each share of common stock multiplied by the Conversion rate;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rPr>
            </w:pPr>
            <w:r>
              <w:rPr>
                <w:rFonts w:eastAsia="Times New Roman"/>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shall be treated pari passu with Common Stock except that the liquidation payment o</w:t>
            </w:r>
            <w:r>
              <w:rPr>
                <w:rFonts w:eastAsia="Times New Roman"/>
                <w:sz w:val="20"/>
                <w:szCs w:val="20"/>
              </w:rPr>
              <w:t>n each share of Series A Convertible Preferred Stock shall be equal to the amount of the payment on each share of Common Stock multiplied by the Conversion Rate;</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sz w:val="20"/>
                <w:szCs w:val="20"/>
              </w:rPr>
            </w:pPr>
            <w:r>
              <w:rPr>
                <w:rFonts w:eastAsia="Times New Roman"/>
                <w:sz w:val="20"/>
                <w:szCs w:val="20"/>
              </w:rPr>
              <w:t>shall vote on all matters as a class with the holders of Common Stock and each share o</w:t>
            </w:r>
            <w:r>
              <w:rPr>
                <w:rFonts w:eastAsia="Times New Roman"/>
                <w:sz w:val="20"/>
                <w:szCs w:val="20"/>
              </w:rPr>
              <w:t>f Series A Convertible Preferred Stock shall be entitled to the number of votes per share equal to the Conversion Rate;</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sz w:val="20"/>
                <w:szCs w:val="20"/>
              </w:rPr>
            </w:pPr>
            <w:r>
              <w:rPr>
                <w:rFonts w:eastAsia="Times New Roman"/>
                <w:sz w:val="20"/>
                <w:szCs w:val="20"/>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pStyle w:val="a3"/>
              <w:spacing w:before="0" w:beforeAutospacing="0" w:after="0" w:afterAutospacing="0"/>
              <w:jc w:val="both"/>
            </w:pPr>
            <w:r>
              <w:rPr>
                <w:sz w:val="20"/>
                <w:szCs w:val="20"/>
              </w:rPr>
              <w:t>shall automatically be converted into shares of common stock at its then effective Conversion Rate upon the latest of:  </w:t>
            </w:r>
          </w:p>
          <w:p w:rsidR="00000000" w:rsidRDefault="00B64763">
            <w:pPr>
              <w:pStyle w:val="a3"/>
              <w:spacing w:before="0" w:beforeAutospacing="0" w:after="0" w:afterAutospacing="0"/>
              <w:ind w:left="800" w:hanging="400"/>
              <w:jc w:val="both"/>
            </w:pPr>
            <w:r>
              <w:rPr>
                <w:sz w:val="20"/>
                <w:szCs w:val="20"/>
              </w:rPr>
              <w:t>a.     </w:t>
            </w:r>
            <w:r>
              <w:rPr>
                <w:sz w:val="20"/>
                <w:szCs w:val="20"/>
              </w:rPr>
              <w:t>The closing of either a Form S-1 Registration or Form 1-A Offering under the Securities Act of 1933, as amended, covering the offer and sale to the public of Common Stock for the account of the Company   with $5,000,000 in cash proceeds to the Company, net</w:t>
            </w:r>
            <w:r>
              <w:rPr>
                <w:sz w:val="20"/>
                <w:szCs w:val="20"/>
              </w:rPr>
              <w:t xml:space="preserve"> of underwriting discounts;</w:t>
            </w:r>
          </w:p>
          <w:p w:rsidR="00000000" w:rsidRDefault="00B64763">
            <w:pPr>
              <w:pStyle w:val="a3"/>
              <w:spacing w:before="0" w:beforeAutospacing="0" w:after="0" w:afterAutospacing="0"/>
              <w:ind w:left="800" w:hanging="400"/>
              <w:jc w:val="both"/>
            </w:pPr>
            <w:r>
              <w:rPr>
                <w:sz w:val="20"/>
                <w:szCs w:val="20"/>
              </w:rPr>
              <w:t>b.     The written consent of the holders of at least a majority of the then outstanding Series A Convertible Preferred stock; and  </w:t>
            </w:r>
          </w:p>
          <w:p w:rsidR="00000000" w:rsidRDefault="00B64763">
            <w:pPr>
              <w:pStyle w:val="a3"/>
              <w:spacing w:before="0" w:beforeAutospacing="0" w:after="0" w:afterAutospacing="0"/>
              <w:ind w:left="800" w:hanging="400"/>
              <w:jc w:val="both"/>
            </w:pPr>
            <w:r>
              <w:rPr>
                <w:sz w:val="20"/>
                <w:szCs w:val="20"/>
              </w:rPr>
              <w:t>c.     January 1, 2022</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 </w:t>
            </w:r>
          </w:p>
        </w:tc>
        <w:tc>
          <w:tcPr>
            <w:tcW w:w="0" w:type="auto"/>
            <w:hideMark/>
          </w:tcPr>
          <w:p w:rsidR="00000000" w:rsidRDefault="00B64763">
            <w:pPr>
              <w:jc w:val="both"/>
              <w:rPr>
                <w:rFonts w:eastAsia="Times New Roman"/>
              </w:rPr>
            </w:pPr>
            <w:r>
              <w:rPr>
                <w:rFonts w:eastAsia="Times New Roman"/>
              </w:rPr>
              <w:t> </w:t>
            </w:r>
          </w:p>
        </w:tc>
      </w:tr>
      <w:tr w:rsidR="00000000">
        <w:tc>
          <w:tcPr>
            <w:tcW w:w="0" w:type="auto"/>
            <w:hideMark/>
          </w:tcPr>
          <w:p w:rsidR="00000000" w:rsidRDefault="00B64763">
            <w:pPr>
              <w:jc w:val="both"/>
              <w:rPr>
                <w:rFonts w:eastAsia="Times New Roman"/>
                <w:sz w:val="20"/>
                <w:szCs w:val="20"/>
              </w:rPr>
            </w:pPr>
            <w:r>
              <w:rPr>
                <w:rFonts w:eastAsia="Times New Roman"/>
                <w:sz w:val="20"/>
                <w:szCs w:val="20"/>
              </w:rPr>
              <w:t>●</w:t>
            </w:r>
          </w:p>
        </w:tc>
        <w:tc>
          <w:tcPr>
            <w:tcW w:w="0" w:type="auto"/>
            <w:hideMark/>
          </w:tcPr>
          <w:p w:rsidR="00000000" w:rsidRDefault="00B64763">
            <w:pPr>
              <w:jc w:val="both"/>
              <w:rPr>
                <w:rFonts w:eastAsia="Times New Roman"/>
              </w:rPr>
            </w:pPr>
            <w:r>
              <w:rPr>
                <w:rFonts w:eastAsia="Times New Roman"/>
                <w:sz w:val="20"/>
                <w:szCs w:val="20"/>
              </w:rPr>
              <w:t>shall have anti-dilution rights (the “Anti-Dilution Rights”) during the Two-year period after the Series A Convertible Preferred converted into shares of Common Stock at its then effective conversion Rate. The anti- dilution rights shall be a pro-rata to t</w:t>
            </w:r>
            <w:r>
              <w:rPr>
                <w:rFonts w:eastAsia="Times New Roman"/>
                <w:sz w:val="20"/>
                <w:szCs w:val="20"/>
              </w:rPr>
              <w:t xml:space="preserve">he holder’s ownership of the Series A Convertible Preferred Stock. The company agrees to assure that the holders of the Series A Convertible Preferred Stock shall have and maintain at all times, full ratchet anti-dilution protection rights as to the total </w:t>
            </w:r>
            <w:r>
              <w:rPr>
                <w:rFonts w:eastAsia="Times New Roman"/>
                <w:sz w:val="20"/>
                <w:szCs w:val="20"/>
              </w:rPr>
              <w:t xml:space="preserve">number of issued and outstanding shares of common stock and preferred stock of the Company from time to time, at the rate of 80%, calculated on a fully- diluted basis. In the event that the Company issues any shares of common stock, preferred stock or any </w:t>
            </w:r>
            <w:r>
              <w:rPr>
                <w:rFonts w:eastAsia="Times New Roman"/>
                <w:sz w:val="20"/>
                <w:szCs w:val="20"/>
              </w:rPr>
              <w:t>security convertible into or exchangeable for common stock or preferred stock to any person or entity, the Company agrees to undertake all necessary measures as may be necessary or expedient to accommodate its performance under this Series A Convertible Pr</w:t>
            </w:r>
            <w:r>
              <w:rPr>
                <w:rFonts w:eastAsia="Times New Roman"/>
                <w:sz w:val="20"/>
                <w:szCs w:val="20"/>
              </w:rPr>
              <w:t>eferred Stock Designation, including, without limitation, the amendment of its articles of incorporation to the extent necessary to provide for a sufficient number of shares of authorized common stock or preferred stock to be issued to Series A Convertible</w:t>
            </w:r>
            <w:r>
              <w:rPr>
                <w:rFonts w:eastAsia="Times New Roman"/>
                <w:sz w:val="20"/>
                <w:szCs w:val="20"/>
              </w:rPr>
              <w:t xml:space="preserve"> Preferred Stock holders so as to maintain in Series A Convertible Preferred Stock holders, a 80% interest in the common stock and preferred stock of the   Company, calculated on a fully-diluted basis.</w:t>
            </w:r>
          </w:p>
        </w:tc>
      </w:tr>
    </w:tbl>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i/>
          <w:iCs/>
          <w:sz w:val="20"/>
          <w:szCs w:val="20"/>
          <w:u w:val="single"/>
        </w:rPr>
        <w:t>Issuance of Series A Convertible Preferred Stock</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During the year ended September 30, 2020, the Company issued 1,000,000 shares of Series A Convertible Preferred Stock (Series A) in exchange for cash of $12,000 or $0.0125 per share. In addition, the Company issued 2,000,000 shares of its Series A to two n</w:t>
      </w:r>
      <w:r>
        <w:rPr>
          <w:sz w:val="20"/>
          <w:szCs w:val="20"/>
        </w:rPr>
        <w:t>on-related consultants for services rendered and 1,000,000 shares of its Series A to a related party pursuant to a consulting agreement with a total fair value of $38,000 which was based on the cash selling price of the Series A of $0.0125 per share</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w:t>
      </w:r>
      <w:r>
        <w:rPr>
          <w:sz w:val="20"/>
          <w:szCs w:val="20"/>
        </w:rPr>
        <w:t>Company considered accounting guidance to determine the appropriate treatment of the Series A shares. Accordingly, based on a deemed liquidation provision which causes potential cash redemption of the Series A shares, the Company recorded the issuance of i</w:t>
      </w:r>
      <w:r>
        <w:rPr>
          <w:sz w:val="20"/>
          <w:szCs w:val="20"/>
        </w:rPr>
        <w:t>ts Series A for cash and services with a total amount of $50,000 as temporary equity.</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divId w:val="736629164"/>
        <w:rPr>
          <w:sz w:val="20"/>
          <w:szCs w:val="20"/>
        </w:rPr>
      </w:pPr>
      <w:r>
        <w:rPr>
          <w:sz w:val="20"/>
          <w:szCs w:val="20"/>
        </w:rPr>
        <w:t>F</w:t>
      </w:r>
      <w:r>
        <w:rPr>
          <w:sz w:val="20"/>
          <w:szCs w:val="20"/>
        </w:rPr>
        <w:t>-</w:t>
      </w:r>
      <w:r>
        <w:rPr>
          <w:sz w:val="20"/>
          <w:szCs w:val="20"/>
        </w:rPr>
        <w:t>2</w:t>
      </w:r>
      <w:r>
        <w:rPr>
          <w:sz w:val="20"/>
          <w:szCs w:val="20"/>
        </w:rPr>
        <w:t>3</w:t>
      </w:r>
    </w:p>
    <w:p w:rsidR="00000000" w:rsidRDefault="00B64763">
      <w:pPr>
        <w:pStyle w:val="a3"/>
        <w:spacing w:before="0" w:beforeAutospacing="0" w:after="0" w:afterAutospacing="0"/>
        <w:divId w:val="1972713082"/>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CLICKSTREAM 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September 30, 2021 and 2020</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rPr>
          <w:sz w:val="20"/>
          <w:szCs w:val="20"/>
        </w:rPr>
      </w:pPr>
      <w:r>
        <w:rPr>
          <w:i/>
          <w:iCs/>
          <w:sz w:val="20"/>
          <w:szCs w:val="20"/>
          <w:u w:val="single"/>
        </w:rPr>
        <w:t>Inherent Compensation</w:t>
      </w:r>
    </w:p>
    <w:p w:rsidR="00000000" w:rsidRDefault="00B64763">
      <w:pPr>
        <w:pStyle w:val="a3"/>
        <w:spacing w:before="0" w:beforeAutospacing="0" w:after="0" w:afterAutospacing="0"/>
        <w:rPr>
          <w:sz w:val="20"/>
          <w:szCs w:val="20"/>
        </w:rPr>
      </w:pPr>
      <w:r>
        <w:rPr>
          <w:i/>
          <w:iCs/>
          <w:sz w:val="20"/>
          <w:szCs w:val="20"/>
        </w:rPr>
        <w:t> </w:t>
      </w:r>
    </w:p>
    <w:p w:rsidR="00000000" w:rsidRDefault="00B64763">
      <w:pPr>
        <w:pStyle w:val="a3"/>
        <w:spacing w:before="0" w:beforeAutospacing="0" w:after="0" w:afterAutospacing="0"/>
        <w:ind w:firstLine="720"/>
        <w:jc w:val="both"/>
        <w:rPr>
          <w:sz w:val="20"/>
          <w:szCs w:val="20"/>
        </w:rPr>
      </w:pPr>
      <w:r>
        <w:rPr>
          <w:sz w:val="20"/>
          <w:szCs w:val="20"/>
        </w:rPr>
        <w:t>Prior to the issuance of the 4 million Series A shares in December 2019, the market capitalization of the Company was estimated to be $217,000 based upon the Company’s issued and outstanding common stock of 83,438,231 shares. The Company determined that th</w:t>
      </w:r>
      <w:r>
        <w:rPr>
          <w:sz w:val="20"/>
          <w:szCs w:val="20"/>
        </w:rPr>
        <w:t xml:space="preserve">e Series A shareholders were granted an inherent compensation/benefit since the Series A shares are convertible to 400,000,000 shares of common stock that will result in a substantial change in the ownership of the Company upon its conversion. At the date </w:t>
      </w:r>
      <w:r>
        <w:rPr>
          <w:sz w:val="20"/>
          <w:szCs w:val="20"/>
        </w:rPr>
        <w:t>of the issuance of the Series A, holders of the Series A shares on an if converted basis, will potentially own approximately 83% of the Company. As such, the Company recorded stock compensation of $180,000 in 2020 based upon the estimated market capitaliza</w:t>
      </w:r>
      <w:r>
        <w:rPr>
          <w:sz w:val="20"/>
          <w:szCs w:val="20"/>
        </w:rPr>
        <w:t>tion of the Company and the estimated change in ownership to account for the inherent compensation as a result of the issuance of the Series A shares.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rPr>
          <w:b/>
          <w:bCs/>
          <w:sz w:val="20"/>
          <w:szCs w:val="20"/>
        </w:rPr>
      </w:pPr>
      <w:r>
        <w:rPr>
          <w:b/>
          <w:bCs/>
          <w:sz w:val="20"/>
          <w:szCs w:val="20"/>
        </w:rPr>
        <w:t>Note 11 -</w:t>
      </w:r>
      <w:r>
        <w:rPr>
          <w:b/>
          <w:bCs/>
          <w:sz w:val="20"/>
          <w:szCs w:val="20"/>
        </w:rPr>
        <w:t xml:space="preserve"> </w:t>
      </w:r>
      <w:r>
        <w:rPr>
          <w:b/>
          <w:bCs/>
          <w:sz w:val="20"/>
          <w:szCs w:val="20"/>
        </w:rPr>
        <w:t>Stockholders’ Equit</w:t>
      </w:r>
      <w:r>
        <w:rPr>
          <w:b/>
          <w:bCs/>
          <w:sz w:val="20"/>
          <w:szCs w:val="20"/>
        </w:rPr>
        <w:t>y</w:t>
      </w:r>
    </w:p>
    <w:p w:rsidR="00000000" w:rsidRDefault="00B64763">
      <w:pPr>
        <w:pStyle w:val="a3"/>
        <w:spacing w:before="0" w:beforeAutospacing="0" w:after="0" w:afterAutospacing="0"/>
        <w:rPr>
          <w:b/>
          <w:bCs/>
          <w:sz w:val="20"/>
          <w:szCs w:val="20"/>
        </w:rPr>
      </w:pPr>
      <w:r>
        <w:rPr>
          <w:b/>
          <w:bCs/>
          <w:sz w:val="20"/>
          <w:szCs w:val="20"/>
        </w:rPr>
        <w:t> </w:t>
      </w:r>
    </w:p>
    <w:p w:rsidR="00000000" w:rsidRDefault="00B64763">
      <w:pPr>
        <w:pStyle w:val="a3"/>
        <w:spacing w:before="0" w:beforeAutospacing="0" w:after="0" w:afterAutospacing="0"/>
        <w:rPr>
          <w:sz w:val="20"/>
          <w:szCs w:val="20"/>
        </w:rPr>
      </w:pPr>
      <w:r>
        <w:rPr>
          <w:i/>
          <w:iCs/>
          <w:sz w:val="20"/>
          <w:szCs w:val="20"/>
          <w:u w:val="single"/>
        </w:rPr>
        <w:t>Issuance of Common Stock for Services</w:t>
      </w:r>
    </w:p>
    <w:p w:rsidR="00000000" w:rsidRDefault="00B64763">
      <w:pPr>
        <w:pStyle w:val="a3"/>
        <w:spacing w:before="0" w:beforeAutospacing="0" w:after="0" w:afterAutospacing="0"/>
        <w:rPr>
          <w:sz w:val="20"/>
          <w:szCs w:val="20"/>
        </w:rPr>
      </w:pPr>
      <w:r>
        <w:rPr>
          <w:i/>
          <w:iCs/>
          <w:sz w:val="20"/>
          <w:szCs w:val="20"/>
        </w:rPr>
        <w:t> </w:t>
      </w:r>
    </w:p>
    <w:p w:rsidR="00000000" w:rsidRDefault="00B64763">
      <w:pPr>
        <w:pStyle w:val="a3"/>
        <w:spacing w:before="0" w:beforeAutospacing="0" w:after="0" w:afterAutospacing="0"/>
        <w:ind w:firstLine="720"/>
        <w:jc w:val="both"/>
        <w:rPr>
          <w:sz w:val="20"/>
          <w:szCs w:val="20"/>
        </w:rPr>
      </w:pPr>
      <w:r>
        <w:rPr>
          <w:sz w:val="20"/>
          <w:szCs w:val="20"/>
        </w:rPr>
        <w:t>During the year ended Septembe</w:t>
      </w:r>
      <w:r>
        <w:rPr>
          <w:sz w:val="20"/>
          <w:szCs w:val="20"/>
        </w:rPr>
        <w:t xml:space="preserve">r 30, 2021, the Company issued a total of 3,877,179 shares of common stock to </w:t>
      </w:r>
      <w:r>
        <w:rPr>
          <w:sz w:val="20"/>
          <w:szCs w:val="20"/>
        </w:rPr>
        <w:tab/>
        <w:t xml:space="preserve">consultants with a fair value of $221,000 for services rendered. The common shares issued were valued at the trading price </w:t>
      </w:r>
      <w:r>
        <w:rPr>
          <w:sz w:val="20"/>
          <w:szCs w:val="20"/>
        </w:rPr>
        <w:tab/>
        <w:t>at the respective date of issuances.</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19"/>
        <w:jc w:val="both"/>
        <w:rPr>
          <w:sz w:val="20"/>
          <w:szCs w:val="20"/>
        </w:rPr>
      </w:pPr>
      <w:r>
        <w:rPr>
          <w:sz w:val="20"/>
          <w:szCs w:val="20"/>
        </w:rPr>
        <w:t>During the yea</w:t>
      </w:r>
      <w:r>
        <w:rPr>
          <w:sz w:val="20"/>
          <w:szCs w:val="20"/>
        </w:rPr>
        <w:t xml:space="preserve">r ended September 30, 2020, the Company issued a total of 8,022,394 shares of common stock to consultants with a fair value of $98,000 for services rendered. In addition, the Company also issued 21,250,000 shares of common stock to consultants with a fair </w:t>
      </w:r>
      <w:r>
        <w:rPr>
          <w:sz w:val="20"/>
          <w:szCs w:val="20"/>
        </w:rPr>
        <w:t>value of $1,552,000 with a requisite service period of 12 months up to 24 months Pursuant to current accounting guidelines, the Company recorded the fair value of $1,571,000 as part of prepaid expenses and is being amortized over the corresponding requisit</w:t>
      </w:r>
      <w:r>
        <w:rPr>
          <w:sz w:val="20"/>
          <w:szCs w:val="20"/>
        </w:rPr>
        <w:t>e service period. During the year ended, the Company amortized a total of $461,000 of these prepaid stock compensation, leaving a balance of $ 1,105,000 in prepaid expenses as of September 30, 2020. These common shares issued were valued at the trading pri</w:t>
      </w:r>
      <w:r>
        <w:rPr>
          <w:sz w:val="20"/>
          <w:szCs w:val="20"/>
        </w:rPr>
        <w:t xml:space="preserve">ce at the respective date of issuances. </w:t>
      </w:r>
      <w:r>
        <w:rPr>
          <w:sz w:val="20"/>
          <w:szCs w:val="20"/>
        </w:rPr>
        <w:tab/>
      </w:r>
    </w:p>
    <w:p w:rsidR="00000000" w:rsidRDefault="00B64763">
      <w:pPr>
        <w:pStyle w:val="a3"/>
        <w:spacing w:before="0" w:beforeAutospacing="0" w:after="0" w:afterAutospacing="0"/>
        <w:ind w:firstLine="719"/>
        <w:jc w:val="both"/>
        <w:rPr>
          <w:sz w:val="20"/>
          <w:szCs w:val="20"/>
        </w:rPr>
      </w:pPr>
      <w:r>
        <w:rPr>
          <w:sz w:val="20"/>
          <w:szCs w:val="20"/>
        </w:rPr>
        <w:t> </w:t>
      </w:r>
    </w:p>
    <w:p w:rsidR="00000000" w:rsidRDefault="00B64763">
      <w:pPr>
        <w:pStyle w:val="a3"/>
        <w:spacing w:before="0" w:beforeAutospacing="0" w:after="0" w:afterAutospacing="0"/>
        <w:rPr>
          <w:sz w:val="20"/>
          <w:szCs w:val="20"/>
        </w:rPr>
      </w:pPr>
      <w:r>
        <w:rPr>
          <w:i/>
          <w:iCs/>
          <w:sz w:val="20"/>
          <w:szCs w:val="20"/>
          <w:u w:val="single"/>
        </w:rPr>
        <w:t>Issuance of Common Stock for Asset Acquisition</w:t>
      </w:r>
    </w:p>
    <w:p w:rsidR="00000000" w:rsidRDefault="00B64763">
      <w:pPr>
        <w:pStyle w:val="a3"/>
        <w:spacing w:before="0" w:beforeAutospacing="0" w:after="0" w:afterAutospacing="0"/>
        <w:rPr>
          <w:sz w:val="20"/>
          <w:szCs w:val="20"/>
        </w:rPr>
      </w:pPr>
      <w:r>
        <w:rPr>
          <w:i/>
          <w:iCs/>
          <w:sz w:val="20"/>
          <w:szCs w:val="20"/>
        </w:rPr>
        <w:t> </w:t>
      </w:r>
    </w:p>
    <w:p w:rsidR="00000000" w:rsidRDefault="00B64763">
      <w:pPr>
        <w:pStyle w:val="a3"/>
        <w:spacing w:before="0" w:beforeAutospacing="0" w:after="0" w:afterAutospacing="0"/>
        <w:ind w:firstLine="718"/>
        <w:jc w:val="both"/>
        <w:rPr>
          <w:sz w:val="20"/>
          <w:szCs w:val="20"/>
        </w:rPr>
      </w:pPr>
      <w:r>
        <w:rPr>
          <w:sz w:val="20"/>
          <w:szCs w:val="20"/>
        </w:rPr>
        <w:t xml:space="preserve">In December </w:t>
      </w:r>
      <w:r>
        <w:rPr>
          <w:sz w:val="20"/>
          <w:szCs w:val="20"/>
        </w:rPr>
        <w:t>2020, the Company issued 10,000,000 shares of common stock to acquire 100% of Nebula Software Corp. with a fair value of $128,000 based on the quoted trading price on the date of acquisition.</w:t>
      </w:r>
    </w:p>
    <w:p w:rsidR="00000000" w:rsidRDefault="00B64763">
      <w:pPr>
        <w:pStyle w:val="a3"/>
        <w:spacing w:before="0" w:beforeAutospacing="0" w:after="0" w:afterAutospacing="0"/>
        <w:ind w:firstLine="718"/>
        <w:jc w:val="both"/>
        <w:rPr>
          <w:sz w:val="20"/>
          <w:szCs w:val="20"/>
        </w:rPr>
      </w:pPr>
      <w:r>
        <w:rPr>
          <w:sz w:val="20"/>
          <w:szCs w:val="20"/>
        </w:rPr>
        <w:t> </w:t>
      </w:r>
    </w:p>
    <w:p w:rsidR="00000000" w:rsidRDefault="00B64763">
      <w:pPr>
        <w:pStyle w:val="a3"/>
        <w:spacing w:before="0" w:beforeAutospacing="0" w:after="0" w:afterAutospacing="0"/>
        <w:rPr>
          <w:sz w:val="20"/>
          <w:szCs w:val="20"/>
        </w:rPr>
      </w:pPr>
      <w:r>
        <w:rPr>
          <w:i/>
          <w:iCs/>
          <w:sz w:val="20"/>
          <w:szCs w:val="20"/>
          <w:u w:val="single"/>
        </w:rPr>
        <w:t>Issuance of Common Stock as Contingent Consideration</w:t>
      </w:r>
    </w:p>
    <w:p w:rsidR="00000000" w:rsidRDefault="00B64763">
      <w:pPr>
        <w:pStyle w:val="a3"/>
        <w:spacing w:before="0" w:beforeAutospacing="0" w:after="0" w:afterAutospacing="0"/>
        <w:rPr>
          <w:sz w:val="20"/>
          <w:szCs w:val="20"/>
        </w:rPr>
      </w:pPr>
      <w:r>
        <w:rPr>
          <w:i/>
          <w:iCs/>
          <w:sz w:val="20"/>
          <w:szCs w:val="20"/>
        </w:rPr>
        <w:t> </w:t>
      </w:r>
    </w:p>
    <w:p w:rsidR="00000000" w:rsidRDefault="00B64763">
      <w:pPr>
        <w:pStyle w:val="a3"/>
        <w:spacing w:before="0" w:beforeAutospacing="0" w:after="0" w:afterAutospacing="0"/>
        <w:ind w:firstLine="718"/>
        <w:jc w:val="both"/>
        <w:rPr>
          <w:sz w:val="20"/>
          <w:szCs w:val="20"/>
        </w:rPr>
      </w:pPr>
      <w:r>
        <w:rPr>
          <w:sz w:val="20"/>
          <w:szCs w:val="20"/>
        </w:rPr>
        <w:t>In March 2021, the Company issued 10,000,000 shares of common stock with a fair value of $2,370,000 to settle contingent consideration related to the Nebula Software Corp. acquisition upon settlement o</w:t>
      </w:r>
      <w:r>
        <w:rPr>
          <w:sz w:val="20"/>
          <w:szCs w:val="20"/>
        </w:rPr>
        <w:t>f the contingency which was the launch of the HeyPal app. The common shares were valued at the trading price on the date the contingency occurred. This amount is included in general and administrative expense in operations.</w:t>
      </w:r>
    </w:p>
    <w:p w:rsidR="00000000" w:rsidRDefault="00B64763">
      <w:pPr>
        <w:pStyle w:val="a3"/>
        <w:spacing w:before="0" w:beforeAutospacing="0" w:after="0" w:afterAutospacing="0"/>
        <w:ind w:firstLine="718"/>
        <w:jc w:val="both"/>
        <w:rPr>
          <w:sz w:val="20"/>
          <w:szCs w:val="20"/>
        </w:rPr>
      </w:pPr>
      <w:r>
        <w:rPr>
          <w:sz w:val="20"/>
          <w:szCs w:val="20"/>
        </w:rPr>
        <w:t> </w:t>
      </w:r>
    </w:p>
    <w:p w:rsidR="00000000" w:rsidRDefault="00B64763">
      <w:pPr>
        <w:pStyle w:val="a3"/>
        <w:spacing w:before="0" w:beforeAutospacing="0" w:after="0" w:afterAutospacing="0"/>
        <w:rPr>
          <w:sz w:val="20"/>
          <w:szCs w:val="20"/>
        </w:rPr>
      </w:pPr>
      <w:r>
        <w:rPr>
          <w:i/>
          <w:iCs/>
          <w:sz w:val="20"/>
          <w:szCs w:val="20"/>
          <w:u w:val="single"/>
        </w:rPr>
        <w:t>Issuance of Common Stock for S</w:t>
      </w:r>
      <w:r>
        <w:rPr>
          <w:i/>
          <w:iCs/>
          <w:sz w:val="20"/>
          <w:szCs w:val="20"/>
          <w:u w:val="single"/>
        </w:rPr>
        <w:t>ettlement of Debt</w:t>
      </w:r>
    </w:p>
    <w:p w:rsidR="00000000" w:rsidRDefault="00B64763">
      <w:pPr>
        <w:pStyle w:val="a3"/>
        <w:spacing w:before="0" w:beforeAutospacing="0" w:after="0" w:afterAutospacing="0"/>
        <w:rPr>
          <w:sz w:val="20"/>
          <w:szCs w:val="20"/>
        </w:rPr>
      </w:pPr>
      <w:r>
        <w:rPr>
          <w:i/>
          <w:iCs/>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During the year ended September 30, 2021, the Company issued 35,000,000 </w:t>
      </w:r>
      <w:r>
        <w:rPr>
          <w:sz w:val="20"/>
          <w:szCs w:val="20"/>
          <w:shd w:val="clear" w:color="auto" w:fill="FFFFFF"/>
        </w:rPr>
        <w:t xml:space="preserve">shares of common stock, as conversion </w:t>
      </w:r>
      <w:r>
        <w:rPr>
          <w:sz w:val="20"/>
          <w:szCs w:val="20"/>
          <w:shd w:val="clear" w:color="auto" w:fill="FFFFFF"/>
        </w:rPr>
        <w:tab/>
        <w:t xml:space="preserve">of notes payable with a fair value of $1,750,000. The conversion price was $0.05 which was the Regulation A offering price. </w:t>
      </w:r>
      <w:r>
        <w:rPr>
          <w:sz w:val="20"/>
          <w:szCs w:val="20"/>
          <w:shd w:val="clear" w:color="auto" w:fill="FFFFFF"/>
        </w:rPr>
        <w:tab/>
      </w:r>
      <w:r>
        <w:rPr>
          <w:sz w:val="20"/>
          <w:szCs w:val="20"/>
          <w:shd w:val="clear" w:color="auto" w:fill="FFFFFF"/>
        </w:rPr>
        <w:t>There was no gain or loss on the conversion.</w:t>
      </w:r>
    </w:p>
    <w:p w:rsidR="00000000" w:rsidRDefault="00B64763">
      <w:pPr>
        <w:pStyle w:val="a3"/>
        <w:spacing w:before="0" w:beforeAutospacing="0" w:after="0" w:afterAutospacing="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During the year ended September 30, 2020, the Company issued a total of 7,750,000 shares of common stock with a fair value of $21,000 to settle debts. In addition, the Company also issued 100,000 shares of com</w:t>
      </w:r>
      <w:r>
        <w:rPr>
          <w:sz w:val="20"/>
          <w:szCs w:val="20"/>
        </w:rPr>
        <w:t>mon stock with a fair value of $8,000 to consultants as part of a settlement of debt that was accounted as a loss on settlement of debt. The common shares issued were valued at the trading price at the respective date of settlement.</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divId w:val="173109683"/>
        <w:rPr>
          <w:sz w:val="20"/>
          <w:szCs w:val="20"/>
        </w:rPr>
      </w:pPr>
      <w:r>
        <w:rPr>
          <w:sz w:val="20"/>
          <w:szCs w:val="20"/>
        </w:rPr>
        <w:t>F</w:t>
      </w:r>
      <w:r>
        <w:rPr>
          <w:sz w:val="20"/>
          <w:szCs w:val="20"/>
        </w:rPr>
        <w:t>-</w:t>
      </w:r>
      <w:r>
        <w:rPr>
          <w:sz w:val="20"/>
          <w:szCs w:val="20"/>
        </w:rPr>
        <w:t>2</w:t>
      </w:r>
      <w:r>
        <w:rPr>
          <w:sz w:val="20"/>
          <w:szCs w:val="20"/>
        </w:rPr>
        <w:t>4</w:t>
      </w:r>
    </w:p>
    <w:p w:rsidR="00000000" w:rsidRDefault="00B64763">
      <w:pPr>
        <w:pStyle w:val="a3"/>
        <w:spacing w:before="0" w:beforeAutospacing="0" w:after="0" w:afterAutospacing="0"/>
        <w:divId w:val="2102607846"/>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 xml:space="preserve">CLICKSTREAM </w:t>
      </w:r>
      <w:r>
        <w:rPr>
          <w:sz w:val="20"/>
          <w:szCs w:val="20"/>
        </w:rPr>
        <w:t>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September 30, 2021 and 2020</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rPr>
          <w:sz w:val="20"/>
          <w:szCs w:val="20"/>
        </w:rPr>
      </w:pPr>
      <w:r>
        <w:rPr>
          <w:i/>
          <w:iCs/>
          <w:sz w:val="20"/>
          <w:szCs w:val="20"/>
          <w:u w:val="single"/>
        </w:rPr>
        <w:t>Issuance of Common Stock for Cash</w:t>
      </w:r>
    </w:p>
    <w:p w:rsidR="00000000" w:rsidRDefault="00B64763">
      <w:pPr>
        <w:pStyle w:val="a3"/>
        <w:spacing w:before="0" w:beforeAutospacing="0" w:after="0" w:afterAutospacing="0"/>
        <w:rPr>
          <w:sz w:val="20"/>
          <w:szCs w:val="20"/>
        </w:rPr>
      </w:pPr>
      <w:r>
        <w:rPr>
          <w:i/>
          <w:iCs/>
          <w:sz w:val="20"/>
          <w:szCs w:val="20"/>
        </w:rPr>
        <w:t> </w:t>
      </w:r>
    </w:p>
    <w:p w:rsidR="00000000" w:rsidRDefault="00B64763">
      <w:pPr>
        <w:pStyle w:val="a3"/>
        <w:spacing w:before="0" w:beforeAutospacing="0" w:after="0" w:afterAutospacing="0"/>
        <w:ind w:firstLine="718"/>
        <w:jc w:val="both"/>
        <w:rPr>
          <w:sz w:val="20"/>
          <w:szCs w:val="20"/>
        </w:rPr>
      </w:pPr>
      <w:r>
        <w:rPr>
          <w:sz w:val="20"/>
          <w:szCs w:val="20"/>
        </w:rPr>
        <w:t>During the year ended September 30, 2020, the Company conducted a private placement offering. As a result of this offerin</w:t>
      </w:r>
      <w:r>
        <w:rPr>
          <w:sz w:val="20"/>
          <w:szCs w:val="20"/>
        </w:rPr>
        <w:t>g, the Company issued 100,000,000 shares of common stock which resulted in cash proceeds of $5,000,000.</w:t>
      </w:r>
    </w:p>
    <w:p w:rsidR="00000000" w:rsidRDefault="00B64763">
      <w:pPr>
        <w:pStyle w:val="a3"/>
        <w:spacing w:before="0" w:beforeAutospacing="0" w:after="0" w:afterAutospacing="0"/>
        <w:ind w:firstLine="718"/>
        <w:jc w:val="both"/>
        <w:rPr>
          <w:sz w:val="20"/>
          <w:szCs w:val="20"/>
        </w:rPr>
      </w:pPr>
      <w:r>
        <w:rPr>
          <w:sz w:val="20"/>
          <w:szCs w:val="20"/>
        </w:rPr>
        <w:t> </w:t>
      </w:r>
    </w:p>
    <w:p w:rsidR="00000000" w:rsidRDefault="00B64763">
      <w:pPr>
        <w:pStyle w:val="a3"/>
        <w:spacing w:before="0" w:beforeAutospacing="0" w:after="0" w:afterAutospacing="0"/>
        <w:rPr>
          <w:b/>
          <w:bCs/>
          <w:sz w:val="20"/>
          <w:szCs w:val="20"/>
        </w:rPr>
      </w:pPr>
      <w:r>
        <w:rPr>
          <w:b/>
          <w:bCs/>
          <w:sz w:val="20"/>
          <w:szCs w:val="20"/>
        </w:rPr>
        <w:t>Note 12 –</w:t>
      </w:r>
      <w:r>
        <w:rPr>
          <w:b/>
          <w:bCs/>
          <w:sz w:val="20"/>
          <w:szCs w:val="20"/>
        </w:rPr>
        <w:t xml:space="preserve"> </w:t>
      </w:r>
      <w:r>
        <w:rPr>
          <w:b/>
          <w:bCs/>
          <w:sz w:val="20"/>
          <w:szCs w:val="20"/>
        </w:rPr>
        <w:t>Research and Development Cost</w:t>
      </w:r>
      <w:r>
        <w:rPr>
          <w:b/>
          <w:bCs/>
          <w:sz w:val="20"/>
          <w:szCs w:val="20"/>
        </w:rPr>
        <w:t>s</w:t>
      </w:r>
    </w:p>
    <w:p w:rsidR="00000000" w:rsidRDefault="00B64763">
      <w:pPr>
        <w:pStyle w:val="a3"/>
        <w:spacing w:before="0" w:beforeAutospacing="0" w:after="0" w:afterAutospacing="0"/>
        <w:rPr>
          <w:b/>
          <w:bCs/>
          <w:sz w:val="20"/>
          <w:szCs w:val="20"/>
        </w:rPr>
      </w:pPr>
      <w:r>
        <w:rPr>
          <w:b/>
          <w:bCs/>
          <w:sz w:val="20"/>
          <w:szCs w:val="20"/>
        </w:rPr>
        <w:t> </w:t>
      </w:r>
    </w:p>
    <w:p w:rsidR="00000000" w:rsidRDefault="00B64763">
      <w:pPr>
        <w:pStyle w:val="a3"/>
        <w:spacing w:before="0" w:beforeAutospacing="0" w:after="0" w:afterAutospacing="0"/>
        <w:ind w:firstLine="717"/>
        <w:jc w:val="both"/>
        <w:rPr>
          <w:sz w:val="20"/>
          <w:szCs w:val="20"/>
        </w:rPr>
      </w:pPr>
      <w:r>
        <w:rPr>
          <w:sz w:val="20"/>
          <w:szCs w:val="20"/>
        </w:rPr>
        <w:t xml:space="preserve">Research and </w:t>
      </w:r>
      <w:r>
        <w:rPr>
          <w:sz w:val="20"/>
          <w:szCs w:val="20"/>
        </w:rPr>
        <w:t>development costs consist of expenditures for the research and development of new products and technology. These costs are primarily expenses to vendors contracted to perform research projects and develop technology for the Company’s mobile gaming applicat</w:t>
      </w:r>
      <w:r>
        <w:rPr>
          <w:sz w:val="20"/>
          <w:szCs w:val="20"/>
        </w:rPr>
        <w:t>ions. Costs incurred for research and development are expensed as incurred.</w:t>
      </w:r>
    </w:p>
    <w:p w:rsidR="00000000" w:rsidRDefault="00B64763">
      <w:pPr>
        <w:pStyle w:val="a3"/>
        <w:spacing w:before="0" w:beforeAutospacing="0" w:after="0" w:afterAutospacing="0"/>
        <w:ind w:firstLine="717"/>
        <w:jc w:val="both"/>
        <w:rPr>
          <w:sz w:val="20"/>
          <w:szCs w:val="20"/>
        </w:rPr>
      </w:pPr>
      <w:r>
        <w:rPr>
          <w:sz w:val="20"/>
          <w:szCs w:val="20"/>
        </w:rPr>
        <w:t> </w:t>
      </w:r>
    </w:p>
    <w:p w:rsidR="00000000" w:rsidRDefault="00B64763">
      <w:pPr>
        <w:pStyle w:val="a3"/>
        <w:spacing w:before="0" w:beforeAutospacing="0" w:after="0" w:afterAutospacing="0"/>
        <w:ind w:firstLine="719"/>
        <w:jc w:val="both"/>
        <w:rPr>
          <w:sz w:val="20"/>
          <w:szCs w:val="20"/>
        </w:rPr>
      </w:pPr>
      <w:r>
        <w:rPr>
          <w:sz w:val="20"/>
          <w:szCs w:val="20"/>
        </w:rPr>
        <w:t xml:space="preserve">During the year ended September 30, 2021, the Company incurred $692,000 of research and development expenses relating to the Company’s efforts to develop, design and enhance our </w:t>
      </w:r>
      <w:r>
        <w:rPr>
          <w:sz w:val="20"/>
          <w:szCs w:val="20"/>
        </w:rPr>
        <w:t>mobile gaming app and the HeyPal app.</w:t>
      </w:r>
    </w:p>
    <w:p w:rsidR="00000000" w:rsidRDefault="00B64763">
      <w:pPr>
        <w:pStyle w:val="a3"/>
        <w:spacing w:before="0" w:beforeAutospacing="0" w:after="0" w:afterAutospacing="0"/>
        <w:ind w:firstLine="719"/>
        <w:jc w:val="both"/>
        <w:rPr>
          <w:sz w:val="20"/>
          <w:szCs w:val="20"/>
        </w:rPr>
      </w:pPr>
      <w:r>
        <w:rPr>
          <w:sz w:val="20"/>
          <w:szCs w:val="20"/>
        </w:rPr>
        <w:t> </w:t>
      </w:r>
    </w:p>
    <w:p w:rsidR="00000000" w:rsidRDefault="00B64763">
      <w:pPr>
        <w:pStyle w:val="a3"/>
        <w:spacing w:before="0" w:beforeAutospacing="0" w:after="0" w:afterAutospacing="0"/>
        <w:ind w:firstLine="719"/>
        <w:jc w:val="both"/>
        <w:rPr>
          <w:sz w:val="20"/>
          <w:szCs w:val="20"/>
        </w:rPr>
      </w:pPr>
      <w:r>
        <w:rPr>
          <w:sz w:val="20"/>
          <w:szCs w:val="20"/>
        </w:rPr>
        <w:t>During the year ended September 30, 2020, the Company incurred $302,000 of research and development expenses relating to the Company’s efforts to develop, design and enhance our mobile gaming app.</w:t>
      </w:r>
    </w:p>
    <w:p w:rsidR="00000000" w:rsidRDefault="00B64763">
      <w:pPr>
        <w:pStyle w:val="a3"/>
        <w:spacing w:before="0" w:beforeAutospacing="0" w:after="0" w:afterAutospacing="0"/>
        <w:ind w:firstLine="719"/>
        <w:jc w:val="both"/>
        <w:rPr>
          <w:sz w:val="20"/>
          <w:szCs w:val="20"/>
        </w:rPr>
      </w:pPr>
      <w:r>
        <w:rPr>
          <w:sz w:val="20"/>
          <w:szCs w:val="20"/>
        </w:rPr>
        <w:t> </w:t>
      </w:r>
    </w:p>
    <w:p w:rsidR="00000000" w:rsidRDefault="00B64763">
      <w:pPr>
        <w:pStyle w:val="a3"/>
        <w:spacing w:before="0" w:beforeAutospacing="0" w:after="0" w:afterAutospacing="0"/>
        <w:rPr>
          <w:b/>
          <w:bCs/>
          <w:sz w:val="20"/>
          <w:szCs w:val="20"/>
        </w:rPr>
      </w:pPr>
      <w:r>
        <w:rPr>
          <w:b/>
          <w:bCs/>
          <w:sz w:val="20"/>
          <w:szCs w:val="20"/>
        </w:rPr>
        <w:t>Note 13–</w:t>
      </w:r>
      <w:r>
        <w:rPr>
          <w:b/>
          <w:bCs/>
          <w:sz w:val="20"/>
          <w:szCs w:val="20"/>
        </w:rPr>
        <w:t xml:space="preserve"> </w:t>
      </w:r>
      <w:r>
        <w:rPr>
          <w:b/>
          <w:bCs/>
          <w:sz w:val="20"/>
          <w:szCs w:val="20"/>
        </w:rPr>
        <w:t>Commitme</w:t>
      </w:r>
      <w:r>
        <w:rPr>
          <w:b/>
          <w:bCs/>
          <w:sz w:val="20"/>
          <w:szCs w:val="20"/>
        </w:rPr>
        <w:t>nts and Contingencie</w:t>
      </w:r>
      <w:r>
        <w:rPr>
          <w:b/>
          <w:bCs/>
          <w:sz w:val="20"/>
          <w:szCs w:val="20"/>
        </w:rPr>
        <w:t>s</w:t>
      </w:r>
    </w:p>
    <w:p w:rsidR="00000000" w:rsidRDefault="00B64763">
      <w:pPr>
        <w:pStyle w:val="a3"/>
        <w:spacing w:before="0" w:beforeAutospacing="0" w:after="0" w:afterAutospacing="0"/>
        <w:rPr>
          <w:b/>
          <w:bCs/>
          <w:sz w:val="20"/>
          <w:szCs w:val="20"/>
        </w:rPr>
      </w:pPr>
      <w:r>
        <w:rPr>
          <w:b/>
          <w:bCs/>
          <w:sz w:val="20"/>
          <w:szCs w:val="20"/>
        </w:rPr>
        <w:t> </w:t>
      </w:r>
    </w:p>
    <w:p w:rsidR="00000000" w:rsidRDefault="00B64763">
      <w:pPr>
        <w:pStyle w:val="a3"/>
        <w:spacing w:before="0" w:beforeAutospacing="0" w:after="0" w:afterAutospacing="0"/>
        <w:ind w:hanging="24"/>
        <w:jc w:val="both"/>
        <w:rPr>
          <w:sz w:val="20"/>
          <w:szCs w:val="20"/>
        </w:rPr>
      </w:pPr>
      <w:r>
        <w:rPr>
          <w:i/>
          <w:iCs/>
          <w:sz w:val="20"/>
          <w:szCs w:val="20"/>
          <w:u w:val="single"/>
        </w:rPr>
        <w:t>Legal Matters</w:t>
      </w:r>
    </w:p>
    <w:p w:rsidR="00000000" w:rsidRDefault="00B64763">
      <w:pPr>
        <w:pStyle w:val="a3"/>
        <w:spacing w:before="0" w:beforeAutospacing="0" w:after="0" w:afterAutospacing="0"/>
        <w:ind w:hanging="24"/>
        <w:jc w:val="both"/>
        <w:rPr>
          <w:sz w:val="20"/>
          <w:szCs w:val="20"/>
        </w:rPr>
      </w:pPr>
      <w:r>
        <w:rPr>
          <w:i/>
          <w:iCs/>
          <w:sz w:val="20"/>
          <w:szCs w:val="20"/>
        </w:rPr>
        <w:t> </w:t>
      </w:r>
    </w:p>
    <w:p w:rsidR="00000000" w:rsidRDefault="00B64763">
      <w:pPr>
        <w:pStyle w:val="a3"/>
        <w:spacing w:before="0" w:beforeAutospacing="0" w:after="0" w:afterAutospacing="0"/>
        <w:ind w:firstLine="717"/>
        <w:jc w:val="both"/>
        <w:rPr>
          <w:sz w:val="20"/>
          <w:szCs w:val="20"/>
        </w:rPr>
      </w:pPr>
      <w:r>
        <w:rPr>
          <w:sz w:val="20"/>
          <w:szCs w:val="20"/>
        </w:rPr>
        <w:t>We are involved in certain legal proceedings that arise from time to time in the ordinary course of our business. Except for income tax contingencies, we record accruals for contingencies to the extent that our manag</w:t>
      </w:r>
      <w:r>
        <w:rPr>
          <w:sz w:val="20"/>
          <w:szCs w:val="20"/>
        </w:rPr>
        <w:t>ement concludes that the occurrence is probable and that the related amounts of loss can be reasonably estimated. Legal expenses associated with the contingency are expensed as incurred. There are no legal proceeding currently pending.</w:t>
      </w:r>
    </w:p>
    <w:p w:rsidR="00000000" w:rsidRDefault="00B64763">
      <w:pPr>
        <w:pStyle w:val="a3"/>
        <w:spacing w:before="0" w:beforeAutospacing="0" w:after="0" w:afterAutospacing="0"/>
        <w:ind w:firstLine="717"/>
        <w:jc w:val="both"/>
        <w:rPr>
          <w:sz w:val="20"/>
          <w:szCs w:val="20"/>
        </w:rPr>
      </w:pPr>
      <w:r>
        <w:rPr>
          <w:sz w:val="20"/>
          <w:szCs w:val="20"/>
        </w:rPr>
        <w:t> </w:t>
      </w:r>
    </w:p>
    <w:p w:rsidR="00000000" w:rsidRDefault="00B64763">
      <w:pPr>
        <w:pStyle w:val="a3"/>
        <w:spacing w:before="0" w:beforeAutospacing="0" w:after="0" w:afterAutospacing="0"/>
        <w:ind w:hanging="24"/>
        <w:jc w:val="both"/>
        <w:rPr>
          <w:sz w:val="20"/>
          <w:szCs w:val="20"/>
        </w:rPr>
      </w:pPr>
      <w:r>
        <w:rPr>
          <w:i/>
          <w:iCs/>
          <w:sz w:val="20"/>
          <w:szCs w:val="20"/>
          <w:u w:val="single"/>
        </w:rPr>
        <w:t>Consulting Agreeme</w:t>
      </w:r>
      <w:r>
        <w:rPr>
          <w:i/>
          <w:iCs/>
          <w:sz w:val="20"/>
          <w:szCs w:val="20"/>
          <w:u w:val="single"/>
        </w:rPr>
        <w:t>nts</w:t>
      </w:r>
    </w:p>
    <w:p w:rsidR="00000000" w:rsidRDefault="00B64763">
      <w:pPr>
        <w:pStyle w:val="a3"/>
        <w:spacing w:before="0" w:beforeAutospacing="0" w:after="0" w:afterAutospacing="0"/>
        <w:ind w:hanging="24"/>
        <w:jc w:val="both"/>
        <w:rPr>
          <w:sz w:val="20"/>
          <w:szCs w:val="20"/>
        </w:rPr>
      </w:pPr>
      <w:r>
        <w:rPr>
          <w:i/>
          <w:iCs/>
          <w:sz w:val="20"/>
          <w:szCs w:val="20"/>
        </w:rPr>
        <w:t> </w:t>
      </w:r>
    </w:p>
    <w:p w:rsidR="00000000" w:rsidRDefault="00B64763">
      <w:pPr>
        <w:pStyle w:val="a3"/>
        <w:spacing w:before="0" w:beforeAutospacing="0" w:after="0" w:afterAutospacing="0"/>
        <w:ind w:firstLine="717"/>
        <w:jc w:val="both"/>
        <w:rPr>
          <w:sz w:val="20"/>
          <w:szCs w:val="20"/>
        </w:rPr>
      </w:pPr>
      <w:r>
        <w:rPr>
          <w:sz w:val="20"/>
          <w:szCs w:val="20"/>
        </w:rPr>
        <w:t>The Company has consulting agreements with various consultants and related party consultants with a service term ranging from 12 months up to 36 months. The following table summarizes the Company’s future payments/commitments as of September 30, 2021</w:t>
      </w:r>
      <w:r>
        <w:rPr>
          <w:sz w:val="20"/>
          <w:szCs w:val="20"/>
        </w:rPr>
        <w:t>:</w:t>
      </w:r>
    </w:p>
    <w:p w:rsidR="00000000" w:rsidRDefault="00B64763">
      <w:pPr>
        <w:pStyle w:val="a3"/>
        <w:spacing w:before="0" w:beforeAutospacing="0" w:after="0" w:afterAutospacing="0"/>
        <w:ind w:firstLine="717"/>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Description w:val="xdx: Disclosure - Commitments and Contingencies (Details)"/>
      </w:tblPr>
      <w:tblGrid>
        <w:gridCol w:w="3372"/>
        <w:gridCol w:w="481"/>
        <w:gridCol w:w="100"/>
        <w:gridCol w:w="981"/>
        <w:gridCol w:w="50"/>
      </w:tblGrid>
      <w:tr w:rsidR="00000000">
        <w:trPr>
          <w:hidden/>
        </w:trPr>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vanish/>
                <w:sz w:val="20"/>
                <w:szCs w:val="20"/>
              </w:rPr>
              <w:t>Schedule of operating leases future payment</w:t>
            </w:r>
            <w:r>
              <w:rPr>
                <w:rFonts w:eastAsia="Times New Roman"/>
                <w:vanish/>
                <w:sz w:val="20"/>
                <w:szCs w:val="20"/>
              </w:rPr>
              <w:t>s</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B64763">
            <w:pPr>
              <w:rPr>
                <w:rFonts w:eastAsia="Times New Roman"/>
                <w:sz w:val="20"/>
                <w:szCs w:val="20"/>
              </w:rPr>
            </w:pPr>
            <w:r>
              <w:rPr>
                <w:rFonts w:eastAsia="Times New Roman"/>
                <w:sz w:val="20"/>
                <w:szCs w:val="20"/>
              </w:rPr>
              <w:t>Year ending September 30:</w:t>
            </w:r>
          </w:p>
        </w:tc>
        <w:tc>
          <w:tcPr>
            <w:tcW w:w="0" w:type="auto"/>
            <w:gridSpan w:val="4"/>
            <w:vAlign w:val="bottom"/>
            <w:hideMark/>
          </w:tcPr>
          <w:p w:rsidR="00000000" w:rsidRDefault="00B64763">
            <w:pPr>
              <w:rPr>
                <w:rFonts w:eastAsia="Times New Roman"/>
                <w:sz w:val="20"/>
                <w:szCs w:val="20"/>
              </w:rPr>
            </w:pPr>
            <w:r>
              <w:rPr>
                <w:rFonts w:eastAsia="Times New Roman"/>
                <w:sz w:val="20"/>
                <w:szCs w:val="20"/>
              </w:rPr>
              <w:t> </w:t>
            </w:r>
          </w:p>
        </w:tc>
      </w:tr>
      <w:tr w:rsidR="00000000">
        <w:tc>
          <w:tcPr>
            <w:tcW w:w="3400" w:type="pct"/>
            <w:shd w:val="clear" w:color="auto" w:fill="CCEEFF"/>
            <w:vAlign w:val="bottom"/>
            <w:hideMark/>
          </w:tcPr>
          <w:p w:rsidR="00000000" w:rsidRDefault="00B64763">
            <w:pPr>
              <w:rPr>
                <w:rFonts w:eastAsia="Times New Roman"/>
                <w:sz w:val="20"/>
                <w:szCs w:val="20"/>
              </w:rPr>
            </w:pPr>
            <w:r>
              <w:rPr>
                <w:rFonts w:eastAsia="Times New Roman"/>
                <w:sz w:val="20"/>
                <w:szCs w:val="20"/>
              </w:rPr>
              <w:t>2022</w:t>
            </w:r>
          </w:p>
        </w:tc>
        <w:tc>
          <w:tcPr>
            <w:tcW w:w="5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803,000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2023</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209,000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Total minimum payments</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1,012,000</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bl>
    <w:p w:rsidR="00000000" w:rsidRDefault="00B64763">
      <w:pPr>
        <w:pStyle w:val="a3"/>
        <w:spacing w:before="0" w:beforeAutospacing="0" w:after="0" w:afterAutospacing="0"/>
        <w:ind w:firstLine="717"/>
        <w:jc w:val="both"/>
        <w:rPr>
          <w:sz w:val="20"/>
          <w:szCs w:val="20"/>
        </w:rPr>
      </w:pPr>
      <w:r>
        <w:rPr>
          <w:sz w:val="20"/>
          <w:szCs w:val="20"/>
        </w:rPr>
        <w:t> </w:t>
      </w:r>
    </w:p>
    <w:p w:rsidR="00000000" w:rsidRDefault="00B64763">
      <w:pPr>
        <w:pStyle w:val="a3"/>
        <w:spacing w:before="0" w:beforeAutospacing="0" w:after="0" w:afterAutospacing="0"/>
        <w:ind w:firstLine="717"/>
        <w:jc w:val="both"/>
        <w:rPr>
          <w:sz w:val="20"/>
          <w:szCs w:val="20"/>
        </w:rPr>
      </w:pPr>
      <w:r>
        <w:rPr>
          <w:sz w:val="20"/>
          <w:szCs w:val="20"/>
        </w:rPr>
        <w:t xml:space="preserve">A total of </w:t>
      </w:r>
      <w:r>
        <w:rPr>
          <w:sz w:val="20"/>
          <w:szCs w:val="20"/>
        </w:rPr>
        <w:t>$1,012,000 of our future payments/commitments are due to related party consultants (see Note 9).</w:t>
      </w:r>
    </w:p>
    <w:p w:rsidR="00000000" w:rsidRDefault="00B64763">
      <w:pPr>
        <w:pStyle w:val="a3"/>
        <w:spacing w:before="0" w:beforeAutospacing="0" w:after="0" w:afterAutospacing="0"/>
        <w:ind w:firstLine="717"/>
        <w:jc w:val="both"/>
        <w:rPr>
          <w:sz w:val="20"/>
          <w:szCs w:val="20"/>
        </w:rPr>
      </w:pPr>
      <w:r>
        <w:rPr>
          <w:sz w:val="20"/>
          <w:szCs w:val="20"/>
        </w:rPr>
        <w:t> </w:t>
      </w:r>
    </w:p>
    <w:p w:rsidR="00000000" w:rsidRDefault="00B64763">
      <w:pPr>
        <w:pStyle w:val="a3"/>
        <w:spacing w:before="0" w:beforeAutospacing="0" w:after="0" w:afterAutospacing="0"/>
        <w:rPr>
          <w:sz w:val="20"/>
          <w:szCs w:val="20"/>
        </w:rPr>
      </w:pPr>
      <w:r>
        <w:rPr>
          <w:i/>
          <w:iCs/>
          <w:sz w:val="20"/>
          <w:szCs w:val="20"/>
          <w:u w:val="single"/>
        </w:rPr>
        <w:t>Other Commitments</w:t>
      </w:r>
    </w:p>
    <w:p w:rsidR="00000000" w:rsidRDefault="00B64763">
      <w:pPr>
        <w:pStyle w:val="a3"/>
        <w:spacing w:before="0" w:beforeAutospacing="0" w:after="0" w:afterAutospacing="0"/>
        <w:rPr>
          <w:sz w:val="20"/>
          <w:szCs w:val="20"/>
        </w:rPr>
      </w:pPr>
      <w:r>
        <w:rPr>
          <w:i/>
          <w:iCs/>
          <w:sz w:val="20"/>
          <w:szCs w:val="20"/>
        </w:rPr>
        <w:t> </w:t>
      </w:r>
    </w:p>
    <w:p w:rsidR="00000000" w:rsidRDefault="00B64763">
      <w:pPr>
        <w:pStyle w:val="a3"/>
        <w:spacing w:before="0" w:beforeAutospacing="0" w:after="0" w:afterAutospacing="0"/>
        <w:ind w:firstLine="720"/>
        <w:rPr>
          <w:sz w:val="20"/>
          <w:szCs w:val="20"/>
        </w:rPr>
      </w:pPr>
      <w:r>
        <w:rPr>
          <w:sz w:val="20"/>
          <w:szCs w:val="20"/>
        </w:rPr>
        <w:t xml:space="preserve">Certain asset acquisition contingent consideration may be issuable in the future if contingency conditions are met </w:t>
      </w:r>
      <w:r>
        <w:rPr>
          <w:sz w:val="20"/>
          <w:szCs w:val="20"/>
        </w:rPr>
        <w:tab/>
        <w:t>(See Note 5).</w:t>
      </w:r>
    </w:p>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jc w:val="center"/>
        <w:divId w:val="363212057"/>
        <w:rPr>
          <w:sz w:val="20"/>
          <w:szCs w:val="20"/>
        </w:rPr>
      </w:pPr>
      <w:r>
        <w:rPr>
          <w:sz w:val="20"/>
          <w:szCs w:val="20"/>
        </w:rPr>
        <w:t>F</w:t>
      </w:r>
      <w:r>
        <w:rPr>
          <w:sz w:val="20"/>
          <w:szCs w:val="20"/>
        </w:rPr>
        <w:t>-</w:t>
      </w:r>
      <w:r>
        <w:rPr>
          <w:sz w:val="20"/>
          <w:szCs w:val="20"/>
        </w:rPr>
        <w:t>2</w:t>
      </w:r>
      <w:r>
        <w:rPr>
          <w:sz w:val="20"/>
          <w:szCs w:val="20"/>
        </w:rPr>
        <w:t>5</w:t>
      </w:r>
    </w:p>
    <w:p w:rsidR="00000000" w:rsidRDefault="00B64763">
      <w:pPr>
        <w:pStyle w:val="a3"/>
        <w:spacing w:before="0" w:beforeAutospacing="0" w:after="0" w:afterAutospacing="0"/>
        <w:divId w:val="580065514"/>
        <w:rPr>
          <w:sz w:val="20"/>
          <w:szCs w:val="20"/>
        </w:rPr>
      </w:pPr>
      <w:r>
        <w:rPr>
          <w:sz w:val="20"/>
          <w:szCs w:val="20"/>
        </w:rPr>
        <w:t> </w:t>
      </w:r>
    </w:p>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jc w:val="center"/>
        <w:rPr>
          <w:sz w:val="20"/>
          <w:szCs w:val="20"/>
        </w:rPr>
      </w:pPr>
      <w:r>
        <w:rPr>
          <w:sz w:val="20"/>
          <w:szCs w:val="20"/>
        </w:rPr>
        <w:t>CLICKSTREAM 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September 30, 2021 and 2020</w:t>
      </w:r>
    </w:p>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rPr>
          <w:sz w:val="20"/>
          <w:szCs w:val="20"/>
        </w:rPr>
      </w:pPr>
      <w:r>
        <w:rPr>
          <w:b/>
          <w:bCs/>
          <w:sz w:val="20"/>
          <w:szCs w:val="20"/>
        </w:rPr>
        <w:t>Note 14 –</w:t>
      </w:r>
      <w:r>
        <w:rPr>
          <w:b/>
          <w:bCs/>
          <w:sz w:val="20"/>
          <w:szCs w:val="20"/>
        </w:rPr>
        <w:t xml:space="preserve"> </w:t>
      </w:r>
      <w:r>
        <w:rPr>
          <w:b/>
          <w:bCs/>
          <w:sz w:val="20"/>
          <w:szCs w:val="20"/>
        </w:rPr>
        <w:t>Income Taxe</w:t>
      </w:r>
      <w:r>
        <w:rPr>
          <w:b/>
          <w:bCs/>
          <w:sz w:val="20"/>
          <w:szCs w:val="20"/>
        </w:rPr>
        <w:t>s</w:t>
      </w:r>
    </w:p>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The Company did not record any income tax provision for the years ended September 30, 2021 and 2020 </w:t>
      </w:r>
      <w:r>
        <w:rPr>
          <w:spacing w:val="-2"/>
          <w:sz w:val="20"/>
          <w:szCs w:val="20"/>
        </w:rPr>
        <w:t xml:space="preserve">due </w:t>
      </w:r>
      <w:r>
        <w:rPr>
          <w:sz w:val="20"/>
          <w:szCs w:val="20"/>
        </w:rPr>
        <w:t>to the Compa</w:t>
      </w:r>
      <w:r>
        <w:rPr>
          <w:sz w:val="20"/>
          <w:szCs w:val="20"/>
        </w:rPr>
        <w:t>ny’s net losses. The Company files income tax returns in the United States (“Federal”) and California (“State”) jurisdictions. The Company is subject to Federal and State income tax examinations by tax authorities for all years since September 30, 2015. At</w:t>
      </w:r>
      <w:r>
        <w:rPr>
          <w:sz w:val="20"/>
          <w:szCs w:val="20"/>
        </w:rPr>
        <w:t xml:space="preserve"> September 30, 2021, the Company had Federal and State net operating loss carry forwards available to offset future taxable income of approximately $ 7.85 million. These carry forwards will begin to expire in the year ending September 30, 2035, subject to </w:t>
      </w:r>
      <w:r>
        <w:rPr>
          <w:sz w:val="20"/>
          <w:szCs w:val="20"/>
        </w:rPr>
        <w:t>IRS limitations, including change in ownership. The Company periodically evaluates the likelihood of the realization of deferred tax assets, and adjusts the carrying amount of the deferred tax assets by a valuation allowance to the extent the future realiz</w:t>
      </w:r>
      <w:r>
        <w:rPr>
          <w:sz w:val="20"/>
          <w:szCs w:val="20"/>
        </w:rPr>
        <w:t>ation of the deferred tax assets is not judged to be more likely than not. The Company considers many factors when assessing the likelihood of future realization of our deferred tax assets, including recent cumulative earnings experience by taxing jurisdic</w:t>
      </w:r>
      <w:r>
        <w:rPr>
          <w:sz w:val="20"/>
          <w:szCs w:val="20"/>
        </w:rPr>
        <w:t>tion, expectations of future taxable income or loss, the carry-forward periods available to us for tax reporting purposes, and other relevant factors.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17"/>
        <w:jc w:val="both"/>
        <w:rPr>
          <w:sz w:val="20"/>
          <w:szCs w:val="20"/>
        </w:rPr>
      </w:pPr>
      <w:r>
        <w:rPr>
          <w:sz w:val="20"/>
          <w:szCs w:val="20"/>
        </w:rPr>
        <w:t xml:space="preserve">At September 30, 2021 and 2020, based on the weight of available evidence, including cumulative losses </w:t>
      </w:r>
      <w:r>
        <w:rPr>
          <w:sz w:val="20"/>
          <w:szCs w:val="20"/>
        </w:rPr>
        <w:t>in recent years and expectations of future taxable income, the Company determined that it was more likely than not that its deferred tax assets of approximately $1.929 million would not be realized. Accordingly, the Company has recorded a valuation allowan</w:t>
      </w:r>
      <w:r>
        <w:rPr>
          <w:sz w:val="20"/>
          <w:szCs w:val="20"/>
        </w:rPr>
        <w:t>ce for 100% of its cumulative deferred tax assets. The components of our deferred tax assets are as follows.</w:t>
      </w:r>
    </w:p>
    <w:p w:rsidR="00000000" w:rsidRDefault="00B64763">
      <w:pPr>
        <w:pStyle w:val="a3"/>
        <w:spacing w:before="0" w:beforeAutospacing="0" w:after="0" w:afterAutospacing="0"/>
        <w:ind w:firstLine="717"/>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Disclosure - Income Taxes (Details)"/>
      </w:tblPr>
      <w:tblGrid>
        <w:gridCol w:w="4646"/>
        <w:gridCol w:w="659"/>
        <w:gridCol w:w="100"/>
        <w:gridCol w:w="992"/>
        <w:gridCol w:w="78"/>
        <w:gridCol w:w="659"/>
        <w:gridCol w:w="100"/>
        <w:gridCol w:w="993"/>
        <w:gridCol w:w="79"/>
      </w:tblGrid>
      <w:tr w:rsidR="00000000">
        <w:trPr>
          <w:hidden/>
        </w:trPr>
        <w:tc>
          <w:tcPr>
            <w:tcW w:w="0" w:type="auto"/>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vanish/>
                <w:sz w:val="20"/>
                <w:szCs w:val="20"/>
              </w:rPr>
              <w:t>Schedule of deferred tax asset</w:t>
            </w:r>
            <w:r>
              <w:rPr>
                <w:rFonts w:eastAsia="Times New Roman"/>
                <w:vanish/>
                <w:sz w:val="20"/>
                <w:szCs w:val="20"/>
              </w:rPr>
              <w:t>s</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vAlign w:val="bottom"/>
            <w:hideMark/>
          </w:tcPr>
          <w:p w:rsidR="00000000" w:rsidRDefault="00B64763">
            <w:pPr>
              <w:jc w:val="center"/>
              <w:rPr>
                <w:rFonts w:eastAsia="Times New Roman"/>
                <w:sz w:val="20"/>
                <w:szCs w:val="20"/>
              </w:rPr>
            </w:pPr>
            <w:r>
              <w:rPr>
                <w:rFonts w:eastAsia="Times New Roman"/>
                <w:sz w:val="20"/>
                <w:szCs w:val="20"/>
              </w:rPr>
              <w:t> </w:t>
            </w:r>
          </w:p>
        </w:tc>
      </w:tr>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9/30/2021</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9/30/2020</w:t>
            </w:r>
          </w:p>
        </w:tc>
      </w:tr>
      <w:tr w:rsidR="00000000">
        <w:tc>
          <w:tcPr>
            <w:tcW w:w="2800" w:type="pct"/>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Net Operating Loss Carryforward</w:t>
            </w:r>
          </w:p>
        </w:tc>
        <w:tc>
          <w:tcPr>
            <w:tcW w:w="4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1,921,000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445,000</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Less: Non-cash items and other temporary differences</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8,000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238,000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Total net deferred tax assets</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1,929,000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683,000</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Less: valuation allowance</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(1,929,000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(683,000</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b/>
                <w:bCs/>
                <w:sz w:val="20"/>
                <w:szCs w:val="20"/>
              </w:rPr>
            </w:pPr>
            <w:r>
              <w:rPr>
                <w:rFonts w:eastAsia="Times New Roman"/>
                <w:b/>
                <w:bCs/>
                <w:sz w:val="20"/>
                <w:szCs w:val="20"/>
              </w:rPr>
              <w:t>Net Deferred tax assets</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b/>
                <w:bCs/>
                <w:sz w:val="20"/>
                <w:szCs w:val="20"/>
              </w:rPr>
            </w:pPr>
            <w:r>
              <w:rPr>
                <w:rFonts w:eastAsia="Times New Roman"/>
                <w:b/>
                <w:bCs/>
                <w:sz w:val="20"/>
                <w:szCs w:val="20"/>
              </w:rPr>
              <w:t> </w:t>
            </w:r>
          </w:p>
        </w:tc>
      </w:tr>
    </w:tbl>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A reconciliation of income taxes with the amount computed at the statutory rate are as follows:</w:t>
      </w:r>
    </w:p>
    <w:p w:rsidR="00000000" w:rsidRDefault="00B64763">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Disclosure - Income Taxes (Details 1)"/>
      </w:tblPr>
      <w:tblGrid>
        <w:gridCol w:w="4627"/>
        <w:gridCol w:w="640"/>
        <w:gridCol w:w="59"/>
        <w:gridCol w:w="973"/>
        <w:gridCol w:w="167"/>
        <w:gridCol w:w="640"/>
        <w:gridCol w:w="59"/>
        <w:gridCol w:w="974"/>
        <w:gridCol w:w="167"/>
      </w:tblGrid>
      <w:tr w:rsidR="00000000">
        <w:trPr>
          <w:hidden/>
        </w:trPr>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vanish/>
                <w:sz w:val="20"/>
                <w:szCs w:val="20"/>
              </w:rPr>
              <w:t>Schedule of reconciliation of income taxe</w:t>
            </w:r>
            <w:r>
              <w:rPr>
                <w:rFonts w:eastAsia="Times New Roman"/>
                <w:vanish/>
                <w:sz w:val="20"/>
                <w:szCs w:val="20"/>
              </w:rPr>
              <w:t>s</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r>
      <w:tr w:rsidR="00000000">
        <w:tc>
          <w:tcPr>
            <w:tcW w:w="0" w:type="auto"/>
            <w:tcMar>
              <w:top w:w="0" w:type="dxa"/>
              <w:left w:w="200" w:type="dxa"/>
              <w:bottom w:w="0" w:type="dxa"/>
              <w:right w:w="0" w:type="dxa"/>
            </w:tcMar>
            <w:vAlign w:val="bottom"/>
            <w:hideMark/>
          </w:tcPr>
          <w:p w:rsidR="00000000" w:rsidRDefault="00B64763">
            <w:pPr>
              <w:ind w:hanging="200"/>
              <w:jc w:val="center"/>
              <w:rPr>
                <w:rFonts w:eastAsia="Times New Roman"/>
                <w:sz w:val="20"/>
                <w:szCs w:val="20"/>
              </w:rPr>
            </w:pPr>
            <w:r>
              <w:rPr>
                <w:rFonts w:eastAsia="Times New Roman"/>
                <w:sz w:val="20"/>
                <w:szCs w:val="20"/>
              </w:rPr>
              <w:t> </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9/30/2021</w:t>
            </w:r>
          </w:p>
        </w:tc>
        <w:tc>
          <w:tcPr>
            <w:tcW w:w="0" w:type="auto"/>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gridSpan w:val="3"/>
            <w:tcBorders>
              <w:bottom w:val="single" w:sz="8" w:space="0" w:color="000000"/>
            </w:tcBorders>
            <w:vAlign w:val="bottom"/>
            <w:hideMark/>
          </w:tcPr>
          <w:p w:rsidR="00000000" w:rsidRDefault="00B64763">
            <w:pPr>
              <w:jc w:val="center"/>
              <w:rPr>
                <w:rFonts w:eastAsia="Times New Roman"/>
                <w:sz w:val="20"/>
                <w:szCs w:val="20"/>
              </w:rPr>
            </w:pPr>
            <w:r>
              <w:rPr>
                <w:rFonts w:eastAsia="Times New Roman"/>
                <w:sz w:val="20"/>
                <w:szCs w:val="20"/>
              </w:rPr>
              <w:t>9/30/2020</w:t>
            </w:r>
          </w:p>
        </w:tc>
      </w:tr>
      <w:tr w:rsidR="00000000">
        <w:tc>
          <w:tcPr>
            <w:tcW w:w="2800" w:type="pct"/>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Computed tax provision (benefit) at federal statutory rate</w:t>
            </w:r>
          </w:p>
        </w:tc>
        <w:tc>
          <w:tcPr>
            <w:tcW w:w="4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-21</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B64763">
            <w:pPr>
              <w:jc w:val="right"/>
              <w:rPr>
                <w:rFonts w:eastAsia="Times New Roman"/>
                <w:sz w:val="20"/>
                <w:szCs w:val="20"/>
              </w:rPr>
            </w:pPr>
            <w:r>
              <w:rPr>
                <w:rFonts w:eastAsia="Times New Roman"/>
                <w:sz w:val="20"/>
                <w:szCs w:val="20"/>
              </w:rPr>
              <w:t>-21</w:t>
            </w:r>
          </w:p>
        </w:tc>
        <w:tc>
          <w:tcPr>
            <w:tcW w:w="50" w:type="pct"/>
            <w:shd w:val="clear" w:color="auto" w:fill="CCEEFF"/>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State income taxes, net of federal benefit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-3</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B64763">
            <w:pPr>
              <w:jc w:val="right"/>
              <w:rPr>
                <w:rFonts w:eastAsia="Times New Roman"/>
                <w:sz w:val="20"/>
                <w:szCs w:val="20"/>
              </w:rPr>
            </w:pPr>
            <w:r>
              <w:rPr>
                <w:rFonts w:eastAsia="Times New Roman"/>
                <w:sz w:val="20"/>
                <w:szCs w:val="20"/>
              </w:rPr>
              <w:t>-3</w:t>
            </w:r>
          </w:p>
        </w:tc>
        <w:tc>
          <w:tcPr>
            <w:tcW w:w="0" w:type="auto"/>
            <w:shd w:val="clear" w:color="auto" w:fill="FFFFFF"/>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Permanent differences</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8</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B64763">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Change in valuation allowance</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16</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single" w:sz="8" w:space="0" w:color="000000"/>
            </w:tcBorders>
            <w:shd w:val="clear" w:color="auto" w:fill="FFFFFF"/>
            <w:vAlign w:val="bottom"/>
            <w:hideMark/>
          </w:tcPr>
          <w:p w:rsidR="00000000" w:rsidRDefault="00B64763">
            <w:pPr>
              <w:jc w:val="right"/>
              <w:rPr>
                <w:rFonts w:eastAsia="Times New Roman"/>
                <w:sz w:val="20"/>
                <w:szCs w:val="20"/>
              </w:rPr>
            </w:pPr>
            <w:r>
              <w:rPr>
                <w:rFonts w:eastAsia="Times New Roman"/>
                <w:sz w:val="20"/>
                <w:szCs w:val="20"/>
              </w:rPr>
              <w:t>-25</w:t>
            </w:r>
          </w:p>
        </w:tc>
        <w:tc>
          <w:tcPr>
            <w:tcW w:w="0" w:type="auto"/>
            <w:shd w:val="clear" w:color="auto" w:fill="FFFFFF"/>
            <w:tcMar>
              <w:top w:w="0" w:type="dxa"/>
              <w:left w:w="0" w:type="dxa"/>
              <w:bottom w:w="20" w:type="dxa"/>
              <w:right w:w="0" w:type="dxa"/>
            </w:tcMar>
            <w:vAlign w:val="bottom"/>
            <w:hideMark/>
          </w:tcPr>
          <w:p w:rsidR="00000000" w:rsidRDefault="00B64763">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B64763">
            <w:pPr>
              <w:ind w:hanging="200"/>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0</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B64763">
            <w:pPr>
              <w:jc w:val="right"/>
              <w:rPr>
                <w:rFonts w:eastAsia="Times New Roman"/>
                <w:sz w:val="20"/>
                <w:szCs w:val="20"/>
              </w:rPr>
            </w:pPr>
            <w:r>
              <w:rPr>
                <w:rFonts w:eastAsia="Times New Roman"/>
                <w:sz w:val="20"/>
                <w:szCs w:val="20"/>
              </w:rPr>
              <w:t>0</w:t>
            </w:r>
          </w:p>
        </w:tc>
        <w:tc>
          <w:tcPr>
            <w:tcW w:w="0" w:type="auto"/>
            <w:shd w:val="clear" w:color="auto" w:fill="CCEEFF"/>
            <w:tcMar>
              <w:top w:w="0" w:type="dxa"/>
              <w:left w:w="0" w:type="dxa"/>
              <w:bottom w:w="50" w:type="dxa"/>
              <w:right w:w="0" w:type="dxa"/>
            </w:tcMar>
            <w:vAlign w:val="bottom"/>
            <w:hideMark/>
          </w:tcPr>
          <w:p w:rsidR="00000000" w:rsidRDefault="00B64763">
            <w:pPr>
              <w:rPr>
                <w:rFonts w:eastAsia="Times New Roman"/>
                <w:sz w:val="20"/>
                <w:szCs w:val="20"/>
              </w:rPr>
            </w:pPr>
            <w:r>
              <w:rPr>
                <w:rFonts w:eastAsia="Times New Roman"/>
                <w:sz w:val="20"/>
                <w:szCs w:val="20"/>
              </w:rPr>
              <w:t>%</w:t>
            </w:r>
          </w:p>
        </w:tc>
      </w:tr>
    </w:tbl>
    <w:p w:rsidR="00000000" w:rsidRDefault="00B64763">
      <w:pPr>
        <w:pStyle w:val="a3"/>
        <w:spacing w:before="0" w:beforeAutospacing="0" w:after="0" w:afterAutospacing="0"/>
        <w:rPr>
          <w:sz w:val="20"/>
          <w:szCs w:val="20"/>
        </w:rPr>
      </w:pPr>
      <w:r>
        <w:rPr>
          <w:b/>
          <w:bCs/>
          <w:sz w:val="20"/>
          <w:szCs w:val="20"/>
        </w:rPr>
        <w:t> </w:t>
      </w:r>
    </w:p>
    <w:p w:rsidR="00000000" w:rsidRDefault="00B64763">
      <w:pPr>
        <w:pStyle w:val="a3"/>
        <w:spacing w:before="0" w:beforeAutospacing="0" w:after="0" w:afterAutospacing="0"/>
        <w:jc w:val="center"/>
        <w:divId w:val="1706633677"/>
        <w:rPr>
          <w:sz w:val="20"/>
          <w:szCs w:val="20"/>
        </w:rPr>
      </w:pPr>
      <w:r>
        <w:rPr>
          <w:sz w:val="20"/>
          <w:szCs w:val="20"/>
        </w:rPr>
        <w:t>F</w:t>
      </w:r>
      <w:r>
        <w:rPr>
          <w:sz w:val="20"/>
          <w:szCs w:val="20"/>
        </w:rPr>
        <w:t>-</w:t>
      </w:r>
      <w:r>
        <w:rPr>
          <w:sz w:val="20"/>
          <w:szCs w:val="20"/>
        </w:rPr>
        <w:t>2</w:t>
      </w:r>
      <w:r>
        <w:rPr>
          <w:sz w:val="20"/>
          <w:szCs w:val="20"/>
        </w:rPr>
        <w:t>6</w:t>
      </w:r>
    </w:p>
    <w:p w:rsidR="00000000" w:rsidRDefault="00B64763">
      <w:pPr>
        <w:pStyle w:val="a3"/>
        <w:spacing w:before="0" w:beforeAutospacing="0" w:after="0" w:afterAutospacing="0"/>
        <w:divId w:val="570431772"/>
        <w:rPr>
          <w:sz w:val="20"/>
          <w:szCs w:val="20"/>
        </w:rPr>
      </w:pPr>
      <w:r>
        <w:rPr>
          <w:sz w:val="20"/>
          <w:szCs w:val="20"/>
        </w:rPr>
        <w:t> </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CLICKSTREAM 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September 30, 2021 and 2020</w:t>
      </w:r>
    </w:p>
    <w:p w:rsidR="00000000" w:rsidRDefault="00B64763">
      <w:pPr>
        <w:pStyle w:val="a3"/>
        <w:spacing w:before="0" w:beforeAutospacing="0" w:after="0" w:afterAutospacing="0"/>
        <w:rPr>
          <w:sz w:val="20"/>
          <w:szCs w:val="20"/>
        </w:rPr>
      </w:pPr>
      <w:r>
        <w:rPr>
          <w:sz w:val="20"/>
          <w:szCs w:val="20"/>
        </w:rPr>
        <w:t> </w:t>
      </w:r>
    </w:p>
    <w:p w:rsidR="00000000" w:rsidRDefault="00B64763">
      <w:pPr>
        <w:pStyle w:val="a3"/>
        <w:spacing w:before="0" w:beforeAutospacing="0" w:after="0" w:afterAutospacing="0"/>
        <w:rPr>
          <w:sz w:val="20"/>
          <w:szCs w:val="20"/>
        </w:rPr>
      </w:pPr>
      <w:r>
        <w:rPr>
          <w:b/>
          <w:bCs/>
          <w:sz w:val="20"/>
          <w:szCs w:val="20"/>
        </w:rPr>
        <w:t>Note 15–</w:t>
      </w:r>
      <w:r>
        <w:rPr>
          <w:b/>
          <w:bCs/>
          <w:sz w:val="20"/>
          <w:szCs w:val="20"/>
        </w:rPr>
        <w:t xml:space="preserve"> </w:t>
      </w:r>
      <w:r>
        <w:rPr>
          <w:b/>
          <w:bCs/>
          <w:sz w:val="20"/>
          <w:szCs w:val="20"/>
        </w:rPr>
        <w:t>Subsequent Event</w:t>
      </w:r>
      <w:r>
        <w:rPr>
          <w:b/>
          <w:bCs/>
          <w:sz w:val="20"/>
          <w:szCs w:val="20"/>
        </w:rPr>
        <w:t>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Subsequent to </w:t>
      </w:r>
      <w:r>
        <w:rPr>
          <w:sz w:val="20"/>
          <w:szCs w:val="20"/>
        </w:rPr>
        <w:t>September 30, 2021, the Company issued a total of 6,797,534 shares of common stock to consultants with a fair value of $436,000 for services rendered. The common shares issued were valued at the trading price at the respective date of issuances.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Subseque</w:t>
      </w:r>
      <w:r>
        <w:rPr>
          <w:sz w:val="20"/>
          <w:szCs w:val="20"/>
        </w:rPr>
        <w:t>nt to September 30, 2021, the Company issued a total of 20,000,000 shares of common stock in a private placement offering for cash proceeds of $1,000,000.</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On October 14, 2021, the Company issued a total of 1,550,000 shares of common stock as settlement o</w:t>
      </w:r>
      <w:r>
        <w:rPr>
          <w:sz w:val="20"/>
          <w:szCs w:val="20"/>
        </w:rPr>
        <w:t>f an employment agreement with a former employee. The common shares were valued at the trading price of $0.10 on the settlement date or $155,000. As there was $9,000 accrued to the employee, the Company will recognize a loss on the settlement of $146,000.</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Subsequent to September 30, 2021, the Company issued a convertible note payable in the aggregate of $169,000 in exchange for cash of $154,000, representing an original issue discount (OID) of $15,000. A one-time interest charge of 10% was applied and $1</w:t>
      </w:r>
      <w:r>
        <w:rPr>
          <w:sz w:val="20"/>
          <w:szCs w:val="20"/>
        </w:rPr>
        <w:t>7,000 was added to the principal. The principal and interest is to be paid equally over ten consecutive payments for a total of $186,000, with a final maturity date of December 9, 2022. First payment was due January 10, 2022 and was paid by the Company. Th</w:t>
      </w:r>
      <w:r>
        <w:rPr>
          <w:sz w:val="20"/>
          <w:szCs w:val="20"/>
        </w:rPr>
        <w:t>ere is a cross-default provision whereby the note becomes immediately due in the event of default and the total obligation is equal to 150% times of the then outstanding balance plus default interest.</w:t>
      </w:r>
    </w:p>
    <w:p w:rsidR="00000000" w:rsidRDefault="00B64763">
      <w:pPr>
        <w:pStyle w:val="a3"/>
        <w:spacing w:before="0" w:beforeAutospacing="0" w:after="0" w:afterAutospacing="0"/>
        <w:ind w:firstLine="720"/>
        <w:jc w:val="both"/>
        <w:rPr>
          <w:sz w:val="20"/>
          <w:szCs w:val="20"/>
        </w:rPr>
      </w:pPr>
      <w:r>
        <w:rPr>
          <w:b/>
          <w:bCs/>
          <w:sz w:val="20"/>
          <w:szCs w:val="20"/>
        </w:rPr>
        <w:t> </w:t>
      </w:r>
    </w:p>
    <w:p w:rsidR="00000000" w:rsidRDefault="00B64763">
      <w:pPr>
        <w:pStyle w:val="a3"/>
        <w:spacing w:before="0" w:beforeAutospacing="0" w:after="0" w:afterAutospacing="0"/>
        <w:ind w:firstLine="720"/>
        <w:jc w:val="both"/>
        <w:rPr>
          <w:sz w:val="20"/>
          <w:szCs w:val="20"/>
        </w:rPr>
      </w:pPr>
      <w:r>
        <w:rPr>
          <w:sz w:val="20"/>
          <w:szCs w:val="20"/>
        </w:rPr>
        <w:t>If any of the following events of default listed belo</w:t>
      </w:r>
      <w:r>
        <w:rPr>
          <w:sz w:val="20"/>
          <w:szCs w:val="20"/>
        </w:rPr>
        <w:t>w shall occur, and if the borrower fails to pay the default amount within five (5) business days of written notice that such amount is due and payable, then the holder shall have the right at any time, to convert the balance owed pursuant to the note inclu</w:t>
      </w:r>
      <w:r>
        <w:rPr>
          <w:sz w:val="20"/>
          <w:szCs w:val="20"/>
        </w:rPr>
        <w:t>ding the default amount into shares of common stock of the Company as set forth herein.</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u w:val="single"/>
        </w:rPr>
        <w:t>Failure to Pay Principal and Interest</w:t>
      </w:r>
      <w:r>
        <w:rPr>
          <w:sz w:val="20"/>
          <w:szCs w:val="20"/>
        </w:rPr>
        <w:t>. The Borrower fails to pay the principal hereof or interest thereon when due on this Note, whether at maturity, upon acceleratio</w:t>
      </w:r>
      <w:r>
        <w:rPr>
          <w:sz w:val="20"/>
          <w:szCs w:val="20"/>
        </w:rPr>
        <w:t>n or otherwise and such breach continues for a period of five (5) days after written notice from the Holder.</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u w:val="single"/>
        </w:rPr>
        <w:t>Breach of Covenants</w:t>
      </w:r>
      <w:r>
        <w:rPr>
          <w:sz w:val="20"/>
          <w:szCs w:val="20"/>
        </w:rPr>
        <w:t>. The Borrower breaches any material covenant or other material term or condition contained in this Note and any collateral do</w:t>
      </w:r>
      <w:r>
        <w:rPr>
          <w:sz w:val="20"/>
          <w:szCs w:val="20"/>
        </w:rPr>
        <w:t>cuments including but not limited to the Purchase Agreement and such breach continues for a period of twenty (20) days after written notice thereof to the Borrower from the Holder.</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u w:val="single"/>
        </w:rPr>
        <w:t>Breach of Representations and Warranties</w:t>
      </w:r>
      <w:r>
        <w:rPr>
          <w:sz w:val="20"/>
          <w:szCs w:val="20"/>
        </w:rPr>
        <w:t xml:space="preserve">. Any representation or warranty </w:t>
      </w:r>
      <w:r>
        <w:rPr>
          <w:sz w:val="20"/>
          <w:szCs w:val="20"/>
        </w:rPr>
        <w:t>of the Borrower made herein or in any agreement, statement or certificate given in writing pursuant hereto or in connection herewith (including, without limitation, the Purchase Agreement), shall be false or misleading in any material respect when made and</w:t>
      </w:r>
      <w:r>
        <w:rPr>
          <w:sz w:val="20"/>
          <w:szCs w:val="20"/>
        </w:rPr>
        <w:t xml:space="preserve"> the breach of which has (or with the passage of time will have) a material adverse effect on the rights of the Holder with respect to this Note or the Purchase Agreement.</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u w:val="single"/>
        </w:rPr>
        <w:t>Receiver or Trustee</w:t>
      </w:r>
      <w:r>
        <w:rPr>
          <w:sz w:val="20"/>
          <w:szCs w:val="20"/>
        </w:rPr>
        <w:t xml:space="preserve">. The Borrower or any subsidiary of the Borrower shall make an </w:t>
      </w:r>
      <w:r>
        <w:rPr>
          <w:sz w:val="20"/>
          <w:szCs w:val="20"/>
        </w:rPr>
        <w:t>assignment for the benefit of creditors, or apply for or consent to the appointment of a receiver or trustee for it or for a substantial part of its property or business, or such a receiver or trustee shall otherwise be appointed.</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u w:val="single"/>
        </w:rPr>
        <w:t>Bankruptcy</w:t>
      </w:r>
      <w:r>
        <w:rPr>
          <w:sz w:val="20"/>
          <w:szCs w:val="20"/>
        </w:rPr>
        <w:t>. Bankruptcy,</w:t>
      </w:r>
      <w:r>
        <w:rPr>
          <w:sz w:val="20"/>
          <w:szCs w:val="20"/>
        </w:rPr>
        <w:t xml:space="preserve"> insolvency, reorganization or liquidation proceedings or other proceedings, voluntary or involuntary, for relief under any bankruptcy law or any law for the relief of debtors shall be instituted by or against the Borrower or any subsidiary of the Borrower</w:t>
      </w:r>
      <w:r>
        <w:rPr>
          <w:sz w:val="20"/>
          <w:szCs w:val="20"/>
        </w:rPr>
        <w:t>.</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divId w:val="1457720303"/>
        <w:rPr>
          <w:sz w:val="20"/>
          <w:szCs w:val="20"/>
        </w:rPr>
      </w:pPr>
      <w:r>
        <w:rPr>
          <w:sz w:val="20"/>
          <w:szCs w:val="20"/>
        </w:rPr>
        <w:t>F</w:t>
      </w:r>
      <w:r>
        <w:rPr>
          <w:sz w:val="20"/>
          <w:szCs w:val="20"/>
        </w:rPr>
        <w:t>-</w:t>
      </w:r>
      <w:r>
        <w:rPr>
          <w:sz w:val="20"/>
          <w:szCs w:val="20"/>
        </w:rPr>
        <w:t>2</w:t>
      </w:r>
      <w:r>
        <w:rPr>
          <w:sz w:val="20"/>
          <w:szCs w:val="20"/>
        </w:rPr>
        <w:t>7</w:t>
      </w:r>
    </w:p>
    <w:p w:rsidR="00000000" w:rsidRDefault="00B64763">
      <w:pPr>
        <w:pStyle w:val="a3"/>
        <w:spacing w:before="0" w:beforeAutospacing="0" w:after="0" w:afterAutospacing="0"/>
        <w:divId w:val="1624312047"/>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CLICKSTREAM 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September 30, 2021 and 2020</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u w:val="single"/>
        </w:rPr>
        <w:t>Delisting of Common Stock</w:t>
      </w:r>
      <w:r>
        <w:rPr>
          <w:sz w:val="20"/>
          <w:szCs w:val="20"/>
        </w:rPr>
        <w:t>. The Borrower shall fail to maintain the listing of the Common Stock on at least one of the OTC (which specifically includes the quotation platforms maintained by the OTC Markets Group) or an equivalent replacement exchange, the Nasdaq National Market, th</w:t>
      </w:r>
      <w:r>
        <w:rPr>
          <w:sz w:val="20"/>
          <w:szCs w:val="20"/>
        </w:rPr>
        <w:t>e Nasdaq SmallCap Market, the New York Stock Exchange, or the American Stock Exchange.</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u w:val="single"/>
        </w:rPr>
        <w:t>Failure to Comply with the Exchange Act</w:t>
      </w:r>
      <w:r>
        <w:rPr>
          <w:sz w:val="20"/>
          <w:szCs w:val="20"/>
        </w:rPr>
        <w:t>. The Borrower shall fail to comply with the reporting requirements of the Exchange Act; and/or the Borrower shall cease to be s</w:t>
      </w:r>
      <w:r>
        <w:rPr>
          <w:sz w:val="20"/>
          <w:szCs w:val="20"/>
        </w:rPr>
        <w:t>ubject to the reporting requirements of the Exchange Act.</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u w:val="single"/>
        </w:rPr>
        <w:t>Liquidation</w:t>
      </w:r>
      <w:r>
        <w:rPr>
          <w:sz w:val="20"/>
          <w:szCs w:val="20"/>
        </w:rPr>
        <w:t>. Any dissolution, liquidation, or winding up of Borrower or any substantial portion of its business.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u w:val="single"/>
        </w:rPr>
        <w:t>Cessation of Operations</w:t>
      </w:r>
      <w:r>
        <w:rPr>
          <w:sz w:val="20"/>
          <w:szCs w:val="20"/>
        </w:rPr>
        <w:t>. Any cessation of operations by Borrower or Borrower admi</w:t>
      </w:r>
      <w:r>
        <w:rPr>
          <w:sz w:val="20"/>
          <w:szCs w:val="20"/>
        </w:rPr>
        <w:t>ts it is otherwise generally unable to pay its debts as such debts become due, provided, however, that any disclosure of the Borrower’s ability to continue as a “going concern” shall not be an admission that the Borrower cannot pay its debts as they become</w:t>
      </w:r>
      <w:r>
        <w:rPr>
          <w:sz w:val="20"/>
          <w:szCs w:val="20"/>
        </w:rPr>
        <w:t xml:space="preserve"> due.</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u w:val="single"/>
        </w:rPr>
        <w:t>Financial Statement Restatement</w:t>
      </w:r>
      <w:r>
        <w:rPr>
          <w:sz w:val="20"/>
          <w:szCs w:val="20"/>
        </w:rPr>
        <w:t>. The restatement of any financial statements filed by the Borrower with the SEC at any time after 180 days after the Issuance Date for any date or period until this Note is no longer outstanding, if the result of suc</w:t>
      </w:r>
      <w:r>
        <w:rPr>
          <w:sz w:val="20"/>
          <w:szCs w:val="20"/>
        </w:rPr>
        <w:t>h restatement would, by comparison to the un-restated financial statement, have constituted a material adverse effect on the rights of the Holder with respect to this Note or the Purchase Agreement.</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u w:val="single"/>
        </w:rPr>
        <w:t>Replacement of Transfer Agent</w:t>
      </w:r>
      <w:r>
        <w:rPr>
          <w:sz w:val="20"/>
          <w:szCs w:val="20"/>
        </w:rPr>
        <w:t>. In the event that the Bo</w:t>
      </w:r>
      <w:r>
        <w:rPr>
          <w:sz w:val="20"/>
          <w:szCs w:val="20"/>
        </w:rPr>
        <w:t>rrower proposes to replace its transfer agent, the Borrower fails to provide, prior to the effective date of such replacement, a fully executed Irrevocable Transfer Agent Instructions in a form as initially delivered pursuant to the Purchase Agreement (inc</w:t>
      </w:r>
      <w:r>
        <w:rPr>
          <w:sz w:val="20"/>
          <w:szCs w:val="20"/>
        </w:rPr>
        <w:t>luding but not limited to the provision to irrevocably reserve shares of Common Stock in the Reserved Amount) signed by the successor transfer agent to Borrower and the Borrower.</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u w:val="single"/>
        </w:rPr>
        <w:t>Cross-Default</w:t>
      </w:r>
      <w:r>
        <w:rPr>
          <w:sz w:val="20"/>
          <w:szCs w:val="20"/>
        </w:rPr>
        <w:t>. Notwithstanding anything to the contrary contained in this N</w:t>
      </w:r>
      <w:r>
        <w:rPr>
          <w:sz w:val="20"/>
          <w:szCs w:val="20"/>
        </w:rPr>
        <w:t>ote or the other related or companion documents, a breach or default by the Borrower of any covenant or other term or condition contained in any of the Other Agreements, after the passage of all applicable notice and cure or grace periods, shall, at the op</w:t>
      </w:r>
      <w:r>
        <w:rPr>
          <w:sz w:val="20"/>
          <w:szCs w:val="20"/>
        </w:rPr>
        <w:t>tion of the Holder, be considered a default under this Note and the Other Agreements, in which event the Holder shall be entitled (but in no event required) to apply all rights and remedies of the Holder under the terms of this Note and the Other Agreement</w:t>
      </w:r>
      <w:r>
        <w:rPr>
          <w:sz w:val="20"/>
          <w:szCs w:val="20"/>
        </w:rPr>
        <w:t>s by reason of a default under said Other Agreement or hereunder. “Other Agreements” means, collectively, all agreements and instruments between, among or by: (1) the Borrower, and, or for the benefit of, (2) the Holder and any affiliate of the Holder, inc</w:t>
      </w:r>
      <w:r>
        <w:rPr>
          <w:sz w:val="20"/>
          <w:szCs w:val="20"/>
        </w:rPr>
        <w:t xml:space="preserve">luding, without limitation, promissory notes; provided, however, the term “Other Agreements” shall not include the related or companion documents to this Note. Each of the loan transactions will be cross-defaulted with each other loan transaction and with </w:t>
      </w:r>
      <w:r>
        <w:rPr>
          <w:sz w:val="20"/>
          <w:szCs w:val="20"/>
        </w:rPr>
        <w:t>all other existing and future debt of Borrower to the Holder.</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 note is convertible with a conversion price of 75% of the lowest trading price during the ten trading days prior to the conversion date. The OID will be accounted as debt discount and will</w:t>
      </w:r>
      <w:r>
        <w:rPr>
          <w:sz w:val="20"/>
          <w:szCs w:val="20"/>
        </w:rPr>
        <w:t xml:space="preserve"> be amortized to interest expense over the term of the note payable. The note will be treated as stock settled debt.</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Subsequent to September 30, 2021, the Company issued a convertible note payable in the aggregate of $600,000 in exchange for cash of $500</w:t>
      </w:r>
      <w:r>
        <w:rPr>
          <w:sz w:val="20"/>
          <w:szCs w:val="20"/>
        </w:rPr>
        <w:t xml:space="preserve">,000, representing an original issue discount (OID) of $100,000. The note bears interest at 8% per annum and all principal and unpaid interest are due and payable on maturity on May 16, 2022. From the period commencing February 16, 2022 and terminating on </w:t>
      </w:r>
      <w:r>
        <w:rPr>
          <w:sz w:val="20"/>
          <w:szCs w:val="20"/>
        </w:rPr>
        <w:t>maturity date, the noteholder has the right to exchange the principal plus accrued interest into shares of the Company’s qualified Reg A offering. The note is convertible with a conversion price of $0.04 per share provided that number of shares beneficiall</w:t>
      </w:r>
      <w:r>
        <w:rPr>
          <w:sz w:val="20"/>
          <w:szCs w:val="20"/>
        </w:rPr>
        <w:t>y owned by the noteholder and its affiliates results in the beneficial ownership exceeding 4.99% of the then outstanding shares of common stock.</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divId w:val="1071394310"/>
        <w:rPr>
          <w:sz w:val="20"/>
          <w:szCs w:val="20"/>
        </w:rPr>
      </w:pPr>
      <w:r>
        <w:rPr>
          <w:sz w:val="20"/>
          <w:szCs w:val="20"/>
        </w:rPr>
        <w:t>F</w:t>
      </w:r>
      <w:r>
        <w:rPr>
          <w:sz w:val="20"/>
          <w:szCs w:val="20"/>
        </w:rPr>
        <w:t>-</w:t>
      </w:r>
      <w:r>
        <w:rPr>
          <w:sz w:val="20"/>
          <w:szCs w:val="20"/>
        </w:rPr>
        <w:t>2</w:t>
      </w:r>
      <w:r>
        <w:rPr>
          <w:sz w:val="20"/>
          <w:szCs w:val="20"/>
        </w:rPr>
        <w:t>8</w:t>
      </w:r>
    </w:p>
    <w:p w:rsidR="00000000" w:rsidRDefault="00B64763">
      <w:pPr>
        <w:pStyle w:val="a3"/>
        <w:spacing w:before="0" w:beforeAutospacing="0" w:after="0" w:afterAutospacing="0"/>
        <w:divId w:val="904729728"/>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CLICKSTREAM CORP.</w:t>
      </w:r>
    </w:p>
    <w:p w:rsidR="00000000" w:rsidRDefault="00B64763">
      <w:pPr>
        <w:pStyle w:val="a3"/>
        <w:spacing w:before="0" w:beforeAutospacing="0" w:after="0" w:afterAutospacing="0"/>
        <w:jc w:val="center"/>
        <w:rPr>
          <w:sz w:val="20"/>
          <w:szCs w:val="20"/>
        </w:rPr>
      </w:pPr>
      <w:r>
        <w:rPr>
          <w:sz w:val="20"/>
          <w:szCs w:val="20"/>
        </w:rPr>
        <w:t>NOTES TO CONSOLIDATED FINANCIAL STATEMENTS</w:t>
      </w:r>
    </w:p>
    <w:p w:rsidR="00000000" w:rsidRDefault="00B64763">
      <w:pPr>
        <w:pStyle w:val="a3"/>
        <w:spacing w:before="0" w:beforeAutospacing="0" w:after="0" w:afterAutospacing="0"/>
        <w:jc w:val="center"/>
        <w:rPr>
          <w:sz w:val="20"/>
          <w:szCs w:val="20"/>
        </w:rPr>
      </w:pPr>
      <w:r>
        <w:rPr>
          <w:sz w:val="20"/>
          <w:szCs w:val="20"/>
        </w:rPr>
        <w:t>For the Years Ended September 30, 2021 and 2020</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In the event of default the entire unpaid principal and accrued interest become immediately due and payable upon the occurrence of any of the following events: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(a) any failure on the part of the Company t</w:t>
      </w:r>
      <w:r>
        <w:rPr>
          <w:sz w:val="20"/>
          <w:szCs w:val="20"/>
        </w:rPr>
        <w:t>o make any payment under this Note when due, and such failure continues for five (5) days after the due date; accrued interest shall default to the maximum legal rate.</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(b) the Company’s commencement (or take any action for the purpose of commencing) of a</w:t>
      </w:r>
      <w:r>
        <w:rPr>
          <w:sz w:val="20"/>
          <w:szCs w:val="20"/>
        </w:rPr>
        <w:t xml:space="preserve">ny proceeding under any bankruptcy, or for the reorganization of any party liable hereon, whether as maker, endorser, guarantor, surety or otherwise, or for the readjustment of any of the debts of any of the foregoing parties, under the Federal Bankruptcy </w:t>
      </w:r>
      <w:r>
        <w:rPr>
          <w:sz w:val="20"/>
          <w:szCs w:val="20"/>
        </w:rPr>
        <w:t>Code, as amended, or any part thereof, or under any other laws, whether state or Federal, for the relief of debtors, now or hereafter existing, by any of the foregoing parties, or against any of the foregoing parties;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 xml:space="preserve">(c) a proceeding shall be commenced </w:t>
      </w:r>
      <w:r>
        <w:rPr>
          <w:sz w:val="20"/>
          <w:szCs w:val="20"/>
        </w:rPr>
        <w:t>against the Company under any bankruptcy, reorganization, arrangement, readjustment of debt, moratorium or similar law or statute and relief is ordered against such party, or the proceeding is controverted but is not dismissed within thirty (30) days after</w:t>
      </w:r>
      <w:r>
        <w:rPr>
          <w:sz w:val="20"/>
          <w:szCs w:val="20"/>
        </w:rPr>
        <w:t xml:space="preserve"> the commencement thereof;</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(d) the appointment of a receiver, trustee or custodian for all or substantially all of the assets of the Company, which appointment remains in place for at least one hundred twenty (120) days, the dissolution or liquidation of</w:t>
      </w:r>
      <w:r>
        <w:rPr>
          <w:sz w:val="20"/>
          <w:szCs w:val="20"/>
        </w:rPr>
        <w:t xml:space="preserve"> the Company; or</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(e) the admission by the Company of its inability to pay its debts as they mature, or an assignment for the benefit of the creditors of the Company.</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The OID will be accounted as debt discount and will be amortized to interest expense o</w:t>
      </w:r>
      <w:r>
        <w:rPr>
          <w:sz w:val="20"/>
          <w:szCs w:val="20"/>
        </w:rPr>
        <w:t>ver the term of the notes payable.</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In addition, the Company has reserved a total 43,296,296 shares as per the notes payable agreements.</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Subsequent to September 30, 2021, the Company has received $425,000 in principal from the notes receivable - Winners</w:t>
      </w:r>
      <w:r>
        <w:rPr>
          <w:sz w:val="20"/>
          <w:szCs w:val="20"/>
        </w:rPr>
        <w:t>, Inc.</w:t>
      </w:r>
    </w:p>
    <w:p w:rsidR="00000000" w:rsidRDefault="00B64763">
      <w:pPr>
        <w:pStyle w:val="a3"/>
        <w:spacing w:before="0" w:beforeAutospacing="0" w:after="0" w:afterAutospacing="0"/>
        <w:ind w:firstLine="720"/>
        <w:jc w:val="both"/>
        <w:rPr>
          <w:sz w:val="20"/>
          <w:szCs w:val="20"/>
        </w:rPr>
      </w:pPr>
      <w:r>
        <w:rPr>
          <w:sz w:val="20"/>
          <w:szCs w:val="20"/>
        </w:rPr>
        <w:t> </w:t>
      </w:r>
    </w:p>
    <w:p w:rsidR="00000000" w:rsidRDefault="00B64763">
      <w:pPr>
        <w:pStyle w:val="a3"/>
        <w:spacing w:before="0" w:beforeAutospacing="0" w:after="0" w:afterAutospacing="0"/>
        <w:ind w:firstLine="720"/>
        <w:jc w:val="both"/>
        <w:rPr>
          <w:sz w:val="20"/>
          <w:szCs w:val="20"/>
        </w:rPr>
      </w:pPr>
      <w:r>
        <w:rPr>
          <w:sz w:val="20"/>
          <w:szCs w:val="20"/>
        </w:rPr>
        <w:t>Subsequent to September 30, 2021, the Company entered into a stock purchase agreement whereby the Company purchased back 462,500 Series A preferred shares from a related party for the total sum of $100,000 on the following terms. Initially, $50,00</w:t>
      </w:r>
      <w:r>
        <w:rPr>
          <w:sz w:val="20"/>
          <w:szCs w:val="20"/>
        </w:rPr>
        <w:t>0 was paid within one day of execution of the agreement and the remaining balance of $50,000 shall be paid over 12 equal monthly installments of $4,166.67 commencing March 1, 2022. The preferred shares will be surrendered to the Company pro-rata as the pay</w:t>
      </w:r>
      <w:r>
        <w:rPr>
          <w:sz w:val="20"/>
          <w:szCs w:val="20"/>
        </w:rPr>
        <w:t>ments are made.</w:t>
      </w:r>
    </w:p>
    <w:p w:rsidR="00000000" w:rsidRDefault="00B64763">
      <w:pPr>
        <w:pStyle w:val="a3"/>
        <w:spacing w:before="0" w:beforeAutospacing="0" w:after="0" w:afterAutospacing="0"/>
        <w:ind w:left="749" w:right="677" w:firstLine="720"/>
        <w:jc w:val="both"/>
        <w:rPr>
          <w:sz w:val="20"/>
          <w:szCs w:val="20"/>
        </w:rPr>
      </w:pPr>
      <w:r>
        <w:rPr>
          <w:sz w:val="20"/>
          <w:szCs w:val="20"/>
        </w:rPr>
        <w:t> </w:t>
      </w:r>
    </w:p>
    <w:p w:rsidR="00000000" w:rsidRDefault="00B64763">
      <w:pPr>
        <w:pStyle w:val="a3"/>
        <w:spacing w:before="0" w:beforeAutospacing="0" w:after="0" w:afterAutospacing="0"/>
        <w:jc w:val="center"/>
        <w:rPr>
          <w:sz w:val="20"/>
          <w:szCs w:val="20"/>
        </w:rPr>
      </w:pPr>
      <w:r>
        <w:rPr>
          <w:sz w:val="20"/>
          <w:szCs w:val="20"/>
        </w:rPr>
        <w:t>F-29</w:t>
      </w:r>
    </w:p>
    <w:p w:rsidR="00000000" w:rsidRDefault="00B64763">
      <w:pPr>
        <w:divId w:val="1966083466"/>
        <w:rPr>
          <w:rFonts w:eastAsia="Times New Roman"/>
          <w:sz w:val="2"/>
          <w:szCs w:val="2"/>
        </w:rPr>
      </w:pPr>
      <w:r>
        <w:rPr>
          <w:rFonts w:eastAsia="Times New Roman"/>
          <w:sz w:val="2"/>
          <w:szCs w:val="2"/>
        </w:rPr>
        <w:t> </w:t>
      </w:r>
    </w:p>
    <w:p w:rsidR="00B64763" w:rsidRDefault="00B64763">
      <w:pPr>
        <w:pStyle w:val="a3"/>
        <w:spacing w:before="0" w:beforeAutospacing="0" w:after="120" w:afterAutospacing="0"/>
        <w:rPr>
          <w:sz w:val="20"/>
          <w:szCs w:val="20"/>
        </w:rPr>
      </w:pPr>
      <w:r>
        <w:rPr>
          <w:sz w:val="20"/>
          <w:szCs w:val="20"/>
        </w:rPr>
        <w:t> </w:t>
      </w:r>
    </w:p>
    <w:sectPr w:rsidR="00B6476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Nunito...">
    <w:altName w:val="Cambria"/>
    <w:panose1 w:val="00000000000000000000"/>
    <w:charset w:val="00"/>
    <w:family w:val="roman"/>
    <w:notTrueType/>
    <w:pitch w:val="default"/>
  </w:font>
  <w:font w:name="Source...">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64763"/>
    <w:rsid w:val="00B64763"/>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1q4"/>
  <w:attachedSchema w:val="http://www.xbrl.org/2006/ref"/>
  <w:attachedSchema w:val="http://fasb.org/us-gaap/2021-01-31"/>
  <w:attachedSchema w:val="http://fasb.org/us-roles/2021-01-31"/>
  <w:attachedSchema w:val="http://www.xbrl.org/dtr/type/2020-01-21"/>
  <w:attachedSchema w:val="http://xbrl.sec.gov/country/2021"/>
  <w:attachedSchema w:val="http://fasb.org/srt/2021-01-31"/>
  <w:attachedSchema w:val="http://clickstream.technology.com/202109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1046">
      <w:marLeft w:val="0"/>
      <w:marRight w:val="0"/>
      <w:marTop w:val="240"/>
      <w:marBottom w:val="120"/>
      <w:divBdr>
        <w:top w:val="none" w:sz="0" w:space="0" w:color="auto"/>
        <w:left w:val="none" w:sz="0" w:space="0" w:color="auto"/>
        <w:bottom w:val="single" w:sz="18" w:space="0" w:color="000000"/>
        <w:right w:val="none" w:sz="0" w:space="0" w:color="auto"/>
      </w:divBdr>
    </w:div>
    <w:div w:id="8918730">
      <w:marLeft w:val="0"/>
      <w:marRight w:val="0"/>
      <w:marTop w:val="240"/>
      <w:marBottom w:val="120"/>
      <w:divBdr>
        <w:top w:val="none" w:sz="0" w:space="0" w:color="auto"/>
        <w:left w:val="none" w:sz="0" w:space="0" w:color="auto"/>
        <w:bottom w:val="single" w:sz="18" w:space="0" w:color="000000"/>
        <w:right w:val="none" w:sz="0" w:space="0" w:color="auto"/>
      </w:divBdr>
    </w:div>
    <w:div w:id="33387115">
      <w:marLeft w:val="0"/>
      <w:marRight w:val="0"/>
      <w:marTop w:val="240"/>
      <w:marBottom w:val="120"/>
      <w:divBdr>
        <w:top w:val="none" w:sz="0" w:space="0" w:color="auto"/>
        <w:left w:val="none" w:sz="0" w:space="0" w:color="auto"/>
        <w:bottom w:val="single" w:sz="18" w:space="0" w:color="000000"/>
        <w:right w:val="none" w:sz="0" w:space="0" w:color="auto"/>
      </w:divBdr>
    </w:div>
    <w:div w:id="67846561">
      <w:marLeft w:val="0"/>
      <w:marRight w:val="0"/>
      <w:marTop w:val="240"/>
      <w:marBottom w:val="120"/>
      <w:divBdr>
        <w:top w:val="none" w:sz="0" w:space="0" w:color="auto"/>
        <w:left w:val="none" w:sz="0" w:space="0" w:color="auto"/>
        <w:bottom w:val="single" w:sz="18" w:space="0" w:color="000000"/>
        <w:right w:val="none" w:sz="0" w:space="0" w:color="auto"/>
      </w:divBdr>
    </w:div>
    <w:div w:id="123626599">
      <w:marLeft w:val="0"/>
      <w:marRight w:val="0"/>
      <w:marTop w:val="120"/>
      <w:marBottom w:val="120"/>
      <w:divBdr>
        <w:top w:val="none" w:sz="0" w:space="0" w:color="auto"/>
        <w:left w:val="none" w:sz="0" w:space="0" w:color="auto"/>
        <w:bottom w:val="none" w:sz="0" w:space="0" w:color="auto"/>
        <w:right w:val="none" w:sz="0" w:space="0" w:color="auto"/>
      </w:divBdr>
    </w:div>
    <w:div w:id="141197198">
      <w:marLeft w:val="0"/>
      <w:marRight w:val="0"/>
      <w:marTop w:val="240"/>
      <w:marBottom w:val="120"/>
      <w:divBdr>
        <w:top w:val="none" w:sz="0" w:space="0" w:color="auto"/>
        <w:left w:val="none" w:sz="0" w:space="0" w:color="auto"/>
        <w:bottom w:val="single" w:sz="18" w:space="0" w:color="000000"/>
        <w:right w:val="none" w:sz="0" w:space="0" w:color="auto"/>
      </w:divBdr>
    </w:div>
    <w:div w:id="148979590">
      <w:marLeft w:val="0"/>
      <w:marRight w:val="0"/>
      <w:marTop w:val="120"/>
      <w:marBottom w:val="120"/>
      <w:divBdr>
        <w:top w:val="none" w:sz="0" w:space="0" w:color="auto"/>
        <w:left w:val="none" w:sz="0" w:space="0" w:color="auto"/>
        <w:bottom w:val="none" w:sz="0" w:space="0" w:color="auto"/>
        <w:right w:val="none" w:sz="0" w:space="0" w:color="auto"/>
      </w:divBdr>
    </w:div>
    <w:div w:id="165484633">
      <w:marLeft w:val="0"/>
      <w:marRight w:val="0"/>
      <w:marTop w:val="120"/>
      <w:marBottom w:val="120"/>
      <w:divBdr>
        <w:top w:val="none" w:sz="0" w:space="0" w:color="auto"/>
        <w:left w:val="none" w:sz="0" w:space="0" w:color="auto"/>
        <w:bottom w:val="single" w:sz="18" w:space="0" w:color="000000"/>
        <w:right w:val="none" w:sz="0" w:space="0" w:color="auto"/>
      </w:divBdr>
    </w:div>
    <w:div w:id="173109683">
      <w:marLeft w:val="0"/>
      <w:marRight w:val="0"/>
      <w:marTop w:val="120"/>
      <w:marBottom w:val="120"/>
      <w:divBdr>
        <w:top w:val="none" w:sz="0" w:space="0" w:color="auto"/>
        <w:left w:val="none" w:sz="0" w:space="0" w:color="auto"/>
        <w:bottom w:val="single" w:sz="18" w:space="0" w:color="000000"/>
        <w:right w:val="none" w:sz="0" w:space="0" w:color="auto"/>
      </w:divBdr>
    </w:div>
    <w:div w:id="185221056">
      <w:marLeft w:val="0"/>
      <w:marRight w:val="0"/>
      <w:marTop w:val="120"/>
      <w:marBottom w:val="120"/>
      <w:divBdr>
        <w:top w:val="none" w:sz="0" w:space="0" w:color="auto"/>
        <w:left w:val="none" w:sz="0" w:space="0" w:color="auto"/>
        <w:bottom w:val="single" w:sz="18" w:space="0" w:color="000000"/>
        <w:right w:val="none" w:sz="0" w:space="0" w:color="auto"/>
      </w:divBdr>
    </w:div>
    <w:div w:id="194314369">
      <w:marLeft w:val="0"/>
      <w:marRight w:val="0"/>
      <w:marTop w:val="240"/>
      <w:marBottom w:val="120"/>
      <w:divBdr>
        <w:top w:val="none" w:sz="0" w:space="0" w:color="auto"/>
        <w:left w:val="none" w:sz="0" w:space="0" w:color="auto"/>
        <w:bottom w:val="single" w:sz="18" w:space="0" w:color="000000"/>
        <w:right w:val="none" w:sz="0" w:space="0" w:color="auto"/>
      </w:divBdr>
    </w:div>
    <w:div w:id="216673333">
      <w:marLeft w:val="0"/>
      <w:marRight w:val="0"/>
      <w:marTop w:val="240"/>
      <w:marBottom w:val="120"/>
      <w:divBdr>
        <w:top w:val="none" w:sz="0" w:space="0" w:color="auto"/>
        <w:left w:val="none" w:sz="0" w:space="0" w:color="auto"/>
        <w:bottom w:val="single" w:sz="18" w:space="0" w:color="000000"/>
        <w:right w:val="none" w:sz="0" w:space="0" w:color="auto"/>
      </w:divBdr>
    </w:div>
    <w:div w:id="238104801">
      <w:marLeft w:val="0"/>
      <w:marRight w:val="0"/>
      <w:marTop w:val="120"/>
      <w:marBottom w:val="120"/>
      <w:divBdr>
        <w:top w:val="none" w:sz="0" w:space="0" w:color="auto"/>
        <w:left w:val="none" w:sz="0" w:space="0" w:color="auto"/>
        <w:bottom w:val="single" w:sz="18" w:space="0" w:color="000000"/>
        <w:right w:val="none" w:sz="0" w:space="0" w:color="auto"/>
      </w:divBdr>
    </w:div>
    <w:div w:id="257102869">
      <w:marLeft w:val="0"/>
      <w:marRight w:val="0"/>
      <w:marTop w:val="120"/>
      <w:marBottom w:val="120"/>
      <w:divBdr>
        <w:top w:val="none" w:sz="0" w:space="0" w:color="auto"/>
        <w:left w:val="none" w:sz="0" w:space="0" w:color="auto"/>
        <w:bottom w:val="single" w:sz="18" w:space="0" w:color="000000"/>
        <w:right w:val="none" w:sz="0" w:space="0" w:color="auto"/>
      </w:divBdr>
    </w:div>
    <w:div w:id="281349618">
      <w:marLeft w:val="0"/>
      <w:marRight w:val="0"/>
      <w:marTop w:val="240"/>
      <w:marBottom w:val="120"/>
      <w:divBdr>
        <w:top w:val="none" w:sz="0" w:space="0" w:color="auto"/>
        <w:left w:val="none" w:sz="0" w:space="0" w:color="auto"/>
        <w:bottom w:val="single" w:sz="18" w:space="0" w:color="000000"/>
        <w:right w:val="none" w:sz="0" w:space="0" w:color="auto"/>
      </w:divBdr>
    </w:div>
    <w:div w:id="363212057">
      <w:marLeft w:val="0"/>
      <w:marRight w:val="0"/>
      <w:marTop w:val="120"/>
      <w:marBottom w:val="120"/>
      <w:divBdr>
        <w:top w:val="none" w:sz="0" w:space="0" w:color="auto"/>
        <w:left w:val="none" w:sz="0" w:space="0" w:color="auto"/>
        <w:bottom w:val="single" w:sz="18" w:space="0" w:color="000000"/>
        <w:right w:val="none" w:sz="0" w:space="0" w:color="auto"/>
      </w:divBdr>
    </w:div>
    <w:div w:id="372199300">
      <w:marLeft w:val="0"/>
      <w:marRight w:val="0"/>
      <w:marTop w:val="120"/>
      <w:marBottom w:val="120"/>
      <w:divBdr>
        <w:top w:val="none" w:sz="0" w:space="0" w:color="auto"/>
        <w:left w:val="none" w:sz="0" w:space="0" w:color="auto"/>
        <w:bottom w:val="none" w:sz="0" w:space="0" w:color="auto"/>
        <w:right w:val="none" w:sz="0" w:space="0" w:color="auto"/>
      </w:divBdr>
    </w:div>
    <w:div w:id="413666368">
      <w:marLeft w:val="0"/>
      <w:marRight w:val="0"/>
      <w:marTop w:val="240"/>
      <w:marBottom w:val="120"/>
      <w:divBdr>
        <w:top w:val="none" w:sz="0" w:space="0" w:color="auto"/>
        <w:left w:val="none" w:sz="0" w:space="0" w:color="auto"/>
        <w:bottom w:val="single" w:sz="18" w:space="0" w:color="000000"/>
        <w:right w:val="none" w:sz="0" w:space="0" w:color="auto"/>
      </w:divBdr>
    </w:div>
    <w:div w:id="457140670">
      <w:marLeft w:val="0"/>
      <w:marRight w:val="0"/>
      <w:marTop w:val="240"/>
      <w:marBottom w:val="120"/>
      <w:divBdr>
        <w:top w:val="none" w:sz="0" w:space="0" w:color="auto"/>
        <w:left w:val="none" w:sz="0" w:space="0" w:color="auto"/>
        <w:bottom w:val="single" w:sz="18" w:space="0" w:color="000000"/>
        <w:right w:val="none" w:sz="0" w:space="0" w:color="auto"/>
      </w:divBdr>
    </w:div>
    <w:div w:id="470099451">
      <w:marLeft w:val="0"/>
      <w:marRight w:val="0"/>
      <w:marTop w:val="240"/>
      <w:marBottom w:val="120"/>
      <w:divBdr>
        <w:top w:val="none" w:sz="0" w:space="0" w:color="auto"/>
        <w:left w:val="none" w:sz="0" w:space="0" w:color="auto"/>
        <w:bottom w:val="single" w:sz="18" w:space="0" w:color="000000"/>
        <w:right w:val="none" w:sz="0" w:space="0" w:color="auto"/>
      </w:divBdr>
    </w:div>
    <w:div w:id="521866513">
      <w:marLeft w:val="0"/>
      <w:marRight w:val="0"/>
      <w:marTop w:val="120"/>
      <w:marBottom w:val="120"/>
      <w:divBdr>
        <w:top w:val="none" w:sz="0" w:space="0" w:color="auto"/>
        <w:left w:val="none" w:sz="0" w:space="0" w:color="auto"/>
        <w:bottom w:val="none" w:sz="0" w:space="0" w:color="auto"/>
        <w:right w:val="none" w:sz="0" w:space="0" w:color="auto"/>
      </w:divBdr>
    </w:div>
    <w:div w:id="570431772">
      <w:marLeft w:val="0"/>
      <w:marRight w:val="0"/>
      <w:marTop w:val="120"/>
      <w:marBottom w:val="120"/>
      <w:divBdr>
        <w:top w:val="none" w:sz="0" w:space="0" w:color="auto"/>
        <w:left w:val="none" w:sz="0" w:space="0" w:color="auto"/>
        <w:bottom w:val="none" w:sz="0" w:space="0" w:color="auto"/>
        <w:right w:val="none" w:sz="0" w:space="0" w:color="auto"/>
      </w:divBdr>
    </w:div>
    <w:div w:id="576788766">
      <w:marLeft w:val="0"/>
      <w:marRight w:val="0"/>
      <w:marTop w:val="120"/>
      <w:marBottom w:val="120"/>
      <w:divBdr>
        <w:top w:val="none" w:sz="0" w:space="0" w:color="auto"/>
        <w:left w:val="none" w:sz="0" w:space="0" w:color="auto"/>
        <w:bottom w:val="single" w:sz="18" w:space="0" w:color="000000"/>
        <w:right w:val="none" w:sz="0" w:space="0" w:color="auto"/>
      </w:divBdr>
    </w:div>
    <w:div w:id="579758627">
      <w:marLeft w:val="0"/>
      <w:marRight w:val="0"/>
      <w:marTop w:val="120"/>
      <w:marBottom w:val="120"/>
      <w:divBdr>
        <w:top w:val="none" w:sz="0" w:space="0" w:color="auto"/>
        <w:left w:val="none" w:sz="0" w:space="0" w:color="auto"/>
        <w:bottom w:val="single" w:sz="18" w:space="0" w:color="000000"/>
        <w:right w:val="none" w:sz="0" w:space="0" w:color="auto"/>
      </w:divBdr>
    </w:div>
    <w:div w:id="580065514">
      <w:marLeft w:val="0"/>
      <w:marRight w:val="0"/>
      <w:marTop w:val="120"/>
      <w:marBottom w:val="120"/>
      <w:divBdr>
        <w:top w:val="none" w:sz="0" w:space="0" w:color="auto"/>
        <w:left w:val="none" w:sz="0" w:space="0" w:color="auto"/>
        <w:bottom w:val="none" w:sz="0" w:space="0" w:color="auto"/>
        <w:right w:val="none" w:sz="0" w:space="0" w:color="auto"/>
      </w:divBdr>
    </w:div>
    <w:div w:id="588738380">
      <w:marLeft w:val="0"/>
      <w:marRight w:val="0"/>
      <w:marTop w:val="120"/>
      <w:marBottom w:val="120"/>
      <w:divBdr>
        <w:top w:val="none" w:sz="0" w:space="0" w:color="auto"/>
        <w:left w:val="none" w:sz="0" w:space="0" w:color="auto"/>
        <w:bottom w:val="none" w:sz="0" w:space="0" w:color="auto"/>
        <w:right w:val="none" w:sz="0" w:space="0" w:color="auto"/>
      </w:divBdr>
    </w:div>
    <w:div w:id="601456068">
      <w:marLeft w:val="0"/>
      <w:marRight w:val="0"/>
      <w:marTop w:val="240"/>
      <w:marBottom w:val="120"/>
      <w:divBdr>
        <w:top w:val="none" w:sz="0" w:space="0" w:color="auto"/>
        <w:left w:val="none" w:sz="0" w:space="0" w:color="auto"/>
        <w:bottom w:val="single" w:sz="18" w:space="0" w:color="000000"/>
        <w:right w:val="none" w:sz="0" w:space="0" w:color="auto"/>
      </w:divBdr>
    </w:div>
    <w:div w:id="611286495">
      <w:marLeft w:val="0"/>
      <w:marRight w:val="0"/>
      <w:marTop w:val="120"/>
      <w:marBottom w:val="120"/>
      <w:divBdr>
        <w:top w:val="none" w:sz="0" w:space="0" w:color="auto"/>
        <w:left w:val="none" w:sz="0" w:space="0" w:color="auto"/>
        <w:bottom w:val="single" w:sz="18" w:space="0" w:color="000000"/>
        <w:right w:val="none" w:sz="0" w:space="0" w:color="auto"/>
      </w:divBdr>
    </w:div>
    <w:div w:id="674191739">
      <w:marLeft w:val="0"/>
      <w:marRight w:val="0"/>
      <w:marTop w:val="240"/>
      <w:marBottom w:val="120"/>
      <w:divBdr>
        <w:top w:val="none" w:sz="0" w:space="0" w:color="auto"/>
        <w:left w:val="none" w:sz="0" w:space="0" w:color="auto"/>
        <w:bottom w:val="single" w:sz="18" w:space="0" w:color="000000"/>
        <w:right w:val="none" w:sz="0" w:space="0" w:color="auto"/>
      </w:divBdr>
    </w:div>
    <w:div w:id="674305958">
      <w:marLeft w:val="0"/>
      <w:marRight w:val="0"/>
      <w:marTop w:val="120"/>
      <w:marBottom w:val="120"/>
      <w:divBdr>
        <w:top w:val="none" w:sz="0" w:space="0" w:color="auto"/>
        <w:left w:val="none" w:sz="0" w:space="0" w:color="auto"/>
        <w:bottom w:val="single" w:sz="18" w:space="0" w:color="000000"/>
        <w:right w:val="none" w:sz="0" w:space="0" w:color="auto"/>
      </w:divBdr>
    </w:div>
    <w:div w:id="725759666">
      <w:marLeft w:val="0"/>
      <w:marRight w:val="0"/>
      <w:marTop w:val="120"/>
      <w:marBottom w:val="120"/>
      <w:divBdr>
        <w:top w:val="none" w:sz="0" w:space="0" w:color="auto"/>
        <w:left w:val="none" w:sz="0" w:space="0" w:color="auto"/>
        <w:bottom w:val="none" w:sz="0" w:space="0" w:color="auto"/>
        <w:right w:val="none" w:sz="0" w:space="0" w:color="auto"/>
      </w:divBdr>
    </w:div>
    <w:div w:id="729377366">
      <w:marLeft w:val="0"/>
      <w:marRight w:val="0"/>
      <w:marTop w:val="240"/>
      <w:marBottom w:val="120"/>
      <w:divBdr>
        <w:top w:val="none" w:sz="0" w:space="0" w:color="auto"/>
        <w:left w:val="none" w:sz="0" w:space="0" w:color="auto"/>
        <w:bottom w:val="single" w:sz="18" w:space="0" w:color="000000"/>
        <w:right w:val="none" w:sz="0" w:space="0" w:color="auto"/>
      </w:divBdr>
    </w:div>
    <w:div w:id="736629164">
      <w:marLeft w:val="0"/>
      <w:marRight w:val="0"/>
      <w:marTop w:val="120"/>
      <w:marBottom w:val="120"/>
      <w:divBdr>
        <w:top w:val="none" w:sz="0" w:space="0" w:color="auto"/>
        <w:left w:val="none" w:sz="0" w:space="0" w:color="auto"/>
        <w:bottom w:val="single" w:sz="18" w:space="0" w:color="000000"/>
        <w:right w:val="none" w:sz="0" w:space="0" w:color="auto"/>
      </w:divBdr>
    </w:div>
    <w:div w:id="750397162">
      <w:marLeft w:val="0"/>
      <w:marRight w:val="0"/>
      <w:marTop w:val="120"/>
      <w:marBottom w:val="120"/>
      <w:divBdr>
        <w:top w:val="none" w:sz="0" w:space="0" w:color="auto"/>
        <w:left w:val="none" w:sz="0" w:space="0" w:color="auto"/>
        <w:bottom w:val="none" w:sz="0" w:space="0" w:color="auto"/>
        <w:right w:val="none" w:sz="0" w:space="0" w:color="auto"/>
      </w:divBdr>
    </w:div>
    <w:div w:id="856385039">
      <w:marLeft w:val="0"/>
      <w:marRight w:val="0"/>
      <w:marTop w:val="120"/>
      <w:marBottom w:val="120"/>
      <w:divBdr>
        <w:top w:val="none" w:sz="0" w:space="0" w:color="auto"/>
        <w:left w:val="none" w:sz="0" w:space="0" w:color="auto"/>
        <w:bottom w:val="none" w:sz="0" w:space="0" w:color="auto"/>
        <w:right w:val="none" w:sz="0" w:space="0" w:color="auto"/>
      </w:divBdr>
    </w:div>
    <w:div w:id="858085170">
      <w:marLeft w:val="0"/>
      <w:marRight w:val="0"/>
      <w:marTop w:val="120"/>
      <w:marBottom w:val="120"/>
      <w:divBdr>
        <w:top w:val="none" w:sz="0" w:space="0" w:color="auto"/>
        <w:left w:val="none" w:sz="0" w:space="0" w:color="auto"/>
        <w:bottom w:val="none" w:sz="0" w:space="0" w:color="auto"/>
        <w:right w:val="none" w:sz="0" w:space="0" w:color="auto"/>
      </w:divBdr>
    </w:div>
    <w:div w:id="904729728">
      <w:marLeft w:val="0"/>
      <w:marRight w:val="0"/>
      <w:marTop w:val="120"/>
      <w:marBottom w:val="120"/>
      <w:divBdr>
        <w:top w:val="none" w:sz="0" w:space="0" w:color="auto"/>
        <w:left w:val="none" w:sz="0" w:space="0" w:color="auto"/>
        <w:bottom w:val="none" w:sz="0" w:space="0" w:color="auto"/>
        <w:right w:val="none" w:sz="0" w:space="0" w:color="auto"/>
      </w:divBdr>
    </w:div>
    <w:div w:id="938483757">
      <w:marLeft w:val="0"/>
      <w:marRight w:val="0"/>
      <w:marTop w:val="120"/>
      <w:marBottom w:val="120"/>
      <w:divBdr>
        <w:top w:val="none" w:sz="0" w:space="0" w:color="auto"/>
        <w:left w:val="none" w:sz="0" w:space="0" w:color="auto"/>
        <w:bottom w:val="single" w:sz="18" w:space="0" w:color="000000"/>
        <w:right w:val="none" w:sz="0" w:space="0" w:color="auto"/>
      </w:divBdr>
    </w:div>
    <w:div w:id="939067697">
      <w:marLeft w:val="0"/>
      <w:marRight w:val="0"/>
      <w:marTop w:val="120"/>
      <w:marBottom w:val="120"/>
      <w:divBdr>
        <w:top w:val="none" w:sz="0" w:space="0" w:color="auto"/>
        <w:left w:val="none" w:sz="0" w:space="0" w:color="auto"/>
        <w:bottom w:val="single" w:sz="18" w:space="0" w:color="000000"/>
        <w:right w:val="none" w:sz="0" w:space="0" w:color="auto"/>
      </w:divBdr>
    </w:div>
    <w:div w:id="978415002">
      <w:marLeft w:val="0"/>
      <w:marRight w:val="0"/>
      <w:marTop w:val="240"/>
      <w:marBottom w:val="120"/>
      <w:divBdr>
        <w:top w:val="none" w:sz="0" w:space="0" w:color="auto"/>
        <w:left w:val="none" w:sz="0" w:space="0" w:color="auto"/>
        <w:bottom w:val="single" w:sz="18" w:space="0" w:color="000000"/>
        <w:right w:val="none" w:sz="0" w:space="0" w:color="auto"/>
      </w:divBdr>
    </w:div>
    <w:div w:id="987628992">
      <w:marLeft w:val="0"/>
      <w:marRight w:val="0"/>
      <w:marTop w:val="240"/>
      <w:marBottom w:val="120"/>
      <w:divBdr>
        <w:top w:val="none" w:sz="0" w:space="0" w:color="auto"/>
        <w:left w:val="none" w:sz="0" w:space="0" w:color="auto"/>
        <w:bottom w:val="single" w:sz="18" w:space="0" w:color="000000"/>
        <w:right w:val="none" w:sz="0" w:space="0" w:color="auto"/>
      </w:divBdr>
    </w:div>
    <w:div w:id="1003780543">
      <w:marLeft w:val="0"/>
      <w:marRight w:val="0"/>
      <w:marTop w:val="240"/>
      <w:marBottom w:val="120"/>
      <w:divBdr>
        <w:top w:val="none" w:sz="0" w:space="0" w:color="auto"/>
        <w:left w:val="none" w:sz="0" w:space="0" w:color="auto"/>
        <w:bottom w:val="single" w:sz="18" w:space="0" w:color="000000"/>
        <w:right w:val="none" w:sz="0" w:space="0" w:color="auto"/>
      </w:divBdr>
    </w:div>
    <w:div w:id="1022972443">
      <w:marLeft w:val="0"/>
      <w:marRight w:val="0"/>
      <w:marTop w:val="120"/>
      <w:marBottom w:val="120"/>
      <w:divBdr>
        <w:top w:val="none" w:sz="0" w:space="0" w:color="auto"/>
        <w:left w:val="none" w:sz="0" w:space="0" w:color="auto"/>
        <w:bottom w:val="single" w:sz="18" w:space="0" w:color="000000"/>
        <w:right w:val="none" w:sz="0" w:space="0" w:color="auto"/>
      </w:divBdr>
    </w:div>
    <w:div w:id="1027874252">
      <w:marLeft w:val="0"/>
      <w:marRight w:val="0"/>
      <w:marTop w:val="240"/>
      <w:marBottom w:val="120"/>
      <w:divBdr>
        <w:top w:val="none" w:sz="0" w:space="0" w:color="auto"/>
        <w:left w:val="none" w:sz="0" w:space="0" w:color="auto"/>
        <w:bottom w:val="single" w:sz="18" w:space="0" w:color="000000"/>
        <w:right w:val="none" w:sz="0" w:space="0" w:color="auto"/>
      </w:divBdr>
    </w:div>
    <w:div w:id="1061487185">
      <w:marLeft w:val="0"/>
      <w:marRight w:val="0"/>
      <w:marTop w:val="120"/>
      <w:marBottom w:val="120"/>
      <w:divBdr>
        <w:top w:val="none" w:sz="0" w:space="0" w:color="auto"/>
        <w:left w:val="none" w:sz="0" w:space="0" w:color="auto"/>
        <w:bottom w:val="single" w:sz="18" w:space="0" w:color="000000"/>
        <w:right w:val="none" w:sz="0" w:space="0" w:color="auto"/>
      </w:divBdr>
    </w:div>
    <w:div w:id="1066611562">
      <w:marLeft w:val="0"/>
      <w:marRight w:val="0"/>
      <w:marTop w:val="200"/>
      <w:marBottom w:val="60"/>
      <w:divBdr>
        <w:top w:val="none" w:sz="0" w:space="0" w:color="auto"/>
        <w:left w:val="none" w:sz="0" w:space="0" w:color="auto"/>
        <w:bottom w:val="none" w:sz="0" w:space="0" w:color="auto"/>
        <w:right w:val="none" w:sz="0" w:space="0" w:color="auto"/>
      </w:divBdr>
      <w:divsChild>
        <w:div w:id="876815244">
          <w:marLeft w:val="0"/>
          <w:marRight w:val="0"/>
          <w:marTop w:val="0"/>
          <w:marBottom w:val="0"/>
          <w:divBdr>
            <w:top w:val="single" w:sz="18" w:space="0" w:color="000000"/>
            <w:left w:val="none" w:sz="0" w:space="0" w:color="auto"/>
            <w:bottom w:val="single" w:sz="8" w:space="0" w:color="000000"/>
            <w:right w:val="none" w:sz="0" w:space="0" w:color="auto"/>
          </w:divBdr>
        </w:div>
      </w:divsChild>
    </w:div>
    <w:div w:id="1071394310">
      <w:marLeft w:val="0"/>
      <w:marRight w:val="0"/>
      <w:marTop w:val="120"/>
      <w:marBottom w:val="120"/>
      <w:divBdr>
        <w:top w:val="none" w:sz="0" w:space="0" w:color="auto"/>
        <w:left w:val="none" w:sz="0" w:space="0" w:color="auto"/>
        <w:bottom w:val="single" w:sz="18" w:space="0" w:color="000000"/>
        <w:right w:val="none" w:sz="0" w:space="0" w:color="auto"/>
      </w:divBdr>
    </w:div>
    <w:div w:id="1142579748">
      <w:marLeft w:val="0"/>
      <w:marRight w:val="0"/>
      <w:marTop w:val="0"/>
      <w:marBottom w:val="0"/>
      <w:divBdr>
        <w:top w:val="none" w:sz="0" w:space="0" w:color="auto"/>
        <w:left w:val="none" w:sz="0" w:space="0" w:color="auto"/>
        <w:bottom w:val="none" w:sz="0" w:space="0" w:color="auto"/>
        <w:right w:val="none" w:sz="0" w:space="0" w:color="auto"/>
      </w:divBdr>
    </w:div>
    <w:div w:id="1156918558">
      <w:marLeft w:val="0"/>
      <w:marRight w:val="0"/>
      <w:marTop w:val="120"/>
      <w:marBottom w:val="120"/>
      <w:divBdr>
        <w:top w:val="none" w:sz="0" w:space="0" w:color="auto"/>
        <w:left w:val="none" w:sz="0" w:space="0" w:color="auto"/>
        <w:bottom w:val="none" w:sz="0" w:space="0" w:color="auto"/>
        <w:right w:val="none" w:sz="0" w:space="0" w:color="auto"/>
      </w:divBdr>
    </w:div>
    <w:div w:id="1190290888">
      <w:marLeft w:val="0"/>
      <w:marRight w:val="0"/>
      <w:marTop w:val="120"/>
      <w:marBottom w:val="120"/>
      <w:divBdr>
        <w:top w:val="none" w:sz="0" w:space="0" w:color="auto"/>
        <w:left w:val="none" w:sz="0" w:space="0" w:color="auto"/>
        <w:bottom w:val="none" w:sz="0" w:space="0" w:color="auto"/>
        <w:right w:val="none" w:sz="0" w:space="0" w:color="auto"/>
      </w:divBdr>
    </w:div>
    <w:div w:id="1213736506">
      <w:marLeft w:val="0"/>
      <w:marRight w:val="0"/>
      <w:marTop w:val="240"/>
      <w:marBottom w:val="120"/>
      <w:divBdr>
        <w:top w:val="none" w:sz="0" w:space="0" w:color="auto"/>
        <w:left w:val="none" w:sz="0" w:space="0" w:color="auto"/>
        <w:bottom w:val="single" w:sz="18" w:space="0" w:color="000000"/>
        <w:right w:val="none" w:sz="0" w:space="0" w:color="auto"/>
      </w:divBdr>
    </w:div>
    <w:div w:id="1215968908">
      <w:marLeft w:val="0"/>
      <w:marRight w:val="0"/>
      <w:marTop w:val="240"/>
      <w:marBottom w:val="120"/>
      <w:divBdr>
        <w:top w:val="none" w:sz="0" w:space="0" w:color="auto"/>
        <w:left w:val="none" w:sz="0" w:space="0" w:color="auto"/>
        <w:bottom w:val="single" w:sz="18" w:space="0" w:color="000000"/>
        <w:right w:val="none" w:sz="0" w:space="0" w:color="auto"/>
      </w:divBdr>
    </w:div>
    <w:div w:id="1235385693">
      <w:marLeft w:val="0"/>
      <w:marRight w:val="0"/>
      <w:marTop w:val="120"/>
      <w:marBottom w:val="120"/>
      <w:divBdr>
        <w:top w:val="none" w:sz="0" w:space="0" w:color="auto"/>
        <w:left w:val="none" w:sz="0" w:space="0" w:color="auto"/>
        <w:bottom w:val="none" w:sz="0" w:space="0" w:color="auto"/>
        <w:right w:val="none" w:sz="0" w:space="0" w:color="auto"/>
      </w:divBdr>
    </w:div>
    <w:div w:id="1301959204">
      <w:marLeft w:val="0"/>
      <w:marRight w:val="0"/>
      <w:marTop w:val="240"/>
      <w:marBottom w:val="120"/>
      <w:divBdr>
        <w:top w:val="none" w:sz="0" w:space="0" w:color="auto"/>
        <w:left w:val="none" w:sz="0" w:space="0" w:color="auto"/>
        <w:bottom w:val="single" w:sz="18" w:space="0" w:color="000000"/>
        <w:right w:val="none" w:sz="0" w:space="0" w:color="auto"/>
      </w:divBdr>
    </w:div>
    <w:div w:id="1302809014">
      <w:marLeft w:val="0"/>
      <w:marRight w:val="0"/>
      <w:marTop w:val="120"/>
      <w:marBottom w:val="120"/>
      <w:divBdr>
        <w:top w:val="none" w:sz="0" w:space="0" w:color="auto"/>
        <w:left w:val="none" w:sz="0" w:space="0" w:color="auto"/>
        <w:bottom w:val="none" w:sz="0" w:space="0" w:color="auto"/>
        <w:right w:val="none" w:sz="0" w:space="0" w:color="auto"/>
      </w:divBdr>
    </w:div>
    <w:div w:id="1309237952">
      <w:marLeft w:val="0"/>
      <w:marRight w:val="0"/>
      <w:marTop w:val="120"/>
      <w:marBottom w:val="120"/>
      <w:divBdr>
        <w:top w:val="none" w:sz="0" w:space="0" w:color="auto"/>
        <w:left w:val="none" w:sz="0" w:space="0" w:color="auto"/>
        <w:bottom w:val="single" w:sz="18" w:space="0" w:color="000000"/>
        <w:right w:val="none" w:sz="0" w:space="0" w:color="auto"/>
      </w:divBdr>
    </w:div>
    <w:div w:id="1309942099">
      <w:marLeft w:val="0"/>
      <w:marRight w:val="0"/>
      <w:marTop w:val="240"/>
      <w:marBottom w:val="120"/>
      <w:divBdr>
        <w:top w:val="none" w:sz="0" w:space="0" w:color="auto"/>
        <w:left w:val="none" w:sz="0" w:space="0" w:color="auto"/>
        <w:bottom w:val="single" w:sz="18" w:space="0" w:color="000000"/>
        <w:right w:val="none" w:sz="0" w:space="0" w:color="auto"/>
      </w:divBdr>
    </w:div>
    <w:div w:id="1322386754">
      <w:marLeft w:val="0"/>
      <w:marRight w:val="0"/>
      <w:marTop w:val="120"/>
      <w:marBottom w:val="120"/>
      <w:divBdr>
        <w:top w:val="none" w:sz="0" w:space="0" w:color="auto"/>
        <w:left w:val="none" w:sz="0" w:space="0" w:color="auto"/>
        <w:bottom w:val="none" w:sz="0" w:space="0" w:color="auto"/>
        <w:right w:val="none" w:sz="0" w:space="0" w:color="auto"/>
      </w:divBdr>
    </w:div>
    <w:div w:id="1352604511">
      <w:marLeft w:val="0"/>
      <w:marRight w:val="0"/>
      <w:marTop w:val="120"/>
      <w:marBottom w:val="120"/>
      <w:divBdr>
        <w:top w:val="none" w:sz="0" w:space="0" w:color="auto"/>
        <w:left w:val="none" w:sz="0" w:space="0" w:color="auto"/>
        <w:bottom w:val="none" w:sz="0" w:space="0" w:color="auto"/>
        <w:right w:val="none" w:sz="0" w:space="0" w:color="auto"/>
      </w:divBdr>
    </w:div>
    <w:div w:id="1377437068">
      <w:marLeft w:val="0"/>
      <w:marRight w:val="0"/>
      <w:marTop w:val="120"/>
      <w:marBottom w:val="120"/>
      <w:divBdr>
        <w:top w:val="none" w:sz="0" w:space="0" w:color="auto"/>
        <w:left w:val="none" w:sz="0" w:space="0" w:color="auto"/>
        <w:bottom w:val="single" w:sz="18" w:space="0" w:color="000000"/>
        <w:right w:val="none" w:sz="0" w:space="0" w:color="auto"/>
      </w:divBdr>
    </w:div>
    <w:div w:id="1402823652">
      <w:marLeft w:val="0"/>
      <w:marRight w:val="0"/>
      <w:marTop w:val="240"/>
      <w:marBottom w:val="120"/>
      <w:divBdr>
        <w:top w:val="none" w:sz="0" w:space="0" w:color="auto"/>
        <w:left w:val="none" w:sz="0" w:space="0" w:color="auto"/>
        <w:bottom w:val="single" w:sz="18" w:space="0" w:color="000000"/>
        <w:right w:val="none" w:sz="0" w:space="0" w:color="auto"/>
      </w:divBdr>
    </w:div>
    <w:div w:id="1412124529">
      <w:marLeft w:val="0"/>
      <w:marRight w:val="0"/>
      <w:marTop w:val="240"/>
      <w:marBottom w:val="120"/>
      <w:divBdr>
        <w:top w:val="none" w:sz="0" w:space="0" w:color="auto"/>
        <w:left w:val="none" w:sz="0" w:space="0" w:color="auto"/>
        <w:bottom w:val="single" w:sz="18" w:space="0" w:color="000000"/>
        <w:right w:val="none" w:sz="0" w:space="0" w:color="auto"/>
      </w:divBdr>
    </w:div>
    <w:div w:id="1417357399">
      <w:marLeft w:val="0"/>
      <w:marRight w:val="0"/>
      <w:marTop w:val="240"/>
      <w:marBottom w:val="120"/>
      <w:divBdr>
        <w:top w:val="none" w:sz="0" w:space="0" w:color="auto"/>
        <w:left w:val="none" w:sz="0" w:space="0" w:color="auto"/>
        <w:bottom w:val="single" w:sz="18" w:space="0" w:color="000000"/>
        <w:right w:val="none" w:sz="0" w:space="0" w:color="auto"/>
      </w:divBdr>
    </w:div>
    <w:div w:id="1453816933">
      <w:marLeft w:val="0"/>
      <w:marRight w:val="0"/>
      <w:marTop w:val="120"/>
      <w:marBottom w:val="120"/>
      <w:divBdr>
        <w:top w:val="none" w:sz="0" w:space="0" w:color="auto"/>
        <w:left w:val="none" w:sz="0" w:space="0" w:color="auto"/>
        <w:bottom w:val="single" w:sz="18" w:space="0" w:color="000000"/>
        <w:right w:val="none" w:sz="0" w:space="0" w:color="auto"/>
      </w:divBdr>
    </w:div>
    <w:div w:id="1457720303">
      <w:marLeft w:val="0"/>
      <w:marRight w:val="0"/>
      <w:marTop w:val="120"/>
      <w:marBottom w:val="120"/>
      <w:divBdr>
        <w:top w:val="none" w:sz="0" w:space="0" w:color="auto"/>
        <w:left w:val="none" w:sz="0" w:space="0" w:color="auto"/>
        <w:bottom w:val="single" w:sz="18" w:space="0" w:color="000000"/>
        <w:right w:val="none" w:sz="0" w:space="0" w:color="auto"/>
      </w:divBdr>
    </w:div>
    <w:div w:id="1463622203">
      <w:marLeft w:val="0"/>
      <w:marRight w:val="0"/>
      <w:marTop w:val="240"/>
      <w:marBottom w:val="120"/>
      <w:divBdr>
        <w:top w:val="none" w:sz="0" w:space="0" w:color="auto"/>
        <w:left w:val="none" w:sz="0" w:space="0" w:color="auto"/>
        <w:bottom w:val="single" w:sz="18" w:space="0" w:color="000000"/>
        <w:right w:val="none" w:sz="0" w:space="0" w:color="auto"/>
      </w:divBdr>
    </w:div>
    <w:div w:id="1479803905">
      <w:marLeft w:val="0"/>
      <w:marRight w:val="0"/>
      <w:marTop w:val="120"/>
      <w:marBottom w:val="120"/>
      <w:divBdr>
        <w:top w:val="none" w:sz="0" w:space="0" w:color="auto"/>
        <w:left w:val="none" w:sz="0" w:space="0" w:color="auto"/>
        <w:bottom w:val="none" w:sz="0" w:space="0" w:color="auto"/>
        <w:right w:val="none" w:sz="0" w:space="0" w:color="auto"/>
      </w:divBdr>
    </w:div>
    <w:div w:id="1484396051">
      <w:marLeft w:val="0"/>
      <w:marRight w:val="0"/>
      <w:marTop w:val="240"/>
      <w:marBottom w:val="120"/>
      <w:divBdr>
        <w:top w:val="none" w:sz="0" w:space="0" w:color="auto"/>
        <w:left w:val="none" w:sz="0" w:space="0" w:color="auto"/>
        <w:bottom w:val="single" w:sz="18" w:space="0" w:color="000000"/>
        <w:right w:val="none" w:sz="0" w:space="0" w:color="auto"/>
      </w:divBdr>
    </w:div>
    <w:div w:id="1522039583">
      <w:marLeft w:val="0"/>
      <w:marRight w:val="0"/>
      <w:marTop w:val="120"/>
      <w:marBottom w:val="120"/>
      <w:divBdr>
        <w:top w:val="none" w:sz="0" w:space="0" w:color="auto"/>
        <w:left w:val="none" w:sz="0" w:space="0" w:color="auto"/>
        <w:bottom w:val="none" w:sz="0" w:space="0" w:color="auto"/>
        <w:right w:val="none" w:sz="0" w:space="0" w:color="auto"/>
      </w:divBdr>
    </w:div>
    <w:div w:id="1531256592">
      <w:marLeft w:val="0"/>
      <w:marRight w:val="0"/>
      <w:marTop w:val="240"/>
      <w:marBottom w:val="120"/>
      <w:divBdr>
        <w:top w:val="none" w:sz="0" w:space="0" w:color="auto"/>
        <w:left w:val="none" w:sz="0" w:space="0" w:color="auto"/>
        <w:bottom w:val="single" w:sz="18" w:space="0" w:color="000000"/>
        <w:right w:val="none" w:sz="0" w:space="0" w:color="auto"/>
      </w:divBdr>
    </w:div>
    <w:div w:id="1572498137">
      <w:marLeft w:val="0"/>
      <w:marRight w:val="0"/>
      <w:marTop w:val="120"/>
      <w:marBottom w:val="120"/>
      <w:divBdr>
        <w:top w:val="none" w:sz="0" w:space="0" w:color="auto"/>
        <w:left w:val="none" w:sz="0" w:space="0" w:color="auto"/>
        <w:bottom w:val="single" w:sz="18" w:space="0" w:color="000000"/>
        <w:right w:val="none" w:sz="0" w:space="0" w:color="auto"/>
      </w:divBdr>
    </w:div>
    <w:div w:id="1616714898">
      <w:marLeft w:val="0"/>
      <w:marRight w:val="0"/>
      <w:marTop w:val="240"/>
      <w:marBottom w:val="120"/>
      <w:divBdr>
        <w:top w:val="none" w:sz="0" w:space="0" w:color="auto"/>
        <w:left w:val="none" w:sz="0" w:space="0" w:color="auto"/>
        <w:bottom w:val="single" w:sz="18" w:space="0" w:color="000000"/>
        <w:right w:val="none" w:sz="0" w:space="0" w:color="auto"/>
      </w:divBdr>
    </w:div>
    <w:div w:id="1624312047">
      <w:marLeft w:val="0"/>
      <w:marRight w:val="0"/>
      <w:marTop w:val="120"/>
      <w:marBottom w:val="120"/>
      <w:divBdr>
        <w:top w:val="none" w:sz="0" w:space="0" w:color="auto"/>
        <w:left w:val="none" w:sz="0" w:space="0" w:color="auto"/>
        <w:bottom w:val="none" w:sz="0" w:space="0" w:color="auto"/>
        <w:right w:val="none" w:sz="0" w:space="0" w:color="auto"/>
      </w:divBdr>
    </w:div>
    <w:div w:id="1624728706">
      <w:marLeft w:val="0"/>
      <w:marRight w:val="0"/>
      <w:marTop w:val="120"/>
      <w:marBottom w:val="120"/>
      <w:divBdr>
        <w:top w:val="none" w:sz="0" w:space="0" w:color="auto"/>
        <w:left w:val="none" w:sz="0" w:space="0" w:color="auto"/>
        <w:bottom w:val="single" w:sz="18" w:space="0" w:color="000000"/>
        <w:right w:val="none" w:sz="0" w:space="0" w:color="auto"/>
      </w:divBdr>
    </w:div>
    <w:div w:id="1629972478">
      <w:marLeft w:val="0"/>
      <w:marRight w:val="0"/>
      <w:marTop w:val="60"/>
      <w:marBottom w:val="60"/>
      <w:divBdr>
        <w:top w:val="none" w:sz="0" w:space="0" w:color="auto"/>
        <w:left w:val="none" w:sz="0" w:space="0" w:color="auto"/>
        <w:bottom w:val="none" w:sz="0" w:space="0" w:color="auto"/>
        <w:right w:val="none" w:sz="0" w:space="0" w:color="auto"/>
      </w:divBdr>
      <w:divsChild>
        <w:div w:id="1966083466">
          <w:marLeft w:val="0"/>
          <w:marRight w:val="0"/>
          <w:marTop w:val="0"/>
          <w:marBottom w:val="0"/>
          <w:divBdr>
            <w:top w:val="single" w:sz="18" w:space="0" w:color="000000"/>
            <w:left w:val="none" w:sz="0" w:space="0" w:color="auto"/>
            <w:bottom w:val="none" w:sz="0" w:space="0" w:color="auto"/>
            <w:right w:val="none" w:sz="0" w:space="0" w:color="auto"/>
          </w:divBdr>
        </w:div>
      </w:divsChild>
    </w:div>
    <w:div w:id="1658651439">
      <w:marLeft w:val="0"/>
      <w:marRight w:val="0"/>
      <w:marTop w:val="120"/>
      <w:marBottom w:val="120"/>
      <w:divBdr>
        <w:top w:val="none" w:sz="0" w:space="0" w:color="auto"/>
        <w:left w:val="none" w:sz="0" w:space="0" w:color="auto"/>
        <w:bottom w:val="single" w:sz="18" w:space="0" w:color="000000"/>
        <w:right w:val="none" w:sz="0" w:space="0" w:color="auto"/>
      </w:divBdr>
    </w:div>
    <w:div w:id="1682465643">
      <w:marLeft w:val="0"/>
      <w:marRight w:val="0"/>
      <w:marTop w:val="240"/>
      <w:marBottom w:val="120"/>
      <w:divBdr>
        <w:top w:val="none" w:sz="0" w:space="0" w:color="auto"/>
        <w:left w:val="none" w:sz="0" w:space="0" w:color="auto"/>
        <w:bottom w:val="single" w:sz="18" w:space="0" w:color="000000"/>
        <w:right w:val="none" w:sz="0" w:space="0" w:color="auto"/>
      </w:divBdr>
    </w:div>
    <w:div w:id="1703362374">
      <w:marLeft w:val="0"/>
      <w:marRight w:val="0"/>
      <w:marTop w:val="120"/>
      <w:marBottom w:val="120"/>
      <w:divBdr>
        <w:top w:val="none" w:sz="0" w:space="0" w:color="auto"/>
        <w:left w:val="none" w:sz="0" w:space="0" w:color="auto"/>
        <w:bottom w:val="none" w:sz="0" w:space="0" w:color="auto"/>
        <w:right w:val="none" w:sz="0" w:space="0" w:color="auto"/>
      </w:divBdr>
    </w:div>
    <w:div w:id="1706633677">
      <w:marLeft w:val="0"/>
      <w:marRight w:val="0"/>
      <w:marTop w:val="120"/>
      <w:marBottom w:val="120"/>
      <w:divBdr>
        <w:top w:val="none" w:sz="0" w:space="0" w:color="auto"/>
        <w:left w:val="none" w:sz="0" w:space="0" w:color="auto"/>
        <w:bottom w:val="single" w:sz="18" w:space="0" w:color="000000"/>
        <w:right w:val="none" w:sz="0" w:space="0" w:color="auto"/>
      </w:divBdr>
    </w:div>
    <w:div w:id="1740976916">
      <w:marLeft w:val="0"/>
      <w:marRight w:val="0"/>
      <w:marTop w:val="240"/>
      <w:marBottom w:val="120"/>
      <w:divBdr>
        <w:top w:val="none" w:sz="0" w:space="0" w:color="auto"/>
        <w:left w:val="none" w:sz="0" w:space="0" w:color="auto"/>
        <w:bottom w:val="single" w:sz="18" w:space="0" w:color="000000"/>
        <w:right w:val="none" w:sz="0" w:space="0" w:color="auto"/>
      </w:divBdr>
    </w:div>
    <w:div w:id="1774011322">
      <w:marLeft w:val="0"/>
      <w:marRight w:val="0"/>
      <w:marTop w:val="120"/>
      <w:marBottom w:val="120"/>
      <w:divBdr>
        <w:top w:val="none" w:sz="0" w:space="0" w:color="auto"/>
        <w:left w:val="none" w:sz="0" w:space="0" w:color="auto"/>
        <w:bottom w:val="single" w:sz="18" w:space="0" w:color="000000"/>
        <w:right w:val="none" w:sz="0" w:space="0" w:color="auto"/>
      </w:divBdr>
    </w:div>
    <w:div w:id="1783066252">
      <w:marLeft w:val="0"/>
      <w:marRight w:val="0"/>
      <w:marTop w:val="120"/>
      <w:marBottom w:val="120"/>
      <w:divBdr>
        <w:top w:val="none" w:sz="0" w:space="0" w:color="auto"/>
        <w:left w:val="none" w:sz="0" w:space="0" w:color="auto"/>
        <w:bottom w:val="none" w:sz="0" w:space="0" w:color="auto"/>
        <w:right w:val="none" w:sz="0" w:space="0" w:color="auto"/>
      </w:divBdr>
    </w:div>
    <w:div w:id="1791046948">
      <w:marLeft w:val="0"/>
      <w:marRight w:val="0"/>
      <w:marTop w:val="120"/>
      <w:marBottom w:val="120"/>
      <w:divBdr>
        <w:top w:val="none" w:sz="0" w:space="0" w:color="auto"/>
        <w:left w:val="none" w:sz="0" w:space="0" w:color="auto"/>
        <w:bottom w:val="none" w:sz="0" w:space="0" w:color="auto"/>
        <w:right w:val="none" w:sz="0" w:space="0" w:color="auto"/>
      </w:divBdr>
    </w:div>
    <w:div w:id="1831020354">
      <w:marLeft w:val="0"/>
      <w:marRight w:val="0"/>
      <w:marTop w:val="120"/>
      <w:marBottom w:val="120"/>
      <w:divBdr>
        <w:top w:val="none" w:sz="0" w:space="0" w:color="auto"/>
        <w:left w:val="none" w:sz="0" w:space="0" w:color="auto"/>
        <w:bottom w:val="single" w:sz="18" w:space="0" w:color="000000"/>
        <w:right w:val="none" w:sz="0" w:space="0" w:color="auto"/>
      </w:divBdr>
    </w:div>
    <w:div w:id="1971932104">
      <w:marLeft w:val="0"/>
      <w:marRight w:val="0"/>
      <w:marTop w:val="240"/>
      <w:marBottom w:val="120"/>
      <w:divBdr>
        <w:top w:val="none" w:sz="0" w:space="0" w:color="auto"/>
        <w:left w:val="none" w:sz="0" w:space="0" w:color="auto"/>
        <w:bottom w:val="single" w:sz="18" w:space="0" w:color="000000"/>
        <w:right w:val="none" w:sz="0" w:space="0" w:color="auto"/>
      </w:divBdr>
    </w:div>
    <w:div w:id="1972713082">
      <w:marLeft w:val="0"/>
      <w:marRight w:val="0"/>
      <w:marTop w:val="120"/>
      <w:marBottom w:val="120"/>
      <w:divBdr>
        <w:top w:val="none" w:sz="0" w:space="0" w:color="auto"/>
        <w:left w:val="none" w:sz="0" w:space="0" w:color="auto"/>
        <w:bottom w:val="none" w:sz="0" w:space="0" w:color="auto"/>
        <w:right w:val="none" w:sz="0" w:space="0" w:color="auto"/>
      </w:divBdr>
    </w:div>
    <w:div w:id="1978297642">
      <w:marLeft w:val="0"/>
      <w:marRight w:val="0"/>
      <w:marTop w:val="120"/>
      <w:marBottom w:val="120"/>
      <w:divBdr>
        <w:top w:val="none" w:sz="0" w:space="0" w:color="auto"/>
        <w:left w:val="none" w:sz="0" w:space="0" w:color="auto"/>
        <w:bottom w:val="single" w:sz="18" w:space="0" w:color="000000"/>
        <w:right w:val="none" w:sz="0" w:space="0" w:color="auto"/>
      </w:divBdr>
    </w:div>
    <w:div w:id="2040351214">
      <w:marLeft w:val="0"/>
      <w:marRight w:val="0"/>
      <w:marTop w:val="120"/>
      <w:marBottom w:val="120"/>
      <w:divBdr>
        <w:top w:val="none" w:sz="0" w:space="0" w:color="auto"/>
        <w:left w:val="none" w:sz="0" w:space="0" w:color="auto"/>
        <w:bottom w:val="none" w:sz="0" w:space="0" w:color="auto"/>
        <w:right w:val="none" w:sz="0" w:space="0" w:color="auto"/>
      </w:divBdr>
    </w:div>
    <w:div w:id="2072655358">
      <w:marLeft w:val="0"/>
      <w:marRight w:val="0"/>
      <w:marTop w:val="120"/>
      <w:marBottom w:val="120"/>
      <w:divBdr>
        <w:top w:val="none" w:sz="0" w:space="0" w:color="auto"/>
        <w:left w:val="none" w:sz="0" w:space="0" w:color="auto"/>
        <w:bottom w:val="none" w:sz="0" w:space="0" w:color="auto"/>
        <w:right w:val="none" w:sz="0" w:space="0" w:color="auto"/>
      </w:divBdr>
    </w:div>
    <w:div w:id="2097049804">
      <w:marLeft w:val="0"/>
      <w:marRight w:val="0"/>
      <w:marTop w:val="240"/>
      <w:marBottom w:val="120"/>
      <w:divBdr>
        <w:top w:val="none" w:sz="0" w:space="0" w:color="auto"/>
        <w:left w:val="none" w:sz="0" w:space="0" w:color="auto"/>
        <w:bottom w:val="single" w:sz="18" w:space="0" w:color="000000"/>
        <w:right w:val="none" w:sz="0" w:space="0" w:color="auto"/>
      </w:divBdr>
    </w:div>
    <w:div w:id="2102607846">
      <w:marLeft w:val="0"/>
      <w:marRight w:val="0"/>
      <w:marTop w:val="120"/>
      <w:marBottom w:val="120"/>
      <w:divBdr>
        <w:top w:val="none" w:sz="0" w:space="0" w:color="auto"/>
        <w:left w:val="none" w:sz="0" w:space="0" w:color="auto"/>
        <w:bottom w:val="none" w:sz="0" w:space="0" w:color="auto"/>
        <w:right w:val="none" w:sz="0" w:space="0" w:color="auto"/>
      </w:divBdr>
    </w:div>
    <w:div w:id="2110080253">
      <w:marLeft w:val="0"/>
      <w:marRight w:val="0"/>
      <w:marTop w:val="120"/>
      <w:marBottom w:val="120"/>
      <w:divBdr>
        <w:top w:val="none" w:sz="0" w:space="0" w:color="auto"/>
        <w:left w:val="none" w:sz="0" w:space="0" w:color="auto"/>
        <w:bottom w:val="single" w:sz="18"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393548/000157570521000168/ex3_1.htm" TargetMode="External"/><Relationship Id="rId13" Type="http://schemas.openxmlformats.org/officeDocument/2006/relationships/hyperlink" Target="http://www.sec.gov/Archives/edgar/data/1393548/000157570521000095/ex6_5.htm" TargetMode="External"/><Relationship Id="rId18" Type="http://schemas.openxmlformats.org/officeDocument/2006/relationships/hyperlink" Target="http://www.sec.gov/Archives/edgar/data/1393548/000157570520000032/ex6_9.htm" TargetMode="External"/><Relationship Id="rId26" Type="http://schemas.openxmlformats.org/officeDocument/2006/relationships/hyperlink" Target="ex31_2.htm" TargetMode="External"/><Relationship Id="rId3" Type="http://schemas.openxmlformats.org/officeDocument/2006/relationships/webSettings" Target="webSettings.xml"/><Relationship Id="rId21" Type="http://schemas.openxmlformats.org/officeDocument/2006/relationships/hyperlink" Target="http://www.sec.gov/Archives/edgar/data/1393548/000157570521000168/ex6_20.htm" TargetMode="External"/><Relationship Id="rId7" Type="http://schemas.openxmlformats.org/officeDocument/2006/relationships/hyperlink" Target="http://www.sec.gov/Archives/edgar/data/1393548/000157570520000032/ex2_4.htm" TargetMode="External"/><Relationship Id="rId12" Type="http://schemas.openxmlformats.org/officeDocument/2006/relationships/hyperlink" Target="http://www.sec.gov/Archives/edgar/data/1393548/000157570520000032/ex6_3.htm" TargetMode="External"/><Relationship Id="rId17" Type="http://schemas.openxmlformats.org/officeDocument/2006/relationships/hyperlink" Target="http://www.sec.gov/Archives/edgar/data/1393548/000157570521000095/ex6_12.htm" TargetMode="External"/><Relationship Id="rId25" Type="http://schemas.openxmlformats.org/officeDocument/2006/relationships/hyperlink" Target="ex31_1.htm" TargetMode="External"/><Relationship Id="rId2" Type="http://schemas.openxmlformats.org/officeDocument/2006/relationships/settings" Target="settings.xml"/><Relationship Id="rId16" Type="http://schemas.openxmlformats.org/officeDocument/2006/relationships/hyperlink" Target="http://www.sec.gov/Archives/edgar/data/1393548/000157570520000032/ex6_8.htm" TargetMode="External"/><Relationship Id="rId20" Type="http://schemas.openxmlformats.org/officeDocument/2006/relationships/hyperlink" Target="http://www.sec.gov/Archives/edgar/data/1393548/000157570521000168/ex6_18.htm" TargetMode="External"/><Relationship Id="rId29" Type="http://schemas.openxmlformats.org/officeDocument/2006/relationships/image" Target="file:///E:\projects\LLMs\new_data_collection\data_new\htm\ClickStream%20Corp\image_001.jpg" TargetMode="External"/><Relationship Id="rId1" Type="http://schemas.openxmlformats.org/officeDocument/2006/relationships/styles" Target="styles.xml"/><Relationship Id="rId6" Type="http://schemas.openxmlformats.org/officeDocument/2006/relationships/hyperlink" Target="http://www.sec.gov/Archives/edgar/data/1393548/000157570520000032/ex2_3.htm" TargetMode="External"/><Relationship Id="rId11" Type="http://schemas.openxmlformats.org/officeDocument/2006/relationships/hyperlink" Target="http://www.sec.gov/Archives/edgar/data/1393548/000157570520000032/ex6_2.htm" TargetMode="External"/><Relationship Id="rId24" Type="http://schemas.openxmlformats.org/officeDocument/2006/relationships/hyperlink" Target="ex10_16.htm" TargetMode="External"/><Relationship Id="rId5" Type="http://schemas.openxmlformats.org/officeDocument/2006/relationships/hyperlink" Target="http://www.sec.gov/Archives/edgar/data/1393548/000157570520000032/ex2_2.htm" TargetMode="External"/><Relationship Id="rId15" Type="http://schemas.openxmlformats.org/officeDocument/2006/relationships/hyperlink" Target="http://www.sec.gov/Archives/edgar/data/1393548/000157570521000095/ex6_10.htm" TargetMode="External"/><Relationship Id="rId23" Type="http://schemas.openxmlformats.org/officeDocument/2006/relationships/hyperlink" Target="http://www.sec.gov/Archives/edgar/data/1393548/000157570521000422/ex6_21.htm" TargetMode="External"/><Relationship Id="rId28" Type="http://schemas.openxmlformats.org/officeDocument/2006/relationships/hyperlink" Target="ex32_2.htm" TargetMode="External"/><Relationship Id="rId10" Type="http://schemas.openxmlformats.org/officeDocument/2006/relationships/hyperlink" Target="http://www.sec.gov/Archives/edgar/data/1393548/000157570521000095/ex6_2.htm" TargetMode="External"/><Relationship Id="rId19" Type="http://schemas.openxmlformats.org/officeDocument/2006/relationships/hyperlink" Target="http://www.sec.gov/Archives/edgar/data/1393548/000157570520000032/ex6_10.htm" TargetMode="External"/><Relationship Id="rId31" Type="http://schemas.openxmlformats.org/officeDocument/2006/relationships/theme" Target="theme/theme1.xml"/><Relationship Id="rId4" Type="http://schemas.openxmlformats.org/officeDocument/2006/relationships/hyperlink" Target="http://www.sec.gov/Archives/edgar/data/1393548/000157570520000032/ex2_1.htm" TargetMode="External"/><Relationship Id="rId9" Type="http://schemas.openxmlformats.org/officeDocument/2006/relationships/hyperlink" Target="http://www.sec.gov/Archives/edgar/data/1393548/000157570520000032/ex6_1.htm" TargetMode="External"/><Relationship Id="rId14" Type="http://schemas.openxmlformats.org/officeDocument/2006/relationships/hyperlink" Target="http://www.sec.gov/Archives/edgar/data/1393548/000157570520000032/ex6_7.htm" TargetMode="External"/><Relationship Id="rId22" Type="http://schemas.openxmlformats.org/officeDocument/2006/relationships/hyperlink" Target="http://www.sec.gov/Archives/edgar/data/1393548/000157570521000168/ex6_21.htm" TargetMode="External"/><Relationship Id="rId27" Type="http://schemas.openxmlformats.org/officeDocument/2006/relationships/hyperlink" Target="ex32_1.ht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30003</Words>
  <Characters>171023</Characters>
  <Application>Microsoft Office Word</Application>
  <DocSecurity>0</DocSecurity>
  <Lines>1425</Lines>
  <Paragraphs>401</Paragraphs>
  <ScaleCrop>false</ScaleCrop>
  <Company/>
  <LinksUpToDate>false</LinksUpToDate>
  <CharactersWithSpaces>200625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