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668B1">
      <w:pPr>
        <w:divId w:val="1321233278"/>
        <w:rPr>
          <w:rFonts w:eastAsia="Times New Roman"/>
          <w:vanish/>
        </w:rPr>
      </w:pPr>
      <w:r>
        <w:rPr>
          <w:rFonts w:eastAsia="Times New Roman"/>
          <w:vanish/>
        </w:rPr>
        <w:t>FALSE2022Q3000184295212-31P1YP1Y00018429522022-01-012022-09-3000018429522022-11-04xbrli:shares00018429522022-09-30iso4217:USD00018429522021-12-31iso4217:USDxbrli:shares00018429522022-07-012022-09-3000018429522021-07-012021-09-300001842952</w:t>
      </w:r>
      <w:r>
        <w:rPr>
          <w:rFonts w:eastAsia="Times New Roman"/>
          <w:vanish/>
        </w:rPr>
        <w:t>2021-01-012021-09-300001842952us-gaap:SeriesAPreferredStockMember2020-12-310001842952cntx:SeriesSeedPreferredStockMember2020-12-310001842952cntx:RedeemableCommonStockMember2020-12-310001842952us-gaap:CommonStockMember2020-12-310001842952us-gaap:AdditionalP</w:t>
      </w:r>
      <w:r>
        <w:rPr>
          <w:rFonts w:eastAsia="Times New Roman"/>
          <w:vanish/>
        </w:rPr>
        <w:t>aidInCapitalMember2020-12-310001842952us-gaap:RetainedEarningsMember2020-12-3100018429522020-12-3100018429522021-01-012021-03-310001842952us-gaap:SeriesAPreferredStockMember2021-01-012021-03-310001842952us-gaap:AdditionalPaidInCapitalMember2021-01-012021-0</w:t>
      </w:r>
      <w:r>
        <w:rPr>
          <w:rFonts w:eastAsia="Times New Roman"/>
          <w:vanish/>
        </w:rPr>
        <w:t>3-310001842952cntx:WarrantsIssuedInConjunctionWithSeriesAPreferredStockMemberus-gaap:AdditionalPaidInCapitalMember2021-01-012021-03-310001842952cntx:WarrantsIssuedInConjunctionWithSeriesAPreferredStockMember2021-01-012021-03-310001842952us-gaap:CommonStock</w:t>
      </w:r>
      <w:r>
        <w:rPr>
          <w:rFonts w:eastAsia="Times New Roman"/>
          <w:vanish/>
        </w:rPr>
        <w:t>Member2021-01-012021-03-310001842952us-gaap:RetainedEarningsMember2021-01-012021-03-310001842952us-gaap:SeriesAPreferredStockMember2021-03-310001842952cntx:SeriesSeedPreferredStockMember2021-03-310001842952cntx:RedeemableCommonStockMember2021-03-3100018429</w:t>
      </w:r>
      <w:r>
        <w:rPr>
          <w:rFonts w:eastAsia="Times New Roman"/>
          <w:vanish/>
        </w:rPr>
        <w:t>52us-gaap:CommonStockMember2021-03-310001842952us-gaap:AdditionalPaidInCapitalMember2021-03-310001842952us-gaap:RetainedEarningsMember2021-03-3100018429522021-03-3100018429522021-04-012021-06-300001842952us-gaap:SeriesAPreferredStockMember2021-04-012021-06</w:t>
      </w:r>
      <w:r>
        <w:rPr>
          <w:rFonts w:eastAsia="Times New Roman"/>
          <w:vanish/>
        </w:rPr>
        <w:t>-300001842952cntx:WarrantsIssuedInConjunctionWithSeriesAPreferredStockMemberus-gaap:AdditionalPaidInCapitalMember2021-04-012021-06-300001842952cntx:WarrantsIssuedInConjunctionWithSeriesAPreferredStockMember2021-04-012021-06-300001842952us-gaap:AdditionalPa</w:t>
      </w:r>
      <w:r>
        <w:rPr>
          <w:rFonts w:eastAsia="Times New Roman"/>
          <w:vanish/>
        </w:rPr>
        <w:t>idInCapitalMember2021-04-012021-06-300001842952us-gaap:CommonStockMember2021-04-012021-06-300001842952cntx:RedeemableCommonStockMember2021-04-012021-06-300001842952us-gaap:RetainedEarningsMember2021-04-012021-06-300001842952us-gaap:SeriesAPreferredStockMem</w:t>
      </w:r>
      <w:r>
        <w:rPr>
          <w:rFonts w:eastAsia="Times New Roman"/>
          <w:vanish/>
        </w:rPr>
        <w:t>ber2021-06-300001842952cntx:SeriesSeedPreferredStockMember2021-06-300001842952cntx:RedeemableCommonStockMember2021-06-300001842952us-gaap:CommonStockMember2021-06-300001842952us-gaap:AdditionalPaidInCapitalMember2021-06-300001842952us-gaap:RetainedEarnings</w:t>
      </w:r>
      <w:r>
        <w:rPr>
          <w:rFonts w:eastAsia="Times New Roman"/>
          <w:vanish/>
        </w:rPr>
        <w:t>Member2021-06-3000018429522021-06-300001842952cntx:IssuedForServicesMemberus-gaap:AdditionalPaidInCapitalMember2021-07-012021-09-300001842952cntx:IssuedForServicesMember2021-07-012021-09-300001842952us-gaap:CommonStockMember2021-07-012021-09-300001842952us</w:t>
      </w:r>
      <w:r>
        <w:rPr>
          <w:rFonts w:eastAsia="Times New Roman"/>
          <w:vanish/>
        </w:rPr>
        <w:t>-gaap:AdditionalPaidInCapitalMember2021-07-012021-09-300001842952us-gaap:RetainedEarningsMember2021-07-012021-09-300001842952us-gaap:SeriesAPreferredStockMember2021-09-300001842952cntx:SeriesSeedPreferredStockMember2021-09-300001842952cntx:RedeemableCommon</w:t>
      </w:r>
      <w:r>
        <w:rPr>
          <w:rFonts w:eastAsia="Times New Roman"/>
          <w:vanish/>
        </w:rPr>
        <w:t>StockMember2021-09-300001842952us-gaap:CommonStockMember2021-09-300001842952us-gaap:AdditionalPaidInCapitalMember2021-09-300001842952us-gaap:RetainedEarningsMember2021-09-3000018429522021-09-300001842952us-gaap:CommonStockMember2021-12-310001842952us-gaap:</w:t>
      </w:r>
      <w:r>
        <w:rPr>
          <w:rFonts w:eastAsia="Times New Roman"/>
          <w:vanish/>
        </w:rPr>
        <w:t>AdditionalPaidInCapitalMember2021-12-310001842952us-gaap:RetainedEarningsMember2021-12-310001842952cntx:IssuedForServicesMemberus-gaap:AdditionalPaidInCapitalMember2022-01-012022-03-310001842952cntx:IssuedForServicesMember2022-01-012022-03-310001842952us-g</w:t>
      </w:r>
      <w:r>
        <w:rPr>
          <w:rFonts w:eastAsia="Times New Roman"/>
          <w:vanish/>
        </w:rPr>
        <w:t>aap:AdditionalPaidInCapitalMember2022-01-012022-03-3100018429522022-01-012022-03-310001842952us-gaap:RetainedEarningsMember2022-01-012022-03-310001842952us-gaap:CommonStockMember2022-03-310001842952us-gaap:AdditionalPaidInCapitalMember2022-03-310001842952u</w:t>
      </w:r>
      <w:r>
        <w:rPr>
          <w:rFonts w:eastAsia="Times New Roman"/>
          <w:vanish/>
        </w:rPr>
        <w:t>s-gaap:RetainedEarningsMember2022-03-3100018429522022-03-310001842952us-gaap:AdditionalPaidInCapitalMember2022-04-012022-06-3000018429522022-04-012022-06-300001842952us-gaap:RetainedEarningsMember2022-04-012022-06-300001842952us-gaap:CommonStockMember2022-</w:t>
      </w:r>
      <w:r>
        <w:rPr>
          <w:rFonts w:eastAsia="Times New Roman"/>
          <w:vanish/>
        </w:rPr>
        <w:t>06-300001842952us-gaap:AdditionalPaidInCapitalMember2022-06-300001842952us-gaap:RetainedEarningsMember2022-06-3000018429522022-06-300001842952us-gaap:AdditionalPaidInCapitalMember2022-07-012022-09-300001842952us-gaap:RetainedEarningsMember2022-07-012022-09</w:t>
      </w:r>
      <w:r>
        <w:rPr>
          <w:rFonts w:eastAsia="Times New Roman"/>
          <w:vanish/>
        </w:rPr>
        <w:t>-300001842952us-gaap:CommonStockMember2022-09-300001842952us-gaap:AdditionalPaidInCapitalMember2022-09-300001842952us-gaap:RetainedEarningsMember2022-09-300001842952us-gaap:PrivatePlacementMember2022-01-012022-09-300001842952us-gaap:PrivatePlacementMember2</w:t>
      </w:r>
      <w:r>
        <w:rPr>
          <w:rFonts w:eastAsia="Times New Roman"/>
          <w:vanish/>
        </w:rPr>
        <w:t>021-01-012021-09-300001842952us-gaap:IPOMember2022-01-012022-09-300001842952us-gaap:IPOMember2021-01-012021-09-300001842952cntx:WarrantsIssuedInConjunctionWithSeriesAPreferredStockMember2022-01-012022-09-300001842952cntx:WarrantsIssuedInConjunctionWithSeri</w:t>
      </w:r>
      <w:r>
        <w:rPr>
          <w:rFonts w:eastAsia="Times New Roman"/>
          <w:vanish/>
        </w:rPr>
        <w:t>esAPreferredStockMember2021-01-012021-09-300001842952cntx:IssuedForServicesMember2022-01-012022-09-300001842952cntx:IssuedForServicesMember2021-01-012021-09-300001842952cntx:ContextTherapeuticsLLCMember2021-04-30xbrli:pure0001842952us-gaap:SeriesAPreferred</w:t>
      </w:r>
      <w:r>
        <w:rPr>
          <w:rFonts w:eastAsia="Times New Roman"/>
          <w:vanish/>
        </w:rPr>
        <w:t>StockMember2021-01-012021-09-300001842952us-gaap:IPOMember2021-10-012021-10-310001842952us-gaap:IPOMember2021-10-310001842952cntx:PlacementAgentsWarrantsMember2021-10-3100018429522021-10-012021-10-3100018429522021-10-310001842952us-gaap:PrivatePlacementMem</w:t>
      </w:r>
      <w:r>
        <w:rPr>
          <w:rFonts w:eastAsia="Times New Roman"/>
          <w:vanish/>
        </w:rPr>
        <w:t>ber2021-12-012021-12-310001842952cntx:December2021PrivatePlacementWarrantsMember2021-12-310001842952us-gaap:PrivatePlacementMember2021-12-310001842952cntx:December2021PrivatePlacementAgentWarrantsMember2021-12-310001842952cntx:SeriesSeedPreferredStockMembe</w:t>
      </w:r>
      <w:r>
        <w:rPr>
          <w:rFonts w:eastAsia="Times New Roman"/>
          <w:vanish/>
        </w:rPr>
        <w:t>r2022-01-012022-09-300001842952cntx:SeriesSeedPreferredStockMember2021-01-012021-09-300001842952us-gaap:SeriesAPreferredStockMember2022-01-012022-09-300001842952us-gaap:SeriesAPreferredStockMember2021-01-012021-09-300001842952us-gaap:EmployeeStockOptionMem</w:t>
      </w:r>
      <w:r>
        <w:rPr>
          <w:rFonts w:eastAsia="Times New Roman"/>
          <w:vanish/>
        </w:rPr>
        <w:t>ber2022-01-012022-09-300001842952us-gaap:EmployeeStockOptionMember2021-01-012021-09-300001842952us-gaap:RestrictedStockUnitsRSUMember2022-01-012022-09-300001842952us-gaap:RestrictedStockUnitsRSUMember2021-01-012021-09-300001842952us-gaap:WarrantMember2022-</w:t>
      </w:r>
      <w:r>
        <w:rPr>
          <w:rFonts w:eastAsia="Times New Roman"/>
          <w:vanish/>
        </w:rPr>
        <w:t>01-012022-09-300001842952us-gaap:WarrantMember2021-01-012021-09-300001842952us-gaap:FairValueMeasurementsRecurringMemberus-gaap:MoneyMarketFundsMember2022-09-300001842952us-gaap:FairValueMeasurementsRecurringMemberus-gaap:MoneyMarketFundsMemberus-gaap:Fair</w:t>
      </w:r>
      <w:r>
        <w:rPr>
          <w:rFonts w:eastAsia="Times New Roman"/>
          <w:vanish/>
        </w:rPr>
        <w:t>ValueInputsLevel1Member2022-09-300001842952us-gaap:FairValueInputsLevel2Memberus-gaap:FairValueMeasurementsRecurringMemberus-gaap:MoneyMarketFundsMember2022-09-300001842952us-gaap:FairValueMeasurementsRecurringMemberus-gaap:FairValueInputsLevel3Memberus-ga</w:t>
      </w:r>
      <w:r>
        <w:rPr>
          <w:rFonts w:eastAsia="Times New Roman"/>
          <w:vanish/>
        </w:rPr>
        <w:t>ap:MoneyMarketFundsMember2022-09-300001842952us-gaap:FairValueMeasurementsRecurringMemberus-gaap:MoneyMarketFundsMember2021-12-310001842952us-gaap:FairValueMeasurementsRecurringMemberus-gaap:MoneyMarketFundsMemberus-gaap:FairValueInputsLevel1Member2021-12-</w:t>
      </w:r>
      <w:r>
        <w:rPr>
          <w:rFonts w:eastAsia="Times New Roman"/>
          <w:vanish/>
        </w:rPr>
        <w:t>310001842952us-gaap:FairValueInputsLevel2Memberus-gaap:FairValueMeasurementsRecurringMemberus-gaap:MoneyMarketFundsMember2021-12-310001842952us-gaap:FairValueMeasurementsRecurringMemberus-gaap:FairValueInputsLevel3Memberus-gaap:MoneyMarketFundsMember2021-1</w:t>
      </w:r>
      <w:r>
        <w:rPr>
          <w:rFonts w:eastAsia="Times New Roman"/>
          <w:vanish/>
        </w:rPr>
        <w:t>2-310001842952us-gaap:SeriesAPreferredStockMembercntx:SeniorConvertibleNotesApril2020Memberus-gaap:ConvertibleNotesPayableMember2021-02-012021-02-280001842952srt:AffiliatedEntityMemberus-gaap:SeriesAPreferredStockMembercntx:SeniorConvertibleNotesApril2020M</w:t>
      </w:r>
      <w:r>
        <w:rPr>
          <w:rFonts w:eastAsia="Times New Roman"/>
          <w:vanish/>
        </w:rPr>
        <w:t>emberus-gaap:ConvertibleNotesPayableMember2021-02-012021-02-280001842952cntx:SeniorConvertibleNotesApril2020Memberus-gaap:ConvertibleNotesPayableMember2021-02-280001842952cntx:SeniorConvertibleNotesApril2020Memberus-gaap:ConvertibleNotesPayableMember2021-0</w:t>
      </w:r>
      <w:r>
        <w:rPr>
          <w:rFonts w:eastAsia="Times New Roman"/>
          <w:vanish/>
        </w:rPr>
        <w:t>1-012021-09-300001842952cntx:SeniorConvertibleNotesApril2020Memberus-gaap:ConvertibleNotesPayableMember2021-07-012021-09-300001842952srt:AffiliatedEntityMembercntx:SeniorConvertibleNotesApril2020Memberus-gaap:ConvertibleNotesPayableMember2021-07-012021-09-</w:t>
      </w:r>
      <w:r>
        <w:rPr>
          <w:rFonts w:eastAsia="Times New Roman"/>
          <w:vanish/>
        </w:rPr>
        <w:t>300001842952srt:AffiliatedEntityMembercntx:SeniorConvertibleNotesApril2020Memberus-gaap:ConvertibleNotesPayableMember2021-01-012021-09-300001842952cntx:PaymentProtectionProgramLoanMember2020-05-310001842952cntx:PaymentProtectionProgramLoanMember2020-05-012</w:t>
      </w:r>
      <w:r>
        <w:rPr>
          <w:rFonts w:eastAsia="Times New Roman"/>
          <w:vanish/>
        </w:rPr>
        <w:t>020-05-310001842952cntx:PaymentProtectionProgramLoanMember2021-07-310001842952us-gaap:SeriesAPreferredStockMember2021-02-012021-04-300001842952us-gaap:SeriesAPreferredStockMember2021-04-300001842952cntx:IssuedToSeriesAStockholdersMember2021-04-300001842952</w:t>
      </w:r>
      <w:r>
        <w:rPr>
          <w:rFonts w:eastAsia="Times New Roman"/>
          <w:vanish/>
        </w:rPr>
        <w:t>cntx:IssuedToPlacementAgentsMember2021-04-300001842952cntx:SeniorConvertibleNotesApril2020Memberus-gaap:ConvertibleNotesPayableMember2021-02-012021-02-280001842952us-gaap:SeriesAPreferredStockMembercntx:SeniorConvertibleNotesApril2020Memberus-gaap:Converti</w:t>
      </w:r>
      <w:r>
        <w:rPr>
          <w:rFonts w:eastAsia="Times New Roman"/>
          <w:vanish/>
        </w:rPr>
        <w:t>bleNotesPayableMember2021-02-2800018429522021-02-012021-02-280001842952us-gaap:CommonStockMember2021-09-302021-09-300001842952cntx:IssuedInConnectionWithIPOMemberus-gaap:CommonStockMember2021-09-302021-09-300001842952cntx:IssuedToPlacementAgentsMember2021-</w:t>
      </w:r>
      <w:r>
        <w:rPr>
          <w:rFonts w:eastAsia="Times New Roman"/>
          <w:vanish/>
        </w:rPr>
        <w:t>10-310001842952cntx:IssuedForProfessionalConsultingServicesMember2022-03-310001842952cntx:IssuedForProfessionalConsultingServicesMember2021-01-012021-12-310001842952cntx:IssuedToPlacementAgentsMember2022-09-300001842952cntx:December2021PrivatePlacementAgen</w:t>
      </w:r>
      <w:r>
        <w:rPr>
          <w:rFonts w:eastAsia="Times New Roman"/>
          <w:vanish/>
        </w:rPr>
        <w:t>tWarrantsMember2022-09-300001842952cntx:IssuedForProfessionalConsultingServicesMember2022-09-300001842952us-gaap:CommonClassAMember2021-04-3000018429522021-04-012021-04-300001842952us-gaap:CommonClassAMember2022-09-300001842952srt:MinimumMember2021-04-0120</w:t>
      </w:r>
      <w:r>
        <w:rPr>
          <w:rFonts w:eastAsia="Times New Roman"/>
          <w:vanish/>
        </w:rPr>
        <w:t>21-04-300001842952srt:MaximumMember2021-04-012021-04-300001842952us-gaap:ResearchAndDevelopmentExpenseMember2022-07-012022-09-300001842952us-gaap:ResearchAndDevelopmentExpenseMember2021-07-012021-09-300001842952us-gaap:ResearchAndDevelopmentExpenseMember20</w:t>
      </w:r>
      <w:r>
        <w:rPr>
          <w:rFonts w:eastAsia="Times New Roman"/>
          <w:vanish/>
        </w:rPr>
        <w:t>22-01-012022-09-300001842952us-gaap:ResearchAndDevelopmentExpenseMember2021-01-012021-09-300001842952us-gaap:GeneralAndAdministrativeExpenseMember2022-07-012022-09-300001842952us-gaap:GeneralAndAdministrativeExpenseMember2021-07-012021-09-300001842952us-ga</w:t>
      </w:r>
      <w:r>
        <w:rPr>
          <w:rFonts w:eastAsia="Times New Roman"/>
          <w:vanish/>
        </w:rPr>
        <w:t>ap:GeneralAndAdministrativeExpenseMember2022-01-012022-09-300001842952us-gaap:GeneralAndAdministrativeExpenseMember2021-01-012021-09-300001842952us-gaap:EmployeeStockOptionMember2022-01-012022-09-300001842952us-gaap:EmployeeStockOptionMember2021-01-012021-</w:t>
      </w:r>
      <w:r>
        <w:rPr>
          <w:rFonts w:eastAsia="Times New Roman"/>
          <w:vanish/>
        </w:rPr>
        <w:t>09-3000018429522021-01-012021-12-310001842952us-gaap:EmployeeStockOptionMember2022-01-012022-09-300001842952srt:MinimumMemberus-gaap:RestrictedStockUnitsRSUMember2021-04-012021-04-300001842952us-gaap:RestrictedStockUnitsRSUMembersrt:MaximumMember2021-04-01</w:t>
      </w:r>
      <w:r>
        <w:rPr>
          <w:rFonts w:eastAsia="Times New Roman"/>
          <w:vanish/>
        </w:rPr>
        <w:t>2021-04-300001842952us-gaap:ResearchAndDevelopmentExpenseMemberus-gaap:RestrictedStockUnitsRSUMember2021-07-012021-09-300001842952us-gaap:ResearchAndDevelopmentExpenseMemberus-gaap:RestrictedStockUnitsRSUMember2021-01-012021-09-300001842952us-gaap:Restrict</w:t>
      </w:r>
      <w:r>
        <w:rPr>
          <w:rFonts w:eastAsia="Times New Roman"/>
          <w:vanish/>
        </w:rPr>
        <w:t>edStockUnitsRSUMember2022-09-300001842952us-gaap:RestrictedStockUnitsRSUMember2021-12-310001842952us-gaap:CollaborativeArrangementTransactionWithPartyToCollaborativeArrangementMembercntx:TyligandBioscienceShanghaiLimitedMember2020-03-310001842952us-gaap:Co</w:t>
      </w:r>
      <w:r>
        <w:rPr>
          <w:rFonts w:eastAsia="Times New Roman"/>
          <w:vanish/>
        </w:rPr>
        <w:t>llaborativeArrangementTransactionWithPartyToCollaborativeArrangementMembercntx:TyligandBioscienceShanghaiLimitedMember2021-08-310001842952cntx:ScaleUp100KilogramsOfGMPGradeCompoundMemberus-gaap:CollaborativeArrangementTransactionWithPartyToCollaborativeArr</w:t>
      </w:r>
      <w:r>
        <w:rPr>
          <w:rFonts w:eastAsia="Times New Roman"/>
          <w:vanish/>
        </w:rPr>
        <w:t>angementMembercntx:TyligandBioscienceShanghaiLimitedMember2020-03-310001842952us-gaap:CollaborativeArrangementTransactionWithPartyToCollaborativeArrangementMembercntx:ScaleUp300KilogramsOfGMPGradeCompoundMembercntx:TyligandBioscienceShanghaiLimitedMember20</w:t>
      </w:r>
      <w:r>
        <w:rPr>
          <w:rFonts w:eastAsia="Times New Roman"/>
          <w:vanish/>
        </w:rPr>
        <w:t>20-03-310001842952us-gaap:CollaborativeArrangementTransactionWithPartyToCollaborativeArrangementMembercntx:TyligandBioscienceShanghaiLimitedMember2020-03-012020-03-310001842952us-gaap:CollaborativeArrangementTransactionWithPartyToCollaborativeArrangementMe</w:t>
      </w:r>
      <w:r>
        <w:rPr>
          <w:rFonts w:eastAsia="Times New Roman"/>
          <w:vanish/>
        </w:rPr>
        <w:t>mbercntx:IntegralMolecularIncMember2021-04-300001842952us-gaap:SeriesAPreferredStockMemberus-gaap:CollaborativeArrangementTransactionWithPartyToCollaborativeArrangementMembercntx:IntegralMolecularIncMember2021-04-012021-04-300001842952us-gaap:Collaborative</w:t>
      </w:r>
      <w:r>
        <w:rPr>
          <w:rFonts w:eastAsia="Times New Roman"/>
          <w:vanish/>
        </w:rPr>
        <w:t>ArrangementTransactionWithPartyToCollaborativeArrangementMembercntx:IntegralMolecularIncMember2022-09-300001842952us-gaap:CollaborativeArrangementTransactionWithPartyToCollaborativeArrangementMembercntx:IntegralMolecularIncMember2022-07-012022-09-30</w:t>
      </w:r>
    </w:p>
    <w:p w:rsidR="00000000" w:rsidRDefault="00C668B1">
      <w:pPr>
        <w:divId w:val="19216770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75509477"/>
        </w:trPr>
        <w:tc>
          <w:tcPr>
            <w:tcW w:w="50" w:type="pct"/>
            <w:vAlign w:val="center"/>
            <w:hideMark/>
          </w:tcPr>
          <w:p w:rsidR="00000000" w:rsidRDefault="00C668B1">
            <w:pPr>
              <w:rPr>
                <w:rFonts w:eastAsia="Times New Roman"/>
              </w:rPr>
            </w:pPr>
          </w:p>
        </w:tc>
        <w:tc>
          <w:tcPr>
            <w:tcW w:w="494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875509477"/>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C668B1">
            <w:pPr>
              <w:spacing w:after="100"/>
              <w:rPr>
                <w:rFonts w:eastAsia="Times New Roman"/>
                <w:sz w:val="20"/>
                <w:szCs w:val="20"/>
              </w:rPr>
            </w:pPr>
          </w:p>
        </w:tc>
      </w:tr>
    </w:tbl>
    <w:p w:rsidR="00000000" w:rsidRDefault="00C668B1">
      <w:pPr>
        <w:ind w:firstLine="180"/>
        <w:jc w:val="center"/>
        <w:rPr>
          <w:rFonts w:eastAsia="Times New Roman"/>
        </w:rPr>
      </w:pPr>
      <w:r>
        <w:rPr>
          <w:rFonts w:eastAsia="Times New Roman"/>
          <w:b/>
          <w:bCs/>
          <w:color w:val="000000"/>
          <w:sz w:val="32"/>
          <w:szCs w:val="32"/>
        </w:rPr>
        <w:t>UNITED STATES</w:t>
      </w:r>
    </w:p>
    <w:p w:rsidR="00000000" w:rsidRDefault="00C668B1">
      <w:pPr>
        <w:ind w:firstLine="180"/>
        <w:jc w:val="center"/>
        <w:rPr>
          <w:rFonts w:eastAsia="Times New Roman"/>
        </w:rPr>
      </w:pPr>
      <w:r>
        <w:rPr>
          <w:rFonts w:eastAsia="Times New Roman"/>
          <w:b/>
          <w:bCs/>
          <w:color w:val="000000"/>
          <w:sz w:val="32"/>
          <w:szCs w:val="32"/>
        </w:rPr>
        <w:t>SECURITIES AND EXCHANGE COMMISSION</w:t>
      </w:r>
    </w:p>
    <w:p w:rsidR="00000000" w:rsidRDefault="00C668B1">
      <w:pPr>
        <w:ind w:firstLine="180"/>
        <w:jc w:val="center"/>
        <w:rPr>
          <w:rFonts w:eastAsia="Times New Roman"/>
        </w:rPr>
      </w:pPr>
      <w:r>
        <w:rPr>
          <w:rFonts w:eastAsia="Times New Roman"/>
          <w:b/>
          <w:bCs/>
          <w:color w:val="000000"/>
          <w:sz w:val="22"/>
          <w:szCs w:val="22"/>
        </w:rPr>
        <w:t>Washington, D.C.  20549</w:t>
      </w:r>
    </w:p>
    <w:p w:rsidR="00000000" w:rsidRDefault="00C668B1">
      <w:pPr>
        <w:ind w:firstLine="900"/>
        <w:jc w:val="center"/>
        <w:rPr>
          <w:rFonts w:eastAsia="Times New Roman"/>
        </w:rPr>
      </w:pPr>
      <w:r>
        <w:rPr>
          <w:rFonts w:eastAsia="Times New Roman"/>
          <w:color w:val="000000"/>
          <w:sz w:val="12"/>
          <w:szCs w:val="12"/>
        </w:rPr>
        <w:t>___________________________________</w:t>
      </w:r>
    </w:p>
    <w:p w:rsidR="00000000" w:rsidRDefault="00C668B1">
      <w:pPr>
        <w:ind w:firstLine="180"/>
        <w:jc w:val="center"/>
        <w:rPr>
          <w:rFonts w:eastAsia="Times New Roman"/>
        </w:rPr>
      </w:pPr>
      <w:r>
        <w:rPr>
          <w:rFonts w:eastAsia="Times New Roman"/>
          <w:b/>
          <w:bCs/>
          <w:color w:val="000000"/>
          <w:sz w:val="32"/>
          <w:szCs w:val="32"/>
        </w:rPr>
        <w:t>FORM 10-Q</w:t>
      </w:r>
    </w:p>
    <w:p w:rsidR="00000000" w:rsidRDefault="00C668B1">
      <w:pPr>
        <w:ind w:firstLine="900"/>
        <w:jc w:val="center"/>
        <w:rPr>
          <w:rFonts w:eastAsia="Times New Roman"/>
        </w:rPr>
      </w:pPr>
      <w:r>
        <w:rPr>
          <w:rFonts w:eastAsia="Times New Roman"/>
          <w:color w:val="000000"/>
          <w:sz w:val="12"/>
          <w:szCs w:val="12"/>
        </w:rPr>
        <w:t>___________________________________</w:t>
      </w:r>
    </w:p>
    <w:p w:rsidR="00000000" w:rsidRDefault="00C668B1">
      <w:pPr>
        <w:divId w:val="348945143"/>
        <w:rPr>
          <w:rFonts w:eastAsia="Times New Roman"/>
        </w:rPr>
      </w:pPr>
      <w:r>
        <w:rPr>
          <w:rFonts w:eastAsia="Times New Roman"/>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trPr>
          <w:divId w:val="110175704"/>
        </w:trPr>
        <w:tc>
          <w:tcPr>
            <w:tcW w:w="50" w:type="pct"/>
            <w:vAlign w:val="center"/>
            <w:hideMark/>
          </w:tcPr>
          <w:p w:rsidR="00000000" w:rsidRDefault="00C668B1">
            <w:pPr>
              <w:rPr>
                <w:rFonts w:eastAsia="Times New Roman"/>
              </w:rPr>
            </w:pPr>
          </w:p>
        </w:tc>
        <w:tc>
          <w:tcPr>
            <w:tcW w:w="13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1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448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10175704"/>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668B1">
            <w:pPr>
              <w:spacing w:after="100"/>
              <w:rPr>
                <w:rFonts w:eastAsia="Times New Roman"/>
              </w:rPr>
            </w:pPr>
            <w:r>
              <w:rPr>
                <w:rFonts w:ascii="Wingdings" w:eastAsia="Times New Roman" w:hAnsi="Wingdings"/>
                <w:color w:val="000000"/>
                <w:sz w:val="20"/>
                <w:szCs w:val="20"/>
              </w:rPr>
              <w:t>ý</w:t>
            </w:r>
          </w:p>
        </w:tc>
        <w:tc>
          <w:tcPr>
            <w:tcW w:w="0" w:type="auto"/>
            <w:gridSpan w:val="3"/>
            <w:tcMar>
              <w:top w:w="30" w:type="dxa"/>
              <w:left w:w="20" w:type="dxa"/>
              <w:bottom w:w="30" w:type="dxa"/>
              <w:right w:w="20" w:type="dxa"/>
            </w:tcMar>
            <w:hideMark/>
          </w:tcPr>
          <w:p w:rsidR="00000000" w:rsidRDefault="00C668B1">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C668B1">
      <w:pPr>
        <w:ind w:firstLine="180"/>
        <w:jc w:val="center"/>
        <w:rPr>
          <w:rFonts w:eastAsia="Times New Roman"/>
        </w:rPr>
      </w:pPr>
      <w:r>
        <w:rPr>
          <w:rFonts w:eastAsia="Times New Roman"/>
          <w:b/>
          <w:bCs/>
          <w:color w:val="000000"/>
          <w:sz w:val="18"/>
          <w:szCs w:val="18"/>
        </w:rPr>
        <w:t xml:space="preserve">For the quarterly period ended September 30, 2022 </w:t>
      </w:r>
    </w:p>
    <w:p w:rsidR="00000000" w:rsidRDefault="00C668B1">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04"/>
        <w:gridCol w:w="36"/>
        <w:gridCol w:w="69"/>
        <w:gridCol w:w="346"/>
        <w:gridCol w:w="36"/>
        <w:gridCol w:w="69"/>
        <w:gridCol w:w="7441"/>
        <w:gridCol w:w="36"/>
      </w:tblGrid>
      <w:tr w:rsidR="00000000">
        <w:trPr>
          <w:divId w:val="2102139774"/>
          <w:jc w:val="center"/>
        </w:trPr>
        <w:tc>
          <w:tcPr>
            <w:tcW w:w="50" w:type="pct"/>
            <w:vAlign w:val="center"/>
            <w:hideMark/>
          </w:tcPr>
          <w:p w:rsidR="00000000" w:rsidRDefault="00C668B1">
            <w:pPr>
              <w:jc w:val="center"/>
              <w:rPr>
                <w:rFonts w:eastAsia="Times New Roman"/>
              </w:rPr>
            </w:pPr>
          </w:p>
        </w:tc>
        <w:tc>
          <w:tcPr>
            <w:tcW w:w="13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1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448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2102139774"/>
          <w:jc w:val="center"/>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C668B1">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rsidR="00000000" w:rsidRDefault="00C668B1">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C668B1">
      <w:pPr>
        <w:jc w:val="center"/>
        <w:divId w:val="2102139774"/>
        <w:rPr>
          <w:rFonts w:eastAsia="Times New Roman"/>
        </w:rPr>
      </w:pPr>
      <w:r>
        <w:rPr>
          <w:rFonts w:eastAsia="Times New Roman"/>
          <w:b/>
          <w:bCs/>
          <w:color w:val="000000"/>
          <w:sz w:val="20"/>
          <w:szCs w:val="20"/>
        </w:rPr>
        <w:t> </w:t>
      </w:r>
      <w:r>
        <w:rPr>
          <w:rFonts w:eastAsia="Times New Roman"/>
          <w:color w:val="000000"/>
          <w:sz w:val="18"/>
          <w:szCs w:val="18"/>
        </w:rPr>
        <w:t>For the transition period from ___________ to ______________.</w:t>
      </w:r>
    </w:p>
    <w:p w:rsidR="00000000" w:rsidRDefault="00C668B1">
      <w:pPr>
        <w:ind w:firstLine="900"/>
        <w:jc w:val="center"/>
        <w:rPr>
          <w:rFonts w:eastAsia="Times New Roman"/>
        </w:rPr>
      </w:pPr>
      <w:r>
        <w:rPr>
          <w:rFonts w:eastAsia="Times New Roman"/>
          <w:color w:val="000000"/>
          <w:sz w:val="18"/>
          <w:szCs w:val="18"/>
        </w:rPr>
        <w:t> </w:t>
      </w:r>
    </w:p>
    <w:p w:rsidR="00000000" w:rsidRDefault="00C668B1">
      <w:pPr>
        <w:ind w:firstLine="180"/>
        <w:jc w:val="center"/>
        <w:rPr>
          <w:rFonts w:eastAsia="Times New Roman"/>
        </w:rPr>
      </w:pPr>
      <w:r>
        <w:rPr>
          <w:rFonts w:eastAsia="Times New Roman"/>
          <w:b/>
          <w:bCs/>
          <w:color w:val="000000"/>
          <w:sz w:val="18"/>
          <w:szCs w:val="18"/>
        </w:rPr>
        <w:t>Commission file number: 001-40654</w:t>
      </w:r>
    </w:p>
    <w:p w:rsidR="00000000" w:rsidRDefault="00C668B1">
      <w:pPr>
        <w:ind w:firstLine="180"/>
        <w:jc w:val="center"/>
        <w:rPr>
          <w:rFonts w:eastAsia="Times New Roman"/>
        </w:rPr>
      </w:pPr>
    </w:p>
    <w:p w:rsidR="00000000" w:rsidRDefault="00C668B1">
      <w:pPr>
        <w:ind w:firstLine="180"/>
        <w:jc w:val="center"/>
        <w:rPr>
          <w:rFonts w:eastAsia="Times New Roman"/>
        </w:rPr>
      </w:pPr>
      <w:r>
        <w:rPr>
          <w:rFonts w:eastAsia="Times New Roman"/>
          <w:b/>
          <w:bCs/>
          <w:color w:val="000000"/>
          <w:sz w:val="44"/>
          <w:szCs w:val="44"/>
        </w:rPr>
        <w:t xml:space="preserve">CONTEXT THERAPEUTICS INC. </w:t>
      </w:r>
    </w:p>
    <w:p w:rsidR="00000000" w:rsidRDefault="00C668B1">
      <w:pPr>
        <w:ind w:firstLine="180"/>
        <w:jc w:val="center"/>
        <w:rPr>
          <w:rFonts w:eastAsia="Times New Roman"/>
        </w:rPr>
      </w:pPr>
      <w:r>
        <w:rPr>
          <w:rFonts w:eastAsia="Times New Roman"/>
          <w:color w:val="000000"/>
          <w:sz w:val="18"/>
          <w:szCs w:val="18"/>
        </w:rPr>
        <w:t>(Exact name of registrant as specified in its charter)</w:t>
      </w:r>
    </w:p>
    <w:p w:rsidR="00000000" w:rsidRDefault="00C668B1">
      <w:pPr>
        <w:ind w:firstLine="900"/>
        <w:jc w:val="center"/>
        <w:rPr>
          <w:rFonts w:eastAsia="Times New Roman"/>
        </w:rPr>
      </w:pPr>
      <w:r>
        <w:rPr>
          <w:rFonts w:eastAsia="Times New Roman"/>
          <w:color w:val="000000"/>
          <w:sz w:val="20"/>
          <w:szCs w:val="20"/>
        </w:rPr>
        <w:t>___________________________________</w:t>
      </w:r>
    </w:p>
    <w:p w:rsidR="00000000" w:rsidRDefault="00C668B1">
      <w:pPr>
        <w:ind w:firstLine="900"/>
        <w:divId w:val="1250122418"/>
        <w:rPr>
          <w:rFonts w:eastAsia="Times New Roman"/>
        </w:rPr>
      </w:pPr>
      <w:r>
        <w:rPr>
          <w:rFonts w:eastAsia="Times New Roman"/>
          <w:color w:val="000000"/>
          <w:sz w:val="17"/>
          <w:szCs w:val="17"/>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4048"/>
        <w:gridCol w:w="36"/>
        <w:gridCol w:w="69"/>
        <w:gridCol w:w="4048"/>
        <w:gridCol w:w="37"/>
      </w:tblGrid>
      <w:tr w:rsidR="00000000">
        <w:trPr>
          <w:divId w:val="1521898110"/>
        </w:trPr>
        <w:tc>
          <w:tcPr>
            <w:tcW w:w="50" w:type="pct"/>
            <w:vAlign w:val="center"/>
            <w:hideMark/>
          </w:tcPr>
          <w:p w:rsidR="00000000" w:rsidRDefault="00C668B1">
            <w:pPr>
              <w:ind w:firstLine="900"/>
              <w:rPr>
                <w:rFonts w:eastAsia="Times New Roman"/>
              </w:rPr>
            </w:pPr>
          </w:p>
        </w:tc>
        <w:tc>
          <w:tcPr>
            <w:tcW w:w="244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44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521898110"/>
        </w:trPr>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b/>
                <w:bCs/>
                <w:color w:val="000000"/>
                <w:sz w:val="20"/>
                <w:szCs w:val="20"/>
              </w:rPr>
              <w:t>86-3738787</w:t>
            </w:r>
          </w:p>
        </w:tc>
      </w:tr>
      <w:tr w:rsidR="00000000">
        <w:trPr>
          <w:divId w:val="1521898110"/>
        </w:trPr>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17"/>
                <w:szCs w:val="17"/>
              </w:rPr>
              <w:t>(State of other jurisdiction of incorporation or organization)</w:t>
            </w:r>
          </w:p>
        </w:tc>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17"/>
                <w:szCs w:val="17"/>
              </w:rPr>
              <w:t>(I.R.S. Employer Identification Number)</w:t>
            </w:r>
          </w:p>
        </w:tc>
      </w:tr>
    </w:tbl>
    <w:p w:rsidR="00000000" w:rsidRDefault="00C668B1">
      <w:pPr>
        <w:jc w:val="center"/>
        <w:divId w:val="989553555"/>
        <w:rPr>
          <w:rFonts w:eastAsia="Times New Roman"/>
        </w:rPr>
      </w:pPr>
      <w:r>
        <w:rPr>
          <w:rFonts w:eastAsia="Times New Roman"/>
          <w:b/>
          <w:bCs/>
          <w:color w:val="000000"/>
          <w:sz w:val="18"/>
          <w:szCs w:val="18"/>
        </w:rPr>
        <w:t xml:space="preserve">2001 Market Street, Suite 3915, Unit #15 </w:t>
      </w:r>
    </w:p>
    <w:p w:rsidR="00000000" w:rsidRDefault="00C668B1">
      <w:pPr>
        <w:jc w:val="center"/>
        <w:rPr>
          <w:rFonts w:eastAsia="Times New Roman"/>
        </w:rPr>
      </w:pPr>
      <w:r>
        <w:rPr>
          <w:rFonts w:eastAsia="Times New Roman"/>
          <w:b/>
          <w:bCs/>
          <w:color w:val="000000"/>
          <w:sz w:val="18"/>
          <w:szCs w:val="18"/>
        </w:rPr>
        <w:t xml:space="preserve">Philadelphia, Pennsylvania 19103 </w:t>
      </w:r>
    </w:p>
    <w:p w:rsidR="00000000" w:rsidRDefault="00C668B1">
      <w:pPr>
        <w:jc w:val="center"/>
        <w:divId w:val="710571121"/>
        <w:rPr>
          <w:rFonts w:eastAsia="Times New Roman"/>
        </w:rPr>
      </w:pPr>
      <w:r>
        <w:rPr>
          <w:rFonts w:eastAsia="Times New Roman"/>
          <w:color w:val="000000"/>
          <w:sz w:val="17"/>
          <w:szCs w:val="17"/>
        </w:rPr>
        <w:t>(Address of principal executive offices, including zip code)</w:t>
      </w:r>
    </w:p>
    <w:p w:rsidR="00000000" w:rsidRDefault="00C668B1">
      <w:pPr>
        <w:jc w:val="center"/>
        <w:rPr>
          <w:rFonts w:eastAsia="Times New Roman"/>
        </w:rPr>
      </w:pPr>
    </w:p>
    <w:p w:rsidR="00000000" w:rsidRDefault="00C668B1">
      <w:pPr>
        <w:jc w:val="center"/>
        <w:divId w:val="938218538"/>
        <w:rPr>
          <w:rFonts w:eastAsia="Times New Roman"/>
        </w:rPr>
      </w:pPr>
      <w:r>
        <w:rPr>
          <w:rFonts w:eastAsia="Times New Roman"/>
          <w:b/>
          <w:bCs/>
          <w:color w:val="000000"/>
          <w:sz w:val="18"/>
          <w:szCs w:val="18"/>
        </w:rPr>
        <w:t xml:space="preserve">(267) 225-7416 </w:t>
      </w:r>
    </w:p>
    <w:p w:rsidR="00000000" w:rsidRDefault="00C668B1">
      <w:pPr>
        <w:jc w:val="center"/>
        <w:rPr>
          <w:rFonts w:eastAsia="Times New Roman"/>
        </w:rPr>
      </w:pPr>
      <w:r>
        <w:rPr>
          <w:rFonts w:eastAsia="Times New Roman"/>
          <w:color w:val="000000"/>
          <w:sz w:val="17"/>
          <w:szCs w:val="17"/>
        </w:rPr>
        <w:t>(Registrant’</w:t>
      </w:r>
      <w:r>
        <w:rPr>
          <w:rFonts w:eastAsia="Times New Roman"/>
          <w:color w:val="000000"/>
          <w:sz w:val="17"/>
          <w:szCs w:val="17"/>
        </w:rPr>
        <w:t>s telephone number, including area code)</w:t>
      </w:r>
    </w:p>
    <w:p w:rsidR="00000000" w:rsidRDefault="00C668B1">
      <w:pPr>
        <w:jc w:val="center"/>
        <w:rPr>
          <w:rFonts w:eastAsia="Times New Roman"/>
        </w:rPr>
      </w:pPr>
    </w:p>
    <w:tbl>
      <w:tblPr>
        <w:tblW w:w="4897" w:type="pct"/>
        <w:jc w:val="center"/>
        <w:tblCellMar>
          <w:top w:w="15" w:type="dxa"/>
          <w:left w:w="15" w:type="dxa"/>
          <w:bottom w:w="15" w:type="dxa"/>
          <w:right w:w="15" w:type="dxa"/>
        </w:tblCellMar>
        <w:tblLook w:val="04A0" w:firstRow="1" w:lastRow="0" w:firstColumn="1" w:lastColumn="0" w:noHBand="0" w:noVBand="1"/>
      </w:tblPr>
      <w:tblGrid>
        <w:gridCol w:w="66"/>
        <w:gridCol w:w="3234"/>
        <w:gridCol w:w="39"/>
        <w:gridCol w:w="67"/>
        <w:gridCol w:w="1875"/>
        <w:gridCol w:w="37"/>
        <w:gridCol w:w="67"/>
        <w:gridCol w:w="2713"/>
        <w:gridCol w:w="37"/>
      </w:tblGrid>
      <w:tr w:rsidR="00000000">
        <w:trPr>
          <w:divId w:val="1396273652"/>
          <w:jc w:val="center"/>
        </w:trPr>
        <w:tc>
          <w:tcPr>
            <w:tcW w:w="50" w:type="pct"/>
            <w:vAlign w:val="center"/>
            <w:hideMark/>
          </w:tcPr>
          <w:p w:rsidR="00000000" w:rsidRDefault="00C668B1">
            <w:pPr>
              <w:jc w:val="center"/>
              <w:rPr>
                <w:rFonts w:eastAsia="Times New Roman"/>
              </w:rPr>
            </w:pPr>
          </w:p>
        </w:tc>
        <w:tc>
          <w:tcPr>
            <w:tcW w:w="199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16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67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396273652"/>
          <w:jc w:val="center"/>
        </w:trPr>
        <w:tc>
          <w:tcPr>
            <w:tcW w:w="0" w:type="auto"/>
            <w:gridSpan w:val="9"/>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7"/>
                <w:szCs w:val="17"/>
              </w:rPr>
              <w:t>Securities registered pursuant to Section 12(b) of the Act:</w:t>
            </w:r>
          </w:p>
        </w:tc>
      </w:tr>
      <w:tr w:rsidR="00000000">
        <w:trPr>
          <w:divId w:val="1396273652"/>
          <w:jc w:val="center"/>
        </w:trPr>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7"/>
                <w:szCs w:val="17"/>
                <w:u w:val="single"/>
              </w:rPr>
              <w:t>Title of Each Class</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7"/>
                <w:szCs w:val="17"/>
                <w:u w:val="single"/>
              </w:rPr>
              <w:t>Trading Symbol(s)</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7"/>
                <w:szCs w:val="17"/>
                <w:u w:val="single"/>
              </w:rPr>
              <w:t>Name of Each Exchange on Which Registered</w:t>
            </w:r>
          </w:p>
        </w:tc>
      </w:tr>
      <w:tr w:rsidR="00000000">
        <w:trPr>
          <w:divId w:val="1396273652"/>
          <w:jc w:val="center"/>
        </w:trPr>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17"/>
                <w:szCs w:val="17"/>
              </w:rPr>
              <w:t>Common Stock, par value $0.001 per share</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17"/>
                <w:szCs w:val="17"/>
              </w:rPr>
              <w:t>CNTX</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17"/>
                <w:szCs w:val="17"/>
              </w:rPr>
              <w:t>The Nasdaq Stock Market LLC</w:t>
            </w:r>
          </w:p>
        </w:tc>
      </w:tr>
    </w:tbl>
    <w:p w:rsidR="00000000" w:rsidRDefault="00C668B1">
      <w:pPr>
        <w:divId w:val="1501383548"/>
        <w:rPr>
          <w:rFonts w:eastAsia="Times New Roman"/>
        </w:rPr>
      </w:pPr>
      <w:r>
        <w:rPr>
          <w:rFonts w:eastAsia="Times New Roman"/>
          <w:color w:val="000000"/>
          <w:sz w:val="17"/>
          <w:szCs w:val="17"/>
        </w:rPr>
        <w:t>Indicate by check mark whether the registrant: (1) has filed all reports required to be filed by Section </w:t>
      </w:r>
      <w:r>
        <w:rPr>
          <w:rFonts w:eastAsia="Times New Roman"/>
          <w:color w:val="000000"/>
          <w:sz w:val="17"/>
          <w:szCs w:val="17"/>
        </w:rPr>
        <w:t xml:space="preserve">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rsidR="00000000" w:rsidRDefault="00C668B1">
      <w:pPr>
        <w:divId w:val="16123348"/>
        <w:rPr>
          <w:rFonts w:eastAsia="Times New Roman"/>
        </w:rPr>
      </w:pPr>
    </w:p>
    <w:p w:rsidR="00000000" w:rsidRDefault="00C668B1">
      <w:pPr>
        <w:divId w:val="763956303"/>
        <w:rPr>
          <w:rFonts w:eastAsia="Times New Roman"/>
        </w:rPr>
      </w:pPr>
      <w:r>
        <w:rPr>
          <w:rFonts w:eastAsia="Times New Roman"/>
          <w:color w:val="000000"/>
          <w:sz w:val="17"/>
          <w:szCs w:val="17"/>
        </w:rPr>
        <w:t>Indicate by check mark whether the registrant has submitted electronically every Interactive Data File required to be submitted and posted pursuant to Rule 405 of Regulation S-T (§232.405 of this chapter) during the preceding 12 months (or for such short</w:t>
      </w:r>
      <w:r>
        <w:rPr>
          <w:rFonts w:eastAsia="Times New Roman"/>
          <w:color w:val="000000"/>
          <w:sz w:val="17"/>
          <w:szCs w:val="17"/>
        </w:rPr>
        <w:t xml:space="preserve">er period that the registrant was required to submit such files). Yes  </w:t>
      </w:r>
      <w:r>
        <w:rPr>
          <w:rFonts w:ascii="Wingdings" w:eastAsia="Times New Roman" w:hAnsi="Wingdings"/>
          <w:color w:val="000000"/>
          <w:sz w:val="17"/>
          <w:szCs w:val="17"/>
        </w:rPr>
        <w:t>ý</w:t>
      </w:r>
      <w:r>
        <w:rPr>
          <w:rFonts w:eastAsia="Times New Roman"/>
          <w:color w:val="000000"/>
          <w:sz w:val="17"/>
          <w:szCs w:val="17"/>
        </w:rPr>
        <w:t xml:space="preserve"> No  </w:t>
      </w:r>
      <w:r>
        <w:rPr>
          <w:rFonts w:ascii="Wingdings" w:eastAsia="Times New Roman" w:hAnsi="Wingdings"/>
          <w:color w:val="000000"/>
          <w:sz w:val="17"/>
          <w:szCs w:val="17"/>
        </w:rPr>
        <w:t>o</w:t>
      </w:r>
    </w:p>
    <w:p w:rsidR="00000000" w:rsidRDefault="00C668B1">
      <w:pPr>
        <w:divId w:val="1201866454"/>
        <w:rPr>
          <w:rFonts w:eastAsia="Times New Roman"/>
        </w:rPr>
      </w:pPr>
    </w:p>
    <w:p w:rsidR="00000000" w:rsidRDefault="00C668B1">
      <w:pPr>
        <w:divId w:val="1306273169"/>
        <w:rPr>
          <w:rFonts w:eastAsia="Times New Roman"/>
        </w:rPr>
      </w:pPr>
      <w:r>
        <w:rPr>
          <w:rFonts w:eastAsia="Times New Roman"/>
          <w:color w:val="000000"/>
          <w:sz w:val="17"/>
          <w:szCs w:val="17"/>
        </w:rPr>
        <w:t>Indicate by check mark whether the registrant is a large accelerated filer, an accelerated filer, a non-accelerated filer, a smaller reporting company, or an emerging growth c</w:t>
      </w:r>
      <w:r>
        <w:rPr>
          <w:rFonts w:eastAsia="Times New Roman"/>
          <w:color w:val="000000"/>
          <w:sz w:val="17"/>
          <w:szCs w:val="17"/>
        </w:rPr>
        <w:t xml:space="preserve">ompany. See the definitions of “large accelerated filer,”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1994"/>
        <w:gridCol w:w="36"/>
        <w:gridCol w:w="69"/>
        <w:gridCol w:w="222"/>
        <w:gridCol w:w="36"/>
        <w:gridCol w:w="69"/>
        <w:gridCol w:w="3345"/>
        <w:gridCol w:w="36"/>
        <w:gridCol w:w="76"/>
        <w:gridCol w:w="1989"/>
        <w:gridCol w:w="36"/>
        <w:gridCol w:w="70"/>
        <w:gridCol w:w="223"/>
        <w:gridCol w:w="36"/>
      </w:tblGrid>
      <w:tr w:rsidR="00000000">
        <w:trPr>
          <w:divId w:val="1503201037"/>
        </w:trPr>
        <w:tc>
          <w:tcPr>
            <w:tcW w:w="50" w:type="pct"/>
            <w:vAlign w:val="center"/>
            <w:hideMark/>
          </w:tcPr>
          <w:p w:rsidR="00000000" w:rsidRDefault="00C668B1">
            <w:pPr>
              <w:rPr>
                <w:rFonts w:eastAsia="Times New Roman"/>
              </w:rPr>
            </w:pPr>
          </w:p>
        </w:tc>
        <w:tc>
          <w:tcPr>
            <w:tcW w:w="120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4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0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20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4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503201037"/>
        </w:trPr>
        <w:tc>
          <w:tcPr>
            <w:tcW w:w="0" w:type="auto"/>
            <w:gridSpan w:val="3"/>
            <w:tcMar>
              <w:top w:w="30" w:type="dxa"/>
              <w:left w:w="20" w:type="dxa"/>
              <w:bottom w:w="30" w:type="dxa"/>
              <w:right w:w="20" w:type="dxa"/>
            </w:tcMar>
            <w:vAlign w:val="center"/>
            <w:hideMark/>
          </w:tcPr>
          <w:p w:rsidR="00000000" w:rsidRDefault="00C668B1">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668B1">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ascii="Wingdings" w:eastAsia="Times New Roman" w:hAnsi="Wingdings"/>
                <w:color w:val="000000"/>
                <w:sz w:val="22"/>
                <w:szCs w:val="22"/>
              </w:rPr>
              <w:t>☐</w:t>
            </w:r>
          </w:p>
        </w:tc>
      </w:tr>
      <w:tr w:rsidR="00000000">
        <w:trPr>
          <w:divId w:val="1503201037"/>
        </w:trPr>
        <w:tc>
          <w:tcPr>
            <w:tcW w:w="0" w:type="auto"/>
            <w:gridSpan w:val="3"/>
            <w:tcMar>
              <w:top w:w="30" w:type="dxa"/>
              <w:left w:w="20" w:type="dxa"/>
              <w:bottom w:w="30" w:type="dxa"/>
              <w:right w:w="20" w:type="dxa"/>
            </w:tcMar>
            <w:vAlign w:val="center"/>
            <w:hideMark/>
          </w:tcPr>
          <w:p w:rsidR="00000000" w:rsidRDefault="00C668B1">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ascii="Wingdings" w:eastAsia="Times New Roman" w:hAnsi="Wingdings"/>
                <w:color w:val="000000"/>
                <w:sz w:val="22"/>
                <w:szCs w:val="22"/>
              </w:rPr>
              <w:t>☒</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C668B1">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ascii="Wingdings" w:eastAsia="Times New Roman" w:hAnsi="Wingdings"/>
                <w:color w:val="000000"/>
                <w:sz w:val="22"/>
                <w:szCs w:val="22"/>
              </w:rPr>
              <w:t>☒</w:t>
            </w:r>
          </w:p>
        </w:tc>
      </w:tr>
      <w:tr w:rsidR="00000000">
        <w:trPr>
          <w:divId w:val="1503201037"/>
        </w:trPr>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C668B1">
            <w:pPr>
              <w:spacing w:after="100"/>
              <w:rPr>
                <w:rFonts w:eastAsia="Times New Roman"/>
              </w:rPr>
            </w:pPr>
            <w:r>
              <w:rPr>
                <w:rFonts w:eastAsia="Times New Roman"/>
                <w:color w:val="000000"/>
                <w:sz w:val="17"/>
                <w:szCs w:val="17"/>
              </w:rPr>
              <w:t>Emerging growth company</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ascii="Wingdings" w:eastAsia="Times New Roman" w:hAnsi="Wingdings"/>
                <w:color w:val="000000"/>
                <w:sz w:val="22"/>
                <w:szCs w:val="22"/>
              </w:rPr>
              <w:t>☒</w:t>
            </w:r>
          </w:p>
        </w:tc>
      </w:tr>
    </w:tbl>
    <w:p w:rsidR="00000000" w:rsidRDefault="00C668B1">
      <w:pPr>
        <w:divId w:val="391540561"/>
        <w:rPr>
          <w:rFonts w:eastAsia="Times New Roman"/>
        </w:rPr>
      </w:pPr>
      <w:r>
        <w:rPr>
          <w:rFonts w:eastAsia="Times New Roman"/>
          <w:color w:val="000000"/>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7"/>
          <w:szCs w:val="17"/>
        </w:rPr>
        <w:t>☐</w:t>
      </w:r>
    </w:p>
    <w:p w:rsidR="00000000" w:rsidRDefault="00C668B1">
      <w:pPr>
        <w:divId w:val="639578301"/>
        <w:rPr>
          <w:rFonts w:eastAsia="Times New Roman"/>
        </w:rPr>
      </w:pPr>
    </w:p>
    <w:p w:rsidR="00000000" w:rsidRDefault="00C668B1">
      <w:pPr>
        <w:divId w:val="1365669456"/>
        <w:rPr>
          <w:rFonts w:eastAsia="Times New Roman"/>
        </w:rPr>
      </w:pPr>
      <w:r>
        <w:rPr>
          <w:rFonts w:eastAsia="Times New Roman"/>
          <w:color w:val="000000"/>
          <w:sz w:val="17"/>
          <w:szCs w:val="17"/>
        </w:rPr>
        <w:t>I</w:t>
      </w:r>
      <w:r>
        <w:rPr>
          <w:rFonts w:eastAsia="Times New Roman"/>
          <w:color w:val="000000"/>
          <w:sz w:val="17"/>
          <w:szCs w:val="17"/>
        </w:rPr>
        <w:t>ndicate by check mark whether the registrant is a shell company (as defined in Rule 12b-2 of the Act).Yes </w:t>
      </w:r>
      <w:r>
        <w:rPr>
          <w:rFonts w:ascii="Wingdings" w:eastAsia="Times New Roman" w:hAnsi="Wingdings"/>
          <w:color w:val="000000"/>
          <w:sz w:val="17"/>
          <w:szCs w:val="17"/>
        </w:rPr>
        <w:t>o</w:t>
      </w:r>
      <w:r>
        <w:rPr>
          <w:rFonts w:eastAsia="Times New Roman"/>
          <w:color w:val="000000"/>
          <w:sz w:val="17"/>
          <w:szCs w:val="17"/>
        </w:rPr>
        <w:t>   No </w:t>
      </w:r>
      <w:r>
        <w:rPr>
          <w:rFonts w:ascii="Wingdings" w:eastAsia="Times New Roman" w:hAnsi="Wingdings"/>
          <w:color w:val="000000"/>
          <w:sz w:val="17"/>
          <w:szCs w:val="17"/>
        </w:rPr>
        <w:t>ý</w:t>
      </w:r>
    </w:p>
    <w:p w:rsidR="00000000" w:rsidRDefault="00C668B1">
      <w:pPr>
        <w:ind w:firstLine="900"/>
        <w:divId w:val="414014168"/>
        <w:rPr>
          <w:rFonts w:eastAsia="Times New Roman"/>
        </w:rPr>
      </w:pPr>
    </w:p>
    <w:p w:rsidR="00000000" w:rsidRDefault="00C668B1">
      <w:pPr>
        <w:divId w:val="838887369"/>
        <w:rPr>
          <w:rFonts w:eastAsia="Times New Roman"/>
        </w:rPr>
      </w:pPr>
      <w:r>
        <w:rPr>
          <w:rFonts w:eastAsia="Times New Roman"/>
          <w:color w:val="000000"/>
          <w:sz w:val="17"/>
          <w:szCs w:val="17"/>
        </w:rPr>
        <w:t>The number of shares of common stock outstanding at November 4, 2022 was 15,966,053 shares.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03698999"/>
        </w:trPr>
        <w:tc>
          <w:tcPr>
            <w:tcW w:w="50" w:type="pct"/>
            <w:vAlign w:val="center"/>
            <w:hideMark/>
          </w:tcPr>
          <w:p w:rsidR="00000000" w:rsidRDefault="00C668B1">
            <w:pPr>
              <w:rPr>
                <w:rFonts w:eastAsia="Times New Roman"/>
              </w:rPr>
            </w:pPr>
          </w:p>
        </w:tc>
        <w:tc>
          <w:tcPr>
            <w:tcW w:w="494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803698999"/>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C668B1">
            <w:pPr>
              <w:spacing w:after="100"/>
              <w:rPr>
                <w:rFonts w:eastAsia="Times New Roman"/>
                <w:sz w:val="20"/>
                <w:szCs w:val="20"/>
              </w:rPr>
            </w:pPr>
          </w:p>
        </w:tc>
      </w:tr>
    </w:tbl>
    <w:p w:rsidR="00000000" w:rsidRDefault="00C668B1">
      <w:pPr>
        <w:divId w:val="1488014180"/>
        <w:rPr>
          <w:rFonts w:eastAsia="Times New Roman"/>
        </w:rPr>
      </w:pPr>
    </w:p>
    <w:p w:rsidR="00000000" w:rsidRDefault="00C668B1">
      <w:pPr>
        <w:rPr>
          <w:rFonts w:eastAsia="Times New Roman"/>
        </w:rPr>
      </w:pPr>
      <w:r>
        <w:rPr>
          <w:rFonts w:eastAsia="Times New Roman"/>
        </w:rPr>
        <w:pict>
          <v:rect id="_x0000_i1025" style="width:0;height:1.5pt" o:hralign="center" o:hrstd="t" o:hr="t" fillcolor="#a0a0a0" stroked="f"/>
        </w:pict>
      </w:r>
    </w:p>
    <w:p w:rsidR="00000000" w:rsidRDefault="00C668B1">
      <w:pPr>
        <w:divId w:val="1260792546"/>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 xml:space="preserve">INDEX TO FORM 10-Q </w:t>
      </w:r>
    </w:p>
    <w:p w:rsidR="00000000" w:rsidRDefault="00C668B1">
      <w:pPr>
        <w:ind w:firstLine="900"/>
        <w:divId w:val="1945725337"/>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7655"/>
        <w:gridCol w:w="38"/>
        <w:gridCol w:w="69"/>
        <w:gridCol w:w="440"/>
        <w:gridCol w:w="36"/>
      </w:tblGrid>
      <w:tr w:rsidR="00000000">
        <w:trPr>
          <w:divId w:val="1286695336"/>
        </w:trPr>
        <w:tc>
          <w:tcPr>
            <w:tcW w:w="50" w:type="pct"/>
            <w:vAlign w:val="center"/>
            <w:hideMark/>
          </w:tcPr>
          <w:p w:rsidR="00000000" w:rsidRDefault="00C668B1">
            <w:pPr>
              <w:ind w:firstLine="900"/>
              <w:rPr>
                <w:rFonts w:eastAsia="Times New Roman"/>
              </w:rPr>
            </w:pPr>
          </w:p>
        </w:tc>
        <w:tc>
          <w:tcPr>
            <w:tcW w:w="461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7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286695336"/>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20"/>
                <w:szCs w:val="20"/>
                <w:u w:val="single"/>
              </w:rPr>
              <w:t>Page</w:t>
            </w:r>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843742021"/>
              <w:rPr>
                <w:rFonts w:eastAsia="Times New Roman"/>
              </w:rPr>
            </w:pPr>
            <w:hyperlink w:anchor="i6128ef27165d4066a955a859b4b0ee27_10" w:history="1">
              <w:r>
                <w:rPr>
                  <w:rStyle w:val="a3"/>
                  <w:rFonts w:eastAsia="Times New Roman"/>
                  <w:sz w:val="20"/>
                  <w:szCs w:val="20"/>
                </w:rPr>
                <w:t>SPECIAL NOTE REGARDING FORWARD-LOOKING STATEMENTS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081099787"/>
              <w:rPr>
                <w:rFonts w:eastAsia="Times New Roman"/>
              </w:rPr>
            </w:pPr>
            <w:hyperlink w:anchor="i6128ef27165d4066a955a859b4b0ee27_10" w:history="1">
              <w:r>
                <w:rPr>
                  <w:rStyle w:val="a3"/>
                  <w:rFonts w:eastAsia="Times New Roman"/>
                  <w:sz w:val="20"/>
                  <w:szCs w:val="20"/>
                </w:rPr>
                <w:t>3</w:t>
              </w:r>
            </w:hyperlink>
          </w:p>
        </w:tc>
      </w:tr>
      <w:tr w:rsidR="00000000">
        <w:trPr>
          <w:divId w:val="1286695336"/>
          <w:trHeight w:val="300"/>
        </w:trPr>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divId w:val="653721940"/>
              <w:rPr>
                <w:rFonts w:eastAsia="Times New Roman"/>
              </w:rPr>
            </w:pPr>
            <w:hyperlink w:anchor="i6128ef27165d4066a955a859b4b0ee27_16" w:history="1">
              <w:r>
                <w:rPr>
                  <w:rStyle w:val="a3"/>
                  <w:rFonts w:eastAsia="Times New Roman"/>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7703874"/>
              <w:rPr>
                <w:rFonts w:eastAsia="Times New Roman"/>
              </w:rPr>
            </w:pPr>
            <w:hyperlink w:anchor="i6128ef27165d4066a955a859b4b0ee27_16" w:history="1">
              <w:r>
                <w:rPr>
                  <w:rStyle w:val="a3"/>
                  <w:rFonts w:eastAsia="Times New Roman"/>
                  <w:sz w:val="20"/>
                  <w:szCs w:val="20"/>
                </w:rPr>
                <w:t>6</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440641166"/>
              <w:rPr>
                <w:rFonts w:eastAsia="Times New Roman"/>
              </w:rPr>
            </w:pPr>
            <w:hyperlink w:anchor="i6128ef27165d4066a955a859b4b0ee27_19" w:history="1">
              <w:r>
                <w:rPr>
                  <w:rStyle w:val="a3"/>
                  <w:rFonts w:eastAsia="Times New Roman"/>
                  <w:sz w:val="20"/>
                  <w:szCs w:val="20"/>
                </w:rPr>
                <w:t>Item 1.     Financial Statements (unaudit</w:t>
              </w:r>
              <w:r>
                <w:rPr>
                  <w:rStyle w:val="a3"/>
                  <w:rFonts w:eastAsia="Times New Roman"/>
                  <w:sz w:val="20"/>
                  <w:szCs w:val="20"/>
                </w:rPr>
                <w:t>ed)</w:t>
              </w:r>
            </w:hyperlink>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774598275"/>
              <w:rPr>
                <w:rFonts w:eastAsia="Times New Roman"/>
              </w:rPr>
            </w:pPr>
            <w:hyperlink w:anchor="i6128ef27165d4066a955a859b4b0ee27_19" w:history="1">
              <w:r>
                <w:rPr>
                  <w:rStyle w:val="a3"/>
                  <w:rFonts w:eastAsia="Times New Roman"/>
                  <w:sz w:val="20"/>
                  <w:szCs w:val="20"/>
                </w:rPr>
                <w:t>6</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978609898"/>
              <w:rPr>
                <w:rFonts w:eastAsia="Times New Roman"/>
              </w:rPr>
            </w:pPr>
            <w:hyperlink w:anchor="i6128ef27165d4066a955a859b4b0ee27_22" w:history="1">
              <w:r>
                <w:rPr>
                  <w:rStyle w:val="a3"/>
                  <w:rFonts w:eastAsia="Times New Roman"/>
                  <w:sz w:val="20"/>
                  <w:szCs w:val="20"/>
                </w:rPr>
                <w:t>Condensed Consolidated Balance Sheets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224565511"/>
              <w:rPr>
                <w:rFonts w:eastAsia="Times New Roman"/>
              </w:rPr>
            </w:pPr>
            <w:hyperlink w:anchor="i6128ef27165d4066a955a859b4b0ee27_22" w:history="1">
              <w:r>
                <w:rPr>
                  <w:rStyle w:val="a3"/>
                  <w:rFonts w:eastAsia="Times New Roman"/>
                  <w:sz w:val="20"/>
                  <w:szCs w:val="20"/>
                </w:rPr>
                <w:t>6</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546260649"/>
              <w:rPr>
                <w:rFonts w:eastAsia="Times New Roman"/>
              </w:rPr>
            </w:pPr>
            <w:hyperlink w:anchor="i6128ef27165d4066a955a859b4b0ee27_25" w:history="1">
              <w:r>
                <w:rPr>
                  <w:rStyle w:val="a3"/>
                  <w:rFonts w:eastAsia="Times New Roman"/>
                  <w:sz w:val="20"/>
                  <w:szCs w:val="20"/>
                </w:rPr>
                <w:t>Condensed Consolidated Statements of Operations</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858352521"/>
              <w:rPr>
                <w:rFonts w:eastAsia="Times New Roman"/>
              </w:rPr>
            </w:pPr>
            <w:hyperlink w:anchor="i6128ef27165d4066a955a859b4b0ee27_25" w:history="1">
              <w:r>
                <w:rPr>
                  <w:rStyle w:val="a3"/>
                  <w:rFonts w:eastAsia="Times New Roman"/>
                  <w:sz w:val="20"/>
                  <w:szCs w:val="20"/>
                </w:rPr>
                <w:t>7</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483425538"/>
              <w:rPr>
                <w:rFonts w:eastAsia="Times New Roman"/>
              </w:rPr>
            </w:pPr>
            <w:hyperlink w:anchor="i6128ef27165d4066a955a859b4b0ee27_28" w:history="1">
              <w:r>
                <w:rPr>
                  <w:rStyle w:val="a3"/>
                  <w:rFonts w:eastAsia="Times New Roman"/>
                  <w:sz w:val="20"/>
                  <w:szCs w:val="20"/>
                </w:rPr>
                <w:t>Condensed Consolidated Statement of Changes in Convertible Preferred Stock, Redeemable Common Stock and Stockholders’ Deficit</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597523765"/>
              <w:rPr>
                <w:rFonts w:eastAsia="Times New Roman"/>
              </w:rPr>
            </w:pPr>
            <w:hyperlink w:anchor="i6128ef27165d4066a955a859b4b0ee27_28" w:history="1">
              <w:r>
                <w:rPr>
                  <w:rStyle w:val="a3"/>
                  <w:rFonts w:eastAsia="Times New Roman"/>
                  <w:sz w:val="20"/>
                  <w:szCs w:val="20"/>
                </w:rPr>
                <w:t>8</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336352431"/>
              <w:rPr>
                <w:rFonts w:eastAsia="Times New Roman"/>
              </w:rPr>
            </w:pPr>
            <w:hyperlink w:anchor="i6128ef27165d4066a955a859b4b0ee27_31" w:history="1">
              <w:r>
                <w:rPr>
                  <w:rStyle w:val="a3"/>
                  <w:rFonts w:eastAsia="Times New Roman"/>
                  <w:sz w:val="20"/>
                  <w:szCs w:val="20"/>
                </w:rPr>
                <w:t>Condensed Consolidated Statement of Changes in Stockholders’ Equity</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759062948"/>
              <w:rPr>
                <w:rFonts w:eastAsia="Times New Roman"/>
              </w:rPr>
            </w:pPr>
            <w:hyperlink w:anchor="i6128ef27165d4066a955a859b4b0ee27_31" w:history="1">
              <w:r>
                <w:rPr>
                  <w:rStyle w:val="a3"/>
                  <w:rFonts w:eastAsia="Times New Roman"/>
                  <w:sz w:val="20"/>
                  <w:szCs w:val="20"/>
                </w:rPr>
                <w:t>9</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225680720"/>
              <w:rPr>
                <w:rFonts w:eastAsia="Times New Roman"/>
              </w:rPr>
            </w:pPr>
            <w:hyperlink w:anchor="i6128ef27165d4066a955a859b4b0ee27_34" w:history="1">
              <w:r>
                <w:rPr>
                  <w:rStyle w:val="a3"/>
                  <w:rFonts w:eastAsia="Times New Roman"/>
                  <w:sz w:val="20"/>
                  <w:szCs w:val="20"/>
                </w:rPr>
                <w:t>Condensed</w:t>
              </w:r>
              <w:r>
                <w:rPr>
                  <w:rStyle w:val="a3"/>
                  <w:rFonts w:eastAsia="Times New Roman"/>
                  <w:sz w:val="20"/>
                  <w:szCs w:val="20"/>
                </w:rPr>
                <w:t xml:space="preserve"> Consolidated Statements of Cash Flows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567612988"/>
              <w:rPr>
                <w:rFonts w:eastAsia="Times New Roman"/>
              </w:rPr>
            </w:pPr>
            <w:hyperlink w:anchor="i6128ef27165d4066a955a859b4b0ee27_34" w:history="1">
              <w:r>
                <w:rPr>
                  <w:rStyle w:val="a3"/>
                  <w:rFonts w:eastAsia="Times New Roman"/>
                  <w:sz w:val="20"/>
                  <w:szCs w:val="20"/>
                </w:rPr>
                <w:t>10</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6641635"/>
              <w:rPr>
                <w:rFonts w:eastAsia="Times New Roman"/>
              </w:rPr>
            </w:pPr>
            <w:hyperlink w:anchor="i6128ef27165d4066a955a859b4b0ee27_37" w:history="1">
              <w:r>
                <w:rPr>
                  <w:rStyle w:val="a3"/>
                  <w:rFonts w:eastAsia="Times New Roman"/>
                  <w:sz w:val="20"/>
                  <w:szCs w:val="20"/>
                </w:rPr>
                <w:t>Notes to the Unaudited Condensed Consolidated Financial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034889500"/>
              <w:rPr>
                <w:rFonts w:eastAsia="Times New Roman"/>
              </w:rPr>
            </w:pPr>
            <w:hyperlink w:anchor="i6128ef27165d4066a955a859b4b0ee27_37" w:history="1">
              <w:r>
                <w:rPr>
                  <w:rStyle w:val="a3"/>
                  <w:rFonts w:eastAsia="Times New Roman"/>
                  <w:sz w:val="20"/>
                  <w:szCs w:val="20"/>
                </w:rPr>
                <w:t>11</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039161895"/>
              <w:rPr>
                <w:rFonts w:eastAsia="Times New Roman"/>
              </w:rPr>
            </w:pPr>
            <w:hyperlink w:anchor="i6128ef27165d4066a955a859b4b0ee27_70" w:history="1">
              <w:r>
                <w:rPr>
                  <w:rStyle w:val="a3"/>
                  <w:rFonts w:eastAsia="Times New Roman"/>
                  <w:sz w:val="20"/>
                  <w:szCs w:val="20"/>
                </w:rPr>
                <w:t>Item 2.     Management's Discussion and Analysis of Financial C</w:t>
              </w:r>
              <w:r>
                <w:rPr>
                  <w:rStyle w:val="a3"/>
                  <w:rFonts w:eastAsia="Times New Roman"/>
                  <w:sz w:val="20"/>
                  <w:szCs w:val="20"/>
                </w:rPr>
                <w:t>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680400928"/>
              <w:rPr>
                <w:rFonts w:eastAsia="Times New Roman"/>
              </w:rPr>
            </w:pPr>
            <w:hyperlink w:anchor="i6128ef27165d4066a955a859b4b0ee27_70" w:history="1">
              <w:r>
                <w:rPr>
                  <w:rStyle w:val="a3"/>
                  <w:rFonts w:eastAsia="Times New Roman"/>
                  <w:sz w:val="20"/>
                  <w:szCs w:val="20"/>
                </w:rPr>
                <w:t>21</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55147982"/>
              <w:rPr>
                <w:rFonts w:eastAsia="Times New Roman"/>
              </w:rPr>
            </w:pPr>
            <w:hyperlink w:anchor="i6128ef27165d4066a955a859b4b0ee27_100" w:history="1">
              <w:r>
                <w:rPr>
                  <w:rStyle w:val="a3"/>
                  <w:rFonts w:eastAsia="Times New Roman"/>
                  <w:sz w:val="20"/>
                  <w:szCs w:val="20"/>
                </w:rPr>
                <w:t>Item 3.     </w:t>
              </w:r>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807943493"/>
              <w:rPr>
                <w:rFonts w:eastAsia="Times New Roman"/>
              </w:rPr>
            </w:pPr>
            <w:hyperlink w:anchor="i6128ef27165d4066a955a859b4b0ee27_100" w:history="1">
              <w:r>
                <w:rPr>
                  <w:rStyle w:val="a3"/>
                  <w:rFonts w:eastAsia="Times New Roman"/>
                  <w:sz w:val="20"/>
                  <w:szCs w:val="20"/>
                </w:rPr>
                <w:t>31</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385377996"/>
              <w:rPr>
                <w:rFonts w:eastAsia="Times New Roman"/>
              </w:rPr>
            </w:pPr>
            <w:hyperlink w:anchor="i6128ef27165d4066a955a859b4b0ee27_103" w:history="1">
              <w:r>
                <w:rPr>
                  <w:rStyle w:val="a3"/>
                  <w:rFonts w:eastAsia="Times New Roman"/>
                  <w:sz w:val="20"/>
                  <w:szCs w:val="20"/>
                </w:rPr>
                <w:t>Item 4.     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083113736"/>
              <w:rPr>
                <w:rFonts w:eastAsia="Times New Roman"/>
              </w:rPr>
            </w:pPr>
            <w:hyperlink w:anchor="i6128ef27165d4066a955a859b4b0ee27_103" w:history="1">
              <w:r>
                <w:rPr>
                  <w:rStyle w:val="a3"/>
                  <w:rFonts w:eastAsia="Times New Roman"/>
                  <w:sz w:val="20"/>
                  <w:szCs w:val="20"/>
                </w:rPr>
                <w:t>31</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divId w:val="489948218"/>
              <w:rPr>
                <w:rFonts w:eastAsia="Times New Roman"/>
              </w:rPr>
            </w:pPr>
            <w:hyperlink w:anchor="i6128ef27165d4066a955a859b4b0ee27_106" w:history="1">
              <w:r>
                <w:rPr>
                  <w:rStyle w:val="a3"/>
                  <w:rFonts w:eastAsia="Times New Roman"/>
                  <w:sz w:val="20"/>
                  <w:szCs w:val="20"/>
                </w:rPr>
                <w:t>PART II – OTHER INFORMATION </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760226609"/>
              <w:rPr>
                <w:rFonts w:eastAsia="Times New Roman"/>
              </w:rPr>
            </w:pPr>
            <w:hyperlink w:anchor="i6128ef27165d4066a955a859b4b0ee27_106" w:history="1">
              <w:r>
                <w:rPr>
                  <w:rStyle w:val="a3"/>
                  <w:rFonts w:eastAsia="Times New Roman"/>
                  <w:sz w:val="20"/>
                  <w:szCs w:val="20"/>
                </w:rPr>
                <w:t>32</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518617941"/>
              <w:rPr>
                <w:rFonts w:eastAsia="Times New Roman"/>
              </w:rPr>
            </w:pPr>
            <w:hyperlink w:anchor="i6128ef27165d4066a955a859b4b0ee27_109" w:history="1">
              <w:r>
                <w:rPr>
                  <w:rStyle w:val="a3"/>
                  <w:rFonts w:eastAsia="Times New Roman"/>
                  <w:sz w:val="20"/>
                  <w:szCs w:val="20"/>
                </w:rPr>
                <w:t>Item 1.     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347756384"/>
              <w:rPr>
                <w:rFonts w:eastAsia="Times New Roman"/>
              </w:rPr>
            </w:pPr>
            <w:hyperlink w:anchor="i6128ef27165d4066a955a859b4b0ee27_109" w:history="1">
              <w:r>
                <w:rPr>
                  <w:rStyle w:val="a3"/>
                  <w:rFonts w:eastAsia="Times New Roman"/>
                  <w:sz w:val="20"/>
                  <w:szCs w:val="20"/>
                </w:rPr>
                <w:t>32</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721517057"/>
              <w:rPr>
                <w:rFonts w:eastAsia="Times New Roman"/>
              </w:rPr>
            </w:pPr>
            <w:hyperlink w:anchor="i6128ef27165d4066a955a859b4b0ee27_112" w:history="1">
              <w:r>
                <w:rPr>
                  <w:rStyle w:val="a3"/>
                  <w:rFonts w:eastAsia="Times New Roman"/>
                  <w:sz w:val="20"/>
                  <w:szCs w:val="20"/>
                </w:rPr>
                <w:t>Item 1A.  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763454342"/>
              <w:rPr>
                <w:rFonts w:eastAsia="Times New Roman"/>
              </w:rPr>
            </w:pPr>
            <w:hyperlink w:anchor="i6128ef27165d4066a955a859b4b0ee27_112" w:history="1">
              <w:r>
                <w:rPr>
                  <w:rStyle w:val="a3"/>
                  <w:rFonts w:eastAsia="Times New Roman"/>
                  <w:sz w:val="20"/>
                  <w:szCs w:val="20"/>
                </w:rPr>
                <w:t>32</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886599837"/>
              <w:rPr>
                <w:rFonts w:eastAsia="Times New Roman"/>
              </w:rPr>
            </w:pPr>
            <w:hyperlink w:anchor="i6128ef27165d4066a955a859b4b0ee27_115" w:history="1">
              <w:r>
                <w:rPr>
                  <w:rStyle w:val="a3"/>
                  <w:rFonts w:eastAsia="Times New Roman"/>
                  <w:sz w:val="20"/>
                  <w:szCs w:val="20"/>
                </w:rPr>
                <w:t>Item 2.     Unregistered Sales of Equity Securities and Use of Proceeds</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607345750"/>
              <w:rPr>
                <w:rFonts w:eastAsia="Times New Roman"/>
              </w:rPr>
            </w:pPr>
            <w:hyperlink w:anchor="i6128ef27165d4066a955a859b4b0ee27_115" w:history="1">
              <w:r>
                <w:rPr>
                  <w:rStyle w:val="a3"/>
                  <w:rFonts w:eastAsia="Times New Roman"/>
                  <w:sz w:val="20"/>
                  <w:szCs w:val="20"/>
                </w:rPr>
                <w:t>32</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911543191"/>
              <w:rPr>
                <w:rFonts w:eastAsia="Times New Roman"/>
              </w:rPr>
            </w:pPr>
            <w:hyperlink w:anchor="i6128ef27165d4066a955a859b4b0ee27_118" w:history="1">
              <w:r>
                <w:rPr>
                  <w:rStyle w:val="a3"/>
                  <w:rFonts w:eastAsia="Times New Roman"/>
                  <w:sz w:val="20"/>
                  <w:szCs w:val="20"/>
                </w:rPr>
                <w:t>Item 3.     Defaults Upon Senior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543636031"/>
              <w:rPr>
                <w:rFonts w:eastAsia="Times New Roman"/>
              </w:rPr>
            </w:pPr>
            <w:hyperlink w:anchor="i6128ef27165d4066a955a859b4b0ee27_118" w:history="1">
              <w:r>
                <w:rPr>
                  <w:rStyle w:val="a3"/>
                  <w:rFonts w:eastAsia="Times New Roman"/>
                  <w:sz w:val="20"/>
                  <w:szCs w:val="20"/>
                </w:rPr>
                <w:t>32</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281039807"/>
              <w:rPr>
                <w:rFonts w:eastAsia="Times New Roman"/>
              </w:rPr>
            </w:pPr>
            <w:hyperlink w:anchor="i6128ef27165d4066a955a859b4b0ee27_121" w:history="1">
              <w:r>
                <w:rPr>
                  <w:rStyle w:val="a3"/>
                  <w:rFonts w:eastAsia="Times New Roman"/>
                  <w:sz w:val="20"/>
                  <w:szCs w:val="20"/>
                </w:rPr>
                <w:t>Item 4.     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2037388131"/>
              <w:rPr>
                <w:rFonts w:eastAsia="Times New Roman"/>
              </w:rPr>
            </w:pPr>
            <w:hyperlink w:anchor="i6128ef27165d4066a955a859b4b0ee27_121" w:history="1">
              <w:r>
                <w:rPr>
                  <w:rStyle w:val="a3"/>
                  <w:rFonts w:eastAsia="Times New Roman"/>
                  <w:sz w:val="20"/>
                  <w:szCs w:val="20"/>
                </w:rPr>
                <w:t>32</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369797655"/>
              <w:rPr>
                <w:rFonts w:eastAsia="Times New Roman"/>
              </w:rPr>
            </w:pPr>
            <w:hyperlink w:anchor="i6128ef27165d4066a955a859b4b0ee27_124" w:history="1">
              <w:r>
                <w:rPr>
                  <w:rStyle w:val="a3"/>
                  <w:rFonts w:eastAsia="Times New Roman"/>
                  <w:sz w:val="20"/>
                  <w:szCs w:val="20"/>
                </w:rPr>
                <w:t>Item 5.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123184230"/>
              <w:rPr>
                <w:rFonts w:eastAsia="Times New Roman"/>
              </w:rPr>
            </w:pPr>
            <w:hyperlink w:anchor="i6128ef27165d4066a955a859b4b0ee27_124" w:history="1">
              <w:r>
                <w:rPr>
                  <w:rStyle w:val="a3"/>
                  <w:rFonts w:eastAsia="Times New Roman"/>
                  <w:sz w:val="20"/>
                  <w:szCs w:val="20"/>
                </w:rPr>
                <w:t>32</w:t>
              </w:r>
            </w:hyperlink>
          </w:p>
        </w:tc>
      </w:tr>
      <w:tr w:rsidR="00000000">
        <w:trPr>
          <w:divId w:val="1286695336"/>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949192193"/>
              <w:rPr>
                <w:rFonts w:eastAsia="Times New Roman"/>
              </w:rPr>
            </w:pPr>
            <w:hyperlink w:anchor="i6128ef27165d4066a955a859b4b0ee27_127" w:history="1">
              <w:r>
                <w:rPr>
                  <w:rStyle w:val="a3"/>
                  <w:rFonts w:eastAsia="Times New Roman"/>
                  <w:sz w:val="20"/>
                  <w:szCs w:val="20"/>
                </w:rPr>
                <w:t>Item 6.     Exhibits</w:t>
              </w:r>
            </w:hyperlink>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divId w:val="1673872456"/>
              <w:rPr>
                <w:rFonts w:eastAsia="Times New Roman"/>
              </w:rPr>
            </w:pPr>
            <w:hyperlink w:anchor="i6128ef27165d4066a955a859b4b0ee27_127" w:history="1">
              <w:r>
                <w:rPr>
                  <w:rStyle w:val="a3"/>
                  <w:rFonts w:eastAsia="Times New Roman"/>
                  <w:sz w:val="20"/>
                  <w:szCs w:val="20"/>
                </w:rPr>
                <w:t>34</w:t>
              </w:r>
            </w:hyperlink>
          </w:p>
        </w:tc>
      </w:tr>
      <w:tr w:rsidR="00000000">
        <w:trPr>
          <w:divId w:val="1286695336"/>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98588325"/>
              <w:rPr>
                <w:rFonts w:eastAsia="Times New Roman"/>
              </w:rPr>
            </w:pPr>
            <w:hyperlink w:anchor="i6128ef27165d4066a955a859b4b0ee27_130" w:history="1">
              <w:r>
                <w:rPr>
                  <w:rStyle w:val="a3"/>
                  <w:rFonts w:eastAsia="Times New Roman"/>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606884055"/>
              <w:rPr>
                <w:rFonts w:eastAsia="Times New Roman"/>
              </w:rPr>
            </w:pPr>
            <w:hyperlink w:anchor="i6128ef27165d4066a955a859b4b0ee27_130" w:history="1">
              <w:r>
                <w:rPr>
                  <w:rStyle w:val="a3"/>
                  <w:rFonts w:eastAsia="Times New Roman"/>
                  <w:sz w:val="20"/>
                  <w:szCs w:val="20"/>
                </w:rPr>
                <w:t>35</w:t>
              </w:r>
            </w:hyperlink>
          </w:p>
        </w:tc>
      </w:tr>
    </w:tbl>
    <w:p w:rsidR="00000000" w:rsidRDefault="00C668B1">
      <w:pPr>
        <w:ind w:firstLine="180"/>
        <w:divId w:val="1858960194"/>
        <w:rPr>
          <w:rFonts w:eastAsia="Times New Roman"/>
        </w:rPr>
      </w:pPr>
      <w:r>
        <w:rPr>
          <w:rFonts w:eastAsia="Times New Roman"/>
          <w:color w:val="000000"/>
          <w:sz w:val="20"/>
          <w:szCs w:val="20"/>
        </w:rPr>
        <w:t>   </w:t>
      </w:r>
    </w:p>
    <w:p w:rsidR="00000000" w:rsidRDefault="00C668B1">
      <w:pPr>
        <w:jc w:val="center"/>
        <w:rPr>
          <w:rFonts w:eastAsia="Times New Roman"/>
        </w:rPr>
      </w:pPr>
      <w:r>
        <w:rPr>
          <w:rFonts w:eastAsia="Times New Roman"/>
          <w:color w:val="000000"/>
        </w:rPr>
        <w:lastRenderedPageBreak/>
        <w:t>_________________________</w:t>
      </w:r>
    </w:p>
    <w:p w:rsidR="00000000" w:rsidRDefault="00C668B1">
      <w:pPr>
        <w:divId w:val="1134059626"/>
        <w:rPr>
          <w:rFonts w:eastAsia="Times New Roman"/>
        </w:rPr>
      </w:pPr>
    </w:p>
    <w:p w:rsidR="00000000" w:rsidRDefault="00C668B1">
      <w:pPr>
        <w:divId w:val="1493568179"/>
        <w:rPr>
          <w:rFonts w:eastAsia="Times New Roman"/>
        </w:rPr>
      </w:pPr>
      <w:r>
        <w:rPr>
          <w:rFonts w:eastAsia="Times New Roman"/>
          <w:color w:val="000000"/>
          <w:sz w:val="20"/>
          <w:szCs w:val="20"/>
        </w:rPr>
        <w:t>Unless the context otherwise requires, all references in this Form 10-Q to "Context," "Company," "we," "us," and "our" refer to Context Therapeutics Inc. and its subsidiaries.</w:t>
      </w:r>
    </w:p>
    <w:p w:rsidR="00000000" w:rsidRDefault="00C668B1">
      <w:pPr>
        <w:jc w:val="center"/>
        <w:rPr>
          <w:rFonts w:eastAsia="Times New Roman"/>
        </w:rPr>
      </w:pPr>
    </w:p>
    <w:p w:rsidR="00000000" w:rsidRDefault="00C668B1">
      <w:pPr>
        <w:jc w:val="center"/>
        <w:rPr>
          <w:rFonts w:eastAsia="Times New Roman"/>
        </w:rPr>
      </w:pPr>
      <w:r>
        <w:rPr>
          <w:rFonts w:eastAsia="Times New Roman"/>
          <w:color w:val="000000"/>
        </w:rPr>
        <w:t>_________________________</w:t>
      </w:r>
    </w:p>
    <w:p w:rsidR="00000000" w:rsidRDefault="00C668B1">
      <w:pPr>
        <w:jc w:val="both"/>
        <w:rPr>
          <w:rFonts w:eastAsia="Times New Roman"/>
        </w:rPr>
      </w:pPr>
    </w:p>
    <w:p w:rsidR="00000000" w:rsidRDefault="00C668B1">
      <w:pPr>
        <w:jc w:val="both"/>
        <w:divId w:val="2100443049"/>
        <w:rPr>
          <w:rFonts w:eastAsia="Times New Roman"/>
        </w:rPr>
      </w:pPr>
      <w:r>
        <w:rPr>
          <w:rFonts w:eastAsia="Times New Roman"/>
          <w:color w:val="000000"/>
          <w:sz w:val="20"/>
          <w:szCs w:val="20"/>
          <w:u w:val="single"/>
        </w:rPr>
        <w:t>Trademark Notice</w:t>
      </w:r>
    </w:p>
    <w:p w:rsidR="00000000" w:rsidRDefault="00C668B1">
      <w:pPr>
        <w:divId w:val="1636908756"/>
        <w:rPr>
          <w:rFonts w:eastAsia="Times New Roman"/>
        </w:rPr>
      </w:pPr>
      <w:r>
        <w:rPr>
          <w:rFonts w:eastAsia="Times New Roman"/>
          <w:color w:val="000000"/>
          <w:sz w:val="20"/>
          <w:szCs w:val="20"/>
        </w:rPr>
        <w:t>Context Therapeutics® is a trademark of ours in the United States. All other trademarks, trade names and service marks appearing in this Form 10-Q are the property of their respective owners. We do not intend our use or display of other companies' trademar</w:t>
      </w:r>
      <w:r>
        <w:rPr>
          <w:rFonts w:eastAsia="Times New Roman"/>
          <w:color w:val="000000"/>
          <w:sz w:val="20"/>
          <w:szCs w:val="20"/>
        </w:rPr>
        <w:t>ks, trade names or service marks to imply a relationship with, or endorsement or sponsorship of us by, any other companies.</w:t>
      </w:r>
    </w:p>
    <w:p w:rsidR="00000000" w:rsidRDefault="00C668B1">
      <w:pPr>
        <w:jc w:val="center"/>
        <w:divId w:val="1526553929"/>
        <w:rPr>
          <w:rFonts w:eastAsia="Times New Roman"/>
        </w:rPr>
      </w:pPr>
      <w:r>
        <w:rPr>
          <w:rFonts w:eastAsia="Times New Roman"/>
          <w:color w:val="000000"/>
        </w:rPr>
        <w:t>2</w:t>
      </w:r>
    </w:p>
    <w:p w:rsidR="00000000" w:rsidRDefault="00C668B1">
      <w:pPr>
        <w:rPr>
          <w:rFonts w:eastAsia="Times New Roman"/>
        </w:rPr>
      </w:pPr>
      <w:r>
        <w:rPr>
          <w:rFonts w:eastAsia="Times New Roman"/>
        </w:rPr>
        <w:pict>
          <v:rect id="_x0000_i1026" style="width:0;height:1.5pt" o:hralign="center" o:hrstd="t" o:hr="t" fillcolor="#a0a0a0" stroked="f"/>
        </w:pict>
      </w:r>
    </w:p>
    <w:p w:rsidR="00000000" w:rsidRDefault="00C668B1">
      <w:pPr>
        <w:divId w:val="474026306"/>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SPECIAL NOTE REGAR</w:t>
      </w:r>
      <w:r>
        <w:rPr>
          <w:rFonts w:eastAsia="Times New Roman"/>
          <w:b/>
          <w:bCs/>
          <w:color w:val="000000"/>
          <w:sz w:val="20"/>
          <w:szCs w:val="20"/>
        </w:rPr>
        <w:t>DING FORWARD-LOOKING STATEMENTS</w:t>
      </w:r>
    </w:p>
    <w:p w:rsidR="00000000" w:rsidRDefault="00C668B1">
      <w:pPr>
        <w:ind w:firstLine="490"/>
        <w:divId w:val="1723138126"/>
        <w:rPr>
          <w:rFonts w:eastAsia="Times New Roman"/>
        </w:rPr>
      </w:pPr>
      <w:r>
        <w:rPr>
          <w:rFonts w:eastAsia="Times New Roman"/>
          <w:color w:val="000000"/>
          <w:sz w:val="20"/>
          <w:szCs w:val="20"/>
        </w:rPr>
        <w:t>This Quarterly Report (including, for purposes of this Note Regarding Forward-Looking Statements, any information or documents incorporated herein by reference) includes express and implied forward-looking statements. All st</w:t>
      </w:r>
      <w:r>
        <w:rPr>
          <w:rFonts w:eastAsia="Times New Roman"/>
          <w:color w:val="000000"/>
          <w:sz w:val="20"/>
          <w:szCs w:val="20"/>
        </w:rPr>
        <w:t>atements other than statements of historical facts are forward-looking statements. These statements relate to future events or to our future financial performance and involve known and unknown risks, uncertainties and other factors that may cause our actua</w:t>
      </w:r>
      <w:r>
        <w:rPr>
          <w:rFonts w:eastAsia="Times New Roman"/>
          <w:color w:val="000000"/>
          <w:sz w:val="20"/>
          <w:szCs w:val="20"/>
        </w:rPr>
        <w:t>l results, levels of activity, performance or achievements to be materially different from any future results, levels of activity, performance or achievements expressed or implied by these forward-looking statements. Forward-looking statements include, but</w:t>
      </w:r>
      <w:r>
        <w:rPr>
          <w:rFonts w:eastAsia="Times New Roman"/>
          <w:color w:val="000000"/>
          <w:sz w:val="20"/>
          <w:szCs w:val="20"/>
        </w:rPr>
        <w:t xml:space="preserve"> are not limited to, statements about: </w:t>
      </w:r>
    </w:p>
    <w:p w:rsidR="00000000" w:rsidRDefault="00C668B1">
      <w:pPr>
        <w:ind w:hanging="367"/>
        <w:divId w:val="711618726"/>
        <w:rPr>
          <w:rFonts w:eastAsia="Times New Roman"/>
        </w:rPr>
      </w:pPr>
      <w:r>
        <w:rPr>
          <w:rFonts w:eastAsia="Times New Roman"/>
          <w:color w:val="000000"/>
          <w:sz w:val="20"/>
          <w:szCs w:val="20"/>
        </w:rPr>
        <w:t xml:space="preserve">•    the ability of our clinical trials to demonstrate safety and efficacy of our product candidates, and other positive results; </w:t>
      </w:r>
    </w:p>
    <w:p w:rsidR="00000000" w:rsidRDefault="00C668B1">
      <w:pPr>
        <w:ind w:hanging="367"/>
        <w:divId w:val="1229799824"/>
        <w:rPr>
          <w:rFonts w:eastAsia="Times New Roman"/>
        </w:rPr>
      </w:pPr>
      <w:r>
        <w:rPr>
          <w:rFonts w:eastAsia="Times New Roman"/>
          <w:color w:val="000000"/>
          <w:sz w:val="20"/>
          <w:szCs w:val="20"/>
        </w:rPr>
        <w:t>•the timing of preliminary results for our ongoing Company-sponsored trial and invest</w:t>
      </w:r>
      <w:r>
        <w:rPr>
          <w:rFonts w:eastAsia="Times New Roman"/>
          <w:color w:val="000000"/>
          <w:sz w:val="20"/>
          <w:szCs w:val="20"/>
        </w:rPr>
        <w:t>igator-sponsored trials;</w:t>
      </w:r>
    </w:p>
    <w:p w:rsidR="00000000" w:rsidRDefault="00C668B1">
      <w:pPr>
        <w:ind w:hanging="367"/>
        <w:divId w:val="1328750134"/>
        <w:rPr>
          <w:rFonts w:eastAsia="Times New Roman"/>
        </w:rPr>
      </w:pPr>
      <w:r>
        <w:rPr>
          <w:rFonts w:eastAsia="Times New Roman"/>
          <w:color w:val="000000"/>
          <w:sz w:val="20"/>
          <w:szCs w:val="20"/>
        </w:rPr>
        <w:t>•    the timing, progress and results of preclinical studies and clinical trials for onapristone extended release (“ONA-XR”), anti-claudin 6 (“CLDN6”) bispecific monoclonal antibody (“BsAb”), and other product candidates we may dev</w:t>
      </w:r>
      <w:r>
        <w:rPr>
          <w:rFonts w:eastAsia="Times New Roman"/>
          <w:color w:val="000000"/>
          <w:sz w:val="20"/>
          <w:szCs w:val="20"/>
        </w:rPr>
        <w:t xml:space="preserve">elop, including statements regarding the timing of initiation and completion of studies or trials and related preparatory work, the period during which the results of the trials will become available, and our research and development programs; </w:t>
      </w:r>
    </w:p>
    <w:p w:rsidR="00000000" w:rsidRDefault="00C668B1">
      <w:pPr>
        <w:ind w:hanging="367"/>
        <w:divId w:val="222184777"/>
        <w:rPr>
          <w:rFonts w:eastAsia="Times New Roman"/>
        </w:rPr>
      </w:pPr>
      <w:r>
        <w:rPr>
          <w:rFonts w:eastAsia="Times New Roman"/>
          <w:color w:val="000000"/>
          <w:sz w:val="20"/>
          <w:szCs w:val="20"/>
        </w:rPr>
        <w:t>•    the ti</w:t>
      </w:r>
      <w:r>
        <w:rPr>
          <w:rFonts w:eastAsia="Times New Roman"/>
          <w:color w:val="000000"/>
          <w:sz w:val="20"/>
          <w:szCs w:val="20"/>
        </w:rPr>
        <w:t xml:space="preserve">ming, scope and likelihood of U.S. and foreign regulatory filings and approvals, including timing of Investigational New Drug applications and final U.S. Food and Drug Administration approval of ONA-XR, CLDN6 BsAb and any other future product candidates; </w:t>
      </w:r>
    </w:p>
    <w:p w:rsidR="00000000" w:rsidRDefault="00C668B1">
      <w:pPr>
        <w:ind w:hanging="367"/>
        <w:divId w:val="661155702"/>
        <w:rPr>
          <w:rFonts w:eastAsia="Times New Roman"/>
        </w:rPr>
      </w:pPr>
      <w:r>
        <w:rPr>
          <w:rFonts w:eastAsia="Times New Roman"/>
          <w:color w:val="000000"/>
          <w:sz w:val="20"/>
          <w:szCs w:val="20"/>
        </w:rPr>
        <w:t xml:space="preserve">•    our ability to develop and advance ONA-XR, CLDN6 BsAb, and any other future product candidates, and successfully complete, clinical studies; </w:t>
      </w:r>
    </w:p>
    <w:p w:rsidR="00000000" w:rsidRDefault="00C668B1">
      <w:pPr>
        <w:ind w:hanging="367"/>
        <w:divId w:val="770735435"/>
        <w:rPr>
          <w:rFonts w:eastAsia="Times New Roman"/>
        </w:rPr>
      </w:pPr>
      <w:r>
        <w:rPr>
          <w:rFonts w:eastAsia="Times New Roman"/>
          <w:color w:val="000000"/>
          <w:sz w:val="20"/>
          <w:szCs w:val="20"/>
        </w:rPr>
        <w:t>•    our manufacturing, commercialization, and marketing capabilities, implementations thereof, and strategy;</w:t>
      </w:r>
      <w:r>
        <w:rPr>
          <w:rFonts w:eastAsia="Times New Roman"/>
          <w:color w:val="000000"/>
          <w:sz w:val="20"/>
          <w:szCs w:val="20"/>
        </w:rPr>
        <w:t xml:space="preserve"> </w:t>
      </w:r>
    </w:p>
    <w:p w:rsidR="00000000" w:rsidRDefault="00C668B1">
      <w:pPr>
        <w:ind w:hanging="367"/>
        <w:divId w:val="1104492565"/>
        <w:rPr>
          <w:rFonts w:eastAsia="Times New Roman"/>
        </w:rPr>
      </w:pPr>
      <w:r>
        <w:rPr>
          <w:rFonts w:eastAsia="Times New Roman"/>
          <w:color w:val="000000"/>
          <w:sz w:val="20"/>
          <w:szCs w:val="20"/>
        </w:rPr>
        <w:t xml:space="preserve">•    our plans relating to commercializing our product candidates, if approved, including the geographic areas of focus, sales strategy, and our ability to grow a sales team; </w:t>
      </w:r>
    </w:p>
    <w:p w:rsidR="00000000" w:rsidRDefault="00C668B1">
      <w:pPr>
        <w:ind w:hanging="367"/>
        <w:divId w:val="637954338"/>
        <w:rPr>
          <w:rFonts w:eastAsia="Times New Roman"/>
        </w:rPr>
      </w:pPr>
      <w:r>
        <w:rPr>
          <w:rFonts w:eastAsia="Times New Roman"/>
          <w:color w:val="000000"/>
          <w:sz w:val="20"/>
          <w:szCs w:val="20"/>
        </w:rPr>
        <w:t>•    the impact of the COVID-19 pandemic and other economic uncertainties on o</w:t>
      </w:r>
      <w:r>
        <w:rPr>
          <w:rFonts w:eastAsia="Times New Roman"/>
          <w:color w:val="000000"/>
          <w:sz w:val="20"/>
          <w:szCs w:val="20"/>
        </w:rPr>
        <w:t xml:space="preserve">ur business and operations, including clinical trials, manufacturing suppliers, collaborators, use of contract research organizations and employees; </w:t>
      </w:r>
    </w:p>
    <w:p w:rsidR="00000000" w:rsidRDefault="00C668B1">
      <w:pPr>
        <w:ind w:hanging="367"/>
        <w:divId w:val="1529756511"/>
        <w:rPr>
          <w:rFonts w:eastAsia="Times New Roman"/>
        </w:rPr>
      </w:pPr>
      <w:r>
        <w:rPr>
          <w:rFonts w:eastAsia="Times New Roman"/>
          <w:color w:val="000000"/>
          <w:sz w:val="20"/>
          <w:szCs w:val="20"/>
        </w:rPr>
        <w:t xml:space="preserve">•    the need to hire additional personnel and our ability to attract and retain such personnel; </w:t>
      </w:r>
    </w:p>
    <w:p w:rsidR="00000000" w:rsidRDefault="00C668B1">
      <w:pPr>
        <w:ind w:hanging="367"/>
        <w:divId w:val="1053962279"/>
        <w:rPr>
          <w:rFonts w:eastAsia="Times New Roman"/>
        </w:rPr>
      </w:pPr>
      <w:r>
        <w:rPr>
          <w:rFonts w:eastAsia="Times New Roman"/>
          <w:color w:val="000000"/>
          <w:sz w:val="20"/>
          <w:szCs w:val="20"/>
        </w:rPr>
        <w:t>•    the</w:t>
      </w:r>
      <w:r>
        <w:rPr>
          <w:rFonts w:eastAsia="Times New Roman"/>
          <w:color w:val="000000"/>
          <w:sz w:val="20"/>
          <w:szCs w:val="20"/>
        </w:rPr>
        <w:t xml:space="preserve"> size of the market opportunity for our product candidates, including our estimates of the number of patients who suffer from the diseases we are targeting; </w:t>
      </w:r>
    </w:p>
    <w:p w:rsidR="00000000" w:rsidRDefault="00C668B1">
      <w:pPr>
        <w:ind w:hanging="367"/>
        <w:divId w:val="1429227425"/>
        <w:rPr>
          <w:rFonts w:eastAsia="Times New Roman"/>
        </w:rPr>
      </w:pPr>
      <w:r>
        <w:rPr>
          <w:rFonts w:eastAsia="Times New Roman"/>
          <w:color w:val="000000"/>
          <w:sz w:val="20"/>
          <w:szCs w:val="20"/>
        </w:rPr>
        <w:t>•    our expectations regarding the approval and use of our product candidates in combination with</w:t>
      </w:r>
      <w:r>
        <w:rPr>
          <w:rFonts w:eastAsia="Times New Roman"/>
          <w:color w:val="000000"/>
          <w:sz w:val="20"/>
          <w:szCs w:val="20"/>
        </w:rPr>
        <w:t xml:space="preserve"> other drugs; </w:t>
      </w:r>
    </w:p>
    <w:p w:rsidR="00000000" w:rsidRDefault="00C668B1">
      <w:pPr>
        <w:ind w:hanging="367"/>
        <w:divId w:val="165705048"/>
        <w:rPr>
          <w:rFonts w:eastAsia="Times New Roman"/>
        </w:rPr>
      </w:pPr>
      <w:r>
        <w:rPr>
          <w:rFonts w:eastAsia="Times New Roman"/>
          <w:color w:val="000000"/>
          <w:sz w:val="20"/>
          <w:szCs w:val="20"/>
        </w:rPr>
        <w:lastRenderedPageBreak/>
        <w:t>•    our dependence on collaborations with third parties for certain research, development and commercialization activities;</w:t>
      </w:r>
    </w:p>
    <w:p w:rsidR="00000000" w:rsidRDefault="00C668B1">
      <w:pPr>
        <w:ind w:hanging="367"/>
        <w:divId w:val="1314989017"/>
        <w:rPr>
          <w:rFonts w:eastAsia="Times New Roman"/>
        </w:rPr>
      </w:pPr>
      <w:r>
        <w:rPr>
          <w:rFonts w:eastAsia="Times New Roman"/>
          <w:color w:val="000000"/>
          <w:sz w:val="20"/>
          <w:szCs w:val="20"/>
        </w:rPr>
        <w:t xml:space="preserve">•    our competitive position and the success of competing therapies that are or may become available; </w:t>
      </w:r>
    </w:p>
    <w:p w:rsidR="00000000" w:rsidRDefault="00C668B1">
      <w:pPr>
        <w:ind w:hanging="367"/>
        <w:divId w:val="1211111268"/>
        <w:rPr>
          <w:rFonts w:eastAsia="Times New Roman"/>
        </w:rPr>
      </w:pPr>
      <w:r>
        <w:rPr>
          <w:rFonts w:eastAsia="Times New Roman"/>
          <w:color w:val="000000"/>
          <w:sz w:val="20"/>
          <w:szCs w:val="20"/>
        </w:rPr>
        <w:t>•    the ben</w:t>
      </w:r>
      <w:r>
        <w:rPr>
          <w:rFonts w:eastAsia="Times New Roman"/>
          <w:color w:val="000000"/>
          <w:sz w:val="20"/>
          <w:szCs w:val="20"/>
        </w:rPr>
        <w:t xml:space="preserve">eficial characteristics, safety, efficacy and therapeutic effects of our product candidates; </w:t>
      </w:r>
    </w:p>
    <w:p w:rsidR="00000000" w:rsidRDefault="00C668B1">
      <w:pPr>
        <w:ind w:hanging="367"/>
        <w:divId w:val="1508326360"/>
        <w:rPr>
          <w:rFonts w:eastAsia="Times New Roman"/>
        </w:rPr>
      </w:pPr>
      <w:r>
        <w:rPr>
          <w:rFonts w:eastAsia="Times New Roman"/>
          <w:color w:val="000000"/>
          <w:sz w:val="20"/>
          <w:szCs w:val="20"/>
        </w:rPr>
        <w:t xml:space="preserve">•    our ability to obtain and maintain regulatory approval of our product candidates; </w:t>
      </w:r>
    </w:p>
    <w:p w:rsidR="00000000" w:rsidRDefault="00C668B1">
      <w:pPr>
        <w:ind w:hanging="367"/>
        <w:divId w:val="1438525843"/>
        <w:rPr>
          <w:rFonts w:eastAsia="Times New Roman"/>
        </w:rPr>
      </w:pPr>
      <w:r>
        <w:rPr>
          <w:rFonts w:eastAsia="Times New Roman"/>
          <w:color w:val="000000"/>
          <w:sz w:val="20"/>
          <w:szCs w:val="20"/>
        </w:rPr>
        <w:t>•    our plans relating to the further development of our product candidat</w:t>
      </w:r>
      <w:r>
        <w:rPr>
          <w:rFonts w:eastAsia="Times New Roman"/>
          <w:color w:val="000000"/>
          <w:sz w:val="20"/>
          <w:szCs w:val="20"/>
        </w:rPr>
        <w:t xml:space="preserve">es, including additional indications we may pursue; </w:t>
      </w:r>
    </w:p>
    <w:p w:rsidR="00000000" w:rsidRDefault="00C668B1">
      <w:pPr>
        <w:ind w:hanging="367"/>
        <w:divId w:val="2102140672"/>
        <w:rPr>
          <w:rFonts w:eastAsia="Times New Roman"/>
        </w:rPr>
      </w:pPr>
      <w:r>
        <w:rPr>
          <w:rFonts w:eastAsia="Times New Roman"/>
          <w:color w:val="000000"/>
          <w:sz w:val="20"/>
          <w:szCs w:val="20"/>
        </w:rPr>
        <w:t xml:space="preserve">•    existing regulations and regulatory developments in the United States, Europe and other jurisdictions; </w:t>
      </w:r>
    </w:p>
    <w:p w:rsidR="00000000" w:rsidRDefault="00C668B1">
      <w:pPr>
        <w:ind w:hanging="367"/>
        <w:divId w:val="1633166924"/>
        <w:rPr>
          <w:rFonts w:eastAsia="Times New Roman"/>
        </w:rPr>
      </w:pPr>
      <w:r>
        <w:rPr>
          <w:rFonts w:eastAsia="Times New Roman"/>
          <w:color w:val="000000"/>
          <w:sz w:val="20"/>
          <w:szCs w:val="20"/>
        </w:rPr>
        <w:t>•    </w:t>
      </w:r>
      <w:r>
        <w:rPr>
          <w:rFonts w:eastAsia="Times New Roman"/>
          <w:color w:val="000000"/>
          <w:sz w:val="20"/>
          <w:szCs w:val="20"/>
        </w:rPr>
        <w:t>our intellectual property position, including the scope of protection we are able to establish and maintain for intellectual property rights covering ONA-XR, CLDN6 BsAb, and other product candidates we may develop, including the extensions of existing pate</w:t>
      </w:r>
      <w:r>
        <w:rPr>
          <w:rFonts w:eastAsia="Times New Roman"/>
          <w:color w:val="000000"/>
          <w:sz w:val="20"/>
          <w:szCs w:val="20"/>
        </w:rPr>
        <w:t xml:space="preserve">nt terms where available, the validity of intellectual property rights held by third parties, and our ability not to infringe, misappropriate or otherwise violate any third-party intellectual property rights; </w:t>
      </w:r>
    </w:p>
    <w:p w:rsidR="00000000" w:rsidRDefault="00C668B1">
      <w:pPr>
        <w:jc w:val="center"/>
        <w:divId w:val="1438335205"/>
        <w:rPr>
          <w:rFonts w:eastAsia="Times New Roman"/>
        </w:rPr>
      </w:pPr>
      <w:r>
        <w:rPr>
          <w:rFonts w:eastAsia="Times New Roman"/>
          <w:color w:val="000000"/>
        </w:rPr>
        <w:t>3</w:t>
      </w:r>
    </w:p>
    <w:p w:rsidR="00000000" w:rsidRDefault="00C668B1">
      <w:pPr>
        <w:rPr>
          <w:rFonts w:eastAsia="Times New Roman"/>
        </w:rPr>
      </w:pPr>
      <w:r>
        <w:rPr>
          <w:rFonts w:eastAsia="Times New Roman"/>
        </w:rPr>
        <w:pict>
          <v:rect id="_x0000_i1027" style="width:0;height:1.5pt" o:hralign="center" o:hrstd="t" o:hr="t" fillcolor="#a0a0a0" stroked="f"/>
        </w:pict>
      </w:r>
    </w:p>
    <w:p w:rsidR="00000000" w:rsidRDefault="00C668B1">
      <w:pPr>
        <w:divId w:val="1554393105"/>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hanging="367"/>
        <w:divId w:val="1308631224"/>
        <w:rPr>
          <w:rFonts w:eastAsia="Times New Roman"/>
        </w:rPr>
      </w:pPr>
      <w:r>
        <w:rPr>
          <w:rFonts w:eastAsia="Times New Roman"/>
          <w:color w:val="000000"/>
          <w:sz w:val="20"/>
          <w:szCs w:val="20"/>
        </w:rPr>
        <w:t>•    our continued reliance on third parties to conduct additional clinical trials of our product candidates, and for the manufacture of our pro</w:t>
      </w:r>
      <w:r>
        <w:rPr>
          <w:rFonts w:eastAsia="Times New Roman"/>
          <w:color w:val="000000"/>
          <w:sz w:val="20"/>
          <w:szCs w:val="20"/>
        </w:rPr>
        <w:t xml:space="preserve">duct candidates for preclinical studies and clinical trials; </w:t>
      </w:r>
    </w:p>
    <w:p w:rsidR="00000000" w:rsidRDefault="00C668B1">
      <w:pPr>
        <w:ind w:hanging="367"/>
        <w:divId w:val="1265109227"/>
        <w:rPr>
          <w:rFonts w:eastAsia="Times New Roman"/>
        </w:rPr>
      </w:pPr>
      <w:r>
        <w:rPr>
          <w:rFonts w:eastAsia="Times New Roman"/>
          <w:color w:val="000000"/>
          <w:sz w:val="20"/>
          <w:szCs w:val="20"/>
        </w:rPr>
        <w:t>•    our ability to obtain, and negotiate favorable terms of, collaboration, licensing or other arrangements that may be necessary or desirable to develop, manufacture or commercialize our produ</w:t>
      </w:r>
      <w:r>
        <w:rPr>
          <w:rFonts w:eastAsia="Times New Roman"/>
          <w:color w:val="000000"/>
          <w:sz w:val="20"/>
          <w:szCs w:val="20"/>
        </w:rPr>
        <w:t xml:space="preserve">ct candidates; </w:t>
      </w:r>
    </w:p>
    <w:p w:rsidR="00000000" w:rsidRDefault="00C668B1">
      <w:pPr>
        <w:ind w:hanging="367"/>
        <w:divId w:val="863204417"/>
        <w:rPr>
          <w:rFonts w:eastAsia="Times New Roman"/>
        </w:rPr>
      </w:pPr>
      <w:r>
        <w:rPr>
          <w:rFonts w:eastAsia="Times New Roman"/>
          <w:color w:val="000000"/>
          <w:sz w:val="20"/>
          <w:szCs w:val="20"/>
        </w:rPr>
        <w:t xml:space="preserve">•    the pricing and reimbursement of ONA-XR, CLDN6 BsAb and other product candidates we may develop, if approved; </w:t>
      </w:r>
    </w:p>
    <w:p w:rsidR="00000000" w:rsidRDefault="00C668B1">
      <w:pPr>
        <w:ind w:hanging="367"/>
        <w:divId w:val="28067366"/>
        <w:rPr>
          <w:rFonts w:eastAsia="Times New Roman"/>
        </w:rPr>
      </w:pPr>
      <w:r>
        <w:rPr>
          <w:rFonts w:eastAsia="Times New Roman"/>
          <w:color w:val="000000"/>
          <w:sz w:val="20"/>
          <w:szCs w:val="20"/>
        </w:rPr>
        <w:t>•    the rate and degree of market acceptance and clinical utility of ONA-XR, CLDN6 BsAb and other product candidates we may</w:t>
      </w:r>
      <w:r>
        <w:rPr>
          <w:rFonts w:eastAsia="Times New Roman"/>
          <w:color w:val="000000"/>
          <w:sz w:val="20"/>
          <w:szCs w:val="20"/>
        </w:rPr>
        <w:t xml:space="preserve"> develop; </w:t>
      </w:r>
    </w:p>
    <w:p w:rsidR="00000000" w:rsidRDefault="00C668B1">
      <w:pPr>
        <w:ind w:hanging="367"/>
        <w:divId w:val="935483880"/>
        <w:rPr>
          <w:rFonts w:eastAsia="Times New Roman"/>
        </w:rPr>
      </w:pPr>
      <w:r>
        <w:rPr>
          <w:rFonts w:eastAsia="Times New Roman"/>
          <w:color w:val="000000"/>
          <w:sz w:val="20"/>
          <w:szCs w:val="20"/>
        </w:rPr>
        <w:t xml:space="preserve">•    our estimates regarding expenses, future revenue, capital requirements and needs for additional financing; </w:t>
      </w:r>
    </w:p>
    <w:p w:rsidR="00000000" w:rsidRDefault="00C668B1">
      <w:pPr>
        <w:ind w:hanging="367"/>
        <w:divId w:val="1084180200"/>
        <w:rPr>
          <w:rFonts w:eastAsia="Times New Roman"/>
        </w:rPr>
      </w:pPr>
      <w:r>
        <w:rPr>
          <w:rFonts w:eastAsia="Times New Roman"/>
          <w:color w:val="000000"/>
          <w:sz w:val="20"/>
          <w:szCs w:val="20"/>
        </w:rPr>
        <w:t>•    our current plans and ability to seek additional capital in the future through equity and/or debt financings, partnerships, col</w:t>
      </w:r>
      <w:r>
        <w:rPr>
          <w:rFonts w:eastAsia="Times New Roman"/>
          <w:color w:val="000000"/>
          <w:sz w:val="20"/>
          <w:szCs w:val="20"/>
        </w:rPr>
        <w:t>laborations, or other sources and the availability and terms of such future sources of capital;</w:t>
      </w:r>
    </w:p>
    <w:p w:rsidR="00000000" w:rsidRDefault="00C668B1">
      <w:pPr>
        <w:ind w:hanging="367"/>
        <w:divId w:val="1649747421"/>
        <w:rPr>
          <w:rFonts w:eastAsia="Times New Roman"/>
        </w:rPr>
      </w:pPr>
      <w:r>
        <w:rPr>
          <w:rFonts w:eastAsia="Times New Roman"/>
          <w:color w:val="000000"/>
          <w:sz w:val="20"/>
          <w:szCs w:val="20"/>
        </w:rPr>
        <w:t xml:space="preserve">•    our financial performance; </w:t>
      </w:r>
    </w:p>
    <w:p w:rsidR="00000000" w:rsidRDefault="00C668B1">
      <w:pPr>
        <w:ind w:hanging="367"/>
        <w:divId w:val="758868032"/>
        <w:rPr>
          <w:rFonts w:eastAsia="Times New Roman"/>
        </w:rPr>
      </w:pPr>
      <w:r>
        <w:rPr>
          <w:rFonts w:eastAsia="Times New Roman"/>
          <w:color w:val="000000"/>
          <w:sz w:val="20"/>
          <w:szCs w:val="20"/>
        </w:rPr>
        <w:t>•    the period over which we estimate our existing cash and cash equivalents will be sufficient to fund our future operating e</w:t>
      </w:r>
      <w:r>
        <w:rPr>
          <w:rFonts w:eastAsia="Times New Roman"/>
          <w:color w:val="000000"/>
          <w:sz w:val="20"/>
          <w:szCs w:val="20"/>
        </w:rPr>
        <w:t xml:space="preserve">xpenses and capital expenditure requirements; </w:t>
      </w:r>
    </w:p>
    <w:p w:rsidR="00000000" w:rsidRDefault="00C668B1">
      <w:pPr>
        <w:ind w:hanging="367"/>
        <w:divId w:val="1959220411"/>
        <w:rPr>
          <w:rFonts w:eastAsia="Times New Roman"/>
        </w:rPr>
      </w:pPr>
      <w:r>
        <w:rPr>
          <w:rFonts w:eastAsia="Times New Roman"/>
          <w:color w:val="000000"/>
          <w:sz w:val="20"/>
          <w:szCs w:val="20"/>
        </w:rPr>
        <w:t xml:space="preserve">•    the impact of laws and regulations; </w:t>
      </w:r>
    </w:p>
    <w:p w:rsidR="00000000" w:rsidRDefault="00C668B1">
      <w:pPr>
        <w:ind w:hanging="367"/>
        <w:divId w:val="870455794"/>
        <w:rPr>
          <w:rFonts w:eastAsia="Times New Roman"/>
        </w:rPr>
      </w:pPr>
      <w:r>
        <w:rPr>
          <w:rFonts w:eastAsia="Times New Roman"/>
          <w:color w:val="000000"/>
          <w:sz w:val="20"/>
          <w:szCs w:val="20"/>
        </w:rPr>
        <w:t xml:space="preserve">•    our expectations regarding the period during which we will qualify as an emerging growth company under the JOBS Act; </w:t>
      </w:r>
    </w:p>
    <w:p w:rsidR="00000000" w:rsidRDefault="00C668B1">
      <w:pPr>
        <w:ind w:hanging="367"/>
        <w:divId w:val="1627812286"/>
        <w:rPr>
          <w:rFonts w:eastAsia="Times New Roman"/>
        </w:rPr>
      </w:pPr>
      <w:r>
        <w:rPr>
          <w:rFonts w:eastAsia="Times New Roman"/>
          <w:color w:val="000000"/>
          <w:sz w:val="20"/>
          <w:szCs w:val="20"/>
        </w:rPr>
        <w:t>•    our anticipated use of our existing cas</w:t>
      </w:r>
      <w:r>
        <w:rPr>
          <w:rFonts w:eastAsia="Times New Roman"/>
          <w:color w:val="000000"/>
          <w:sz w:val="20"/>
          <w:szCs w:val="20"/>
        </w:rPr>
        <w:t xml:space="preserve">h and cash equivalents; and </w:t>
      </w:r>
    </w:p>
    <w:p w:rsidR="00000000" w:rsidRDefault="00C668B1">
      <w:pPr>
        <w:ind w:hanging="367"/>
        <w:divId w:val="810095286"/>
        <w:rPr>
          <w:rFonts w:eastAsia="Times New Roman"/>
        </w:rPr>
      </w:pPr>
      <w:r>
        <w:rPr>
          <w:rFonts w:eastAsia="Times New Roman"/>
          <w:color w:val="000000"/>
          <w:sz w:val="20"/>
          <w:szCs w:val="20"/>
        </w:rPr>
        <w:t>•    other risks and uncertainties, including those listed under the caption “Risk Factors”;</w:t>
      </w:r>
    </w:p>
    <w:p w:rsidR="00000000" w:rsidRDefault="00C668B1">
      <w:pPr>
        <w:divId w:val="1827672286"/>
        <w:rPr>
          <w:rFonts w:eastAsia="Times New Roman"/>
        </w:rPr>
      </w:pPr>
      <w:r>
        <w:rPr>
          <w:rFonts w:eastAsia="Times New Roman"/>
          <w:color w:val="000000"/>
          <w:sz w:val="20"/>
          <w:szCs w:val="20"/>
        </w:rPr>
        <w:t>as well as other statements relating to our future operations, financial performance and financial condition, prospects, strategies, o</w:t>
      </w:r>
      <w:r>
        <w:rPr>
          <w:rFonts w:eastAsia="Times New Roman"/>
          <w:color w:val="000000"/>
          <w:sz w:val="20"/>
          <w:szCs w:val="20"/>
        </w:rPr>
        <w:t>bjectives or other future events. In some cases, you can identify forward-looking statements by terms such as “may,” “could,” “will,” “should,” “would,” “expect,” “plan,” “intend,” “anticipate,” “believe,” “estimate,” “predict,” “potential,” “project” or “</w:t>
      </w:r>
      <w:r>
        <w:rPr>
          <w:rFonts w:eastAsia="Times New Roman"/>
          <w:color w:val="000000"/>
          <w:sz w:val="20"/>
          <w:szCs w:val="20"/>
        </w:rPr>
        <w:t>continue” or the negative of these terms or other comparable terminology. These statements are only predictions. You should not place undue reliance on forward-looking statements because they involve known and unknown risks, uncertainties and other factors</w:t>
      </w:r>
      <w:r>
        <w:rPr>
          <w:rFonts w:eastAsia="Times New Roman"/>
          <w:color w:val="000000"/>
          <w:sz w:val="20"/>
          <w:szCs w:val="20"/>
        </w:rPr>
        <w:t>, which are, in some cases, beyond our control and which could materially affect results. Factors that may cause actual results to differ materially from current expectations include, among other things, those listed under the heading “Risk Factors” and el</w:t>
      </w:r>
      <w:r>
        <w:rPr>
          <w:rFonts w:eastAsia="Times New Roman"/>
          <w:color w:val="000000"/>
          <w:sz w:val="20"/>
          <w:szCs w:val="20"/>
        </w:rPr>
        <w:t xml:space="preserve">sewhere in this Form 10-Q. If one or more of these risks or uncertainties occur, or if our underlying assumptions prove to be incorrect, actual events or results may vary significantly from those implied or projected by </w:t>
      </w:r>
      <w:r>
        <w:rPr>
          <w:rFonts w:eastAsia="Times New Roman"/>
          <w:color w:val="000000"/>
          <w:sz w:val="20"/>
          <w:szCs w:val="20"/>
        </w:rPr>
        <w:lastRenderedPageBreak/>
        <w:t>the forward-looking statements. No f</w:t>
      </w:r>
      <w:r>
        <w:rPr>
          <w:rFonts w:eastAsia="Times New Roman"/>
          <w:color w:val="000000"/>
          <w:sz w:val="20"/>
          <w:szCs w:val="20"/>
        </w:rPr>
        <w:t xml:space="preserve">orward-looking statement is a guarantee of future performance. As a result, you should not place undue reliance on forward-looking statements. </w:t>
      </w:r>
    </w:p>
    <w:p w:rsidR="00000000" w:rsidRDefault="00C668B1">
      <w:pPr>
        <w:divId w:val="391126923"/>
        <w:rPr>
          <w:rFonts w:eastAsia="Times New Roman"/>
        </w:rPr>
      </w:pPr>
      <w:r>
        <w:rPr>
          <w:rFonts w:eastAsia="Times New Roman"/>
          <w:color w:val="000000"/>
          <w:sz w:val="20"/>
          <w:szCs w:val="20"/>
        </w:rPr>
        <w:t>Additionally, the forward-looking statements contained in this Form 10-Q represent our views only as of the date</w:t>
      </w:r>
      <w:r>
        <w:rPr>
          <w:rFonts w:eastAsia="Times New Roman"/>
          <w:color w:val="000000"/>
          <w:sz w:val="20"/>
          <w:szCs w:val="20"/>
        </w:rPr>
        <w:t xml:space="preserve"> of this Form 10-Q (or any earlier date indicated in such statement). While we may update certain forward-looking statements from time to time, we specifically disclaim any obligation to do so, even if new information becomes available in the future. Howev</w:t>
      </w:r>
      <w:r>
        <w:rPr>
          <w:rFonts w:eastAsia="Times New Roman"/>
          <w:color w:val="000000"/>
          <w:sz w:val="20"/>
          <w:szCs w:val="20"/>
        </w:rPr>
        <w:t>er, you are advised to consult any further disclosures we make on related subjects in the reports that we file with the U.S. Securities and Exchange Commission ("SEC").</w:t>
      </w:r>
    </w:p>
    <w:p w:rsidR="00000000" w:rsidRDefault="00C668B1">
      <w:pPr>
        <w:divId w:val="367142380"/>
        <w:rPr>
          <w:rFonts w:eastAsia="Times New Roman"/>
        </w:rPr>
      </w:pPr>
      <w:r>
        <w:rPr>
          <w:rFonts w:eastAsia="Times New Roman"/>
          <w:color w:val="000000"/>
          <w:sz w:val="20"/>
          <w:szCs w:val="20"/>
        </w:rPr>
        <w:t>The foregoing cautionary statements are intended to qualify all forward-looking stateme</w:t>
      </w:r>
      <w:r>
        <w:rPr>
          <w:rFonts w:eastAsia="Times New Roman"/>
          <w:color w:val="000000"/>
          <w:sz w:val="20"/>
          <w:szCs w:val="20"/>
        </w:rPr>
        <w:t>nts wherever they may appear in this Form 10-Q. For all forward-looking statements, we claim the protection of the safe harbor for forward-looking statements contained in the Private Securities Litigation Reform Act of 1995.</w:t>
      </w:r>
    </w:p>
    <w:p w:rsidR="00000000" w:rsidRDefault="00C668B1">
      <w:pPr>
        <w:divId w:val="1412460192"/>
        <w:rPr>
          <w:rFonts w:eastAsia="Times New Roman"/>
        </w:rPr>
      </w:pPr>
    </w:p>
    <w:p w:rsidR="00000000" w:rsidRDefault="00C668B1">
      <w:pPr>
        <w:divId w:val="210044640"/>
        <w:rPr>
          <w:rFonts w:eastAsia="Times New Roman"/>
        </w:rPr>
      </w:pPr>
      <w:r>
        <w:rPr>
          <w:rFonts w:eastAsia="Times New Roman"/>
          <w:b/>
          <w:bCs/>
          <w:color w:val="000000"/>
          <w:sz w:val="20"/>
          <w:szCs w:val="20"/>
        </w:rPr>
        <w:t>Market, Industry and Other Da</w:t>
      </w:r>
      <w:r>
        <w:rPr>
          <w:rFonts w:eastAsia="Times New Roman"/>
          <w:b/>
          <w:bCs/>
          <w:color w:val="000000"/>
          <w:sz w:val="20"/>
          <w:szCs w:val="20"/>
        </w:rPr>
        <w:t>ta</w:t>
      </w:r>
    </w:p>
    <w:p w:rsidR="00000000" w:rsidRDefault="00C668B1">
      <w:pPr>
        <w:divId w:val="1429039814"/>
        <w:rPr>
          <w:rFonts w:eastAsia="Times New Roman"/>
        </w:rPr>
      </w:pPr>
    </w:p>
    <w:p w:rsidR="00000000" w:rsidRDefault="00C668B1">
      <w:pPr>
        <w:divId w:val="1738626762"/>
        <w:rPr>
          <w:rFonts w:eastAsia="Times New Roman"/>
        </w:rPr>
      </w:pPr>
      <w:r>
        <w:rPr>
          <w:rFonts w:eastAsia="Times New Roman"/>
          <w:color w:val="000000"/>
          <w:sz w:val="20"/>
          <w:szCs w:val="20"/>
        </w:rPr>
        <w:t>This Form 10-Q contains estimates, projections, market research and other data generated by independent third parties, by third parties on our behalf and by us concerning markets for ONA-XR and CLDN6 BsAb. Information that is based on estimates, proje</w:t>
      </w:r>
      <w:r>
        <w:rPr>
          <w:rFonts w:eastAsia="Times New Roman"/>
          <w:color w:val="000000"/>
          <w:sz w:val="20"/>
          <w:szCs w:val="20"/>
        </w:rPr>
        <w:t>ctions, market research or similar methodologies is inherently subject to uncertainties and actual results, events or circumstances may differ materially from results, events and circumstances reflected in this information. As a result, you are cautioned n</w:t>
      </w:r>
      <w:r>
        <w:rPr>
          <w:rFonts w:eastAsia="Times New Roman"/>
          <w:color w:val="000000"/>
          <w:sz w:val="20"/>
          <w:szCs w:val="20"/>
        </w:rPr>
        <w:t>ot to give undue weight to such information.</w:t>
      </w:r>
    </w:p>
    <w:p w:rsidR="00000000" w:rsidRDefault="00C668B1">
      <w:pPr>
        <w:jc w:val="center"/>
        <w:divId w:val="933896796"/>
        <w:rPr>
          <w:rFonts w:eastAsia="Times New Roman"/>
        </w:rPr>
      </w:pPr>
      <w:r>
        <w:rPr>
          <w:rFonts w:eastAsia="Times New Roman"/>
          <w:color w:val="000000"/>
        </w:rPr>
        <w:t>4</w:t>
      </w:r>
    </w:p>
    <w:p w:rsidR="00000000" w:rsidRDefault="00C668B1">
      <w:pPr>
        <w:rPr>
          <w:rFonts w:eastAsia="Times New Roman"/>
        </w:rPr>
      </w:pPr>
      <w:r>
        <w:rPr>
          <w:rFonts w:eastAsia="Times New Roman"/>
        </w:rPr>
        <w:pict>
          <v:rect id="_x0000_i1028" style="width:0;height:1.5pt" o:hralign="center" o:hrstd="t" o:hr="t" fillcolor="#a0a0a0" stroked="f"/>
        </w:pict>
      </w:r>
    </w:p>
    <w:p w:rsidR="00000000" w:rsidRDefault="00C668B1">
      <w:pPr>
        <w:divId w:val="908425584"/>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426779964"/>
        <w:rPr>
          <w:rFonts w:eastAsia="Times New Roman"/>
        </w:rPr>
      </w:pPr>
      <w:r>
        <w:rPr>
          <w:rFonts w:eastAsia="Times New Roman"/>
          <w:color w:val="000000"/>
          <w:sz w:val="20"/>
          <w:szCs w:val="20"/>
        </w:rPr>
        <w:t>This Form 10-Q also contains certain data and information, which we obtained from various govern</w:t>
      </w:r>
      <w:r>
        <w:rPr>
          <w:rFonts w:eastAsia="Times New Roman"/>
          <w:color w:val="000000"/>
          <w:sz w:val="20"/>
          <w:szCs w:val="20"/>
        </w:rPr>
        <w:t>ment and private publications. Although we believe that the publications and reports are reliable, we have not independently verified the data. Statistical data in these publications include projections that are based on a number of assumptions. If any one</w:t>
      </w:r>
      <w:r>
        <w:rPr>
          <w:rFonts w:eastAsia="Times New Roman"/>
          <w:color w:val="000000"/>
          <w:sz w:val="20"/>
          <w:szCs w:val="20"/>
        </w:rPr>
        <w:t xml:space="preserve"> or more of the assumptions underlying the market data is later found to be incorrect, actual results may differ from the projections based on these assumptions. </w:t>
      </w:r>
    </w:p>
    <w:p w:rsidR="00000000" w:rsidRDefault="00C668B1">
      <w:pPr>
        <w:jc w:val="center"/>
        <w:divId w:val="2059819847"/>
        <w:rPr>
          <w:rFonts w:eastAsia="Times New Roman"/>
        </w:rPr>
      </w:pPr>
      <w:r>
        <w:rPr>
          <w:rFonts w:eastAsia="Times New Roman"/>
          <w:color w:val="000000"/>
        </w:rPr>
        <w:t>5</w:t>
      </w:r>
    </w:p>
    <w:p w:rsidR="00000000" w:rsidRDefault="00C668B1">
      <w:pPr>
        <w:rPr>
          <w:rFonts w:eastAsia="Times New Roman"/>
        </w:rPr>
      </w:pPr>
      <w:r>
        <w:rPr>
          <w:rFonts w:eastAsia="Times New Roman"/>
        </w:rPr>
        <w:pict>
          <v:rect id="_x0000_i1029" style="width:0;height:1.5pt" o:hralign="center" o:hrstd="t" o:hr="t" fillcolor="#a0a0a0" stroked="f"/>
        </w:pict>
      </w:r>
    </w:p>
    <w:p w:rsidR="00000000" w:rsidRDefault="00C668B1">
      <w:pPr>
        <w:divId w:val="1560366058"/>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Part I - Financial Information</w:t>
      </w:r>
    </w:p>
    <w:p w:rsidR="00000000" w:rsidRDefault="00C668B1">
      <w:pPr>
        <w:divId w:val="1909991848"/>
        <w:rPr>
          <w:rFonts w:eastAsia="Times New Roman"/>
        </w:rPr>
      </w:pPr>
      <w:r>
        <w:rPr>
          <w:rFonts w:eastAsia="Times New Roman"/>
          <w:b/>
          <w:bCs/>
          <w:color w:val="000000"/>
          <w:sz w:val="20"/>
          <w:szCs w:val="20"/>
        </w:rPr>
        <w:t>Item 1. Financial Statements</w:t>
      </w:r>
    </w:p>
    <w:p w:rsidR="00000000" w:rsidRDefault="00C668B1">
      <w:pPr>
        <w:divId w:val="432241968"/>
        <w:rPr>
          <w:rFonts w:eastAsia="Times New Roman"/>
        </w:rPr>
      </w:pPr>
    </w:p>
    <w:p w:rsidR="00000000" w:rsidRDefault="00C668B1">
      <w:pPr>
        <w:jc w:val="center"/>
        <w:rPr>
          <w:rFonts w:eastAsia="Times New Roman"/>
        </w:rPr>
      </w:pPr>
      <w:r>
        <w:rPr>
          <w:rFonts w:eastAsia="Times New Roman"/>
          <w:b/>
          <w:bCs/>
          <w:color w:val="000000"/>
          <w:sz w:val="20"/>
          <w:szCs w:val="20"/>
        </w:rPr>
        <w:t xml:space="preserve">Context Therapeutics Inc. </w:t>
      </w:r>
    </w:p>
    <w:p w:rsidR="00000000" w:rsidRDefault="00C668B1">
      <w:pPr>
        <w:jc w:val="center"/>
        <w:rPr>
          <w:rFonts w:eastAsia="Times New Roman"/>
        </w:rPr>
      </w:pPr>
      <w:r>
        <w:rPr>
          <w:rFonts w:eastAsia="Times New Roman"/>
          <w:b/>
          <w:bCs/>
          <w:color w:val="000000"/>
          <w:sz w:val="20"/>
          <w:szCs w:val="20"/>
        </w:rPr>
        <w:t xml:space="preserve">Condensed Consolidated Balance Sheets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208"/>
        <w:gridCol w:w="39"/>
        <w:gridCol w:w="120"/>
        <w:gridCol w:w="1311"/>
        <w:gridCol w:w="36"/>
        <w:gridCol w:w="36"/>
        <w:gridCol w:w="36"/>
        <w:gridCol w:w="36"/>
        <w:gridCol w:w="120"/>
        <w:gridCol w:w="1287"/>
        <w:gridCol w:w="36"/>
      </w:tblGrid>
      <w:tr w:rsidR="00000000">
        <w:trPr>
          <w:divId w:val="1822967679"/>
          <w:jc w:val="center"/>
        </w:trPr>
        <w:tc>
          <w:tcPr>
            <w:tcW w:w="50" w:type="pct"/>
            <w:vAlign w:val="center"/>
            <w:hideMark/>
          </w:tcPr>
          <w:p w:rsidR="00000000" w:rsidRDefault="00C668B1">
            <w:pPr>
              <w:jc w:val="center"/>
              <w:rPr>
                <w:rFonts w:eastAsia="Times New Roman"/>
              </w:rPr>
            </w:pPr>
          </w:p>
        </w:tc>
        <w:tc>
          <w:tcPr>
            <w:tcW w:w="317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82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80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December 31, 2021</w:t>
            </w:r>
          </w:p>
        </w:tc>
      </w:tr>
      <w:tr w:rsidR="00000000">
        <w:trPr>
          <w:divId w:val="1822967679"/>
          <w:jc w:val="center"/>
        </w:trPr>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(Unaudited)</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(Note 3)</w:t>
            </w:r>
          </w:p>
        </w:tc>
      </w:tr>
      <w:tr w:rsidR="00000000">
        <w:trPr>
          <w:divId w:val="1822967679"/>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39,427,118 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49,635,197 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2,512,076 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20"/>
                <w:szCs w:val="20"/>
              </w:rPr>
              <w:t>1,620,164</w:t>
            </w:r>
          </w:p>
        </w:tc>
      </w:tr>
      <w:tr w:rsidR="00000000">
        <w:trPr>
          <w:divId w:val="1822967679"/>
          <w:jc w:val="center"/>
        </w:trPr>
        <w:tc>
          <w:tcPr>
            <w:tcW w:w="0" w:type="auto"/>
            <w:gridSpan w:val="3"/>
            <w:shd w:val="clear" w:color="auto" w:fill="CCEE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41,939,194 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20"/>
                <w:szCs w:val="20"/>
              </w:rPr>
              <w:t>51,255,361</w:t>
            </w:r>
          </w:p>
        </w:tc>
      </w:tr>
      <w:tr w:rsidR="00000000">
        <w:trPr>
          <w:divId w:val="1822967679"/>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Operating lease right-of-use asset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73,752 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30,762 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lastRenderedPageBreak/>
              <w:t>Other assets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39,313 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20"/>
                <w:szCs w:val="20"/>
              </w:rPr>
              <w:t>50,389</w:t>
            </w:r>
          </w:p>
        </w:tc>
      </w:tr>
      <w:tr w:rsidR="00000000">
        <w:trPr>
          <w:divId w:val="1822967679"/>
          <w:jc w:val="center"/>
        </w:trPr>
        <w:tc>
          <w:tcPr>
            <w:tcW w:w="0" w:type="auto"/>
            <w:gridSpan w:val="3"/>
            <w:shd w:val="clear" w:color="auto" w:fill="FFFF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42,083,021 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xml:space="preserve">Current liabilities: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1,494,995 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1,826,294 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2,438,319 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1,207,121 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Operating lease liability - current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78,197 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4,011,511 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4,011,511 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3,033,415 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Commitments and contingencies (Note 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22967679"/>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ind w:hanging="270"/>
              <w:divId w:val="1523200169"/>
              <w:rPr>
                <w:rFonts w:eastAsia="Times New Roman"/>
              </w:rPr>
            </w:pPr>
            <w:r>
              <w:rPr>
                <w:rFonts w:eastAsia="Times New Roman"/>
                <w:color w:val="000000"/>
                <w:sz w:val="20"/>
                <w:szCs w:val="20"/>
              </w:rPr>
              <w:t>Preferred stock, $0.001 par value; 10,000,000 shares authorized; no shares issued or outstanding</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ind w:hanging="270"/>
              <w:divId w:val="1567691426"/>
              <w:rPr>
                <w:rFonts w:eastAsia="Times New Roman"/>
              </w:rPr>
            </w:pPr>
            <w:r>
              <w:rPr>
                <w:rFonts w:eastAsia="Times New Roman"/>
                <w:color w:val="000000"/>
                <w:sz w:val="20"/>
                <w:szCs w:val="20"/>
              </w:rPr>
              <w:t xml:space="preserve">Common stock, $0.001 par value; 100,000,000 shares authorized; 15,966,053 </w:t>
            </w:r>
            <w:r>
              <w:rPr>
                <w:rFonts w:eastAsia="Times New Roman"/>
                <w:color w:val="000000"/>
                <w:sz w:val="20"/>
                <w:szCs w:val="20"/>
              </w:rPr>
              <w:t>shares issued and outstanding at September 30, 2022 and December 31, 2021</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15,966 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15,966 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78,589,142 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77,510,809 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(40,533,598)</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(29,254,440)</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FFFF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38,071,510 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48,272,335 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822967679"/>
          <w:jc w:val="center"/>
        </w:trPr>
        <w:tc>
          <w:tcPr>
            <w:tcW w:w="0" w:type="auto"/>
            <w:gridSpan w:val="3"/>
            <w:shd w:val="clear" w:color="auto" w:fill="CCEE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42,083,021 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51,305,750 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bl>
    <w:p w:rsidR="00000000" w:rsidRDefault="00C668B1">
      <w:pPr>
        <w:jc w:val="center"/>
        <w:divId w:val="1603998594"/>
        <w:rPr>
          <w:rFonts w:eastAsia="Times New Roman"/>
        </w:rPr>
      </w:pPr>
      <w:r>
        <w:rPr>
          <w:rFonts w:eastAsia="Times New Roman"/>
          <w:i/>
          <w:iCs/>
          <w:color w:val="000000"/>
          <w:sz w:val="20"/>
          <w:szCs w:val="20"/>
        </w:rPr>
        <w:t>The accompanying notes are an integral part of these unaudited condensed consolidated financial statements.</w:t>
      </w:r>
    </w:p>
    <w:p w:rsidR="00000000" w:rsidRDefault="00C668B1">
      <w:pPr>
        <w:jc w:val="center"/>
        <w:divId w:val="13725487"/>
        <w:rPr>
          <w:rFonts w:eastAsia="Times New Roman"/>
        </w:rPr>
      </w:pPr>
      <w:r>
        <w:rPr>
          <w:rFonts w:eastAsia="Times New Roman"/>
          <w:color w:val="000000"/>
        </w:rPr>
        <w:t>6</w:t>
      </w:r>
    </w:p>
    <w:p w:rsidR="00000000" w:rsidRDefault="00C668B1">
      <w:pPr>
        <w:rPr>
          <w:rFonts w:eastAsia="Times New Roman"/>
        </w:rPr>
      </w:pPr>
      <w:r>
        <w:rPr>
          <w:rFonts w:eastAsia="Times New Roman"/>
        </w:rPr>
        <w:pict>
          <v:rect id="_x0000_i1030" style="width:0;height:1.5pt" o:hralign="center" o:hrstd="t" o:hr="t" fillcolor="#a0a0a0" stroked="f"/>
        </w:pict>
      </w:r>
    </w:p>
    <w:p w:rsidR="00000000" w:rsidRDefault="00C668B1">
      <w:pPr>
        <w:divId w:val="1458833730"/>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 xml:space="preserve">Context Therapeutics Inc. </w:t>
      </w:r>
    </w:p>
    <w:p w:rsidR="00000000" w:rsidRDefault="00C668B1">
      <w:pPr>
        <w:jc w:val="center"/>
        <w:rPr>
          <w:rFonts w:eastAsia="Times New Roman"/>
        </w:rPr>
      </w:pPr>
      <w:r>
        <w:rPr>
          <w:rFonts w:eastAsia="Times New Roman"/>
          <w:b/>
          <w:bCs/>
          <w:color w:val="000000"/>
          <w:sz w:val="20"/>
          <w:szCs w:val="20"/>
        </w:rPr>
        <w:t xml:space="preserve">Condensed Consolidated Statements of Operations </w:t>
      </w:r>
    </w:p>
    <w:p w:rsidR="00000000" w:rsidRDefault="00C668B1">
      <w:pPr>
        <w:jc w:val="center"/>
        <w:rPr>
          <w:rFonts w:eastAsia="Times New Roman"/>
        </w:rPr>
      </w:pPr>
      <w:r>
        <w:rPr>
          <w:rFonts w:eastAsia="Times New Roman"/>
          <w:b/>
          <w:bCs/>
          <w:color w:val="000000"/>
          <w:sz w:val="20"/>
          <w:szCs w:val="20"/>
        </w:rPr>
        <w:t xml:space="preserve">(Unaudited) </w:t>
      </w:r>
    </w:p>
    <w:p w:rsidR="00000000" w:rsidRDefault="00C668B1">
      <w:pPr>
        <w:divId w:val="402214753"/>
        <w:rPr>
          <w:rFonts w:eastAsia="Times New Roman"/>
        </w:rPr>
      </w:pPr>
      <w:r>
        <w:rPr>
          <w:rFonts w:eastAsia="Times New Roman"/>
          <w:color w:val="000000"/>
        </w:rPr>
        <w:t> </w:t>
      </w:r>
    </w:p>
    <w:tbl>
      <w:tblPr>
        <w:tblW w:w="4649" w:type="pct"/>
        <w:jc w:val="center"/>
        <w:tblCellMar>
          <w:top w:w="15" w:type="dxa"/>
          <w:left w:w="15" w:type="dxa"/>
          <w:bottom w:w="15" w:type="dxa"/>
          <w:right w:w="15" w:type="dxa"/>
        </w:tblCellMar>
        <w:tblLook w:val="04A0" w:firstRow="1" w:lastRow="0" w:firstColumn="1" w:lastColumn="0" w:noHBand="0" w:noVBand="1"/>
      </w:tblPr>
      <w:tblGrid>
        <w:gridCol w:w="39"/>
        <w:gridCol w:w="2574"/>
        <w:gridCol w:w="38"/>
        <w:gridCol w:w="120"/>
        <w:gridCol w:w="934"/>
        <w:gridCol w:w="36"/>
        <w:gridCol w:w="36"/>
        <w:gridCol w:w="36"/>
        <w:gridCol w:w="36"/>
        <w:gridCol w:w="120"/>
        <w:gridCol w:w="934"/>
        <w:gridCol w:w="36"/>
        <w:gridCol w:w="36"/>
        <w:gridCol w:w="36"/>
        <w:gridCol w:w="36"/>
        <w:gridCol w:w="120"/>
        <w:gridCol w:w="1034"/>
        <w:gridCol w:w="36"/>
        <w:gridCol w:w="36"/>
        <w:gridCol w:w="36"/>
        <w:gridCol w:w="36"/>
        <w:gridCol w:w="120"/>
        <w:gridCol w:w="934"/>
        <w:gridCol w:w="36"/>
        <w:gridCol w:w="36"/>
        <w:gridCol w:w="36"/>
        <w:gridCol w:w="36"/>
        <w:gridCol w:w="36"/>
        <w:gridCol w:w="36"/>
        <w:gridCol w:w="36"/>
        <w:gridCol w:w="36"/>
        <w:gridCol w:w="36"/>
      </w:tblGrid>
      <w:tr w:rsidR="00000000">
        <w:trPr>
          <w:divId w:val="767774398"/>
          <w:jc w:val="center"/>
        </w:trPr>
        <w:tc>
          <w:tcPr>
            <w:tcW w:w="50" w:type="pct"/>
            <w:vAlign w:val="center"/>
            <w:hideMark/>
          </w:tcPr>
          <w:p w:rsidR="00000000" w:rsidRDefault="00C668B1">
            <w:pPr>
              <w:rPr>
                <w:rFonts w:eastAsia="Times New Roman"/>
              </w:rPr>
            </w:pPr>
          </w:p>
        </w:tc>
        <w:tc>
          <w:tcPr>
            <w:tcW w:w="232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6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6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0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6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Nine months ended September 30,</w:t>
            </w:r>
          </w:p>
        </w:tc>
        <w:tc>
          <w:tcPr>
            <w:tcW w:w="0" w:type="auto"/>
            <w:vAlign w:val="center"/>
            <w:hideMark/>
          </w:tcPr>
          <w:p w:rsidR="00000000" w:rsidRDefault="00C668B1">
            <w:pPr>
              <w:spacing w:after="100"/>
              <w:jc w:val="center"/>
              <w:rPr>
                <w:rFonts w:eastAsia="Times New Roman"/>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2021</w:t>
            </w:r>
          </w:p>
        </w:tc>
        <w:tc>
          <w:tcPr>
            <w:tcW w:w="0" w:type="auto"/>
            <w:vAlign w:val="center"/>
            <w:hideMark/>
          </w:tcPr>
          <w:p w:rsidR="00000000" w:rsidRDefault="00C668B1">
            <w:pPr>
              <w:spacing w:after="100"/>
              <w:jc w:val="center"/>
              <w:rPr>
                <w:rFonts w:eastAsia="Times New Roman"/>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Acquired in-process research and development</w:t>
            </w: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2,077,566 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739,598 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4,946,304 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2,511,438 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1,970,521 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828,464 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6,052,556 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1,834,645 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CCEE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(4,048,087)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(1,568,062)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(11,498,860)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(7,433,915)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Interest income (expense), net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192,245 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(1,261)</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219,405 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(64,555)</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9,317 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1,532 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126,531 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124,148 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(3,854,310)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(1,442,792)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(11,279,158)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(7,365,005)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Net loss per common share, basic and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(0.24)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(4.00)</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(0.71)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(20.74)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Weighted average shares outstanding, basic and diluted</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15,966,053 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361,067 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15,966,053 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355,087 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767774398"/>
          <w:jc w:val="center"/>
        </w:trPr>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bl>
    <w:p w:rsidR="00000000" w:rsidRDefault="00C668B1">
      <w:pPr>
        <w:jc w:val="center"/>
        <w:divId w:val="1603033984"/>
        <w:rPr>
          <w:rFonts w:eastAsia="Times New Roman"/>
        </w:rPr>
      </w:pPr>
      <w:r>
        <w:rPr>
          <w:rFonts w:eastAsia="Times New Roman"/>
          <w:i/>
          <w:iCs/>
          <w:color w:val="000000"/>
          <w:sz w:val="20"/>
          <w:szCs w:val="20"/>
        </w:rPr>
        <w:t xml:space="preserve">The accompanying notes are an integral part of these unaudited condensed consolidated financial statements. </w:t>
      </w:r>
      <w:r>
        <w:rPr>
          <w:rFonts w:eastAsia="Times New Roman"/>
          <w:color w:val="000000"/>
          <w:sz w:val="2"/>
          <w:szCs w:val="2"/>
        </w:rPr>
        <w:t> </w:t>
      </w:r>
    </w:p>
    <w:p w:rsidR="00000000" w:rsidRDefault="00C668B1">
      <w:pPr>
        <w:jc w:val="center"/>
        <w:divId w:val="1758600467"/>
        <w:rPr>
          <w:rFonts w:eastAsia="Times New Roman"/>
        </w:rPr>
      </w:pPr>
      <w:r>
        <w:rPr>
          <w:rFonts w:eastAsia="Times New Roman"/>
          <w:color w:val="000000"/>
        </w:rPr>
        <w:t>7</w:t>
      </w:r>
    </w:p>
    <w:p w:rsidR="00000000" w:rsidRDefault="00C668B1">
      <w:pPr>
        <w:rPr>
          <w:rFonts w:eastAsia="Times New Roman"/>
        </w:rPr>
      </w:pPr>
      <w:r>
        <w:rPr>
          <w:rFonts w:eastAsia="Times New Roman"/>
        </w:rPr>
        <w:pict>
          <v:rect id="_x0000_i1031" style="width:0;height:1.5pt" o:hralign="center" o:hrstd="t" o:hr="t" fillcolor="#a0a0a0" stroked="f"/>
        </w:pict>
      </w:r>
    </w:p>
    <w:p w:rsidR="00000000" w:rsidRDefault="00C668B1">
      <w:pPr>
        <w:divId w:val="1297488419"/>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 xml:space="preserve">Context Therapeutics Inc. </w:t>
      </w:r>
    </w:p>
    <w:p w:rsidR="00000000" w:rsidRDefault="00C668B1">
      <w:pPr>
        <w:jc w:val="center"/>
        <w:rPr>
          <w:rFonts w:eastAsia="Times New Roman"/>
        </w:rPr>
      </w:pPr>
      <w:r>
        <w:rPr>
          <w:rFonts w:eastAsia="Times New Roman"/>
          <w:b/>
          <w:bCs/>
          <w:color w:val="000000"/>
          <w:sz w:val="20"/>
          <w:szCs w:val="20"/>
        </w:rPr>
        <w:t xml:space="preserve">Condensed Consolidated Statement of Changes in Convertible Preferred Stock, Redeemable Common Stock and Stockholders’ Deficit </w:t>
      </w:r>
    </w:p>
    <w:p w:rsidR="00000000" w:rsidRDefault="00C668B1">
      <w:pPr>
        <w:jc w:val="center"/>
        <w:rPr>
          <w:rFonts w:eastAsia="Times New Roman"/>
        </w:rPr>
      </w:pPr>
      <w:r>
        <w:rPr>
          <w:rFonts w:eastAsia="Times New Roman"/>
          <w:b/>
          <w:bCs/>
          <w:color w:val="000000"/>
          <w:sz w:val="20"/>
          <w:szCs w:val="20"/>
        </w:rPr>
        <w:t xml:space="preserve">(Unaudited) </w:t>
      </w:r>
    </w:p>
    <w:p w:rsidR="00000000" w:rsidRDefault="00C668B1">
      <w:pPr>
        <w:divId w:val="1367178802"/>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1027"/>
        <w:gridCol w:w="39"/>
        <w:gridCol w:w="142"/>
        <w:gridCol w:w="558"/>
        <w:gridCol w:w="36"/>
        <w:gridCol w:w="36"/>
        <w:gridCol w:w="36"/>
        <w:gridCol w:w="36"/>
        <w:gridCol w:w="100"/>
        <w:gridCol w:w="760"/>
        <w:gridCol w:w="36"/>
        <w:gridCol w:w="36"/>
        <w:gridCol w:w="36"/>
        <w:gridCol w:w="36"/>
        <w:gridCol w:w="125"/>
        <w:gridCol w:w="575"/>
        <w:gridCol w:w="36"/>
        <w:gridCol w:w="36"/>
        <w:gridCol w:w="36"/>
        <w:gridCol w:w="36"/>
        <w:gridCol w:w="100"/>
        <w:gridCol w:w="680"/>
        <w:gridCol w:w="36"/>
        <w:gridCol w:w="36"/>
        <w:gridCol w:w="36"/>
        <w:gridCol w:w="36"/>
        <w:gridCol w:w="95"/>
        <w:gridCol w:w="376"/>
        <w:gridCol w:w="36"/>
        <w:gridCol w:w="36"/>
        <w:gridCol w:w="36"/>
        <w:gridCol w:w="36"/>
        <w:gridCol w:w="100"/>
        <w:gridCol w:w="480"/>
        <w:gridCol w:w="36"/>
        <w:gridCol w:w="36"/>
        <w:gridCol w:w="36"/>
        <w:gridCol w:w="36"/>
        <w:gridCol w:w="36"/>
        <w:gridCol w:w="36"/>
        <w:gridCol w:w="36"/>
        <w:gridCol w:w="114"/>
        <w:gridCol w:w="435"/>
        <w:gridCol w:w="37"/>
        <w:gridCol w:w="37"/>
        <w:gridCol w:w="36"/>
        <w:gridCol w:w="36"/>
        <w:gridCol w:w="101"/>
        <w:gridCol w:w="358"/>
        <w:gridCol w:w="36"/>
        <w:gridCol w:w="36"/>
        <w:gridCol w:w="36"/>
        <w:gridCol w:w="36"/>
        <w:gridCol w:w="100"/>
        <w:gridCol w:w="680"/>
        <w:gridCol w:w="36"/>
        <w:gridCol w:w="36"/>
        <w:gridCol w:w="36"/>
        <w:gridCol w:w="36"/>
        <w:gridCol w:w="100"/>
        <w:gridCol w:w="827"/>
        <w:gridCol w:w="927"/>
      </w:tblGrid>
      <w:tr w:rsidR="00000000">
        <w:trPr>
          <w:divId w:val="1130325949"/>
        </w:trPr>
        <w:tc>
          <w:tcPr>
            <w:tcW w:w="50" w:type="pct"/>
            <w:vAlign w:val="center"/>
            <w:hideMark/>
          </w:tcPr>
          <w:p w:rsidR="00000000" w:rsidRDefault="00C668B1">
            <w:pPr>
              <w:rPr>
                <w:rFonts w:eastAsia="Times New Roman"/>
              </w:rPr>
            </w:pPr>
          </w:p>
        </w:tc>
        <w:tc>
          <w:tcPr>
            <w:tcW w:w="148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9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6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3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6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9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9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9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9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6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30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130325949"/>
          <w:trHeight w:val="340"/>
        </w:trPr>
        <w:tc>
          <w:tcPr>
            <w:tcW w:w="0" w:type="auto"/>
            <w:gridSpan w:val="3"/>
            <w:tcMar>
              <w:top w:w="30" w:type="dxa"/>
              <w:left w:w="200" w:type="dxa"/>
              <w:bottom w:w="30" w:type="dxa"/>
              <w:right w:w="20" w:type="dxa"/>
            </w:tcMar>
            <w:vAlign w:val="bottom"/>
            <w:hideMark/>
          </w:tcPr>
          <w:p w:rsidR="00000000" w:rsidRDefault="00C668B1">
            <w:pPr>
              <w:spacing w:after="100"/>
              <w:ind w:hanging="18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Series A</w:t>
            </w:r>
            <w:r>
              <w:rPr>
                <w:rFonts w:eastAsia="Times New Roman"/>
                <w:b/>
                <w:bCs/>
                <w:color w:val="000000"/>
                <w:sz w:val="12"/>
                <w:szCs w:val="12"/>
              </w:rPr>
              <w:br/>
              <w:t>Preferred Stock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Series Seed</w:t>
            </w:r>
            <w:r>
              <w:rPr>
                <w:rFonts w:eastAsia="Times New Roman"/>
                <w:b/>
                <w:bCs/>
                <w:color w:val="000000"/>
                <w:sz w:val="12"/>
                <w:szCs w:val="12"/>
              </w:rPr>
              <w:br/>
              <w:t xml:space="preserve">Preferred Stock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Redeemable</w:t>
            </w:r>
            <w:r>
              <w:rPr>
                <w:rFonts w:eastAsia="Times New Roman"/>
                <w:b/>
                <w:bCs/>
                <w:color w:val="000000"/>
                <w:sz w:val="12"/>
                <w:szCs w:val="12"/>
              </w:rPr>
              <w:br/>
              <w:t xml:space="preserve">Common Stock </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 </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tcMar>
              <w:top w:w="0" w:type="dxa"/>
              <w:left w:w="20" w:type="dxa"/>
              <w:bottom w:w="0" w:type="dxa"/>
              <w:right w:w="20" w:type="dxa"/>
            </w:tcMar>
            <w:vAlign w:val="center"/>
            <w:hideMark/>
          </w:tcPr>
          <w:p w:rsidR="00000000" w:rsidRDefault="00C668B1">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 xml:space="preserve">Deficit </w:t>
            </w:r>
          </w:p>
        </w:tc>
      </w:tr>
      <w:tr w:rsidR="00000000">
        <w:trPr>
          <w:divId w:val="1130325949"/>
          <w:trHeight w:val="240"/>
        </w:trPr>
        <w:tc>
          <w:tcPr>
            <w:tcW w:w="0" w:type="auto"/>
            <w:gridSpan w:val="3"/>
            <w:tcMar>
              <w:top w:w="30" w:type="dxa"/>
              <w:left w:w="200" w:type="dxa"/>
              <w:bottom w:w="30" w:type="dxa"/>
              <w:right w:w="20" w:type="dxa"/>
            </w:tcMar>
            <w:vAlign w:val="bottom"/>
            <w:hideMark/>
          </w:tcPr>
          <w:p w:rsidR="00000000" w:rsidRDefault="00C668B1">
            <w:pPr>
              <w:spacing w:after="100"/>
              <w:ind w:hanging="18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 xml:space="preserve">Shares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 xml:space="preserve">Amount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Amount</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 </w:t>
            </w: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vMerge/>
            <w:vAlign w:val="center"/>
            <w:hideMark/>
          </w:tcPr>
          <w:p w:rsidR="00000000" w:rsidRDefault="00C668B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r>
      <w:tr w:rsidR="00C668B1">
        <w:trPr>
          <w:divId w:val="1130325949"/>
        </w:trPr>
        <w:tc>
          <w:tcPr>
            <w:tcW w:w="0" w:type="auto"/>
            <w:gridSpan w:val="3"/>
            <w:shd w:val="clear" w:color="auto" w:fill="CCEEFF"/>
            <w:tcMar>
              <w:top w:w="30" w:type="dxa"/>
              <w:left w:w="20" w:type="dxa"/>
              <w:bottom w:w="30" w:type="dxa"/>
              <w:right w:w="20" w:type="dxa"/>
            </w:tcMar>
            <w:hideMark/>
          </w:tcPr>
          <w:p w:rsidR="00000000" w:rsidRDefault="00C668B1">
            <w:pPr>
              <w:spacing w:after="100"/>
              <w:ind w:hanging="180"/>
              <w:divId w:val="1941715319"/>
              <w:rPr>
                <w:rFonts w:eastAsia="Times New Roman"/>
              </w:rPr>
            </w:pPr>
            <w:r>
              <w:rPr>
                <w:rFonts w:eastAsia="Times New Roman"/>
                <w:color w:val="000000"/>
                <w:sz w:val="16"/>
                <w:szCs w:val="16"/>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210,715 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1,400,935 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16,666</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331,789</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1,876,159 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(18,797,570)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$(16,921,079)</w:t>
            </w:r>
          </w:p>
        </w:tc>
      </w:tr>
      <w:tr w:rsidR="00C668B1">
        <w:trPr>
          <w:divId w:val="1130325949"/>
        </w:trPr>
        <w:tc>
          <w:tcPr>
            <w:tcW w:w="0" w:type="auto"/>
            <w:gridSpan w:val="3"/>
            <w:shd w:val="clear" w:color="auto" w:fill="FFFFFF"/>
            <w:tcMar>
              <w:top w:w="30" w:type="dxa"/>
              <w:left w:w="20" w:type="dxa"/>
              <w:bottom w:w="30" w:type="dxa"/>
              <w:right w:w="20" w:type="dxa"/>
            </w:tcMar>
            <w:hideMark/>
          </w:tcPr>
          <w:p w:rsidR="00000000" w:rsidRDefault="00C668B1">
            <w:pPr>
              <w:spacing w:after="100"/>
              <w:ind w:hanging="180"/>
              <w:divId w:val="718864790"/>
              <w:rPr>
                <w:rFonts w:eastAsia="Times New Roman"/>
              </w:rPr>
            </w:pPr>
            <w:r>
              <w:rPr>
                <w:rFonts w:eastAsia="Times New Roman"/>
                <w:color w:val="000000"/>
                <w:sz w:val="16"/>
                <w:szCs w:val="16"/>
              </w:rPr>
              <w:t>Sale of Series A preferred stock, net of offering costs of $213,073</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453,094 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3,034,526 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r>
      <w:tr w:rsidR="00000000">
        <w:trPr>
          <w:divId w:val="1130325949"/>
        </w:trPr>
        <w:tc>
          <w:tcPr>
            <w:tcW w:w="0" w:type="auto"/>
            <w:gridSpan w:val="3"/>
            <w:vAlign w:val="center"/>
            <w:hideMark/>
          </w:tcPr>
          <w:p w:rsidR="00000000" w:rsidRDefault="00C668B1">
            <w:pPr>
              <w:spacing w:after="100"/>
              <w:jc w:val="right"/>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2"/>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r>
      <w:tr w:rsidR="00C668B1">
        <w:trPr>
          <w:divId w:val="1130325949"/>
        </w:trPr>
        <w:tc>
          <w:tcPr>
            <w:tcW w:w="0" w:type="auto"/>
            <w:gridSpan w:val="3"/>
            <w:shd w:val="clear" w:color="auto" w:fill="CCEEFF"/>
            <w:tcMar>
              <w:top w:w="30" w:type="dxa"/>
              <w:left w:w="20" w:type="dxa"/>
              <w:bottom w:w="30" w:type="dxa"/>
              <w:right w:w="20" w:type="dxa"/>
            </w:tcMar>
            <w:hideMark/>
          </w:tcPr>
          <w:p w:rsidR="00000000" w:rsidRDefault="00C668B1">
            <w:pPr>
              <w:spacing w:after="100"/>
              <w:ind w:hanging="180"/>
              <w:divId w:val="1370299581"/>
              <w:rPr>
                <w:rFonts w:eastAsia="Times New Roman"/>
              </w:rPr>
            </w:pPr>
            <w:r>
              <w:rPr>
                <w:rFonts w:eastAsia="Times New Roman"/>
                <w:color w:val="000000"/>
                <w:sz w:val="16"/>
                <w:szCs w:val="16"/>
              </w:rPr>
              <w:t>Conversion of Senior Convertible Notes, including accrued interest, to Series A preferred stock</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844,824 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5,728,793 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137,497 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137,497 </w:t>
            </w:r>
          </w:p>
        </w:tc>
      </w:tr>
      <w:tr w:rsidR="00C668B1">
        <w:trPr>
          <w:divId w:val="1130325949"/>
        </w:trPr>
        <w:tc>
          <w:tcPr>
            <w:tcW w:w="0" w:type="auto"/>
            <w:gridSpan w:val="3"/>
            <w:shd w:val="clear" w:color="auto" w:fill="FFFFFF"/>
            <w:tcMar>
              <w:top w:w="30" w:type="dxa"/>
              <w:left w:w="20" w:type="dxa"/>
              <w:bottom w:w="30" w:type="dxa"/>
              <w:right w:w="20" w:type="dxa"/>
            </w:tcMar>
            <w:hideMark/>
          </w:tcPr>
          <w:p w:rsidR="00000000" w:rsidRDefault="00C668B1">
            <w:pPr>
              <w:spacing w:after="100"/>
              <w:ind w:hanging="180"/>
              <w:divId w:val="170728011"/>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(158,658)</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158,658 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158,658 </w:t>
            </w:r>
          </w:p>
        </w:tc>
      </w:tr>
      <w:tr w:rsidR="00C668B1">
        <w:trPr>
          <w:divId w:val="1130325949"/>
        </w:trPr>
        <w:tc>
          <w:tcPr>
            <w:tcW w:w="0" w:type="auto"/>
            <w:gridSpan w:val="3"/>
            <w:shd w:val="clear" w:color="auto" w:fill="CCEEFF"/>
            <w:tcMar>
              <w:top w:w="30" w:type="dxa"/>
              <w:left w:w="20" w:type="dxa"/>
              <w:bottom w:w="30" w:type="dxa"/>
              <w:right w:w="20" w:type="dxa"/>
            </w:tcMar>
            <w:hideMark/>
          </w:tcPr>
          <w:p w:rsidR="00000000" w:rsidRDefault="00C668B1">
            <w:pPr>
              <w:spacing w:after="100"/>
              <w:ind w:hanging="180"/>
              <w:divId w:val="848328557"/>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(13,388)</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13,388 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13,388 </w:t>
            </w:r>
          </w:p>
        </w:tc>
      </w:tr>
      <w:tr w:rsidR="00C668B1">
        <w:trPr>
          <w:divId w:val="1130325949"/>
        </w:trPr>
        <w:tc>
          <w:tcPr>
            <w:tcW w:w="0" w:type="auto"/>
            <w:gridSpan w:val="3"/>
            <w:shd w:val="clear" w:color="auto" w:fill="FFFFFF"/>
            <w:tcMar>
              <w:top w:w="30" w:type="dxa"/>
              <w:left w:w="20" w:type="dxa"/>
              <w:bottom w:w="30" w:type="dxa"/>
              <w:right w:w="20" w:type="dxa"/>
            </w:tcMar>
            <w:hideMark/>
          </w:tcPr>
          <w:p w:rsidR="00000000" w:rsidRDefault="00C668B1">
            <w:pPr>
              <w:spacing w:after="100"/>
              <w:ind w:hanging="180"/>
              <w:divId w:val="753402744"/>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4,218 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25,509 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25,513 </w:t>
            </w:r>
          </w:p>
        </w:tc>
      </w:tr>
      <w:tr w:rsidR="00C668B1">
        <w:trPr>
          <w:divId w:val="1130325949"/>
        </w:trPr>
        <w:tc>
          <w:tcPr>
            <w:tcW w:w="0" w:type="auto"/>
            <w:gridSpan w:val="3"/>
            <w:shd w:val="clear" w:color="auto" w:fill="CCEEFF"/>
            <w:tcMar>
              <w:top w:w="30" w:type="dxa"/>
              <w:left w:w="20" w:type="dxa"/>
              <w:bottom w:w="30" w:type="dxa"/>
              <w:right w:w="20" w:type="dxa"/>
            </w:tcMar>
            <w:hideMark/>
          </w:tcPr>
          <w:p w:rsidR="00000000" w:rsidRDefault="00C668B1">
            <w:pPr>
              <w:spacing w:after="100"/>
              <w:ind w:hanging="180"/>
              <w:divId w:val="387146533"/>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(892,049)</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(892,049)</w:t>
            </w:r>
          </w:p>
        </w:tc>
      </w:tr>
      <w:tr w:rsidR="00C668B1">
        <w:trPr>
          <w:divId w:val="1130325949"/>
        </w:trPr>
        <w:tc>
          <w:tcPr>
            <w:tcW w:w="0" w:type="auto"/>
            <w:gridSpan w:val="3"/>
            <w:shd w:val="clear" w:color="auto" w:fill="FFFFFF"/>
            <w:tcMar>
              <w:top w:w="30" w:type="dxa"/>
              <w:left w:w="20" w:type="dxa"/>
              <w:bottom w:w="30" w:type="dxa"/>
              <w:right w:w="20" w:type="dxa"/>
            </w:tcMar>
            <w:hideMark/>
          </w:tcPr>
          <w:p w:rsidR="00000000" w:rsidRDefault="00C668B1">
            <w:pPr>
              <w:spacing w:after="100"/>
              <w:ind w:hanging="180"/>
              <w:divId w:val="900408979"/>
              <w:rPr>
                <w:rFonts w:eastAsia="Times New Roman"/>
              </w:rPr>
            </w:pPr>
            <w:r>
              <w:rPr>
                <w:rFonts w:eastAsia="Times New Roman"/>
                <w:color w:val="000000"/>
                <w:sz w:val="16"/>
                <w:szCs w:val="16"/>
              </w:rPr>
              <w:t>Balance at March 31,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1,508,633 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9,992,208 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29,000 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336,007</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2,211,211 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(19,689,619)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(17,478,072)</w:t>
            </w:r>
          </w:p>
        </w:tc>
      </w:tr>
      <w:tr w:rsidR="00C668B1">
        <w:trPr>
          <w:divId w:val="1130325949"/>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divId w:val="1497377997"/>
              <w:rPr>
                <w:rFonts w:eastAsia="Times New Roman"/>
              </w:rPr>
            </w:pPr>
            <w:r>
              <w:rPr>
                <w:rFonts w:eastAsia="Times New Roman"/>
                <w:color w:val="000000"/>
                <w:sz w:val="16"/>
                <w:szCs w:val="16"/>
              </w:rPr>
              <w:t>Sale of Series A preferred stock, net of offering costs of $96,948</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285,351 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1,948,309 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r>
      <w:tr w:rsidR="00C668B1">
        <w:trPr>
          <w:divId w:val="1130325949"/>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6"/>
                <w:szCs w:val="16"/>
              </w:rPr>
              <w:t>Fair value of Series A preferred stock issued in conjunction with collaboration and licensing agreement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418,559 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2,837,832 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r>
      <w:tr w:rsidR="00C668B1">
        <w:trPr>
          <w:divId w:val="1130325949"/>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6"/>
                <w:szCs w:val="16"/>
              </w:rPr>
              <w:t>Fair value of warrants issued in conjunction with the Series A preferred stock</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(106,935)</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106,935 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106,935 </w:t>
            </w:r>
          </w:p>
        </w:tc>
      </w:tr>
      <w:tr w:rsidR="00C668B1">
        <w:trPr>
          <w:divId w:val="1130325949"/>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Fair value of warrants issued as placement agent fees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(30,409)</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30,409 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30,409 </w:t>
            </w:r>
          </w:p>
        </w:tc>
      </w:tr>
      <w:tr w:rsidR="00C668B1">
        <w:trPr>
          <w:divId w:val="1130325949"/>
        </w:trPr>
        <w:tc>
          <w:tcPr>
            <w:tcW w:w="0" w:type="auto"/>
            <w:gridSpan w:val="3"/>
            <w:shd w:val="clear" w:color="auto" w:fill="CCEEFF"/>
            <w:tcMar>
              <w:top w:w="30" w:type="dxa"/>
              <w:left w:w="20" w:type="dxa"/>
              <w:bottom w:w="30" w:type="dxa"/>
              <w:right w:w="20" w:type="dxa"/>
            </w:tcMar>
            <w:hideMark/>
          </w:tcPr>
          <w:p w:rsidR="00000000" w:rsidRDefault="00C668B1">
            <w:pPr>
              <w:spacing w:after="100"/>
              <w:ind w:hanging="180"/>
              <w:divId w:val="1310282132"/>
              <w:rPr>
                <w:rFonts w:eastAsia="Times New Roman"/>
              </w:rPr>
            </w:pPr>
            <w:r>
              <w:rPr>
                <w:rFonts w:eastAsia="Times New Roman"/>
                <w:color w:val="000000"/>
                <w:sz w:val="16"/>
                <w:szCs w:val="16"/>
              </w:rPr>
              <w:t>Share-based compensation expense, including vesting of restricted stock and issuance of common stock    </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6,262</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119,357 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119,363 </w:t>
            </w:r>
          </w:p>
        </w:tc>
      </w:tr>
      <w:tr w:rsidR="00C668B1">
        <w:trPr>
          <w:divId w:val="1130325949"/>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6"/>
                <w:szCs w:val="16"/>
              </w:rPr>
              <w:t>Change in fair value of redeemable common stock to redemption value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53,330 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(53,330)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(53,330)</w:t>
            </w:r>
          </w:p>
        </w:tc>
      </w:tr>
      <w:tr w:rsidR="00C668B1">
        <w:trPr>
          <w:divId w:val="1130325949"/>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(5,030,164)</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(5,030,164)</w:t>
            </w:r>
          </w:p>
        </w:tc>
      </w:tr>
      <w:tr w:rsidR="00C668B1">
        <w:trPr>
          <w:divId w:val="1130325949"/>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Balance at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2,212,543 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14,641,005 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82,330 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342,269</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2,414,582 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(24,719,783)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(22,304,859)</w:t>
            </w:r>
          </w:p>
        </w:tc>
      </w:tr>
      <w:tr w:rsidR="00C668B1">
        <w:trPr>
          <w:divId w:val="1130325949"/>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Fair value of warrants issued for services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6"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371,895 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371,895 </w:t>
            </w:r>
          </w:p>
        </w:tc>
      </w:tr>
      <w:tr w:rsidR="00C668B1">
        <w:trPr>
          <w:divId w:val="1130325949"/>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Share-based compensation expense, including vesting of restricted stock and 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6"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6,262</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161,817 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161,823 </w:t>
            </w:r>
          </w:p>
        </w:tc>
      </w:tr>
      <w:tr w:rsidR="00C668B1">
        <w:trPr>
          <w:divId w:val="1130325949"/>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Net loss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 </w:t>
            </w: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left w:val="single" w:sz="6"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(1,442,792)</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(1,442,792)</w:t>
            </w:r>
          </w:p>
        </w:tc>
      </w:tr>
      <w:tr w:rsidR="00C668B1">
        <w:trPr>
          <w:divId w:val="1130325949"/>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Balance at September 30,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2,212,543 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14,641,005 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2,624,324 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6,341,288 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16,666</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82,330 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left w:val="single" w:sz="6" w:space="0" w:color="000000"/>
            </w:tcBorders>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348,531</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2,948,294 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(26,162,575)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r>
              <w:rPr>
                <w:rFonts w:eastAsia="Times New Roman"/>
                <w:color w:val="000000"/>
                <w:sz w:val="16"/>
                <w:szCs w:val="16"/>
              </w:rPr>
              <w:t>23,213,933)</w:t>
            </w:r>
          </w:p>
        </w:tc>
      </w:tr>
    </w:tbl>
    <w:p w:rsidR="00000000" w:rsidRDefault="00C668B1">
      <w:pPr>
        <w:jc w:val="center"/>
        <w:divId w:val="1389644549"/>
        <w:rPr>
          <w:rFonts w:eastAsia="Times New Roman"/>
        </w:rPr>
      </w:pPr>
      <w:r>
        <w:rPr>
          <w:rFonts w:eastAsia="Times New Roman"/>
          <w:i/>
          <w:iCs/>
          <w:color w:val="000000"/>
          <w:sz w:val="20"/>
          <w:szCs w:val="20"/>
        </w:rPr>
        <w:t>The accompanying notes are an integral part of these unaudited condensed consolidated financial statements.</w:t>
      </w:r>
    </w:p>
    <w:p w:rsidR="00000000" w:rsidRDefault="00C668B1">
      <w:pPr>
        <w:jc w:val="center"/>
        <w:divId w:val="420638009"/>
        <w:rPr>
          <w:rFonts w:eastAsia="Times New Roman"/>
        </w:rPr>
      </w:pPr>
      <w:r>
        <w:rPr>
          <w:rFonts w:eastAsia="Times New Roman"/>
          <w:color w:val="000000"/>
        </w:rPr>
        <w:t>8</w:t>
      </w:r>
    </w:p>
    <w:p w:rsidR="00000000" w:rsidRDefault="00C668B1">
      <w:pPr>
        <w:rPr>
          <w:rFonts w:eastAsia="Times New Roman"/>
        </w:rPr>
      </w:pPr>
      <w:r>
        <w:rPr>
          <w:rFonts w:eastAsia="Times New Roman"/>
        </w:rPr>
        <w:pict>
          <v:rect id="_x0000_i1032" style="width:0;height:1.5pt" o:hralign="center" o:hrstd="t" o:hr="t" fillcolor="#a0a0a0" stroked="f"/>
        </w:pict>
      </w:r>
    </w:p>
    <w:p w:rsidR="00000000" w:rsidRDefault="00C668B1">
      <w:pPr>
        <w:divId w:val="1401370066"/>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p>
    <w:p w:rsidR="00000000" w:rsidRDefault="00C668B1">
      <w:pPr>
        <w:jc w:val="center"/>
        <w:rPr>
          <w:rFonts w:eastAsia="Times New Roman"/>
        </w:rPr>
      </w:pPr>
      <w:r>
        <w:rPr>
          <w:rFonts w:eastAsia="Times New Roman"/>
          <w:b/>
          <w:bCs/>
          <w:color w:val="000000"/>
          <w:sz w:val="20"/>
          <w:szCs w:val="20"/>
        </w:rPr>
        <w:t xml:space="preserve">Context Therapeutics Inc. </w:t>
      </w:r>
    </w:p>
    <w:p w:rsidR="00000000" w:rsidRDefault="00C668B1">
      <w:pPr>
        <w:jc w:val="center"/>
        <w:rPr>
          <w:rFonts w:eastAsia="Times New Roman"/>
        </w:rPr>
      </w:pPr>
      <w:r>
        <w:rPr>
          <w:rFonts w:eastAsia="Times New Roman"/>
          <w:b/>
          <w:bCs/>
          <w:color w:val="000000"/>
          <w:sz w:val="20"/>
          <w:szCs w:val="20"/>
        </w:rPr>
        <w:t>Condensed Consolidated Statement of Changes in Stockholders’ Equity</w:t>
      </w:r>
    </w:p>
    <w:p w:rsidR="00000000" w:rsidRDefault="00C668B1">
      <w:pPr>
        <w:jc w:val="center"/>
        <w:rPr>
          <w:rFonts w:eastAsia="Times New Roman"/>
        </w:rPr>
      </w:pPr>
      <w:r>
        <w:rPr>
          <w:rFonts w:eastAsia="Times New Roman"/>
          <w:b/>
          <w:bCs/>
          <w:color w:val="000000"/>
          <w:sz w:val="20"/>
          <w:szCs w:val="20"/>
        </w:rPr>
        <w:t xml:space="preserve">(Unaudited) </w:t>
      </w:r>
    </w:p>
    <w:p w:rsidR="00000000" w:rsidRDefault="00C668B1">
      <w:pPr>
        <w:jc w:val="center"/>
        <w:rPr>
          <w:rFonts w:eastAsia="Times New Roman"/>
        </w:rPr>
      </w:pPr>
    </w:p>
    <w:tbl>
      <w:tblPr>
        <w:tblW w:w="4761" w:type="pct"/>
        <w:jc w:val="center"/>
        <w:tblCellMar>
          <w:top w:w="15" w:type="dxa"/>
          <w:left w:w="15" w:type="dxa"/>
          <w:bottom w:w="15" w:type="dxa"/>
          <w:right w:w="15" w:type="dxa"/>
        </w:tblCellMar>
        <w:tblLook w:val="04A0" w:firstRow="1" w:lastRow="0" w:firstColumn="1" w:lastColumn="0" w:noHBand="0" w:noVBand="1"/>
      </w:tblPr>
      <w:tblGrid>
        <w:gridCol w:w="39"/>
        <w:gridCol w:w="3213"/>
        <w:gridCol w:w="38"/>
        <w:gridCol w:w="111"/>
        <w:gridCol w:w="669"/>
        <w:gridCol w:w="36"/>
        <w:gridCol w:w="36"/>
        <w:gridCol w:w="36"/>
        <w:gridCol w:w="36"/>
        <w:gridCol w:w="100"/>
        <w:gridCol w:w="480"/>
        <w:gridCol w:w="36"/>
        <w:gridCol w:w="36"/>
        <w:gridCol w:w="36"/>
        <w:gridCol w:w="36"/>
        <w:gridCol w:w="100"/>
        <w:gridCol w:w="760"/>
        <w:gridCol w:w="36"/>
        <w:gridCol w:w="36"/>
        <w:gridCol w:w="36"/>
        <w:gridCol w:w="36"/>
        <w:gridCol w:w="100"/>
        <w:gridCol w:w="827"/>
        <w:gridCol w:w="36"/>
        <w:gridCol w:w="36"/>
        <w:gridCol w:w="36"/>
        <w:gridCol w:w="36"/>
        <w:gridCol w:w="100"/>
        <w:gridCol w:w="760"/>
        <w:gridCol w:w="36"/>
      </w:tblGrid>
      <w:tr w:rsidR="00000000">
        <w:trPr>
          <w:divId w:val="1575897243"/>
          <w:jc w:val="center"/>
        </w:trPr>
        <w:tc>
          <w:tcPr>
            <w:tcW w:w="50" w:type="pct"/>
            <w:vAlign w:val="center"/>
            <w:hideMark/>
          </w:tcPr>
          <w:p w:rsidR="00000000" w:rsidRDefault="00C668B1">
            <w:pPr>
              <w:jc w:val="center"/>
              <w:rPr>
                <w:rFonts w:eastAsia="Times New Roman"/>
              </w:rPr>
            </w:pPr>
          </w:p>
        </w:tc>
        <w:tc>
          <w:tcPr>
            <w:tcW w:w="308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30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21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3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3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3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575897243"/>
          <w:trHeight w:val="240"/>
          <w:jc w:val="center"/>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 xml:space="preserve">Common Stock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 xml:space="preserve">Capital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 xml:space="preserve">Deficit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p>
        </w:tc>
      </w:tr>
      <w:tr w:rsidR="00000000">
        <w:trPr>
          <w:divId w:val="1575897243"/>
          <w:trHeight w:val="240"/>
          <w:jc w:val="center"/>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vMerge/>
            <w:vAlign w:val="center"/>
            <w:hideMark/>
          </w:tcPr>
          <w:p w:rsidR="00000000" w:rsidRDefault="00C668B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vMerge/>
            <w:vAlign w:val="center"/>
            <w:hideMark/>
          </w:tcPr>
          <w:p w:rsidR="00000000" w:rsidRDefault="00C668B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vMerge/>
            <w:vAlign w:val="center"/>
            <w:hideMark/>
          </w:tcPr>
          <w:p w:rsidR="00000000" w:rsidRDefault="00C668B1">
            <w:pPr>
              <w:spacing w:after="100"/>
              <w:rPr>
                <w:rFonts w:eastAsia="Times New Roman"/>
              </w:rPr>
            </w:pPr>
          </w:p>
        </w:tc>
      </w:tr>
      <w:tr w:rsidR="00000000">
        <w:trPr>
          <w:divId w:val="1575897243"/>
          <w:jc w:val="center"/>
        </w:trPr>
        <w:tc>
          <w:tcPr>
            <w:tcW w:w="0" w:type="auto"/>
            <w:gridSpan w:val="3"/>
            <w:shd w:val="clear" w:color="auto" w:fill="CCEEFF"/>
            <w:tcMar>
              <w:top w:w="30" w:type="dxa"/>
              <w:left w:w="20" w:type="dxa"/>
              <w:bottom w:w="30" w:type="dxa"/>
              <w:right w:w="20" w:type="dxa"/>
            </w:tcMar>
            <w:hideMark/>
          </w:tcPr>
          <w:p w:rsidR="00000000" w:rsidRDefault="00C668B1">
            <w:pPr>
              <w:spacing w:after="100"/>
              <w:rPr>
                <w:rFonts w:eastAsia="Times New Roman"/>
              </w:rPr>
            </w:pPr>
            <w:r>
              <w:rPr>
                <w:rFonts w:eastAsia="Times New Roman"/>
                <w:color w:val="000000"/>
                <w:sz w:val="16"/>
                <w:szCs w:val="16"/>
              </w:rPr>
              <w:t>Balance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77,510,809 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(29,254,440)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48,272,335 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FFFFFF"/>
            <w:tcMar>
              <w:top w:w="30" w:type="dxa"/>
              <w:left w:w="20" w:type="dxa"/>
              <w:bottom w:w="30" w:type="dxa"/>
              <w:right w:w="20" w:type="dxa"/>
            </w:tcMar>
            <w:hideMark/>
          </w:tcPr>
          <w:p w:rsidR="00000000" w:rsidRDefault="00C668B1">
            <w:pPr>
              <w:spacing w:after="100"/>
              <w:rPr>
                <w:rFonts w:eastAsia="Times New Roman"/>
              </w:rPr>
            </w:pPr>
            <w:r>
              <w:rPr>
                <w:rFonts w:eastAsia="Times New Roman"/>
                <w:color w:val="000000"/>
                <w:sz w:val="16"/>
                <w:szCs w:val="16"/>
              </w:rPr>
              <w:t>Fair value of warrants issued for services</w:t>
            </w: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345,530 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CCEEFF"/>
            <w:tcMar>
              <w:top w:w="30" w:type="dxa"/>
              <w:left w:w="20" w:type="dxa"/>
              <w:bottom w:w="30" w:type="dxa"/>
              <w:right w:w="20" w:type="dxa"/>
            </w:tcMar>
            <w:hideMark/>
          </w:tcPr>
          <w:p w:rsidR="00000000" w:rsidRDefault="00C668B1">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214,958 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214,958 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FFFFFF"/>
            <w:tcMar>
              <w:top w:w="30" w:type="dxa"/>
              <w:left w:w="20" w:type="dxa"/>
              <w:bottom w:w="30" w:type="dxa"/>
              <w:right w:w="20" w:type="dxa"/>
            </w:tcMar>
            <w:hideMark/>
          </w:tcPr>
          <w:p w:rsidR="00000000" w:rsidRDefault="00C668B1">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(3,438,337)</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(3,438,337)</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Balance at March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15,966,053 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78,071,297 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(32,692,777)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45,394,486 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ind w:hanging="18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241,324 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241,324 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(3,986,511)</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w:t>
            </w:r>
            <w:r>
              <w:rPr>
                <w:rFonts w:eastAsia="Times New Roman"/>
                <w:color w:val="000000"/>
                <w:sz w:val="16"/>
                <w:szCs w:val="16"/>
              </w:rPr>
              <w:t>3,986,511)</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Balance at June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15,966,053</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15,966 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78,312,621 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(36,679,288)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41,649,299 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ind w:hanging="180"/>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276,521 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276,521 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w:t>
            </w:r>
            <w:r>
              <w:rPr>
                <w:rFonts w:eastAsia="Times New Roman"/>
                <w:color w:val="000000"/>
                <w:sz w:val="16"/>
                <w:szCs w:val="16"/>
              </w:rPr>
              <w:t>3,854,310)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(3,854,310)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1575897243"/>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Balance at September 30, 2022</w:t>
            </w:r>
          </w:p>
        </w:tc>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6"/>
                <w:szCs w:val="16"/>
              </w:rPr>
              <w:t>15,966,053</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15,966 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78,589,142 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(40,533,598)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6"/>
                <w:szCs w:val="16"/>
              </w:rPr>
              <w:t>38,071,510 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bl>
    <w:p w:rsidR="00000000" w:rsidRDefault="00C668B1">
      <w:pPr>
        <w:jc w:val="center"/>
        <w:divId w:val="1845630076"/>
        <w:rPr>
          <w:rFonts w:eastAsia="Times New Roman"/>
        </w:rPr>
      </w:pPr>
    </w:p>
    <w:p w:rsidR="00000000" w:rsidRDefault="00C668B1">
      <w:pPr>
        <w:jc w:val="center"/>
        <w:rPr>
          <w:rFonts w:eastAsia="Times New Roman"/>
        </w:rPr>
      </w:pPr>
      <w:r>
        <w:rPr>
          <w:rFonts w:eastAsia="Times New Roman"/>
          <w:i/>
          <w:iCs/>
          <w:color w:val="000000"/>
          <w:sz w:val="20"/>
          <w:szCs w:val="20"/>
        </w:rPr>
        <w:t>The accompany</w:t>
      </w:r>
      <w:r>
        <w:rPr>
          <w:rFonts w:eastAsia="Times New Roman"/>
          <w:i/>
          <w:iCs/>
          <w:color w:val="000000"/>
          <w:sz w:val="20"/>
          <w:szCs w:val="20"/>
        </w:rPr>
        <w:t>ing notes are an integral part of these unaudited condensed consolidated financial statements.</w:t>
      </w:r>
    </w:p>
    <w:p w:rsidR="00000000" w:rsidRDefault="00C668B1">
      <w:pPr>
        <w:jc w:val="center"/>
        <w:divId w:val="1666594212"/>
        <w:rPr>
          <w:rFonts w:eastAsia="Times New Roman"/>
        </w:rPr>
      </w:pPr>
      <w:r>
        <w:rPr>
          <w:rFonts w:eastAsia="Times New Roman"/>
          <w:color w:val="000000"/>
        </w:rPr>
        <w:t>9</w:t>
      </w:r>
    </w:p>
    <w:p w:rsidR="00000000" w:rsidRDefault="00C668B1">
      <w:pPr>
        <w:rPr>
          <w:rFonts w:eastAsia="Times New Roman"/>
        </w:rPr>
      </w:pPr>
      <w:r>
        <w:rPr>
          <w:rFonts w:eastAsia="Times New Roman"/>
        </w:rPr>
        <w:pict>
          <v:rect id="_x0000_i1033" style="width:0;height:1.5pt" o:hralign="center" o:hrstd="t" o:hr="t" fillcolor="#a0a0a0" stroked="f"/>
        </w:pict>
      </w:r>
    </w:p>
    <w:p w:rsidR="00000000" w:rsidRDefault="00C668B1">
      <w:pPr>
        <w:divId w:val="1968702293"/>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 xml:space="preserve">Context Therapeutics Inc. </w:t>
      </w:r>
    </w:p>
    <w:p w:rsidR="00000000" w:rsidRDefault="00C668B1">
      <w:pPr>
        <w:jc w:val="center"/>
        <w:rPr>
          <w:rFonts w:eastAsia="Times New Roman"/>
        </w:rPr>
      </w:pPr>
      <w:r>
        <w:rPr>
          <w:rFonts w:eastAsia="Times New Roman"/>
          <w:b/>
          <w:bCs/>
          <w:color w:val="000000"/>
          <w:sz w:val="20"/>
          <w:szCs w:val="20"/>
        </w:rPr>
        <w:t>Condensed Consolidated Statements of Cash Flows</w:t>
      </w:r>
    </w:p>
    <w:p w:rsidR="00000000" w:rsidRDefault="00C668B1">
      <w:pPr>
        <w:jc w:val="center"/>
        <w:rPr>
          <w:rFonts w:eastAsia="Times New Roman"/>
        </w:rPr>
      </w:pPr>
      <w:r>
        <w:rPr>
          <w:rFonts w:eastAsia="Times New Roman"/>
          <w:b/>
          <w:bCs/>
          <w:color w:val="000000"/>
          <w:sz w:val="20"/>
          <w:szCs w:val="20"/>
        </w:rPr>
        <w:t xml:space="preserve">(Unaudited)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837"/>
        <w:gridCol w:w="40"/>
        <w:gridCol w:w="120"/>
        <w:gridCol w:w="1034"/>
        <w:gridCol w:w="36"/>
        <w:gridCol w:w="36"/>
        <w:gridCol w:w="36"/>
        <w:gridCol w:w="36"/>
        <w:gridCol w:w="120"/>
        <w:gridCol w:w="934"/>
        <w:gridCol w:w="36"/>
      </w:tblGrid>
      <w:tr w:rsidR="00000000">
        <w:trPr>
          <w:jc w:val="center"/>
        </w:trPr>
        <w:tc>
          <w:tcPr>
            <w:tcW w:w="50" w:type="pct"/>
            <w:vAlign w:val="center"/>
            <w:hideMark/>
          </w:tcPr>
          <w:p w:rsidR="00000000" w:rsidRDefault="00C668B1">
            <w:pPr>
              <w:jc w:val="center"/>
              <w:rPr>
                <w:rFonts w:eastAsia="Times New Roman"/>
              </w:rPr>
            </w:pPr>
          </w:p>
        </w:tc>
        <w:tc>
          <w:tcPr>
            <w:tcW w:w="364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8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8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Nine months ended September 30,</w:t>
            </w:r>
          </w:p>
        </w:tc>
      </w:tr>
      <w:tr w:rsidR="00000000">
        <w:trPr>
          <w:jc w:val="center"/>
        </w:trPr>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2021</w:t>
            </w: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(11,279,158)</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(7,365,005)</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Acquired in-process research and development charge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3,087,832 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Fair value of warrants for services provided</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371,895 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732,803 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306,699 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Depreciation and amortization expense</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6,074 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Non-cash interest expense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64,555 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(9,317)</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Reduction in the carrying amount of operating lease right-of-use asset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56,736 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Gain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(125,577)</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(891,912)</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(9,707)</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(39,313)</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(229,228)</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(179,199)</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Accrued expenses and other current liabilities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1,576,728 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20,021 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Operating lease liability</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(52,291)</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5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(9,619,561)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(3,837,803)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Acquired in-process 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(500,000)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(250,000)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(36,836)</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6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(536,836)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(250,000)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Payments for offering costs related to the private placement sale of common stock</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(102,071)</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Proceeds from the sale of Series A preferred stock, net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4,982,835 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Payment of offering costs related to initial public offering</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(816,917)</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56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Cash (used in)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(102,071)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4,165,918 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Net (decrease)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(10,258,468)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78,115 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49,685,586 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341,037 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39,427,118 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419,152 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trHeight w:val="120"/>
          <w:jc w:val="center"/>
        </w:trPr>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Supplemental disclosure of non-cash activities:</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C668B1">
            <w:pPr>
              <w:spacing w:after="100"/>
              <w:ind w:hanging="180"/>
              <w:rPr>
                <w:rFonts w:eastAsia="Times New Roman"/>
              </w:rPr>
            </w:pPr>
            <w:r>
              <w:rPr>
                <w:rFonts w:eastAsia="Times New Roman"/>
                <w:color w:val="000000"/>
                <w:sz w:val="20"/>
                <w:szCs w:val="20"/>
              </w:rPr>
              <w:t>Conversion of convertible promissory notes, including accrued interest, to Series A preferred stock</w:t>
            </w: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5,866,290 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Issuance of warrants in conjunction with Series A preferred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309,390 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Series A preferred stock issued for acquired in-process research and development</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2,837,832 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Deferred offering costs in accounts payable and accrued expenses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1,004,856 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Issuance of warrants for services provided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345,530 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Right-of-use asset obtained in exchange for lease obligation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130,488 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0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Change in fair value of redeemable common stock to redemption value</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53,330 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bl>
    <w:p w:rsidR="00000000" w:rsidRDefault="00C668B1">
      <w:pPr>
        <w:jc w:val="center"/>
        <w:divId w:val="1048185949"/>
        <w:rPr>
          <w:rFonts w:eastAsia="Times New Roman"/>
        </w:rPr>
      </w:pPr>
      <w:r>
        <w:rPr>
          <w:rFonts w:eastAsia="Times New Roman"/>
          <w:i/>
          <w:iCs/>
          <w:color w:val="000000"/>
          <w:sz w:val="20"/>
          <w:szCs w:val="20"/>
        </w:rPr>
        <w:t xml:space="preserve">The accompanying notes are an integral part of these unaudited condensed consolidated financial statements. </w:t>
      </w:r>
    </w:p>
    <w:p w:rsidR="00000000" w:rsidRDefault="00C668B1">
      <w:pPr>
        <w:jc w:val="center"/>
        <w:divId w:val="1341658843"/>
        <w:rPr>
          <w:rFonts w:eastAsia="Times New Roman"/>
        </w:rPr>
      </w:pPr>
      <w:r>
        <w:rPr>
          <w:rFonts w:eastAsia="Times New Roman"/>
          <w:color w:val="000000"/>
        </w:rPr>
        <w:t>10</w:t>
      </w:r>
    </w:p>
    <w:p w:rsidR="00000000" w:rsidRDefault="00C668B1">
      <w:pPr>
        <w:rPr>
          <w:rFonts w:eastAsia="Times New Roman"/>
        </w:rPr>
      </w:pPr>
      <w:r>
        <w:rPr>
          <w:rFonts w:eastAsia="Times New Roman"/>
        </w:rPr>
        <w:pict>
          <v:rect id="_x0000_i1034" style="width:0;height:1.5pt" o:hralign="center" o:hrstd="t" o:hr="t" fillcolor="#a0a0a0" stroked="f"/>
        </w:pict>
      </w:r>
    </w:p>
    <w:p w:rsidR="00000000" w:rsidRDefault="00C668B1">
      <w:pPr>
        <w:divId w:val="1776516425"/>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rPr>
          <w:rFonts w:eastAsia="Times New Roman"/>
        </w:rPr>
      </w:pPr>
      <w:r>
        <w:rPr>
          <w:rFonts w:eastAsia="Times New Roman"/>
          <w:b/>
          <w:bCs/>
          <w:color w:val="000000"/>
          <w:sz w:val="20"/>
          <w:szCs w:val="20"/>
        </w:rPr>
        <w:t xml:space="preserve">CONTEXT THERAPEUTICS INC. </w:t>
      </w:r>
    </w:p>
    <w:p w:rsidR="00000000" w:rsidRDefault="00C668B1">
      <w:pPr>
        <w:jc w:val="center"/>
        <w:rPr>
          <w:rFonts w:eastAsia="Times New Roman"/>
        </w:rPr>
      </w:pPr>
      <w:r>
        <w:rPr>
          <w:rFonts w:eastAsia="Times New Roman"/>
          <w:b/>
          <w:bCs/>
          <w:color w:val="000000"/>
          <w:sz w:val="20"/>
          <w:szCs w:val="20"/>
        </w:rPr>
        <w:t xml:space="preserve">Notes to Unaudited Condensed Consolidated Financial Statements </w:t>
      </w:r>
    </w:p>
    <w:p w:rsidR="00000000" w:rsidRDefault="00C668B1">
      <w:pPr>
        <w:divId w:val="1631130619"/>
        <w:rPr>
          <w:rFonts w:eastAsia="Times New Roman"/>
        </w:rPr>
      </w:pPr>
      <w:r>
        <w:rPr>
          <w:rFonts w:eastAsia="Times New Roman"/>
          <w:b/>
          <w:bCs/>
          <w:color w:val="000000"/>
          <w:sz w:val="20"/>
          <w:szCs w:val="20"/>
        </w:rPr>
        <w:t>(1) Organization and Description of Business</w:t>
      </w:r>
    </w:p>
    <w:p w:rsidR="00000000" w:rsidRDefault="00C668B1">
      <w:pPr>
        <w:divId w:val="552036391"/>
        <w:rPr>
          <w:rFonts w:eastAsia="Times New Roman"/>
        </w:rPr>
      </w:pPr>
      <w:r>
        <w:rPr>
          <w:rFonts w:eastAsia="Times New Roman"/>
          <w:color w:val="000000"/>
          <w:sz w:val="20"/>
          <w:szCs w:val="20"/>
        </w:rPr>
        <w:t>Context Therapeutics Inc. (the “Company”) is a clinical-stage biopharmaceutical company dedicated to improving the lives of women living with cance</w:t>
      </w:r>
      <w:r>
        <w:rPr>
          <w:rFonts w:eastAsia="Times New Roman"/>
          <w:color w:val="000000"/>
          <w:sz w:val="20"/>
          <w:szCs w:val="20"/>
        </w:rPr>
        <w:t>r. The Company was organized in April 2015 under the laws of the State of Delaware. The Company’s operations are located in Philadelphia, Pennsylvania. In April 2021, the Company completed a reverse triangular merger, which resulted in Context Therapeutics</w:t>
      </w:r>
      <w:r>
        <w:rPr>
          <w:rFonts w:eastAsia="Times New Roman"/>
          <w:color w:val="000000"/>
          <w:sz w:val="20"/>
          <w:szCs w:val="20"/>
        </w:rPr>
        <w:t xml:space="preserve"> Inc. becoming the sole holder of 100% of the membership interests in Context Therapeutics LLC. In connection with the merger, all common units, preferred units, options, warrants or other rights to purchase common or preferred units of Context Therapeutic</w:t>
      </w:r>
      <w:r>
        <w:rPr>
          <w:rFonts w:eastAsia="Times New Roman"/>
          <w:color w:val="000000"/>
          <w:sz w:val="20"/>
          <w:szCs w:val="20"/>
        </w:rPr>
        <w:t xml:space="preserve">s LLC converted into common stock, preferred stock, options, warrants or other rights to purchase common or preferred stock of Context Therapeutics Inc. As this was a transaction between entities under common control, the carryover basis of accounting was </w:t>
      </w:r>
      <w:r>
        <w:rPr>
          <w:rFonts w:eastAsia="Times New Roman"/>
          <w:color w:val="000000"/>
          <w:sz w:val="20"/>
          <w:szCs w:val="20"/>
        </w:rPr>
        <w:t>used to record the assets, liabilities and equity of Context Therapeutics LLC. Further, as a common control transaction the condensed consolidated financial statements of the Company reflect the merger transaction as if it had occurred as of the earliest p</w:t>
      </w:r>
      <w:r>
        <w:rPr>
          <w:rFonts w:eastAsia="Times New Roman"/>
          <w:color w:val="000000"/>
          <w:sz w:val="20"/>
          <w:szCs w:val="20"/>
        </w:rPr>
        <w:t>eriod presented herein.</w:t>
      </w:r>
    </w:p>
    <w:p w:rsidR="00000000" w:rsidRDefault="00C668B1">
      <w:pPr>
        <w:divId w:val="1109161614"/>
        <w:rPr>
          <w:rFonts w:eastAsia="Times New Roman"/>
        </w:rPr>
      </w:pPr>
      <w:r>
        <w:rPr>
          <w:rFonts w:eastAsia="Times New Roman"/>
          <w:b/>
          <w:bCs/>
          <w:color w:val="000000"/>
          <w:sz w:val="20"/>
          <w:szCs w:val="20"/>
        </w:rPr>
        <w:t xml:space="preserve">(2) Risks and Liquidity </w:t>
      </w:r>
    </w:p>
    <w:p w:rsidR="00000000" w:rsidRDefault="00C668B1">
      <w:pPr>
        <w:divId w:val="1616979905"/>
        <w:rPr>
          <w:rFonts w:eastAsia="Times New Roman"/>
        </w:rPr>
      </w:pPr>
      <w:r>
        <w:rPr>
          <w:rFonts w:eastAsia="Times New Roman"/>
          <w:color w:val="000000"/>
          <w:sz w:val="20"/>
          <w:szCs w:val="20"/>
        </w:rPr>
        <w:t xml:space="preserve">The Company has incurred losses and negative cash flows from operations since inception and had an accumulated deficit of $40.5 million as of September 30, 2022. The Company anticipates incurring additional </w:t>
      </w:r>
      <w:r>
        <w:rPr>
          <w:rFonts w:eastAsia="Times New Roman"/>
          <w:color w:val="000000"/>
          <w:sz w:val="20"/>
          <w:szCs w:val="20"/>
        </w:rPr>
        <w:t>losses until such time, if ever, that it can generate significant revenues from its product candidates currently in development. The Company believes its cash and cash equivalents of $39.4 million as of September 30, 2022 are sufficient to fund its project</w:t>
      </w:r>
      <w:r>
        <w:rPr>
          <w:rFonts w:eastAsia="Times New Roman"/>
          <w:color w:val="000000"/>
          <w:sz w:val="20"/>
          <w:szCs w:val="20"/>
        </w:rPr>
        <w:t>ed operations for at least the next 12 months from the issuance date of these condensed consolidated financial statements. However, substantial additional financing will be needed by the Company to fund its operations and to commercially develop its curren</w:t>
      </w:r>
      <w:r>
        <w:rPr>
          <w:rFonts w:eastAsia="Times New Roman"/>
          <w:color w:val="000000"/>
          <w:sz w:val="20"/>
          <w:szCs w:val="20"/>
        </w:rPr>
        <w:t>t and future product candidates. There is no assurance that such financing will be available when needed or on acceptable terms.</w:t>
      </w:r>
    </w:p>
    <w:p w:rsidR="00000000" w:rsidRDefault="00C668B1">
      <w:pPr>
        <w:divId w:val="410200576"/>
        <w:rPr>
          <w:rFonts w:eastAsia="Times New Roman"/>
        </w:rPr>
      </w:pPr>
      <w:r>
        <w:rPr>
          <w:rFonts w:eastAsia="Times New Roman"/>
          <w:color w:val="000000"/>
          <w:sz w:val="20"/>
          <w:szCs w:val="20"/>
        </w:rPr>
        <w:t>In the first half of 2021, the Company raised $5.0 million in net proceeds related to the sale of its Series A convertible pref</w:t>
      </w:r>
      <w:r>
        <w:rPr>
          <w:rFonts w:eastAsia="Times New Roman"/>
          <w:color w:val="000000"/>
          <w:sz w:val="20"/>
          <w:szCs w:val="20"/>
        </w:rPr>
        <w:t>erred stock (“Series A Stock”) and warrants for common stock.</w:t>
      </w:r>
    </w:p>
    <w:p w:rsidR="00000000" w:rsidRDefault="00C668B1">
      <w:pPr>
        <w:divId w:val="1234512995"/>
        <w:rPr>
          <w:rFonts w:eastAsia="Times New Roman"/>
        </w:rPr>
      </w:pPr>
    </w:p>
    <w:p w:rsidR="00000000" w:rsidRDefault="00C668B1">
      <w:pPr>
        <w:divId w:val="1873834075"/>
        <w:rPr>
          <w:rFonts w:eastAsia="Times New Roman"/>
        </w:rPr>
      </w:pPr>
      <w:r>
        <w:rPr>
          <w:rFonts w:eastAsia="Times New Roman"/>
          <w:color w:val="000000"/>
          <w:sz w:val="20"/>
          <w:szCs w:val="20"/>
        </w:rPr>
        <w:t xml:space="preserve">In October 2021, the Company closed an initial public offering (“IPO”), in which it issued and sold 5,750,000 shares at a public offering price of $5.00 per share. In addition, at the closing </w:t>
      </w:r>
      <w:r>
        <w:rPr>
          <w:rFonts w:eastAsia="Times New Roman"/>
          <w:color w:val="000000"/>
          <w:sz w:val="20"/>
          <w:szCs w:val="20"/>
        </w:rPr>
        <w:t>of the IPO, the Company issued warrants to purchase up to 250,000 shares of common stock to designees of the placement agent. The placement agent's warrants have an exercise price of $6.25 per share and a term of five years from the date of issuance. Immed</w:t>
      </w:r>
      <w:r>
        <w:rPr>
          <w:rFonts w:eastAsia="Times New Roman"/>
          <w:color w:val="000000"/>
          <w:sz w:val="20"/>
          <w:szCs w:val="20"/>
        </w:rPr>
        <w:t>iately prior to the completion of the IPO, all of the Company’s preferred stock and redeemable common stock converted into an aggregate of 4,853,533 shares of common stock and 480,415 warrants converted into 9,816 shares of common stock. The Company receiv</w:t>
      </w:r>
      <w:r>
        <w:rPr>
          <w:rFonts w:eastAsia="Times New Roman"/>
          <w:color w:val="000000"/>
          <w:sz w:val="20"/>
          <w:szCs w:val="20"/>
        </w:rPr>
        <w:t xml:space="preserve">ed net proceeds of approximately $24.4 million as a result of the offering. </w:t>
      </w:r>
    </w:p>
    <w:p w:rsidR="00000000" w:rsidRDefault="00C668B1">
      <w:pPr>
        <w:divId w:val="253824089"/>
        <w:rPr>
          <w:rFonts w:eastAsia="Times New Roman"/>
        </w:rPr>
      </w:pPr>
    </w:p>
    <w:p w:rsidR="00000000" w:rsidRDefault="00C668B1">
      <w:pPr>
        <w:divId w:val="796949761"/>
        <w:rPr>
          <w:rFonts w:eastAsia="Times New Roman"/>
        </w:rPr>
      </w:pPr>
      <w:r>
        <w:rPr>
          <w:rFonts w:eastAsia="Times New Roman"/>
          <w:color w:val="000000"/>
          <w:sz w:val="20"/>
          <w:szCs w:val="20"/>
        </w:rPr>
        <w:t>In December 2021, the Company sold 5,000,000 shares of its common stock together with warrants to purchase 5,000,000 shares of common stock in a private placement and received n</w:t>
      </w:r>
      <w:r>
        <w:rPr>
          <w:rFonts w:eastAsia="Times New Roman"/>
          <w:color w:val="000000"/>
          <w:sz w:val="20"/>
          <w:szCs w:val="20"/>
        </w:rPr>
        <w:t>et proceeds of approximately $28.9 million. Each share of common stock and accompanying warrant were sold together at a combined offering price of $6.25. The warrants have a term of 5.5 years and an exercise price of $6.25 per share. In addition, at the cl</w:t>
      </w:r>
      <w:r>
        <w:rPr>
          <w:rFonts w:eastAsia="Times New Roman"/>
          <w:color w:val="000000"/>
          <w:sz w:val="20"/>
          <w:szCs w:val="20"/>
        </w:rPr>
        <w:t>osing of the private placement, the Company issued warrants to purchase up to 250,000 shares of common stock to designees of the placement agent. The placement agent’s warrants have an exercise price of $6.25 per share and a term of 5.5 years from the date</w:t>
      </w:r>
      <w:r>
        <w:rPr>
          <w:rFonts w:eastAsia="Times New Roman"/>
          <w:color w:val="000000"/>
          <w:sz w:val="20"/>
          <w:szCs w:val="20"/>
        </w:rPr>
        <w:t xml:space="preserve"> of issuance.</w:t>
      </w:r>
    </w:p>
    <w:p w:rsidR="00000000" w:rsidRDefault="00C668B1">
      <w:pPr>
        <w:divId w:val="802891737"/>
        <w:rPr>
          <w:rFonts w:eastAsia="Times New Roman"/>
        </w:rPr>
      </w:pPr>
      <w:r>
        <w:rPr>
          <w:rFonts w:eastAsia="Times New Roman"/>
          <w:color w:val="000000"/>
          <w:sz w:val="20"/>
          <w:szCs w:val="20"/>
        </w:rPr>
        <w:t>The Company plans to seek additional capital in the future through equity and/or debt financings, partnerships, collaborations, or other sources to carry out the Company’s planned development activities. If additional capital is not available</w:t>
      </w:r>
      <w:r>
        <w:rPr>
          <w:rFonts w:eastAsia="Times New Roman"/>
          <w:color w:val="000000"/>
          <w:sz w:val="20"/>
          <w:szCs w:val="20"/>
        </w:rPr>
        <w:t xml:space="preserve"> when required, the Company may need to delay or curtail its operations until such funding is received. Various internal and external factors will affect whether and when the Company’s product candidates become approved for marketing and successful commerc</w:t>
      </w:r>
      <w:r>
        <w:rPr>
          <w:rFonts w:eastAsia="Times New Roman"/>
          <w:color w:val="000000"/>
          <w:sz w:val="20"/>
          <w:szCs w:val="20"/>
        </w:rPr>
        <w:t>ialization. The regulatory approval and market acceptance of the Company’s product candidates, length of time and cost of developing and commercializing these product candidates and/or failure of them at any stage of the approval process will materially af</w:t>
      </w:r>
      <w:r>
        <w:rPr>
          <w:rFonts w:eastAsia="Times New Roman"/>
          <w:color w:val="000000"/>
          <w:sz w:val="20"/>
          <w:szCs w:val="20"/>
        </w:rPr>
        <w:t xml:space="preserve">fect the Company’s financial condition and future operations. </w:t>
      </w:r>
    </w:p>
    <w:p w:rsidR="00000000" w:rsidRDefault="00C668B1">
      <w:pPr>
        <w:divId w:val="848300165"/>
        <w:rPr>
          <w:rFonts w:eastAsia="Times New Roman"/>
        </w:rPr>
      </w:pPr>
    </w:p>
    <w:p w:rsidR="00000000" w:rsidRDefault="00C668B1">
      <w:pPr>
        <w:divId w:val="1363365747"/>
        <w:rPr>
          <w:rFonts w:eastAsia="Times New Roman"/>
        </w:rPr>
      </w:pPr>
      <w:r>
        <w:rPr>
          <w:rFonts w:eastAsia="Times New Roman"/>
          <w:color w:val="000000"/>
          <w:sz w:val="20"/>
          <w:szCs w:val="20"/>
        </w:rPr>
        <w:t xml:space="preserve">The Company faces risks associated with companies whose products are in development. These risks include the need for additional financing to complete its research and development, achieving </w:t>
      </w:r>
      <w:r>
        <w:rPr>
          <w:rFonts w:eastAsia="Times New Roman"/>
          <w:color w:val="000000"/>
          <w:sz w:val="20"/>
          <w:szCs w:val="20"/>
        </w:rPr>
        <w:t xml:space="preserve">its research and development objectives, defending its intellectual property rights, recruiting and retaining skilled personnel, and dependence on key members of management, among others. </w:t>
      </w:r>
    </w:p>
    <w:p w:rsidR="00000000" w:rsidRDefault="00C668B1">
      <w:pPr>
        <w:jc w:val="center"/>
        <w:divId w:val="291178381"/>
        <w:rPr>
          <w:rFonts w:eastAsia="Times New Roman"/>
        </w:rPr>
      </w:pPr>
      <w:r>
        <w:rPr>
          <w:rFonts w:eastAsia="Times New Roman"/>
          <w:color w:val="000000"/>
        </w:rPr>
        <w:t>11</w:t>
      </w:r>
    </w:p>
    <w:p w:rsidR="00000000" w:rsidRDefault="00C668B1">
      <w:pPr>
        <w:rPr>
          <w:rFonts w:eastAsia="Times New Roman"/>
        </w:rPr>
      </w:pPr>
      <w:r>
        <w:rPr>
          <w:rFonts w:eastAsia="Times New Roman"/>
        </w:rPr>
        <w:pict>
          <v:rect id="_x0000_i1035" style="width:0;height:1.5pt" o:hralign="center" o:hrstd="t" o:hr="t" fillcolor="#a0a0a0" stroked="f"/>
        </w:pict>
      </w:r>
    </w:p>
    <w:p w:rsidR="00000000" w:rsidRDefault="00C668B1">
      <w:pPr>
        <w:divId w:val="986277540"/>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736704179"/>
        <w:rPr>
          <w:rFonts w:eastAsia="Times New Roman"/>
        </w:rPr>
      </w:pPr>
      <w:r>
        <w:rPr>
          <w:rFonts w:eastAsia="Times New Roman"/>
          <w:color w:val="000000"/>
          <w:sz w:val="20"/>
          <w:szCs w:val="20"/>
        </w:rPr>
        <w:t>In March 2020, the World Health Organization declared the outbreak of COVID-19 a global pandemic. The spread of COVID-19 has caused worldwide economic downturn and significant volatility in the financial mark</w:t>
      </w:r>
      <w:r>
        <w:rPr>
          <w:rFonts w:eastAsia="Times New Roman"/>
          <w:color w:val="000000"/>
          <w:sz w:val="20"/>
          <w:szCs w:val="20"/>
        </w:rPr>
        <w:t>ets. There is significant uncertainty as to the likely effects of this disease which may, among other things, materially impact the Company’s planned clinical trials. This pandemic or outbreak could result in difficulty securing clinical trial site locatio</w:t>
      </w:r>
      <w:r>
        <w:rPr>
          <w:rFonts w:eastAsia="Times New Roman"/>
          <w:color w:val="000000"/>
          <w:sz w:val="20"/>
          <w:szCs w:val="20"/>
        </w:rPr>
        <w:t>ns, contract research organizations, and/or trial monitors and other critical vendors and consultants supporting the trials. In addition, outbreaks or the perception of an outbreak near a clinical trial site location could impact the Company’s ability to e</w:t>
      </w:r>
      <w:r>
        <w:rPr>
          <w:rFonts w:eastAsia="Times New Roman"/>
          <w:color w:val="000000"/>
          <w:sz w:val="20"/>
          <w:szCs w:val="20"/>
        </w:rPr>
        <w:t xml:space="preserve">nroll patients. These situations, or others associated with COVID-19, could cause delays in the Company’s clinical trial plans and could increase expected costs, all of which could have a material adverse effect on the Company’s business and its financial </w:t>
      </w:r>
      <w:r>
        <w:rPr>
          <w:rFonts w:eastAsia="Times New Roman"/>
          <w:color w:val="000000"/>
          <w:sz w:val="20"/>
          <w:szCs w:val="20"/>
        </w:rPr>
        <w:t xml:space="preserve">condition. At the current time, the Company is unable to quantify the potential effects of this pandemic on its future consolidated financial statements. </w:t>
      </w:r>
    </w:p>
    <w:p w:rsidR="00000000" w:rsidRDefault="00C668B1">
      <w:pPr>
        <w:divId w:val="1542523202"/>
        <w:rPr>
          <w:rFonts w:eastAsia="Times New Roman"/>
        </w:rPr>
      </w:pPr>
      <w:r>
        <w:rPr>
          <w:rFonts w:eastAsia="Times New Roman"/>
          <w:b/>
          <w:bCs/>
          <w:color w:val="000000"/>
          <w:sz w:val="20"/>
          <w:szCs w:val="20"/>
        </w:rPr>
        <w:t xml:space="preserve">(3) Basis of Presentation and Summary of Significant Accounting Policies </w:t>
      </w:r>
    </w:p>
    <w:p w:rsidR="00000000" w:rsidRDefault="00C668B1">
      <w:pPr>
        <w:divId w:val="710232882"/>
        <w:rPr>
          <w:rFonts w:eastAsia="Times New Roman"/>
        </w:rPr>
      </w:pPr>
      <w:r>
        <w:rPr>
          <w:rFonts w:eastAsia="Times New Roman"/>
          <w:b/>
          <w:bCs/>
          <w:i/>
          <w:iCs/>
          <w:color w:val="000000"/>
          <w:sz w:val="20"/>
          <w:szCs w:val="20"/>
        </w:rPr>
        <w:t>Basis of Presentation and P</w:t>
      </w:r>
      <w:r>
        <w:rPr>
          <w:rFonts w:eastAsia="Times New Roman"/>
          <w:b/>
          <w:bCs/>
          <w:i/>
          <w:iCs/>
          <w:color w:val="000000"/>
          <w:sz w:val="20"/>
          <w:szCs w:val="20"/>
        </w:rPr>
        <w:t xml:space="preserve">rinciples of Consolidation </w:t>
      </w:r>
    </w:p>
    <w:p w:rsidR="00000000" w:rsidRDefault="00C668B1">
      <w:pPr>
        <w:divId w:val="1797529033"/>
        <w:rPr>
          <w:rFonts w:eastAsia="Times New Roman"/>
        </w:rPr>
      </w:pPr>
      <w:r>
        <w:rPr>
          <w:rFonts w:eastAsia="Times New Roman"/>
          <w:color w:val="000000"/>
          <w:sz w:val="20"/>
          <w:szCs w:val="20"/>
        </w:rPr>
        <w:t>The accompanying unaudited condensed consolidated financial statements have been prepared pursuant to the rules and regulations of the Securities and Exchange Commission (“SEC”). Certain information and note disclosures normally</w:t>
      </w:r>
      <w:r>
        <w:rPr>
          <w:rFonts w:eastAsia="Times New Roman"/>
          <w:color w:val="000000"/>
          <w:sz w:val="20"/>
          <w:szCs w:val="20"/>
        </w:rPr>
        <w:t xml:space="preserve"> included in annual financial statements prepared in accordance with U.S. generally accepted accounting principles (“GAAP”) have been condensed or omitted pursuant to those rules and regulations, although the Company believes that the disclosures made are </w:t>
      </w:r>
      <w:r>
        <w:rPr>
          <w:rFonts w:eastAsia="Times New Roman"/>
          <w:color w:val="000000"/>
          <w:sz w:val="20"/>
          <w:szCs w:val="20"/>
        </w:rPr>
        <w:t xml:space="preserve">adequate to make the information not misleading. Any reference in these notes to applicable guidance is meant to refer to GAAP as found in the Accounting Standards Codification and Accounting Standards Updates (“ASU”) of the Financial Accounting Standards </w:t>
      </w:r>
      <w:r>
        <w:rPr>
          <w:rFonts w:eastAsia="Times New Roman"/>
          <w:color w:val="000000"/>
          <w:sz w:val="20"/>
          <w:szCs w:val="20"/>
        </w:rPr>
        <w:t>Board (“FASB”).</w:t>
      </w:r>
    </w:p>
    <w:p w:rsidR="00000000" w:rsidRDefault="00C668B1">
      <w:pPr>
        <w:divId w:val="865605642"/>
        <w:rPr>
          <w:rFonts w:eastAsia="Times New Roman"/>
        </w:rPr>
      </w:pPr>
      <w:r>
        <w:rPr>
          <w:rFonts w:eastAsia="Times New Roman"/>
          <w:color w:val="000000"/>
          <w:sz w:val="20"/>
          <w:szCs w:val="20"/>
        </w:rPr>
        <w:t>In the opinion of management, the accompanying unaudited condensed consolidated financial statements include all normal and recurring adjustments (which consist primarily of accruals and estimates that impact the financial statements) consi</w:t>
      </w:r>
      <w:r>
        <w:rPr>
          <w:rFonts w:eastAsia="Times New Roman"/>
          <w:color w:val="000000"/>
          <w:sz w:val="20"/>
          <w:szCs w:val="20"/>
        </w:rPr>
        <w:t>dered necessary to present fairly the Company’s financial position as of September 30, 2022, and its results of operations for the three and nine months ended September 30, 2022 and 2021 and cash flows for the nine months ended September 30, 2022 and 2021.</w:t>
      </w:r>
      <w:r>
        <w:rPr>
          <w:rFonts w:eastAsia="Times New Roman"/>
          <w:color w:val="000000"/>
          <w:sz w:val="20"/>
          <w:szCs w:val="20"/>
        </w:rPr>
        <w:t xml:space="preserve"> Operating results for the three and nine months ended September 30, 2022 are not necessarily indicative of the results that may be expected for the year ending December 31, 2022. The unaudited condensed consolidated financial statements, presented herein,</w:t>
      </w:r>
      <w:r>
        <w:rPr>
          <w:rFonts w:eastAsia="Times New Roman"/>
          <w:color w:val="000000"/>
          <w:sz w:val="20"/>
          <w:szCs w:val="20"/>
        </w:rPr>
        <w:t xml:space="preserve"> do not contain the required disclosures under GAAP for annual financial statements. The accompanying unaudited condensed consolidated financial statements should be read in conjunction with the annual audited consolidated financial statements and related </w:t>
      </w:r>
      <w:r>
        <w:rPr>
          <w:rFonts w:eastAsia="Times New Roman"/>
          <w:color w:val="000000"/>
          <w:sz w:val="20"/>
          <w:szCs w:val="20"/>
        </w:rPr>
        <w:t xml:space="preserve">notes as of and for the year ended December 31, 2021. The consolidated financial information as of December 31, 2021 included herein has been derived from the annual audited consolidated financial statements. </w:t>
      </w:r>
    </w:p>
    <w:p w:rsidR="00000000" w:rsidRDefault="00C668B1">
      <w:pPr>
        <w:divId w:val="1324162560"/>
        <w:rPr>
          <w:rFonts w:eastAsia="Times New Roman"/>
        </w:rPr>
      </w:pPr>
      <w:r>
        <w:rPr>
          <w:rFonts w:eastAsia="Times New Roman"/>
          <w:color w:val="000000"/>
          <w:sz w:val="20"/>
          <w:szCs w:val="20"/>
        </w:rPr>
        <w:t>The unaudited condensed consolidated financial</w:t>
      </w:r>
      <w:r>
        <w:rPr>
          <w:rFonts w:eastAsia="Times New Roman"/>
          <w:color w:val="000000"/>
          <w:sz w:val="20"/>
          <w:szCs w:val="20"/>
        </w:rPr>
        <w:t xml:space="preserve"> statements include the accounts of the Company, Context Therapeutics LLC, Context Biopharma, Inc. and Context Ireland Ltd., the Company’s wholly-owned subsidiaries. All intercompany accounts and transactions have been eliminated in consolidation. </w:t>
      </w:r>
    </w:p>
    <w:p w:rsidR="00000000" w:rsidRDefault="00C668B1">
      <w:pPr>
        <w:divId w:val="2121531986"/>
        <w:rPr>
          <w:rFonts w:eastAsia="Times New Roman"/>
        </w:rPr>
      </w:pPr>
      <w:r>
        <w:rPr>
          <w:rFonts w:eastAsia="Times New Roman"/>
          <w:b/>
          <w:bCs/>
          <w:i/>
          <w:iCs/>
          <w:color w:val="000000"/>
          <w:sz w:val="20"/>
          <w:szCs w:val="20"/>
        </w:rPr>
        <w:t xml:space="preserve">Use of </w:t>
      </w:r>
      <w:r>
        <w:rPr>
          <w:rFonts w:eastAsia="Times New Roman"/>
          <w:b/>
          <w:bCs/>
          <w:i/>
          <w:iCs/>
          <w:color w:val="000000"/>
          <w:sz w:val="20"/>
          <w:szCs w:val="20"/>
        </w:rPr>
        <w:t xml:space="preserve">Estimates </w:t>
      </w:r>
    </w:p>
    <w:p w:rsidR="00000000" w:rsidRDefault="00C668B1">
      <w:pPr>
        <w:divId w:val="2059624805"/>
        <w:rPr>
          <w:rFonts w:eastAsia="Times New Roman"/>
        </w:rPr>
      </w:pPr>
      <w:r>
        <w:rPr>
          <w:rFonts w:eastAsia="Times New Roman"/>
          <w:color w:val="000000"/>
          <w:sz w:val="20"/>
          <w:szCs w:val="20"/>
        </w:rPr>
        <w:t>The preparation of condensed consolidated financial statements in conformity with GAAP requires management to make estimates and assumptions that affect the reported amounts of assets and liabilities and disclosure of contingent assets and conti</w:t>
      </w:r>
      <w:r>
        <w:rPr>
          <w:rFonts w:eastAsia="Times New Roman"/>
          <w:color w:val="000000"/>
          <w:sz w:val="20"/>
          <w:szCs w:val="20"/>
        </w:rPr>
        <w:t xml:space="preserve">ngent liabilities at the date of the condensed consolidated financial statements and the reported amounts of expenses during the reporting period. Actual results could differ from those estimates. </w:t>
      </w:r>
    </w:p>
    <w:p w:rsidR="00000000" w:rsidRDefault="00C668B1">
      <w:pPr>
        <w:divId w:val="58795881"/>
        <w:rPr>
          <w:rFonts w:eastAsia="Times New Roman"/>
        </w:rPr>
      </w:pPr>
      <w:r>
        <w:rPr>
          <w:rFonts w:eastAsia="Times New Roman"/>
          <w:color w:val="000000"/>
          <w:sz w:val="20"/>
          <w:szCs w:val="20"/>
        </w:rPr>
        <w:t>Estimates and assumptions are periodically reviewed, and t</w:t>
      </w:r>
      <w:r>
        <w:rPr>
          <w:rFonts w:eastAsia="Times New Roman"/>
          <w:color w:val="000000"/>
          <w:sz w:val="20"/>
          <w:szCs w:val="20"/>
        </w:rPr>
        <w:t>he effects of the revisions are reflected in the accompanying unaudited condensed consolidated financial statements in the period they are determined to be necessary. Significant estimates and assumptions made in the accompanying unaudited condensed consol</w:t>
      </w:r>
      <w:r>
        <w:rPr>
          <w:rFonts w:eastAsia="Times New Roman"/>
          <w:color w:val="000000"/>
          <w:sz w:val="20"/>
          <w:szCs w:val="20"/>
        </w:rPr>
        <w:t>idated financial statements include, but are not limited to, the fair value of common stock, share-based compensation arrangements, the fair value of convertible debt and in recording the prepayments, accruals and associated expense for research and develo</w:t>
      </w:r>
      <w:r>
        <w:rPr>
          <w:rFonts w:eastAsia="Times New Roman"/>
          <w:color w:val="000000"/>
          <w:sz w:val="20"/>
          <w:szCs w:val="20"/>
        </w:rPr>
        <w:t xml:space="preserve">pment activities performed for the Company by third parties. </w:t>
      </w:r>
    </w:p>
    <w:p w:rsidR="00000000" w:rsidRDefault="00C668B1">
      <w:pPr>
        <w:divId w:val="32510839"/>
        <w:rPr>
          <w:rFonts w:eastAsia="Times New Roman"/>
        </w:rPr>
      </w:pPr>
    </w:p>
    <w:p w:rsidR="00000000" w:rsidRDefault="00C668B1">
      <w:pPr>
        <w:divId w:val="1399093543"/>
        <w:rPr>
          <w:rFonts w:eastAsia="Times New Roman"/>
        </w:rPr>
      </w:pPr>
      <w:r>
        <w:rPr>
          <w:rFonts w:eastAsia="Times New Roman"/>
          <w:b/>
          <w:bCs/>
          <w:i/>
          <w:iCs/>
          <w:color w:val="000000"/>
          <w:sz w:val="20"/>
          <w:szCs w:val="20"/>
        </w:rPr>
        <w:t xml:space="preserve">Concentrations of Credit Risk </w:t>
      </w:r>
    </w:p>
    <w:p w:rsidR="00000000" w:rsidRDefault="00C668B1">
      <w:pPr>
        <w:divId w:val="180051754"/>
        <w:rPr>
          <w:rFonts w:eastAsia="Times New Roman"/>
        </w:rPr>
      </w:pPr>
      <w:r>
        <w:rPr>
          <w:rFonts w:eastAsia="Times New Roman"/>
          <w:color w:val="000000"/>
          <w:sz w:val="20"/>
          <w:szCs w:val="20"/>
        </w:rPr>
        <w:t>Financial instruments that potentially subject the Company to significant concentrations of credit risk consist primarily of cash and cash equivalents. The Company maintains deposits in federally insured financial institutions in excess of federally insure</w:t>
      </w:r>
      <w:r>
        <w:rPr>
          <w:rFonts w:eastAsia="Times New Roman"/>
          <w:color w:val="000000"/>
          <w:sz w:val="20"/>
          <w:szCs w:val="20"/>
        </w:rPr>
        <w:t xml:space="preserve">d </w:t>
      </w:r>
    </w:p>
    <w:p w:rsidR="00000000" w:rsidRDefault="00C668B1">
      <w:pPr>
        <w:jc w:val="center"/>
        <w:divId w:val="1639336269"/>
        <w:rPr>
          <w:rFonts w:eastAsia="Times New Roman"/>
        </w:rPr>
      </w:pPr>
      <w:r>
        <w:rPr>
          <w:rFonts w:eastAsia="Times New Roman"/>
          <w:color w:val="000000"/>
        </w:rPr>
        <w:t>12</w:t>
      </w:r>
    </w:p>
    <w:p w:rsidR="00000000" w:rsidRDefault="00C668B1">
      <w:pPr>
        <w:rPr>
          <w:rFonts w:eastAsia="Times New Roman"/>
        </w:rPr>
      </w:pPr>
      <w:r>
        <w:rPr>
          <w:rFonts w:eastAsia="Times New Roman"/>
        </w:rPr>
        <w:pict>
          <v:rect id="_x0000_i1036" style="width:0;height:1.5pt" o:hralign="center" o:hrstd="t" o:hr="t" fillcolor="#a0a0a0" stroked="f"/>
        </w:pict>
      </w:r>
    </w:p>
    <w:p w:rsidR="00000000" w:rsidRDefault="00C668B1">
      <w:pPr>
        <w:divId w:val="841971794"/>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208347735"/>
        <w:rPr>
          <w:rFonts w:eastAsia="Times New Roman"/>
        </w:rPr>
      </w:pPr>
      <w:r>
        <w:rPr>
          <w:rFonts w:eastAsia="Times New Roman"/>
          <w:color w:val="000000"/>
          <w:sz w:val="20"/>
          <w:szCs w:val="20"/>
        </w:rPr>
        <w:t xml:space="preserve">limits. The Company has not experienced any losses in such accounts and management believes that the Company is not exposed to significant credit risk due to the financial position of the depository institutions in which those deposits are held. </w:t>
      </w:r>
    </w:p>
    <w:p w:rsidR="00000000" w:rsidRDefault="00C668B1">
      <w:pPr>
        <w:divId w:val="2114125861"/>
        <w:rPr>
          <w:rFonts w:eastAsia="Times New Roman"/>
        </w:rPr>
      </w:pPr>
    </w:p>
    <w:p w:rsidR="00000000" w:rsidRDefault="00C668B1">
      <w:pPr>
        <w:divId w:val="193616620"/>
        <w:rPr>
          <w:rFonts w:eastAsia="Times New Roman"/>
        </w:rPr>
      </w:pPr>
      <w:r>
        <w:rPr>
          <w:rFonts w:eastAsia="Times New Roman"/>
          <w:b/>
          <w:bCs/>
          <w:i/>
          <w:iCs/>
          <w:color w:val="000000"/>
          <w:sz w:val="20"/>
          <w:szCs w:val="20"/>
        </w:rPr>
        <w:t>Fair Va</w:t>
      </w:r>
      <w:r>
        <w:rPr>
          <w:rFonts w:eastAsia="Times New Roman"/>
          <w:b/>
          <w:bCs/>
          <w:i/>
          <w:iCs/>
          <w:color w:val="000000"/>
          <w:sz w:val="20"/>
          <w:szCs w:val="20"/>
        </w:rPr>
        <w:t>lue of Financial Instruments</w:t>
      </w:r>
    </w:p>
    <w:p w:rsidR="00000000" w:rsidRDefault="00C668B1">
      <w:pPr>
        <w:divId w:val="1128012245"/>
        <w:rPr>
          <w:rFonts w:eastAsia="Times New Roman"/>
        </w:rPr>
      </w:pPr>
      <w:r>
        <w:rPr>
          <w:rFonts w:eastAsia="Times New Roman"/>
          <w:color w:val="000000"/>
          <w:sz w:val="20"/>
          <w:szCs w:val="20"/>
        </w:rPr>
        <w:t>The carrying amount of the Company’s financial instruments, which include cash and cash equivalents, restricted cash, and accounts payable, approximate their fair values given their short-term nature.</w:t>
      </w:r>
    </w:p>
    <w:p w:rsidR="00000000" w:rsidRDefault="00C668B1">
      <w:pPr>
        <w:divId w:val="209076064"/>
        <w:rPr>
          <w:rFonts w:eastAsia="Times New Roman"/>
        </w:rPr>
      </w:pPr>
    </w:p>
    <w:p w:rsidR="00000000" w:rsidRDefault="00C668B1">
      <w:pPr>
        <w:divId w:val="1614246136"/>
        <w:rPr>
          <w:rFonts w:eastAsia="Times New Roman"/>
        </w:rPr>
      </w:pPr>
      <w:r>
        <w:rPr>
          <w:rFonts w:eastAsia="Times New Roman"/>
          <w:b/>
          <w:bCs/>
          <w:i/>
          <w:iCs/>
          <w:color w:val="000000"/>
          <w:sz w:val="20"/>
          <w:szCs w:val="20"/>
        </w:rPr>
        <w:t>Cash, Cash Equivalents a</w:t>
      </w:r>
      <w:r>
        <w:rPr>
          <w:rFonts w:eastAsia="Times New Roman"/>
          <w:b/>
          <w:bCs/>
          <w:i/>
          <w:iCs/>
          <w:color w:val="000000"/>
          <w:sz w:val="20"/>
          <w:szCs w:val="20"/>
        </w:rPr>
        <w:t>nd Restricted Cash</w:t>
      </w:r>
    </w:p>
    <w:p w:rsidR="00000000" w:rsidRDefault="00C668B1">
      <w:pPr>
        <w:divId w:val="125048823"/>
        <w:rPr>
          <w:rFonts w:eastAsia="Times New Roman"/>
        </w:rPr>
      </w:pPr>
      <w:r>
        <w:rPr>
          <w:rFonts w:eastAsia="Times New Roman"/>
          <w:color w:val="000000"/>
          <w:sz w:val="20"/>
          <w:szCs w:val="20"/>
        </w:rPr>
        <w:t xml:space="preserve">The Company considers all highly liquid investments that have original maturities of three months or less when acquired to be cash equivalents. Cash equivalents consist of amounts invested in money market accounts. </w:t>
      </w:r>
    </w:p>
    <w:p w:rsidR="00000000" w:rsidRDefault="00C668B1">
      <w:pPr>
        <w:divId w:val="858064"/>
        <w:rPr>
          <w:rFonts w:eastAsia="Times New Roman"/>
        </w:rPr>
      </w:pPr>
      <w:r>
        <w:rPr>
          <w:rFonts w:eastAsia="Times New Roman"/>
          <w:color w:val="000000"/>
          <w:sz w:val="20"/>
          <w:szCs w:val="20"/>
        </w:rPr>
        <w:t>The Company maintaine</w:t>
      </w:r>
      <w:r>
        <w:rPr>
          <w:rFonts w:eastAsia="Times New Roman"/>
          <w:color w:val="000000"/>
          <w:sz w:val="20"/>
          <w:szCs w:val="20"/>
        </w:rPr>
        <w:t>d approximately $50,000 as collateral for the Company’s credit card program at December 31, 2021, which is reported as restricted cash on its condensed consolidated balance sheets. There were no amounts restricted as of September 30, 2022, as the collatera</w:t>
      </w:r>
      <w:r>
        <w:rPr>
          <w:rFonts w:eastAsia="Times New Roman"/>
          <w:color w:val="000000"/>
          <w:sz w:val="20"/>
          <w:szCs w:val="20"/>
        </w:rPr>
        <w:t>l was released to the Company in the first quarter of 2022.</w:t>
      </w:r>
    </w:p>
    <w:p w:rsidR="00000000" w:rsidRDefault="00C668B1">
      <w:pPr>
        <w:divId w:val="604925027"/>
        <w:rPr>
          <w:rFonts w:eastAsia="Times New Roman"/>
        </w:rPr>
      </w:pPr>
      <w:r>
        <w:rPr>
          <w:rFonts w:eastAsia="Times New Roman"/>
          <w:color w:val="000000"/>
          <w:sz w:val="20"/>
          <w:szCs w:val="20"/>
        </w:rPr>
        <w:br/>
      </w:r>
      <w:r>
        <w:rPr>
          <w:rFonts w:eastAsia="Times New Roman"/>
          <w:b/>
          <w:bCs/>
          <w:i/>
          <w:iCs/>
          <w:color w:val="000000"/>
          <w:sz w:val="20"/>
          <w:szCs w:val="20"/>
        </w:rPr>
        <w:t xml:space="preserve">Deferred Offering Costs </w:t>
      </w:r>
    </w:p>
    <w:p w:rsidR="00000000" w:rsidRDefault="00C668B1">
      <w:pPr>
        <w:divId w:val="860244038"/>
        <w:rPr>
          <w:rFonts w:eastAsia="Times New Roman"/>
        </w:rPr>
      </w:pPr>
      <w:r>
        <w:rPr>
          <w:rFonts w:eastAsia="Times New Roman"/>
          <w:color w:val="000000"/>
          <w:sz w:val="20"/>
          <w:szCs w:val="20"/>
        </w:rPr>
        <w:t>The Company capitalizes certain legal, professional, accounting and other third-party fees that are directly associated with in-process equity financings as deferred offe</w:t>
      </w:r>
      <w:r>
        <w:rPr>
          <w:rFonts w:eastAsia="Times New Roman"/>
          <w:color w:val="000000"/>
          <w:sz w:val="20"/>
          <w:szCs w:val="20"/>
        </w:rPr>
        <w:t>ring costs until such financings are consummated. After consummation of an equity financing, the costs are recorded as a reduction of additional paid-in capital generated as a result of such offering. Should an in-process equity financing be abandoned, the</w:t>
      </w:r>
      <w:r>
        <w:rPr>
          <w:rFonts w:eastAsia="Times New Roman"/>
          <w:color w:val="000000"/>
          <w:sz w:val="20"/>
          <w:szCs w:val="20"/>
        </w:rPr>
        <w:t xml:space="preserve"> deferred offering costs will be expensed immediately as a charge to operating expenses in the condensed consolidated statements of operations. </w:t>
      </w:r>
    </w:p>
    <w:p w:rsidR="00000000" w:rsidRDefault="00C668B1">
      <w:pPr>
        <w:divId w:val="910194384"/>
        <w:rPr>
          <w:rFonts w:eastAsia="Times New Roman"/>
        </w:rPr>
      </w:pPr>
    </w:p>
    <w:p w:rsidR="00000000" w:rsidRDefault="00C668B1">
      <w:pPr>
        <w:divId w:val="863247230"/>
        <w:rPr>
          <w:rFonts w:eastAsia="Times New Roman"/>
        </w:rPr>
      </w:pPr>
      <w:r>
        <w:rPr>
          <w:rFonts w:eastAsia="Times New Roman"/>
          <w:b/>
          <w:bCs/>
          <w:i/>
          <w:iCs/>
          <w:color w:val="000000"/>
          <w:sz w:val="20"/>
          <w:szCs w:val="20"/>
        </w:rPr>
        <w:t>Property and Equipmen</w:t>
      </w:r>
      <w:r>
        <w:rPr>
          <w:rFonts w:eastAsia="Times New Roman"/>
          <w:color w:val="000000"/>
          <w:sz w:val="20"/>
          <w:szCs w:val="20"/>
        </w:rPr>
        <w:t>t</w:t>
      </w:r>
    </w:p>
    <w:p w:rsidR="00000000" w:rsidRDefault="00C668B1">
      <w:pPr>
        <w:divId w:val="875240306"/>
        <w:rPr>
          <w:rFonts w:eastAsia="Times New Roman"/>
        </w:rPr>
      </w:pPr>
      <w:r>
        <w:rPr>
          <w:rFonts w:eastAsia="Times New Roman"/>
          <w:color w:val="000000"/>
          <w:sz w:val="20"/>
          <w:szCs w:val="20"/>
        </w:rPr>
        <w:t>Property and equipment consist of office equipment, furniture, and leasehold improveme</w:t>
      </w:r>
      <w:r>
        <w:rPr>
          <w:rFonts w:eastAsia="Times New Roman"/>
          <w:color w:val="000000"/>
          <w:sz w:val="20"/>
          <w:szCs w:val="20"/>
        </w:rPr>
        <w:t xml:space="preserve">nts and is recorded at cost. Property and equipment is depreciated on a straight-line basis over their estimated useful lives. Leasehold improvements are amortized over the shorter of their economic lives or the remaining lease term. </w:t>
      </w:r>
    </w:p>
    <w:p w:rsidR="00000000" w:rsidRDefault="00C668B1">
      <w:pPr>
        <w:divId w:val="2100522557"/>
        <w:rPr>
          <w:rFonts w:eastAsia="Times New Roman"/>
        </w:rPr>
      </w:pPr>
    </w:p>
    <w:p w:rsidR="00000000" w:rsidRDefault="00C668B1">
      <w:pPr>
        <w:divId w:val="848368926"/>
        <w:rPr>
          <w:rFonts w:eastAsia="Times New Roman"/>
        </w:rPr>
      </w:pPr>
      <w:r>
        <w:rPr>
          <w:rFonts w:eastAsia="Times New Roman"/>
          <w:b/>
          <w:bCs/>
          <w:i/>
          <w:iCs/>
          <w:color w:val="000000"/>
          <w:sz w:val="20"/>
          <w:szCs w:val="20"/>
        </w:rPr>
        <w:t>Research and Develo</w:t>
      </w:r>
      <w:r>
        <w:rPr>
          <w:rFonts w:eastAsia="Times New Roman"/>
          <w:b/>
          <w:bCs/>
          <w:i/>
          <w:iCs/>
          <w:color w:val="000000"/>
          <w:sz w:val="20"/>
          <w:szCs w:val="20"/>
        </w:rPr>
        <w:t xml:space="preserve">pment Costs </w:t>
      </w:r>
    </w:p>
    <w:p w:rsidR="00000000" w:rsidRDefault="00C668B1">
      <w:pPr>
        <w:divId w:val="1085228714"/>
        <w:rPr>
          <w:rFonts w:eastAsia="Times New Roman"/>
        </w:rPr>
      </w:pPr>
      <w:r>
        <w:rPr>
          <w:rFonts w:eastAsia="Times New Roman"/>
          <w:color w:val="000000"/>
          <w:sz w:val="20"/>
          <w:szCs w:val="20"/>
        </w:rPr>
        <w:t>Research and development costs are expensed as incurred. Research and development costs include external costs of outside vendors engaged to conduct clinical studies and other research and development activities, salaries, share-based compensa</w:t>
      </w:r>
      <w:r>
        <w:rPr>
          <w:rFonts w:eastAsia="Times New Roman"/>
          <w:color w:val="000000"/>
          <w:sz w:val="20"/>
          <w:szCs w:val="20"/>
        </w:rPr>
        <w:t xml:space="preserve">tion, and other operational costs related to the Company’s research and development activities. </w:t>
      </w:r>
    </w:p>
    <w:p w:rsidR="00000000" w:rsidRDefault="00C668B1">
      <w:pPr>
        <w:divId w:val="2017878978"/>
        <w:rPr>
          <w:rFonts w:eastAsia="Times New Roman"/>
        </w:rPr>
      </w:pPr>
      <w:r>
        <w:rPr>
          <w:rFonts w:eastAsia="Times New Roman"/>
          <w:color w:val="000000"/>
          <w:sz w:val="20"/>
          <w:szCs w:val="20"/>
        </w:rPr>
        <w:t>Costs for certain development activities, such as the provision of services for product candidate development, clinical and preclinical development and related</w:t>
      </w:r>
      <w:r>
        <w:rPr>
          <w:rFonts w:eastAsia="Times New Roman"/>
          <w:color w:val="000000"/>
          <w:sz w:val="20"/>
          <w:szCs w:val="20"/>
        </w:rPr>
        <w:t xml:space="preserve"> supply and manufacturing costs, are estimated based on an evaluation of the progress to completion of specific tasks using data such as subject enrollment, clinical site activations or information provided to the Company by its vendors with respect to the</w:t>
      </w:r>
      <w:r>
        <w:rPr>
          <w:rFonts w:eastAsia="Times New Roman"/>
          <w:color w:val="000000"/>
          <w:sz w:val="20"/>
          <w:szCs w:val="20"/>
        </w:rPr>
        <w:t>ir actual costs incurred. Payments for these activities are based on the terms of the individual arrangements, which may differ from the pattern of costs incurred, and are reflected in the condensed consolidated financial statements as prepaid or accrued r</w:t>
      </w:r>
      <w:r>
        <w:rPr>
          <w:rFonts w:eastAsia="Times New Roman"/>
          <w:color w:val="000000"/>
          <w:sz w:val="20"/>
          <w:szCs w:val="20"/>
        </w:rPr>
        <w:t>esearch and development expense, as the case may be. The estimates are adjusted to reflect the best information available at the time of the financial statement issuance. Although the Company does not expect its estimates to be materially different from am</w:t>
      </w:r>
      <w:r>
        <w:rPr>
          <w:rFonts w:eastAsia="Times New Roman"/>
          <w:color w:val="000000"/>
          <w:sz w:val="20"/>
          <w:szCs w:val="20"/>
        </w:rPr>
        <w:t>ounts actually incurred, the Company’s estimate of the status and timing of services performed relative to the actual status and timing of services performed may vary.</w:t>
      </w:r>
    </w:p>
    <w:p w:rsidR="00000000" w:rsidRDefault="00C668B1">
      <w:pPr>
        <w:divId w:val="735206973"/>
        <w:rPr>
          <w:rFonts w:eastAsia="Times New Roman"/>
        </w:rPr>
      </w:pPr>
      <w:r>
        <w:rPr>
          <w:rFonts w:eastAsia="Times New Roman"/>
          <w:color w:val="000000"/>
          <w:sz w:val="20"/>
          <w:szCs w:val="20"/>
        </w:rPr>
        <w:t>Nonrefundable advance payments for goods and services, including fees for clinical trial</w:t>
      </w:r>
      <w:r>
        <w:rPr>
          <w:rFonts w:eastAsia="Times New Roman"/>
          <w:color w:val="000000"/>
          <w:sz w:val="20"/>
          <w:szCs w:val="20"/>
        </w:rPr>
        <w:t xml:space="preserve"> expenses, process development or manufacturing and distribution of clinical supplies that will be used in future research and development activities, are deferred and recognized as expense in the period that the related goods are consumed or services are </w:t>
      </w:r>
      <w:r>
        <w:rPr>
          <w:rFonts w:eastAsia="Times New Roman"/>
          <w:color w:val="000000"/>
          <w:sz w:val="20"/>
          <w:szCs w:val="20"/>
        </w:rPr>
        <w:t>performed.</w:t>
      </w:r>
    </w:p>
    <w:p w:rsidR="00000000" w:rsidRDefault="00C668B1">
      <w:pPr>
        <w:divId w:val="3946246"/>
        <w:rPr>
          <w:rFonts w:eastAsia="Times New Roman"/>
        </w:rPr>
      </w:pPr>
    </w:p>
    <w:p w:rsidR="00000000" w:rsidRDefault="00C668B1">
      <w:pPr>
        <w:divId w:val="2129002761"/>
        <w:rPr>
          <w:rFonts w:eastAsia="Times New Roman"/>
        </w:rPr>
      </w:pPr>
      <w:r>
        <w:rPr>
          <w:rFonts w:eastAsia="Times New Roman"/>
          <w:b/>
          <w:bCs/>
          <w:i/>
          <w:iCs/>
          <w:color w:val="000000"/>
          <w:sz w:val="20"/>
          <w:szCs w:val="20"/>
        </w:rPr>
        <w:t xml:space="preserve">Patent Costs </w:t>
      </w:r>
    </w:p>
    <w:p w:rsidR="00000000" w:rsidRDefault="00C668B1">
      <w:pPr>
        <w:divId w:val="1361278108"/>
        <w:rPr>
          <w:rFonts w:eastAsia="Times New Roman"/>
        </w:rPr>
      </w:pPr>
      <w:r>
        <w:rPr>
          <w:rFonts w:eastAsia="Times New Roman"/>
          <w:color w:val="000000"/>
          <w:sz w:val="20"/>
          <w:szCs w:val="20"/>
        </w:rPr>
        <w:t>Costs related to filing and pursuing patent applications are recorded as general and administrative expense and expensed as incurred since recoverability of such expenditures is uncertain.</w:t>
      </w:r>
    </w:p>
    <w:p w:rsidR="00000000" w:rsidRDefault="00C668B1">
      <w:pPr>
        <w:divId w:val="642933005"/>
        <w:rPr>
          <w:rFonts w:eastAsia="Times New Roman"/>
        </w:rPr>
      </w:pPr>
    </w:p>
    <w:p w:rsidR="00000000" w:rsidRDefault="00C668B1">
      <w:pPr>
        <w:divId w:val="1546139567"/>
        <w:rPr>
          <w:rFonts w:eastAsia="Times New Roman"/>
        </w:rPr>
      </w:pPr>
      <w:r>
        <w:rPr>
          <w:rFonts w:eastAsia="Times New Roman"/>
          <w:b/>
          <w:bCs/>
          <w:i/>
          <w:iCs/>
          <w:color w:val="000000"/>
          <w:sz w:val="20"/>
          <w:szCs w:val="20"/>
        </w:rPr>
        <w:t xml:space="preserve">Share-Based Compensation </w:t>
      </w:r>
    </w:p>
    <w:p w:rsidR="00000000" w:rsidRDefault="00C668B1">
      <w:pPr>
        <w:divId w:val="1531840830"/>
        <w:rPr>
          <w:rFonts w:eastAsia="Times New Roman"/>
        </w:rPr>
      </w:pPr>
      <w:r>
        <w:rPr>
          <w:rFonts w:eastAsia="Times New Roman"/>
          <w:color w:val="000000"/>
          <w:sz w:val="20"/>
          <w:szCs w:val="20"/>
        </w:rPr>
        <w:t>The Company measures and recognizes share-based compensation expense for both employee and non-employee awards based on the grant date fair value of the awards. The Company recognizes share-based compensation expense on a straight</w:t>
      </w:r>
      <w:r>
        <w:rPr>
          <w:rFonts w:eastAsia="Times New Roman"/>
          <w:color w:val="000000"/>
          <w:sz w:val="20"/>
          <w:szCs w:val="20"/>
        </w:rPr>
        <w:t xml:space="preserve">-line basis </w:t>
      </w:r>
    </w:p>
    <w:p w:rsidR="00000000" w:rsidRDefault="00C668B1">
      <w:pPr>
        <w:jc w:val="center"/>
        <w:divId w:val="169756134"/>
        <w:rPr>
          <w:rFonts w:eastAsia="Times New Roman"/>
        </w:rPr>
      </w:pPr>
      <w:r>
        <w:rPr>
          <w:rFonts w:eastAsia="Times New Roman"/>
          <w:color w:val="000000"/>
        </w:rPr>
        <w:t>13</w:t>
      </w:r>
    </w:p>
    <w:p w:rsidR="00000000" w:rsidRDefault="00C668B1">
      <w:pPr>
        <w:rPr>
          <w:rFonts w:eastAsia="Times New Roman"/>
        </w:rPr>
      </w:pPr>
      <w:r>
        <w:rPr>
          <w:rFonts w:eastAsia="Times New Roman"/>
        </w:rPr>
        <w:pict>
          <v:rect id="_x0000_i1037" style="width:0;height:1.5pt" o:hralign="center" o:hrstd="t" o:hr="t" fillcolor="#a0a0a0" stroked="f"/>
        </w:pict>
      </w:r>
    </w:p>
    <w:p w:rsidR="00000000" w:rsidRDefault="00C668B1">
      <w:pPr>
        <w:divId w:val="1339041222"/>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541625047"/>
        <w:rPr>
          <w:rFonts w:eastAsia="Times New Roman"/>
        </w:rPr>
      </w:pPr>
      <w:r>
        <w:rPr>
          <w:rFonts w:eastAsia="Times New Roman"/>
          <w:color w:val="000000"/>
          <w:sz w:val="20"/>
          <w:szCs w:val="20"/>
        </w:rPr>
        <w:t>over the requisite service period of the awards, which is generally the vesting period. The Company recognizes forfeitures as th</w:t>
      </w:r>
      <w:r>
        <w:rPr>
          <w:rFonts w:eastAsia="Times New Roman"/>
          <w:color w:val="000000"/>
          <w:sz w:val="20"/>
          <w:szCs w:val="20"/>
        </w:rPr>
        <w:t xml:space="preserve">ey occur. </w:t>
      </w:r>
    </w:p>
    <w:p w:rsidR="00000000" w:rsidRDefault="00C668B1">
      <w:pPr>
        <w:divId w:val="1846239482"/>
        <w:rPr>
          <w:rFonts w:eastAsia="Times New Roman"/>
        </w:rPr>
      </w:pPr>
      <w:r>
        <w:rPr>
          <w:rFonts w:eastAsia="Times New Roman"/>
          <w:color w:val="000000"/>
          <w:sz w:val="20"/>
          <w:szCs w:val="20"/>
        </w:rPr>
        <w:t>The Company classifies share-based compensation expense in its unaudited condensed consolidated statements of operations in the same manner in which the award recipients’ payroll costs are classified or in which the award recipients’ service pay</w:t>
      </w:r>
      <w:r>
        <w:rPr>
          <w:rFonts w:eastAsia="Times New Roman"/>
          <w:color w:val="000000"/>
          <w:sz w:val="20"/>
          <w:szCs w:val="20"/>
        </w:rPr>
        <w:t xml:space="preserve">ments are classified. </w:t>
      </w:r>
    </w:p>
    <w:p w:rsidR="00000000" w:rsidRDefault="00C668B1">
      <w:pPr>
        <w:divId w:val="1907035335"/>
        <w:rPr>
          <w:rFonts w:eastAsia="Times New Roman"/>
        </w:rPr>
      </w:pPr>
      <w:r>
        <w:rPr>
          <w:rFonts w:eastAsia="Times New Roman"/>
          <w:color w:val="000000"/>
          <w:sz w:val="20"/>
          <w:szCs w:val="20"/>
        </w:rPr>
        <w:t>The Company estimates the fair value of employee and non-employee stock awards as of the date of grant using the Black-Scholes option pricing model. The Company lacks Company-specific historical and implied volatility information. Th</w:t>
      </w:r>
      <w:r>
        <w:rPr>
          <w:rFonts w:eastAsia="Times New Roman"/>
          <w:color w:val="000000"/>
          <w:sz w:val="20"/>
          <w:szCs w:val="20"/>
        </w:rPr>
        <w:t xml:space="preserve">erefore, management estimates the expected share price volatility based on the historical volatility of a publicly traded set of peer companies and expects to continue to do so until such time as it has adequate historical data regarding the volatility of </w:t>
      </w:r>
      <w:r>
        <w:rPr>
          <w:rFonts w:eastAsia="Times New Roman"/>
          <w:color w:val="000000"/>
          <w:sz w:val="20"/>
          <w:szCs w:val="20"/>
        </w:rPr>
        <w:t>its own publicly traded share price. The expected term of the Company’s stock awards has been determined utilizing the “simplified” method for awards that qualify as “plain-vanilla” stock awards. The risk-free interest rate is determined by reference to th</w:t>
      </w:r>
      <w:r>
        <w:rPr>
          <w:rFonts w:eastAsia="Times New Roman"/>
          <w:color w:val="000000"/>
          <w:sz w:val="20"/>
          <w:szCs w:val="20"/>
        </w:rPr>
        <w:t>e yield curve of a zero-coupon U.S. Treasury bond on the date of grant of the award for time periods approximately equal to the expected term of the award. Expected dividend yield is based on the fact that the Company has never paid cash dividends on commo</w:t>
      </w:r>
      <w:r>
        <w:rPr>
          <w:rFonts w:eastAsia="Times New Roman"/>
          <w:color w:val="000000"/>
          <w:sz w:val="20"/>
          <w:szCs w:val="20"/>
        </w:rPr>
        <w:t xml:space="preserve">n stock and does not expect to pay any cash dividends in the foreseeable future. </w:t>
      </w:r>
    </w:p>
    <w:p w:rsidR="00000000" w:rsidRDefault="00C668B1">
      <w:pPr>
        <w:divId w:val="1087582704"/>
        <w:rPr>
          <w:rFonts w:eastAsia="Times New Roman"/>
        </w:rPr>
      </w:pPr>
      <w:r>
        <w:rPr>
          <w:rFonts w:eastAsia="Times New Roman"/>
          <w:color w:val="000000"/>
          <w:sz w:val="20"/>
          <w:szCs w:val="20"/>
        </w:rPr>
        <w:t>In addition, the Company measures and recognizes share-based compensation expense for advisors, officers and director restricted share-based awards based on the grant date fa</w:t>
      </w:r>
      <w:r>
        <w:rPr>
          <w:rFonts w:eastAsia="Times New Roman"/>
          <w:color w:val="000000"/>
          <w:sz w:val="20"/>
          <w:szCs w:val="20"/>
        </w:rPr>
        <w:t>ir value of the awards.</w:t>
      </w:r>
    </w:p>
    <w:p w:rsidR="00000000" w:rsidRDefault="00C668B1">
      <w:pPr>
        <w:divId w:val="1262295402"/>
        <w:rPr>
          <w:rFonts w:eastAsia="Times New Roman"/>
        </w:rPr>
      </w:pPr>
    </w:p>
    <w:p w:rsidR="00000000" w:rsidRDefault="00C668B1">
      <w:pPr>
        <w:divId w:val="1966500945"/>
        <w:rPr>
          <w:rFonts w:eastAsia="Times New Roman"/>
        </w:rPr>
      </w:pPr>
      <w:r>
        <w:rPr>
          <w:rFonts w:eastAsia="Times New Roman"/>
          <w:b/>
          <w:bCs/>
          <w:i/>
          <w:iCs/>
          <w:color w:val="000000"/>
          <w:sz w:val="20"/>
          <w:szCs w:val="20"/>
        </w:rPr>
        <w:t xml:space="preserve">Net Loss Per Share </w:t>
      </w:r>
    </w:p>
    <w:p w:rsidR="00000000" w:rsidRDefault="00C668B1">
      <w:pPr>
        <w:divId w:val="2033530738"/>
        <w:rPr>
          <w:rFonts w:eastAsia="Times New Roman"/>
        </w:rPr>
      </w:pPr>
      <w:r>
        <w:rPr>
          <w:rFonts w:eastAsia="Times New Roman"/>
          <w:color w:val="000000"/>
          <w:sz w:val="20"/>
          <w:szCs w:val="20"/>
        </w:rPr>
        <w:t>Basic net loss per share of common stock is computed by dividing net loss by the weighted-average number of shares of common stock outstanding during each period. Diluted net loss per share of common stock incl</w:t>
      </w:r>
      <w:r>
        <w:rPr>
          <w:rFonts w:eastAsia="Times New Roman"/>
          <w:color w:val="000000"/>
          <w:sz w:val="20"/>
          <w:szCs w:val="20"/>
        </w:rPr>
        <w:t xml:space="preserve">udes the effect, if any, from the potential exercise or conversion of securities, such as convertible promissory notes, preferred stock, warrants and share-based awards, which would result in the issuance of incremental shares of common stock. For diluted </w:t>
      </w:r>
      <w:r>
        <w:rPr>
          <w:rFonts w:eastAsia="Times New Roman"/>
          <w:color w:val="000000"/>
          <w:sz w:val="20"/>
          <w:szCs w:val="20"/>
        </w:rPr>
        <w:t xml:space="preserve">net loss per share, the weighted-average number of shares of common stock is the same for basic net loss per share due to the fact that when a net loss exists, dilutive securities are not included in the calculation as the impact is anti-dilutive. </w:t>
      </w:r>
    </w:p>
    <w:p w:rsidR="00000000" w:rsidRDefault="00C668B1">
      <w:pPr>
        <w:divId w:val="810170621"/>
        <w:rPr>
          <w:rFonts w:eastAsia="Times New Roman"/>
        </w:rPr>
      </w:pPr>
      <w:r>
        <w:rPr>
          <w:rFonts w:eastAsia="Times New Roman"/>
          <w:color w:val="000000"/>
          <w:sz w:val="20"/>
          <w:szCs w:val="20"/>
        </w:rPr>
        <w:t>The fol</w:t>
      </w:r>
      <w:r>
        <w:rPr>
          <w:rFonts w:eastAsia="Times New Roman"/>
          <w:color w:val="000000"/>
          <w:sz w:val="20"/>
          <w:szCs w:val="20"/>
        </w:rPr>
        <w:t>lowing potentially dilutive securities have been excluded from the computation of diluted weighted-average shares of common stock outstanding, as they would be anti-dilutive:</w:t>
      </w:r>
    </w:p>
    <w:p w:rsidR="00000000" w:rsidRDefault="00C668B1">
      <w:pPr>
        <w:divId w:val="1541167639"/>
        <w:rPr>
          <w:rFonts w:eastAsia="Times New Roman"/>
        </w:rPr>
      </w:pPr>
    </w:p>
    <w:tbl>
      <w:tblPr>
        <w:tblW w:w="2960" w:type="pct"/>
        <w:jc w:val="center"/>
        <w:tblCellMar>
          <w:top w:w="15" w:type="dxa"/>
          <w:left w:w="15" w:type="dxa"/>
          <w:bottom w:w="15" w:type="dxa"/>
          <w:right w:w="15" w:type="dxa"/>
        </w:tblCellMar>
        <w:tblLook w:val="04A0" w:firstRow="1" w:lastRow="0" w:firstColumn="1" w:lastColumn="0" w:noHBand="0" w:noVBand="1"/>
      </w:tblPr>
      <w:tblGrid>
        <w:gridCol w:w="37"/>
        <w:gridCol w:w="2546"/>
        <w:gridCol w:w="36"/>
        <w:gridCol w:w="42"/>
        <w:gridCol w:w="872"/>
        <w:gridCol w:w="37"/>
        <w:gridCol w:w="37"/>
        <w:gridCol w:w="36"/>
        <w:gridCol w:w="36"/>
        <w:gridCol w:w="42"/>
        <w:gridCol w:w="872"/>
        <w:gridCol w:w="36"/>
        <w:gridCol w:w="36"/>
        <w:gridCol w:w="36"/>
        <w:gridCol w:w="36"/>
        <w:gridCol w:w="36"/>
        <w:gridCol w:w="36"/>
        <w:gridCol w:w="36"/>
        <w:gridCol w:w="36"/>
        <w:gridCol w:w="36"/>
      </w:tblGrid>
      <w:tr w:rsidR="00000000">
        <w:trPr>
          <w:jc w:val="center"/>
        </w:trPr>
        <w:tc>
          <w:tcPr>
            <w:tcW w:w="50" w:type="pct"/>
            <w:vAlign w:val="center"/>
            <w:hideMark/>
          </w:tcPr>
          <w:p w:rsidR="00000000" w:rsidRDefault="00C668B1">
            <w:pPr>
              <w:rPr>
                <w:rFonts w:eastAsia="Times New Roman"/>
              </w:rPr>
            </w:pPr>
          </w:p>
        </w:tc>
        <w:tc>
          <w:tcPr>
            <w:tcW w:w="279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99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3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99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b/>
                <w:bCs/>
                <w:color w:val="000000"/>
                <w:sz w:val="16"/>
                <w:szCs w:val="16"/>
              </w:rPr>
              <w:t>September 30,</w:t>
            </w:r>
          </w:p>
        </w:tc>
        <w:tc>
          <w:tcPr>
            <w:tcW w:w="0" w:type="auto"/>
            <w:vAlign w:val="center"/>
            <w:hideMark/>
          </w:tcPr>
          <w:p w:rsidR="00000000" w:rsidRDefault="00C668B1">
            <w:pPr>
              <w:spacing w:after="100"/>
              <w:jc w:val="center"/>
              <w:rPr>
                <w:rFonts w:eastAsia="Times New Roman"/>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b/>
                <w:bCs/>
                <w:color w:val="000000"/>
                <w:sz w:val="16"/>
                <w:szCs w:val="16"/>
              </w:rPr>
              <w:t>2021</w:t>
            </w:r>
          </w:p>
        </w:tc>
        <w:tc>
          <w:tcPr>
            <w:tcW w:w="0" w:type="auto"/>
            <w:vAlign w:val="center"/>
            <w:hideMark/>
          </w:tcPr>
          <w:p w:rsidR="00000000" w:rsidRDefault="00C668B1">
            <w:pPr>
              <w:spacing w:after="100"/>
              <w:jc w:val="center"/>
              <w:rPr>
                <w:rFonts w:eastAsia="Times New Roman"/>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Series Seed convertible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2,624,324 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Series A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2,212,543 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Stock options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1,341,504 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436,437 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Unvested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33,397 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Warrants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5,860,000 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480,415 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7,201,504 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5,787,116 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vAlign w:val="center"/>
            <w:hideMark/>
          </w:tcPr>
          <w:p w:rsidR="00000000" w:rsidRDefault="00C668B1">
            <w:pPr>
              <w:spacing w:after="100"/>
              <w:jc w:val="right"/>
              <w:rPr>
                <w:rFonts w:eastAsia="Times New Roman"/>
                <w:sz w:val="20"/>
                <w:szCs w:val="20"/>
              </w:rPr>
            </w:pPr>
          </w:p>
        </w:tc>
        <w:tc>
          <w:tcPr>
            <w:tcW w:w="0" w:type="auto"/>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bl>
    <w:p w:rsidR="00000000" w:rsidRDefault="00C668B1">
      <w:pPr>
        <w:divId w:val="871261671"/>
        <w:rPr>
          <w:rFonts w:eastAsia="Times New Roman"/>
        </w:rPr>
      </w:pPr>
    </w:p>
    <w:p w:rsidR="00000000" w:rsidRDefault="00C668B1">
      <w:pPr>
        <w:divId w:val="2147115290"/>
        <w:rPr>
          <w:rFonts w:eastAsia="Times New Roman"/>
        </w:rPr>
      </w:pPr>
      <w:r>
        <w:rPr>
          <w:rFonts w:eastAsia="Times New Roman"/>
          <w:color w:val="000000"/>
          <w:sz w:val="20"/>
          <w:szCs w:val="20"/>
        </w:rPr>
        <w:t>Amounts in the above table reflect common stock equivalents.</w:t>
      </w:r>
    </w:p>
    <w:p w:rsidR="00000000" w:rsidRDefault="00C668B1">
      <w:pPr>
        <w:divId w:val="1347177208"/>
        <w:rPr>
          <w:rFonts w:eastAsia="Times New Roman"/>
        </w:rPr>
      </w:pPr>
    </w:p>
    <w:p w:rsidR="00000000" w:rsidRDefault="00C668B1">
      <w:pPr>
        <w:divId w:val="936057012"/>
        <w:rPr>
          <w:rFonts w:eastAsia="Times New Roman"/>
        </w:rPr>
      </w:pPr>
      <w:r>
        <w:rPr>
          <w:rFonts w:eastAsia="Times New Roman"/>
          <w:b/>
          <w:bCs/>
          <w:i/>
          <w:iCs/>
          <w:color w:val="000000"/>
          <w:sz w:val="20"/>
          <w:szCs w:val="20"/>
        </w:rPr>
        <w:t xml:space="preserve">Emerging Growth Company Status </w:t>
      </w:r>
    </w:p>
    <w:p w:rsidR="00000000" w:rsidRDefault="00C668B1">
      <w:pPr>
        <w:divId w:val="1211839739"/>
        <w:rPr>
          <w:rFonts w:eastAsia="Times New Roman"/>
        </w:rPr>
      </w:pPr>
      <w:r>
        <w:rPr>
          <w:rFonts w:eastAsia="Times New Roman"/>
          <w:color w:val="000000"/>
          <w:sz w:val="20"/>
          <w:szCs w:val="20"/>
        </w:rPr>
        <w:t>The Company is an emerging growth company, as defined in the Jumpstart Our Business Startups Act of 2012 (the “JOBS Act”). Under the JOBS Act, emerging growth companies can delay adopting new or revised accounting standards issued subsequent to the enactme</w:t>
      </w:r>
      <w:r>
        <w:rPr>
          <w:rFonts w:eastAsia="Times New Roman"/>
          <w:color w:val="000000"/>
          <w:sz w:val="20"/>
          <w:szCs w:val="20"/>
        </w:rPr>
        <w:t>nt of the JOBS Act, until such time as those standards apply to private companies. The Company has elected to use this extended transition period for complying with new or revised accounting standards that have different effective dates for public and priv</w:t>
      </w:r>
      <w:r>
        <w:rPr>
          <w:rFonts w:eastAsia="Times New Roman"/>
          <w:color w:val="000000"/>
          <w:sz w:val="20"/>
          <w:szCs w:val="20"/>
        </w:rPr>
        <w:t xml:space="preserve">ate companies until the earlier of the date that it (i) is no longer an emerging growth company or (ii) affirmatively and irrevocably opts out of the extended transition period provided in the JOBS Act. As a result, these </w:t>
      </w:r>
    </w:p>
    <w:p w:rsidR="00000000" w:rsidRDefault="00C668B1">
      <w:pPr>
        <w:jc w:val="center"/>
        <w:divId w:val="662702549"/>
        <w:rPr>
          <w:rFonts w:eastAsia="Times New Roman"/>
        </w:rPr>
      </w:pPr>
      <w:r>
        <w:rPr>
          <w:rFonts w:eastAsia="Times New Roman"/>
          <w:color w:val="000000"/>
        </w:rPr>
        <w:t>14</w:t>
      </w:r>
    </w:p>
    <w:p w:rsidR="00000000" w:rsidRDefault="00C668B1">
      <w:pPr>
        <w:rPr>
          <w:rFonts w:eastAsia="Times New Roman"/>
        </w:rPr>
      </w:pPr>
      <w:r>
        <w:rPr>
          <w:rFonts w:eastAsia="Times New Roman"/>
        </w:rPr>
        <w:pict>
          <v:rect id="_x0000_i1038" style="width:0;height:1.5pt" o:hralign="center" o:hrstd="t" o:hr="t" fillcolor="#a0a0a0" stroked="f"/>
        </w:pict>
      </w:r>
    </w:p>
    <w:p w:rsidR="00000000" w:rsidRDefault="00C668B1">
      <w:pPr>
        <w:divId w:val="2051756555"/>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420591084"/>
        <w:rPr>
          <w:rFonts w:eastAsia="Times New Roman"/>
        </w:rPr>
      </w:pPr>
      <w:r>
        <w:rPr>
          <w:rFonts w:eastAsia="Times New Roman"/>
          <w:color w:val="000000"/>
          <w:sz w:val="20"/>
          <w:szCs w:val="20"/>
        </w:rPr>
        <w:t xml:space="preserve">condensed consolidated financial statements may not be comparable to companies that comply with the new or revised accounting pronouncements as of public company effective dates. </w:t>
      </w:r>
    </w:p>
    <w:p w:rsidR="00000000" w:rsidRDefault="00C668B1">
      <w:pPr>
        <w:divId w:val="746464376"/>
        <w:rPr>
          <w:rFonts w:eastAsia="Times New Roman"/>
        </w:rPr>
      </w:pPr>
      <w:r>
        <w:rPr>
          <w:rFonts w:eastAsia="Times New Roman"/>
          <w:color w:val="000000"/>
          <w:sz w:val="2"/>
          <w:szCs w:val="2"/>
        </w:rPr>
        <w:t> </w:t>
      </w:r>
      <w:r>
        <w:rPr>
          <w:rFonts w:eastAsia="Times New Roman"/>
          <w:b/>
          <w:bCs/>
          <w:i/>
          <w:iCs/>
          <w:color w:val="000000"/>
          <w:sz w:val="20"/>
          <w:szCs w:val="20"/>
        </w:rPr>
        <w:t xml:space="preserve">Recently Issued Accounting Pronouncements </w:t>
      </w:r>
    </w:p>
    <w:p w:rsidR="00000000" w:rsidRDefault="00C668B1">
      <w:pPr>
        <w:divId w:val="758912593"/>
        <w:rPr>
          <w:rFonts w:eastAsia="Times New Roman"/>
        </w:rPr>
      </w:pPr>
      <w:r>
        <w:rPr>
          <w:rFonts w:eastAsia="Times New Roman"/>
          <w:color w:val="000000"/>
          <w:sz w:val="20"/>
          <w:szCs w:val="20"/>
        </w:rPr>
        <w:t>In February 2016, the FASB issue</w:t>
      </w:r>
      <w:r>
        <w:rPr>
          <w:rFonts w:eastAsia="Times New Roman"/>
          <w:color w:val="000000"/>
          <w:sz w:val="20"/>
          <w:szCs w:val="20"/>
        </w:rPr>
        <w:t xml:space="preserve">d ASU 2016-02, </w:t>
      </w:r>
      <w:r>
        <w:rPr>
          <w:rFonts w:eastAsia="Times New Roman"/>
          <w:i/>
          <w:iCs/>
          <w:color w:val="000000"/>
          <w:sz w:val="20"/>
          <w:szCs w:val="20"/>
        </w:rPr>
        <w:t>Leases (Topic 842)</w:t>
      </w:r>
      <w:r>
        <w:rPr>
          <w:rFonts w:eastAsia="Times New Roman"/>
          <w:color w:val="000000"/>
          <w:sz w:val="20"/>
          <w:szCs w:val="20"/>
        </w:rPr>
        <w:t>, in order to increase transparency and comparability among organizations by, among other provisions, recognizing lease assets and lease liabilities on the balance sheet for those leases classified as operating leases under</w:t>
      </w:r>
      <w:r>
        <w:rPr>
          <w:rFonts w:eastAsia="Times New Roman"/>
          <w:color w:val="000000"/>
          <w:sz w:val="20"/>
          <w:szCs w:val="20"/>
        </w:rPr>
        <w:t xml:space="preserve"> previous GAAP. In transition, entities may also elect a package of practical expedients that must be applied in its entirety to all leases commencing before the adoption date, unless the lease is modified, and permits entities to not reassess (a) the exis</w:t>
      </w:r>
      <w:r>
        <w:rPr>
          <w:rFonts w:eastAsia="Times New Roman"/>
          <w:color w:val="000000"/>
          <w:sz w:val="20"/>
          <w:szCs w:val="20"/>
        </w:rPr>
        <w:t>tence of a lease, (b) the lease classification or (c) the determination of initial direct costs, as of the adoption date, which effectively allows entities to carryforward accounting conclusions under previous GAAP. In July 2018, the FASB issued ASU 2018-1</w:t>
      </w:r>
      <w:r>
        <w:rPr>
          <w:rFonts w:eastAsia="Times New Roman"/>
          <w:color w:val="000000"/>
          <w:sz w:val="20"/>
          <w:szCs w:val="20"/>
        </w:rPr>
        <w:t xml:space="preserve">1, </w:t>
      </w:r>
      <w:r>
        <w:rPr>
          <w:rFonts w:eastAsia="Times New Roman"/>
          <w:i/>
          <w:iCs/>
          <w:color w:val="000000"/>
          <w:sz w:val="20"/>
          <w:szCs w:val="20"/>
        </w:rPr>
        <w:t>Leases (Topic 842): Targeted Improvements</w:t>
      </w:r>
      <w:r>
        <w:rPr>
          <w:rFonts w:eastAsia="Times New Roman"/>
          <w:color w:val="000000"/>
          <w:sz w:val="20"/>
          <w:szCs w:val="20"/>
        </w:rPr>
        <w:t>, which provides entities an optional transition method to apply the guidance under Topic 842 as of the adoption date, rather than as of the earliest period presented. The Company adopted this standard on January</w:t>
      </w:r>
      <w:r>
        <w:rPr>
          <w:rFonts w:eastAsia="Times New Roman"/>
          <w:color w:val="000000"/>
          <w:sz w:val="20"/>
          <w:szCs w:val="20"/>
        </w:rPr>
        <w:t xml:space="preserve"> 1, 2022 and the adoption did not have a material impact on its condensed consolidated financial statements due to the fact that the Company did not have any material long-term leasing arrangements as of the date of adoption.</w:t>
      </w:r>
    </w:p>
    <w:p w:rsidR="00000000" w:rsidRDefault="00C668B1">
      <w:pPr>
        <w:divId w:val="539825647"/>
        <w:rPr>
          <w:rFonts w:eastAsia="Times New Roman"/>
        </w:rPr>
      </w:pPr>
      <w:r>
        <w:rPr>
          <w:rFonts w:eastAsia="Times New Roman"/>
          <w:b/>
          <w:bCs/>
          <w:color w:val="000000"/>
          <w:sz w:val="20"/>
          <w:szCs w:val="20"/>
        </w:rPr>
        <w:t xml:space="preserve">(4) Fair Value Measurements </w:t>
      </w:r>
    </w:p>
    <w:p w:rsidR="00000000" w:rsidRDefault="00C668B1">
      <w:pPr>
        <w:divId w:val="2067487600"/>
        <w:rPr>
          <w:rFonts w:eastAsia="Times New Roman"/>
        </w:rPr>
      </w:pPr>
      <w:r>
        <w:rPr>
          <w:rFonts w:eastAsia="Times New Roman"/>
          <w:color w:val="000000"/>
          <w:sz w:val="20"/>
          <w:szCs w:val="20"/>
        </w:rPr>
        <w:t>T</w:t>
      </w:r>
      <w:r>
        <w:rPr>
          <w:rFonts w:eastAsia="Times New Roman"/>
          <w:color w:val="000000"/>
          <w:sz w:val="20"/>
          <w:szCs w:val="20"/>
        </w:rPr>
        <w:t xml:space="preserve">he Company utilizes a valuation hierarchy that prioritizes fair value measurements based on the types of inputs used for the various valuation techniques related to its financial assets and financial liabilities. The three levels of inputs used to measure </w:t>
      </w:r>
      <w:r>
        <w:rPr>
          <w:rFonts w:eastAsia="Times New Roman"/>
          <w:color w:val="000000"/>
          <w:sz w:val="20"/>
          <w:szCs w:val="20"/>
        </w:rPr>
        <w:t xml:space="preserve">fair value are described as follows: </w:t>
      </w:r>
    </w:p>
    <w:p w:rsidR="00000000" w:rsidRDefault="00C668B1">
      <w:pPr>
        <w:divId w:val="67963425"/>
        <w:rPr>
          <w:rFonts w:eastAsia="Times New Roman"/>
        </w:rPr>
      </w:pPr>
      <w:r>
        <w:rPr>
          <w:rFonts w:eastAsia="Times New Roman"/>
          <w:color w:val="000000"/>
          <w:sz w:val="20"/>
          <w:szCs w:val="20"/>
        </w:rPr>
        <w:t xml:space="preserve">Level 1 – Observable inputs such as quoted prices in active markets. </w:t>
      </w:r>
    </w:p>
    <w:p w:rsidR="00000000" w:rsidRDefault="00C668B1">
      <w:pPr>
        <w:divId w:val="387388661"/>
        <w:rPr>
          <w:rFonts w:eastAsia="Times New Roman"/>
        </w:rPr>
      </w:pPr>
      <w:r>
        <w:rPr>
          <w:rFonts w:eastAsia="Times New Roman"/>
          <w:color w:val="000000"/>
          <w:sz w:val="20"/>
          <w:szCs w:val="20"/>
        </w:rPr>
        <w:t xml:space="preserve">Level 2 – Inputs, other than the quoted prices in active markets, that are observable either directly or indirectly. </w:t>
      </w:r>
    </w:p>
    <w:p w:rsidR="00000000" w:rsidRDefault="00C668B1">
      <w:pPr>
        <w:divId w:val="1993481750"/>
        <w:rPr>
          <w:rFonts w:eastAsia="Times New Roman"/>
        </w:rPr>
      </w:pPr>
      <w:r>
        <w:rPr>
          <w:rFonts w:eastAsia="Times New Roman"/>
          <w:color w:val="000000"/>
          <w:sz w:val="20"/>
          <w:szCs w:val="20"/>
        </w:rPr>
        <w:t xml:space="preserve">Level 3 – Unobservable inputs </w:t>
      </w:r>
      <w:r>
        <w:rPr>
          <w:rFonts w:eastAsia="Times New Roman"/>
          <w:color w:val="000000"/>
          <w:sz w:val="20"/>
          <w:szCs w:val="20"/>
        </w:rPr>
        <w:t xml:space="preserve">for which there is little or no market data, which require the reporting entity to develop its own assumptions. </w:t>
      </w:r>
    </w:p>
    <w:p w:rsidR="00000000" w:rsidRDefault="00C668B1">
      <w:pPr>
        <w:divId w:val="1233470187"/>
        <w:rPr>
          <w:rFonts w:eastAsia="Times New Roman"/>
        </w:rPr>
      </w:pPr>
      <w:r>
        <w:rPr>
          <w:rFonts w:eastAsia="Times New Roman"/>
          <w:color w:val="000000"/>
          <w:sz w:val="20"/>
          <w:szCs w:val="20"/>
        </w:rPr>
        <w:t>In accordance with the fair value hierarchy described above, the following table sets forth the Company’s assets and liabilities measured at fa</w:t>
      </w:r>
      <w:r>
        <w:rPr>
          <w:rFonts w:eastAsia="Times New Roman"/>
          <w:color w:val="000000"/>
          <w:sz w:val="20"/>
          <w:szCs w:val="20"/>
        </w:rPr>
        <w:t xml:space="preserve">ir value on a recurring basis: </w:t>
      </w:r>
    </w:p>
    <w:p w:rsidR="00000000" w:rsidRDefault="00C668B1">
      <w:pPr>
        <w:divId w:val="1344091083"/>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2220"/>
        <w:gridCol w:w="37"/>
        <w:gridCol w:w="121"/>
        <w:gridCol w:w="904"/>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trPr>
          <w:divId w:val="915356264"/>
        </w:trPr>
        <w:tc>
          <w:tcPr>
            <w:tcW w:w="50" w:type="pct"/>
            <w:vAlign w:val="center"/>
            <w:hideMark/>
          </w:tcPr>
          <w:p w:rsidR="00000000" w:rsidRDefault="00C668B1">
            <w:pPr>
              <w:rPr>
                <w:rFonts w:eastAsia="Times New Roman"/>
              </w:rPr>
            </w:pPr>
          </w:p>
        </w:tc>
        <w:tc>
          <w:tcPr>
            <w:tcW w:w="171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4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82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2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2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915356264"/>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September 30, 2022</w:t>
            </w:r>
          </w:p>
        </w:tc>
      </w:tr>
      <w:tr w:rsidR="00000000">
        <w:trPr>
          <w:divId w:val="915356264"/>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 xml:space="preserve">Total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 xml:space="preserve">Assets (Level 1)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t>Observable Inputs</w:t>
            </w:r>
            <w:r>
              <w:rPr>
                <w:rFonts w:eastAsia="Times New Roman"/>
                <w:b/>
                <w:bCs/>
                <w:color w:val="000000"/>
                <w:sz w:val="16"/>
                <w:szCs w:val="16"/>
              </w:rPr>
              <w:br/>
              <w:t xml:space="preserve">(Level 2)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 xml:space="preserve">(Level 3) </w:t>
            </w:r>
          </w:p>
        </w:tc>
      </w:tr>
      <w:tr w:rsidR="00000000">
        <w:trPr>
          <w:divId w:val="915356264"/>
        </w:trPr>
        <w:tc>
          <w:tcPr>
            <w:tcW w:w="0" w:type="auto"/>
            <w:gridSpan w:val="3"/>
            <w:shd w:val="clear" w:color="auto" w:fill="CCEEFF"/>
            <w:tcMar>
              <w:top w:w="30" w:type="dxa"/>
              <w:left w:w="20" w:type="dxa"/>
              <w:bottom w:w="30" w:type="dxa"/>
              <w:right w:w="20" w:type="dxa"/>
            </w:tcMar>
            <w:hideMark/>
          </w:tcPr>
          <w:p w:rsidR="00000000" w:rsidRDefault="00C668B1">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915356264"/>
        </w:trPr>
        <w:tc>
          <w:tcPr>
            <w:tcW w:w="0" w:type="auto"/>
            <w:gridSpan w:val="3"/>
            <w:shd w:val="clear" w:color="auto" w:fill="FFFFFF"/>
            <w:tcMar>
              <w:top w:w="30" w:type="dxa"/>
              <w:left w:w="20" w:type="dxa"/>
              <w:bottom w:w="30" w:type="dxa"/>
              <w:right w:w="20" w:type="dxa"/>
            </w:tcMar>
            <w:hideMark/>
          </w:tcPr>
          <w:p w:rsidR="00000000" w:rsidRDefault="00C668B1">
            <w:pPr>
              <w:spacing w:after="100"/>
              <w:ind w:hanging="180"/>
              <w:divId w:val="314140712"/>
              <w:rPr>
                <w:rFonts w:eastAsia="Times New Roman"/>
              </w:rPr>
            </w:pPr>
            <w:r>
              <w:rPr>
                <w:rFonts w:eastAsia="Times New Roman"/>
                <w:color w:val="000000"/>
                <w:sz w:val="20"/>
                <w:szCs w:val="20"/>
              </w:rPr>
              <w:t xml:space="preserve">Cash equivalents </w:t>
            </w:r>
            <w:r>
              <w:rPr>
                <w:rFonts w:eastAsia="Times New Roman"/>
                <w:color w:val="000000"/>
                <w:sz w:val="20"/>
                <w:szCs w:val="20"/>
              </w:rPr>
              <w:b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1,921,341</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1,921,341</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w:t>
            </w:r>
          </w:p>
        </w:tc>
      </w:tr>
    </w:tbl>
    <w:p w:rsidR="00000000" w:rsidRDefault="00C668B1">
      <w:pPr>
        <w:divId w:val="105678348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2133"/>
        <w:gridCol w:w="37"/>
        <w:gridCol w:w="121"/>
        <w:gridCol w:w="1003"/>
        <w:gridCol w:w="36"/>
        <w:gridCol w:w="36"/>
        <w:gridCol w:w="36"/>
        <w:gridCol w:w="36"/>
        <w:gridCol w:w="121"/>
        <w:gridCol w:w="1549"/>
        <w:gridCol w:w="36"/>
        <w:gridCol w:w="36"/>
        <w:gridCol w:w="36"/>
        <w:gridCol w:w="36"/>
        <w:gridCol w:w="121"/>
        <w:gridCol w:w="1215"/>
        <w:gridCol w:w="36"/>
        <w:gridCol w:w="36"/>
        <w:gridCol w:w="36"/>
        <w:gridCol w:w="36"/>
        <w:gridCol w:w="121"/>
        <w:gridCol w:w="1365"/>
        <w:gridCol w:w="36"/>
      </w:tblGrid>
      <w:tr w:rsidR="00000000">
        <w:trPr>
          <w:divId w:val="305622088"/>
        </w:trPr>
        <w:tc>
          <w:tcPr>
            <w:tcW w:w="50" w:type="pct"/>
            <w:vAlign w:val="center"/>
            <w:hideMark/>
          </w:tcPr>
          <w:p w:rsidR="00000000" w:rsidRDefault="00C668B1">
            <w:pPr>
              <w:rPr>
                <w:rFonts w:eastAsia="Times New Roman"/>
              </w:rPr>
            </w:pPr>
          </w:p>
        </w:tc>
        <w:tc>
          <w:tcPr>
            <w:tcW w:w="173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82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2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2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305622088"/>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December 31, 2021</w:t>
            </w:r>
          </w:p>
        </w:tc>
      </w:tr>
      <w:tr w:rsidR="00000000">
        <w:trPr>
          <w:divId w:val="305622088"/>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Quoted Prices in Active</w:t>
            </w:r>
            <w:r>
              <w:rPr>
                <w:rFonts w:eastAsia="Times New Roman"/>
                <w:b/>
                <w:bCs/>
                <w:color w:val="000000"/>
                <w:sz w:val="16"/>
                <w:szCs w:val="16"/>
              </w:rPr>
              <w:br/>
              <w:t>Markets for Identical</w:t>
            </w:r>
            <w:r>
              <w:rPr>
                <w:rFonts w:eastAsia="Times New Roman"/>
                <w:b/>
                <w:bCs/>
                <w:color w:val="000000"/>
                <w:sz w:val="16"/>
                <w:szCs w:val="16"/>
              </w:rPr>
              <w:br/>
              <w:t>Assets (Level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Significant Other</w:t>
            </w:r>
            <w:r>
              <w:rPr>
                <w:rFonts w:eastAsia="Times New Roman"/>
                <w:b/>
                <w:bCs/>
                <w:color w:val="000000"/>
                <w:sz w:val="16"/>
                <w:szCs w:val="16"/>
              </w:rPr>
              <w:br/>
            </w:r>
            <w:r>
              <w:rPr>
                <w:rFonts w:eastAsia="Times New Roman"/>
                <w:b/>
                <w:bCs/>
                <w:color w:val="000000"/>
                <w:sz w:val="16"/>
                <w:szCs w:val="16"/>
              </w:rPr>
              <w:t>Observable Inputs</w:t>
            </w:r>
            <w:r>
              <w:rPr>
                <w:rFonts w:eastAsia="Times New Roman"/>
                <w:b/>
                <w:bCs/>
                <w:color w:val="000000"/>
                <w:sz w:val="16"/>
                <w:szCs w:val="16"/>
              </w:rPr>
              <w:b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 Inputs</w:t>
            </w:r>
            <w:r>
              <w:rPr>
                <w:rFonts w:eastAsia="Times New Roman"/>
                <w:b/>
                <w:bCs/>
                <w:color w:val="000000"/>
                <w:sz w:val="16"/>
                <w:szCs w:val="16"/>
              </w:rPr>
              <w:br/>
              <w:t>(Level 3)</w:t>
            </w:r>
          </w:p>
        </w:tc>
      </w:tr>
      <w:tr w:rsidR="00000000">
        <w:trPr>
          <w:divId w:val="305622088"/>
        </w:trPr>
        <w:tc>
          <w:tcPr>
            <w:tcW w:w="0" w:type="auto"/>
            <w:gridSpan w:val="3"/>
            <w:shd w:val="clear" w:color="auto" w:fill="CCEEFF"/>
            <w:tcMar>
              <w:top w:w="30" w:type="dxa"/>
              <w:left w:w="20" w:type="dxa"/>
              <w:bottom w:w="30" w:type="dxa"/>
              <w:right w:w="20" w:type="dxa"/>
            </w:tcMar>
            <w:hideMark/>
          </w:tcPr>
          <w:p w:rsidR="00000000" w:rsidRDefault="00C668B1">
            <w:pPr>
              <w:spacing w:after="100"/>
              <w:rPr>
                <w:rFonts w:eastAsia="Times New Roman"/>
              </w:rPr>
            </w:pPr>
            <w:r>
              <w:rPr>
                <w:rFonts w:eastAsia="Times New Roman"/>
                <w:b/>
                <w:bCs/>
                <w:color w:val="000000"/>
                <w:sz w:val="20"/>
                <w:szCs w:val="20"/>
              </w:rPr>
              <w:t>Financial assets</w:t>
            </w: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305622088"/>
        </w:trPr>
        <w:tc>
          <w:tcPr>
            <w:tcW w:w="0" w:type="auto"/>
            <w:gridSpan w:val="3"/>
            <w:shd w:val="clear" w:color="auto" w:fill="FFFFFF"/>
            <w:tcMar>
              <w:top w:w="30" w:type="dxa"/>
              <w:left w:w="38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 xml:space="preserve">Cash equivalents </w:t>
            </w:r>
          </w:p>
          <w:p w:rsidR="00000000" w:rsidRDefault="00C668B1">
            <w:pPr>
              <w:spacing w:after="100"/>
              <w:ind w:hanging="180"/>
              <w:divId w:val="1849784216"/>
              <w:rPr>
                <w:rFonts w:eastAsia="Times New Roman"/>
              </w:rPr>
            </w:pPr>
            <w:r>
              <w:rPr>
                <w:rFonts w:eastAsia="Times New Roman"/>
                <w:color w:val="000000"/>
                <w:sz w:val="20"/>
                <w:szCs w:val="20"/>
              </w:rPr>
              <w:t>(Money Market Accounts)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49,051,061</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bottom w:val="double" w:sz="6" w:space="0" w:color="000000"/>
            </w:tcBorders>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w:t>
            </w:r>
          </w:p>
        </w:tc>
      </w:tr>
      <w:tr w:rsidR="00000000">
        <w:trPr>
          <w:divId w:val="305622088"/>
        </w:trPr>
        <w:tc>
          <w:tcPr>
            <w:tcW w:w="0" w:type="auto"/>
            <w:gridSpan w:val="3"/>
            <w:vAlign w:val="center"/>
            <w:hideMark/>
          </w:tcPr>
          <w:p w:rsidR="00000000" w:rsidRDefault="00C668B1">
            <w:pPr>
              <w:spacing w:after="100"/>
              <w:jc w:val="right"/>
              <w:rPr>
                <w:rFonts w:eastAsia="Times New Roman"/>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bl>
    <w:p w:rsidR="00000000" w:rsidRDefault="00C668B1">
      <w:pPr>
        <w:divId w:val="871305012"/>
        <w:rPr>
          <w:rFonts w:eastAsia="Times New Roman"/>
        </w:rPr>
      </w:pPr>
      <w:r>
        <w:rPr>
          <w:rFonts w:eastAsia="Times New Roman"/>
          <w:color w:val="000000"/>
          <w:sz w:val="2"/>
          <w:szCs w:val="2"/>
          <w:shd w:val="clear" w:color="auto" w:fill="FFFF00"/>
        </w:rPr>
        <w:t> </w:t>
      </w:r>
    </w:p>
    <w:p w:rsidR="00000000" w:rsidRDefault="00C668B1">
      <w:pPr>
        <w:divId w:val="956179755"/>
        <w:rPr>
          <w:rFonts w:eastAsia="Times New Roman"/>
        </w:rPr>
      </w:pPr>
    </w:p>
    <w:tbl>
      <w:tblPr>
        <w:tblW w:w="4005" w:type="pct"/>
        <w:tblCellMar>
          <w:top w:w="15" w:type="dxa"/>
          <w:left w:w="15" w:type="dxa"/>
          <w:bottom w:w="15" w:type="dxa"/>
          <w:right w:w="15" w:type="dxa"/>
        </w:tblCellMar>
        <w:tblLook w:val="04A0" w:firstRow="1" w:lastRow="0" w:firstColumn="1" w:lastColumn="0" w:noHBand="0" w:noVBand="1"/>
      </w:tblPr>
      <w:tblGrid>
        <w:gridCol w:w="52"/>
        <w:gridCol w:w="5242"/>
        <w:gridCol w:w="36"/>
        <w:gridCol w:w="52"/>
        <w:gridCol w:w="1235"/>
        <w:gridCol w:w="36"/>
      </w:tblGrid>
      <w:tr w:rsidR="00000000">
        <w:trPr>
          <w:divId w:val="1803381053"/>
        </w:trPr>
        <w:tc>
          <w:tcPr>
            <w:tcW w:w="50" w:type="pct"/>
            <w:vAlign w:val="center"/>
            <w:hideMark/>
          </w:tcPr>
          <w:p w:rsidR="00000000" w:rsidRDefault="00C668B1">
            <w:pPr>
              <w:rPr>
                <w:rFonts w:eastAsia="Times New Roman"/>
              </w:rPr>
            </w:pPr>
          </w:p>
        </w:tc>
        <w:tc>
          <w:tcPr>
            <w:tcW w:w="395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93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803381053"/>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
                <w:szCs w:val="2"/>
              </w:rPr>
              <w:t> </w:t>
            </w:r>
          </w:p>
        </w:tc>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2"/>
                <w:szCs w:val="2"/>
              </w:rPr>
              <w:t> </w:t>
            </w:r>
          </w:p>
        </w:tc>
      </w:tr>
    </w:tbl>
    <w:p w:rsidR="00000000" w:rsidRDefault="00C668B1">
      <w:pPr>
        <w:jc w:val="center"/>
        <w:divId w:val="2122727919"/>
        <w:rPr>
          <w:rFonts w:eastAsia="Times New Roman"/>
        </w:rPr>
      </w:pPr>
      <w:r>
        <w:rPr>
          <w:rFonts w:eastAsia="Times New Roman"/>
          <w:color w:val="000000"/>
        </w:rPr>
        <w:t>15</w:t>
      </w:r>
    </w:p>
    <w:p w:rsidR="00000000" w:rsidRDefault="00C668B1">
      <w:pPr>
        <w:rPr>
          <w:rFonts w:eastAsia="Times New Roman"/>
        </w:rPr>
      </w:pPr>
      <w:r>
        <w:rPr>
          <w:rFonts w:eastAsia="Times New Roman"/>
        </w:rPr>
        <w:pict>
          <v:rect id="_x0000_i1039" style="width:0;height:1.5pt" o:hralign="center" o:hrstd="t" o:hr="t" fillcolor="#a0a0a0" stroked="f"/>
        </w:pict>
      </w:r>
    </w:p>
    <w:p w:rsidR="00000000" w:rsidRDefault="00C668B1">
      <w:pPr>
        <w:divId w:val="1950820128"/>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600793625"/>
        <w:rPr>
          <w:rFonts w:eastAsia="Times New Roman"/>
        </w:rPr>
      </w:pPr>
      <w:r>
        <w:rPr>
          <w:rFonts w:eastAsia="Times New Roman"/>
          <w:b/>
          <w:bCs/>
          <w:color w:val="000000"/>
          <w:sz w:val="20"/>
          <w:szCs w:val="20"/>
        </w:rPr>
        <w:t>(5) Accrued Expenses and Other Current Liabilities</w:t>
      </w:r>
    </w:p>
    <w:p w:rsidR="00000000" w:rsidRDefault="00C668B1">
      <w:pPr>
        <w:divId w:val="1369716800"/>
        <w:rPr>
          <w:rFonts w:eastAsia="Times New Roman"/>
        </w:rPr>
      </w:pPr>
      <w:r>
        <w:rPr>
          <w:rFonts w:eastAsia="Times New Roman"/>
          <w:color w:val="000000"/>
          <w:sz w:val="20"/>
          <w:szCs w:val="20"/>
        </w:rPr>
        <w:t>Accrued expenses and other current liabilities consisted of the following:</w:t>
      </w:r>
    </w:p>
    <w:p w:rsidR="00000000" w:rsidRDefault="00C668B1">
      <w:pPr>
        <w:divId w:val="314260945"/>
        <w:rPr>
          <w:rFonts w:eastAsia="Times New Roman"/>
        </w:rPr>
      </w:pPr>
    </w:p>
    <w:tbl>
      <w:tblPr>
        <w:tblW w:w="3852" w:type="pct"/>
        <w:jc w:val="center"/>
        <w:tblCellMar>
          <w:top w:w="15" w:type="dxa"/>
          <w:left w:w="15" w:type="dxa"/>
          <w:bottom w:w="15" w:type="dxa"/>
          <w:right w:w="15" w:type="dxa"/>
        </w:tblCellMar>
        <w:tblLook w:val="04A0" w:firstRow="1" w:lastRow="0" w:firstColumn="1" w:lastColumn="0" w:noHBand="0" w:noVBand="1"/>
      </w:tblPr>
      <w:tblGrid>
        <w:gridCol w:w="38"/>
        <w:gridCol w:w="3070"/>
        <w:gridCol w:w="37"/>
        <w:gridCol w:w="120"/>
        <w:gridCol w:w="1394"/>
        <w:gridCol w:w="36"/>
        <w:gridCol w:w="36"/>
        <w:gridCol w:w="80"/>
        <w:gridCol w:w="36"/>
        <w:gridCol w:w="120"/>
        <w:gridCol w:w="1396"/>
        <w:gridCol w:w="36"/>
      </w:tblGrid>
      <w:tr w:rsidR="00000000">
        <w:trPr>
          <w:jc w:val="center"/>
        </w:trPr>
        <w:tc>
          <w:tcPr>
            <w:tcW w:w="50" w:type="pct"/>
            <w:vAlign w:val="center"/>
            <w:hideMark/>
          </w:tcPr>
          <w:p w:rsidR="00000000" w:rsidRDefault="00C668B1">
            <w:pPr>
              <w:rPr>
                <w:rFonts w:eastAsia="Times New Roman"/>
              </w:rPr>
            </w:pPr>
          </w:p>
        </w:tc>
        <w:tc>
          <w:tcPr>
            <w:tcW w:w="245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13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0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13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September 30, 2022</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December 31, 2021</w:t>
            </w:r>
          </w:p>
        </w:tc>
      </w:tr>
      <w:tr w:rsidR="00000000">
        <w:trPr>
          <w:jc w:val="center"/>
        </w:trPr>
        <w:tc>
          <w:tcPr>
            <w:tcW w:w="0" w:type="auto"/>
            <w:gridSpan w:val="3"/>
            <w:shd w:val="clear" w:color="auto" w:fill="FFFFFF"/>
            <w:tcMar>
              <w:top w:w="30" w:type="dxa"/>
              <w:left w:w="290" w:type="dxa"/>
              <w:bottom w:w="30" w:type="dxa"/>
              <w:right w:w="20" w:type="dxa"/>
            </w:tcMar>
            <w:hideMark/>
          </w:tcPr>
          <w:p w:rsidR="00000000" w:rsidRDefault="00C668B1">
            <w:pPr>
              <w:spacing w:after="100"/>
              <w:ind w:hanging="240"/>
              <w:rPr>
                <w:rFonts w:eastAsia="Times New Roman"/>
              </w:rPr>
            </w:pPr>
            <w:r>
              <w:rPr>
                <w:rFonts w:eastAsia="Times New Roman"/>
                <w:color w:val="000000"/>
                <w:sz w:val="20"/>
                <w:szCs w:val="20"/>
              </w:rPr>
              <w:t>Compensation and benefits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564,989 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436,990 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90" w:type="dxa"/>
              <w:bottom w:w="30" w:type="dxa"/>
              <w:right w:w="20" w:type="dxa"/>
            </w:tcMar>
            <w:hideMark/>
          </w:tcPr>
          <w:p w:rsidR="00000000" w:rsidRDefault="00C668B1">
            <w:pPr>
              <w:spacing w:after="100"/>
              <w:ind w:hanging="240"/>
              <w:rPr>
                <w:rFonts w:eastAsia="Times New Roman"/>
              </w:rPr>
            </w:pPr>
            <w:r>
              <w:rPr>
                <w:rFonts w:eastAsia="Times New Roman"/>
                <w:color w:val="000000"/>
                <w:sz w:val="20"/>
                <w:szCs w:val="20"/>
              </w:rPr>
              <w:t>Research and development costs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1,801,041 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339,072 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90" w:type="dxa"/>
              <w:bottom w:w="30" w:type="dxa"/>
              <w:right w:w="20" w:type="dxa"/>
            </w:tcMar>
            <w:hideMark/>
          </w:tcPr>
          <w:p w:rsidR="00000000" w:rsidRDefault="00C668B1">
            <w:pPr>
              <w:spacing w:after="100"/>
              <w:ind w:hanging="240"/>
              <w:rPr>
                <w:rFonts w:eastAsia="Times New Roman"/>
              </w:rPr>
            </w:pPr>
            <w:r>
              <w:rPr>
                <w:rFonts w:eastAsia="Times New Roman"/>
                <w:color w:val="000000"/>
                <w:sz w:val="20"/>
                <w:szCs w:val="20"/>
              </w:rPr>
              <w:t>Professional fees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345,530 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CCEEFF"/>
            <w:tcMar>
              <w:top w:w="30" w:type="dxa"/>
              <w:left w:w="290" w:type="dxa"/>
              <w:bottom w:w="30" w:type="dxa"/>
              <w:right w:w="20" w:type="dxa"/>
            </w:tcMar>
            <w:hideMark/>
          </w:tcPr>
          <w:p w:rsidR="00000000" w:rsidRDefault="00C668B1">
            <w:pPr>
              <w:spacing w:after="100"/>
              <w:ind w:hanging="24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60,289 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85,529 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jc w:val="center"/>
        </w:trPr>
        <w:tc>
          <w:tcPr>
            <w:tcW w:w="0" w:type="auto"/>
            <w:gridSpan w:val="3"/>
            <w:shd w:val="clear" w:color="auto" w:fill="FFFFFF"/>
            <w:tcMar>
              <w:top w:w="30" w:type="dxa"/>
              <w:left w:w="290" w:type="dxa"/>
              <w:bottom w:w="30" w:type="dxa"/>
              <w:right w:w="20" w:type="dxa"/>
            </w:tcMar>
            <w:hideMark/>
          </w:tcPr>
          <w:p w:rsidR="00000000" w:rsidRDefault="00C668B1">
            <w:pPr>
              <w:spacing w:after="100"/>
              <w:ind w:hanging="24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2,438,319 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1,207,121 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bl>
    <w:p w:rsidR="00000000" w:rsidRDefault="00C668B1">
      <w:pPr>
        <w:divId w:val="1843158101"/>
        <w:rPr>
          <w:rFonts w:eastAsia="Times New Roman"/>
        </w:rPr>
      </w:pPr>
    </w:p>
    <w:p w:rsidR="00000000" w:rsidRDefault="00C668B1">
      <w:pPr>
        <w:divId w:val="1374228711"/>
        <w:rPr>
          <w:rFonts w:eastAsia="Times New Roman"/>
        </w:rPr>
      </w:pPr>
      <w:r>
        <w:rPr>
          <w:rFonts w:eastAsia="Times New Roman"/>
          <w:b/>
          <w:bCs/>
          <w:color w:val="000000"/>
          <w:sz w:val="20"/>
          <w:szCs w:val="20"/>
        </w:rPr>
        <w:t>(6) Convertible Promissory Notes and Other Debt</w:t>
      </w:r>
    </w:p>
    <w:p w:rsidR="00000000" w:rsidRDefault="00C668B1">
      <w:pPr>
        <w:divId w:val="1922448845"/>
        <w:rPr>
          <w:rFonts w:eastAsia="Times New Roman"/>
        </w:rPr>
      </w:pPr>
      <w:r>
        <w:rPr>
          <w:rFonts w:eastAsia="Times New Roman"/>
          <w:i/>
          <w:iCs/>
          <w:color w:val="000000"/>
          <w:sz w:val="20"/>
          <w:szCs w:val="20"/>
        </w:rPr>
        <w:t xml:space="preserve">Senior Convertible Notes </w:t>
      </w:r>
    </w:p>
    <w:p w:rsidR="00000000" w:rsidRDefault="00C668B1">
      <w:pPr>
        <w:divId w:val="2098747438"/>
        <w:rPr>
          <w:rFonts w:eastAsia="Times New Roman"/>
        </w:rPr>
      </w:pPr>
      <w:r>
        <w:rPr>
          <w:rFonts w:eastAsia="Times New Roman"/>
          <w:color w:val="000000"/>
          <w:sz w:val="20"/>
          <w:szCs w:val="20"/>
        </w:rPr>
        <w:t xml:space="preserve">The Company previously issued certain convertible promissory notes to various investors which were converted into Senior Convertible Notes (the “Senior Convertible Notes”, and collectively, the “Convertible Promissory Notes”). </w:t>
      </w:r>
    </w:p>
    <w:p w:rsidR="00000000" w:rsidRDefault="00C668B1">
      <w:pPr>
        <w:divId w:val="1973560068"/>
        <w:rPr>
          <w:rFonts w:eastAsia="Times New Roman"/>
        </w:rPr>
      </w:pPr>
    </w:p>
    <w:p w:rsidR="00000000" w:rsidRDefault="00C668B1">
      <w:pPr>
        <w:divId w:val="1736509262"/>
        <w:rPr>
          <w:rFonts w:eastAsia="Times New Roman"/>
        </w:rPr>
      </w:pPr>
      <w:r>
        <w:rPr>
          <w:rFonts w:eastAsia="Times New Roman"/>
          <w:color w:val="000000"/>
          <w:sz w:val="20"/>
          <w:szCs w:val="20"/>
        </w:rPr>
        <w:t>All of the outstanding pri</w:t>
      </w:r>
      <w:r>
        <w:rPr>
          <w:rFonts w:eastAsia="Times New Roman"/>
          <w:color w:val="000000"/>
          <w:sz w:val="20"/>
          <w:szCs w:val="20"/>
        </w:rPr>
        <w:t>ncipal and accrued but unpaid interest associated with the Senior Convertible Notes converted into 844,824 shares of Series A Stock in February 2021, of which 430,467 shares were issued to the Company's Chief Executive Officer and an immediate family membe</w:t>
      </w:r>
      <w:r>
        <w:rPr>
          <w:rFonts w:eastAsia="Times New Roman"/>
          <w:color w:val="000000"/>
          <w:sz w:val="20"/>
          <w:szCs w:val="20"/>
        </w:rPr>
        <w:t>r (the "Related Party"). Due to certain embedded features within the Senior Convertible Notes, the Company elected to account for these notes and all their embedded features under the fair value option. At the time of conversion, the estimated fair value o</w:t>
      </w:r>
      <w:r>
        <w:rPr>
          <w:rFonts w:eastAsia="Times New Roman"/>
          <w:color w:val="000000"/>
          <w:sz w:val="20"/>
          <w:szCs w:val="20"/>
        </w:rPr>
        <w:t>f the Senior Convertible Notes was $5.7 million and was reclassified to Series A Stock. The Company recorded a non-cash credit of $9,000 in the condensed consolidated statement of operations for the nine months ended September 30, 2021 related to the decre</w:t>
      </w:r>
      <w:r>
        <w:rPr>
          <w:rFonts w:eastAsia="Times New Roman"/>
          <w:color w:val="000000"/>
          <w:sz w:val="20"/>
          <w:szCs w:val="20"/>
        </w:rPr>
        <w:t>ase in fair value of the Senior Convertible Notes. For the nine months ended September 30, 2021, the Company recognized $46,000 of interest expense in connection with the Senior Convertible Notes, including $23,000 payable to the Related Party, respectivel</w:t>
      </w:r>
      <w:r>
        <w:rPr>
          <w:rFonts w:eastAsia="Times New Roman"/>
          <w:color w:val="000000"/>
          <w:sz w:val="20"/>
          <w:szCs w:val="20"/>
        </w:rPr>
        <w:t>y.</w:t>
      </w:r>
    </w:p>
    <w:p w:rsidR="00000000" w:rsidRDefault="00C668B1">
      <w:pPr>
        <w:divId w:val="1471747162"/>
        <w:rPr>
          <w:rFonts w:eastAsia="Times New Roman"/>
        </w:rPr>
      </w:pPr>
      <w:r>
        <w:rPr>
          <w:rFonts w:eastAsia="Times New Roman"/>
          <w:i/>
          <w:iCs/>
          <w:color w:val="000000"/>
          <w:sz w:val="20"/>
          <w:szCs w:val="20"/>
        </w:rPr>
        <w:t xml:space="preserve">Paycheck Protection Program </w:t>
      </w:r>
    </w:p>
    <w:p w:rsidR="00000000" w:rsidRDefault="00C668B1">
      <w:pPr>
        <w:divId w:val="1155414206"/>
        <w:rPr>
          <w:rFonts w:eastAsia="Times New Roman"/>
        </w:rPr>
      </w:pPr>
      <w:r>
        <w:rPr>
          <w:rFonts w:eastAsia="Times New Roman"/>
          <w:color w:val="000000"/>
          <w:sz w:val="20"/>
          <w:szCs w:val="20"/>
        </w:rPr>
        <w:t>In May 2020, the Company entered into an original loan agreement with Pacific Western Bank as the lender for a loan in an aggregate principal amount of $0.1 million (the “Loan”) pursuant to the Paycheck Protection Program un</w:t>
      </w:r>
      <w:r>
        <w:rPr>
          <w:rFonts w:eastAsia="Times New Roman"/>
          <w:color w:val="000000"/>
          <w:sz w:val="20"/>
          <w:szCs w:val="20"/>
        </w:rPr>
        <w:t xml:space="preserve">der the Coronavirus Aid, Relief, and Economic Security (CARES) Act implemented by the U.S. Small Business Administration. In June 2020, the Paycheck Protection Program Flexibility Act was enacted, which among other things, extended the deferral period for </w:t>
      </w:r>
      <w:r>
        <w:rPr>
          <w:rFonts w:eastAsia="Times New Roman"/>
          <w:color w:val="000000"/>
          <w:sz w:val="20"/>
          <w:szCs w:val="20"/>
        </w:rPr>
        <w:t>loan payments to either (1) the date that the Small Business Administration remits the borrower’s loan forgiveness amount to the lender or (2) if the borrower does not apply for loan forgiveness, 10 months after the end of the borrower’s loan forgiveness c</w:t>
      </w:r>
      <w:r>
        <w:rPr>
          <w:rFonts w:eastAsia="Times New Roman"/>
          <w:color w:val="000000"/>
          <w:sz w:val="20"/>
          <w:szCs w:val="20"/>
        </w:rPr>
        <w:t>overed period. The Loan was set to mature in two years and bore interest at a rate of 1.0% per year, with all payments deferred through September 5, 2021. The outstanding principal balance of the Loan of $0.1 million was forgiven in July 2021 and was recog</w:t>
      </w:r>
      <w:r>
        <w:rPr>
          <w:rFonts w:eastAsia="Times New Roman"/>
          <w:color w:val="000000"/>
          <w:sz w:val="20"/>
          <w:szCs w:val="20"/>
        </w:rPr>
        <w:t xml:space="preserve">nized as a gain on extinguishment of debt within other income in the condensed consolidated statements of operations during the three and nine months ended September 30, 2021. </w:t>
      </w:r>
    </w:p>
    <w:p w:rsidR="00000000" w:rsidRDefault="00C668B1">
      <w:pPr>
        <w:divId w:val="1556307733"/>
        <w:rPr>
          <w:rFonts w:eastAsia="Times New Roman"/>
        </w:rPr>
      </w:pPr>
      <w:r>
        <w:rPr>
          <w:rFonts w:eastAsia="Times New Roman"/>
          <w:b/>
          <w:bCs/>
          <w:color w:val="000000"/>
          <w:sz w:val="20"/>
          <w:szCs w:val="20"/>
        </w:rPr>
        <w:t>(7) Convertible Preferred Stock, Redeemable Common Stock and Common Stock</w:t>
      </w:r>
    </w:p>
    <w:p w:rsidR="00000000" w:rsidRDefault="00C668B1">
      <w:pPr>
        <w:divId w:val="1367869399"/>
        <w:rPr>
          <w:rFonts w:eastAsia="Times New Roman"/>
        </w:rPr>
      </w:pPr>
      <w:r>
        <w:rPr>
          <w:rFonts w:eastAsia="Times New Roman"/>
          <w:b/>
          <w:bCs/>
          <w:i/>
          <w:iCs/>
          <w:color w:val="000000"/>
          <w:sz w:val="20"/>
          <w:szCs w:val="20"/>
        </w:rPr>
        <w:t>Serie</w:t>
      </w:r>
      <w:r>
        <w:rPr>
          <w:rFonts w:eastAsia="Times New Roman"/>
          <w:b/>
          <w:bCs/>
          <w:i/>
          <w:iCs/>
          <w:color w:val="000000"/>
          <w:sz w:val="20"/>
          <w:szCs w:val="20"/>
        </w:rPr>
        <w:t xml:space="preserve">s A convertible preferred stock and Series Seed convertible preferred stock </w:t>
      </w:r>
    </w:p>
    <w:p w:rsidR="00000000" w:rsidRDefault="00C668B1">
      <w:pPr>
        <w:divId w:val="1493721927"/>
        <w:rPr>
          <w:rFonts w:eastAsia="Times New Roman"/>
        </w:rPr>
      </w:pPr>
      <w:r>
        <w:rPr>
          <w:rFonts w:eastAsia="Times New Roman"/>
          <w:color w:val="000000"/>
          <w:sz w:val="20"/>
          <w:szCs w:val="20"/>
        </w:rPr>
        <w:t xml:space="preserve">In February, March and April 2021, the Company sold 738,445 shares of Series A Stock for $7.168 per share for net proceeds of $5.0 </w:t>
      </w:r>
      <w:r>
        <w:rPr>
          <w:rFonts w:eastAsia="Times New Roman"/>
          <w:color w:val="000000"/>
          <w:sz w:val="20"/>
          <w:szCs w:val="20"/>
        </w:rPr>
        <w:t xml:space="preserve">million. The Company also issued 184,597 warrants to purchase common stock at an exercise price of $7.168 to the Series A stockholders as part of the Series A Stock financing. Additionally, the Company issued 24,134 warrants to purchase common stock at an </w:t>
      </w:r>
      <w:r>
        <w:rPr>
          <w:rFonts w:eastAsia="Times New Roman"/>
          <w:color w:val="000000"/>
          <w:sz w:val="20"/>
          <w:szCs w:val="20"/>
        </w:rPr>
        <w:t xml:space="preserve">exercise price of $7.168 to placement agents as a part of the Series A Stock financing. </w:t>
      </w:r>
    </w:p>
    <w:p w:rsidR="00000000" w:rsidRDefault="00C668B1">
      <w:pPr>
        <w:divId w:val="887182639"/>
        <w:rPr>
          <w:rFonts w:eastAsia="Times New Roman"/>
        </w:rPr>
      </w:pPr>
      <w:r>
        <w:rPr>
          <w:rFonts w:eastAsia="Times New Roman"/>
          <w:color w:val="000000"/>
          <w:sz w:val="20"/>
          <w:szCs w:val="20"/>
        </w:rPr>
        <w:t xml:space="preserve">In February 2021, the Company converted $6.1 million of principal and interest related to Senior Convertible Notes into 844,824 shares of Series A Stock at a price of </w:t>
      </w:r>
      <w:r>
        <w:rPr>
          <w:rFonts w:eastAsia="Times New Roman"/>
          <w:color w:val="000000"/>
          <w:sz w:val="20"/>
          <w:szCs w:val="20"/>
        </w:rPr>
        <w:t xml:space="preserve">$7.168 per share. In addition, warrants with a fair value of $0.1 million associated with the Senior Convertible Notes were reclassified into additional paid-in capital. </w:t>
      </w:r>
    </w:p>
    <w:p w:rsidR="00000000" w:rsidRDefault="00C668B1">
      <w:pPr>
        <w:jc w:val="center"/>
        <w:divId w:val="162165477"/>
        <w:rPr>
          <w:rFonts w:eastAsia="Times New Roman"/>
        </w:rPr>
      </w:pPr>
      <w:r>
        <w:rPr>
          <w:rFonts w:eastAsia="Times New Roman"/>
          <w:color w:val="000000"/>
        </w:rPr>
        <w:t>16</w:t>
      </w:r>
    </w:p>
    <w:p w:rsidR="00000000" w:rsidRDefault="00C668B1">
      <w:pPr>
        <w:rPr>
          <w:rFonts w:eastAsia="Times New Roman"/>
        </w:rPr>
      </w:pPr>
      <w:r>
        <w:rPr>
          <w:rFonts w:eastAsia="Times New Roman"/>
        </w:rPr>
        <w:pict>
          <v:rect id="_x0000_i1040" style="width:0;height:1.5pt" o:hralign="center" o:hrstd="t" o:hr="t" fillcolor="#a0a0a0" stroked="f"/>
        </w:pict>
      </w:r>
    </w:p>
    <w:p w:rsidR="00000000" w:rsidRDefault="00C668B1">
      <w:pPr>
        <w:divId w:val="1010790553"/>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99169956"/>
        <w:rPr>
          <w:rFonts w:eastAsia="Times New Roman"/>
        </w:rPr>
      </w:pPr>
      <w:r>
        <w:rPr>
          <w:rFonts w:eastAsia="Times New Roman"/>
          <w:color w:val="000000"/>
          <w:sz w:val="20"/>
          <w:szCs w:val="20"/>
        </w:rPr>
        <w:t xml:space="preserve">In October 2021, the Company completed its IPO in which the Company sold 5,750,000 shares at a public offering price of $5.00 per share. Immediately prior to the completion of the IPO, all of the Company’s preferred stock and </w:t>
      </w:r>
      <w:r>
        <w:rPr>
          <w:rFonts w:eastAsia="Times New Roman"/>
          <w:color w:val="000000"/>
          <w:sz w:val="20"/>
          <w:szCs w:val="20"/>
        </w:rPr>
        <w:t>redeemable common stock converted into an aggregate of 4,853,533 shares of common stock and all of the outstanding warrants converted into 9,816 shares of common stock. The Company received net proceeds of $24.4 million as a result of the offering. The Com</w:t>
      </w:r>
      <w:r>
        <w:rPr>
          <w:rFonts w:eastAsia="Times New Roman"/>
          <w:color w:val="000000"/>
          <w:sz w:val="20"/>
          <w:szCs w:val="20"/>
        </w:rPr>
        <w:t>pany issued 250,000 warrants to a placement agent as part of the offering with an exercise price of $6.25 per share and a term of 5.0 years.</w:t>
      </w:r>
    </w:p>
    <w:p w:rsidR="00000000" w:rsidRDefault="00C668B1">
      <w:pPr>
        <w:divId w:val="2115201991"/>
        <w:rPr>
          <w:rFonts w:eastAsia="Times New Roman"/>
        </w:rPr>
      </w:pPr>
    </w:p>
    <w:p w:rsidR="00000000" w:rsidRDefault="00C668B1">
      <w:pPr>
        <w:divId w:val="1596327771"/>
        <w:rPr>
          <w:rFonts w:eastAsia="Times New Roman"/>
        </w:rPr>
      </w:pPr>
      <w:r>
        <w:rPr>
          <w:rFonts w:eastAsia="Times New Roman"/>
          <w:color w:val="000000"/>
          <w:sz w:val="20"/>
          <w:szCs w:val="20"/>
        </w:rPr>
        <w:t xml:space="preserve">In December 2021, the Company sold 5,000,000 shares of common stock together with warrants to purchase 5,000,000 </w:t>
      </w:r>
      <w:r>
        <w:rPr>
          <w:rFonts w:eastAsia="Times New Roman"/>
          <w:color w:val="000000"/>
          <w:sz w:val="20"/>
          <w:szCs w:val="20"/>
        </w:rPr>
        <w:t>shares of common stock and received net proceeds of $28.9 million in a private placement. Each share of common stock and accompanying warrant were sold together at a combined offering price of $6.25. The warrants have a term of 5.5 years and an exercise pr</w:t>
      </w:r>
      <w:r>
        <w:rPr>
          <w:rFonts w:eastAsia="Times New Roman"/>
          <w:color w:val="000000"/>
          <w:sz w:val="20"/>
          <w:szCs w:val="20"/>
        </w:rPr>
        <w:t>ice of $6.25 per share. The Company also issued 250,000 warrants to a placement agent as part of the offering with an exercise price of $6.25 per share and a term of 5.5 years.</w:t>
      </w:r>
    </w:p>
    <w:p w:rsidR="00000000" w:rsidRDefault="00C668B1">
      <w:pPr>
        <w:divId w:val="856381423"/>
        <w:rPr>
          <w:rFonts w:eastAsia="Times New Roman"/>
        </w:rPr>
      </w:pPr>
    </w:p>
    <w:p w:rsidR="00000000" w:rsidRDefault="00C668B1">
      <w:pPr>
        <w:divId w:val="386031638"/>
        <w:rPr>
          <w:rFonts w:eastAsia="Times New Roman"/>
        </w:rPr>
      </w:pPr>
      <w:r>
        <w:rPr>
          <w:rFonts w:eastAsia="Times New Roman"/>
          <w:b/>
          <w:bCs/>
          <w:i/>
          <w:iCs/>
          <w:color w:val="000000"/>
          <w:sz w:val="20"/>
          <w:szCs w:val="20"/>
        </w:rPr>
        <w:t xml:space="preserve">Warrants for Common Stock </w:t>
      </w:r>
    </w:p>
    <w:p w:rsidR="00000000" w:rsidRDefault="00C668B1">
      <w:pPr>
        <w:divId w:val="1229606573"/>
        <w:rPr>
          <w:rFonts w:eastAsia="Times New Roman"/>
        </w:rPr>
      </w:pPr>
      <w:r>
        <w:rPr>
          <w:rFonts w:eastAsia="Times New Roman"/>
          <w:color w:val="000000"/>
          <w:sz w:val="20"/>
          <w:szCs w:val="20"/>
        </w:rPr>
        <w:t>In March 2022, the Company issued 360,000 warrants</w:t>
      </w:r>
      <w:r>
        <w:rPr>
          <w:rFonts w:eastAsia="Times New Roman"/>
          <w:color w:val="000000"/>
          <w:sz w:val="20"/>
          <w:szCs w:val="20"/>
        </w:rPr>
        <w:t xml:space="preserve"> to purchase common stock with an exercise price of $10.00 per share and a term of 5.76 years as compensation for professional consulting services performed in 2021. The estimated fair value of the warrants of $0.3 million was recorded in general and admin</w:t>
      </w:r>
      <w:r>
        <w:rPr>
          <w:rFonts w:eastAsia="Times New Roman"/>
          <w:color w:val="000000"/>
          <w:sz w:val="20"/>
          <w:szCs w:val="20"/>
        </w:rPr>
        <w:t>istrative expense during the year ended December 31, 2021 and was also reflected as a liability on the condensed consolidated balance sheets as of December 31, 2021. The liability was reclassified into additional paid-in capital in March 2022 upon the issu</w:t>
      </w:r>
      <w:r>
        <w:rPr>
          <w:rFonts w:eastAsia="Times New Roman"/>
          <w:color w:val="000000"/>
          <w:sz w:val="20"/>
          <w:szCs w:val="20"/>
        </w:rPr>
        <w:t>ance of the warrants.</w:t>
      </w:r>
    </w:p>
    <w:p w:rsidR="00000000" w:rsidRDefault="00C668B1">
      <w:pPr>
        <w:divId w:val="1557545343"/>
        <w:rPr>
          <w:rFonts w:eastAsia="Times New Roman"/>
        </w:rPr>
      </w:pPr>
      <w:r>
        <w:rPr>
          <w:rFonts w:eastAsia="Times New Roman"/>
          <w:color w:val="000000"/>
          <w:sz w:val="20"/>
          <w:szCs w:val="20"/>
        </w:rPr>
        <w:t xml:space="preserve">At September 30, 2022, the Company had the following warrants outstanding to acquire common stock: </w:t>
      </w:r>
    </w:p>
    <w:p w:rsidR="00000000" w:rsidRDefault="00C668B1">
      <w:pPr>
        <w:divId w:val="997921720"/>
        <w:rPr>
          <w:rFonts w:eastAsia="Times New Roman"/>
        </w:rPr>
      </w:pPr>
      <w:r>
        <w:rPr>
          <w:rFonts w:eastAsia="Times New Roman"/>
          <w:color w:val="000000"/>
        </w:rPr>
        <w:t> </w:t>
      </w:r>
    </w:p>
    <w:tbl>
      <w:tblPr>
        <w:tblW w:w="4663" w:type="pct"/>
        <w:tblCellMar>
          <w:top w:w="15" w:type="dxa"/>
          <w:left w:w="15" w:type="dxa"/>
          <w:bottom w:w="15" w:type="dxa"/>
          <w:right w:w="15" w:type="dxa"/>
        </w:tblCellMar>
        <w:tblLook w:val="04A0" w:firstRow="1" w:lastRow="0" w:firstColumn="1" w:lastColumn="0" w:noHBand="0" w:noVBand="1"/>
      </w:tblPr>
      <w:tblGrid>
        <w:gridCol w:w="38"/>
        <w:gridCol w:w="3275"/>
        <w:gridCol w:w="36"/>
        <w:gridCol w:w="67"/>
        <w:gridCol w:w="927"/>
        <w:gridCol w:w="36"/>
        <w:gridCol w:w="36"/>
        <w:gridCol w:w="36"/>
        <w:gridCol w:w="36"/>
        <w:gridCol w:w="121"/>
        <w:gridCol w:w="1053"/>
        <w:gridCol w:w="36"/>
        <w:gridCol w:w="36"/>
        <w:gridCol w:w="36"/>
        <w:gridCol w:w="36"/>
        <w:gridCol w:w="46"/>
        <w:gridCol w:w="1859"/>
        <w:gridCol w:w="36"/>
      </w:tblGrid>
      <w:tr w:rsidR="00000000">
        <w:trPr>
          <w:divId w:val="911620485"/>
        </w:trPr>
        <w:tc>
          <w:tcPr>
            <w:tcW w:w="50" w:type="pct"/>
            <w:vAlign w:val="center"/>
            <w:hideMark/>
          </w:tcPr>
          <w:p w:rsidR="00000000" w:rsidRDefault="00C668B1">
            <w:pPr>
              <w:rPr>
                <w:rFonts w:eastAsia="Times New Roman"/>
              </w:rPr>
            </w:pPr>
          </w:p>
        </w:tc>
        <w:tc>
          <w:tcPr>
            <w:tcW w:w="213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4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0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23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911620485"/>
        </w:trPr>
        <w:tc>
          <w:tcPr>
            <w:tcW w:w="0" w:type="auto"/>
            <w:gridSpan w:val="3"/>
            <w:tcMar>
              <w:top w:w="30" w:type="dxa"/>
              <w:left w:w="200" w:type="dxa"/>
              <w:bottom w:w="30" w:type="dxa"/>
              <w:right w:w="20" w:type="dxa"/>
            </w:tcMar>
            <w:vAlign w:val="bottom"/>
            <w:hideMark/>
          </w:tcPr>
          <w:p w:rsidR="00000000" w:rsidRDefault="00C668B1">
            <w:pPr>
              <w:spacing w:after="100"/>
              <w:ind w:hanging="18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 xml:space="preserve">Outstanding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 xml:space="preserve">Exercise price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 xml:space="preserve">Expiration dates </w:t>
            </w:r>
          </w:p>
        </w:tc>
      </w:tr>
      <w:tr w:rsidR="00000000">
        <w:trPr>
          <w:divId w:val="911620485"/>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Issued in connection with 2021 IPO</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250,000</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6.25</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October 2026</w:t>
            </w:r>
          </w:p>
        </w:tc>
      </w:tr>
      <w:tr w:rsidR="00000000">
        <w:trPr>
          <w:divId w:val="911620485"/>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Issued in connection with 2021 private placement</w:t>
            </w:r>
          </w:p>
        </w:tc>
        <w:tc>
          <w:tcPr>
            <w:tcW w:w="0" w:type="auto"/>
            <w:gridSpan w:val="3"/>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5,250,000</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6.25</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June 2027</w:t>
            </w:r>
          </w:p>
        </w:tc>
      </w:tr>
      <w:tr w:rsidR="00000000">
        <w:trPr>
          <w:divId w:val="911620485"/>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Issued in 2022 for consulting services</w:t>
            </w:r>
          </w:p>
        </w:tc>
        <w:tc>
          <w:tcPr>
            <w:tcW w:w="0" w:type="auto"/>
            <w:gridSpan w:val="3"/>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360,000</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10.00</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December 2027</w:t>
            </w:r>
          </w:p>
        </w:tc>
      </w:tr>
      <w:tr w:rsidR="00000000">
        <w:trPr>
          <w:divId w:val="911620485"/>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5,860,000</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bl>
    <w:p w:rsidR="00000000" w:rsidRDefault="00C668B1">
      <w:pPr>
        <w:divId w:val="1226724098"/>
        <w:rPr>
          <w:rFonts w:eastAsia="Times New Roman"/>
        </w:rPr>
      </w:pPr>
      <w:r>
        <w:rPr>
          <w:rFonts w:eastAsia="Times New Roman"/>
          <w:b/>
          <w:bCs/>
          <w:color w:val="000000"/>
          <w:sz w:val="20"/>
          <w:szCs w:val="20"/>
        </w:rPr>
        <w:t>(8) Share-based Compensation</w:t>
      </w:r>
      <w:r>
        <w:rPr>
          <w:rFonts w:eastAsia="Times New Roman"/>
          <w:b/>
          <w:bCs/>
          <w:i/>
          <w:iCs/>
          <w:color w:val="000000"/>
          <w:sz w:val="20"/>
          <w:szCs w:val="20"/>
        </w:rPr>
        <w:t xml:space="preserve"> </w:t>
      </w:r>
    </w:p>
    <w:p w:rsidR="00000000" w:rsidRDefault="00C668B1">
      <w:pPr>
        <w:divId w:val="622157207"/>
        <w:rPr>
          <w:rFonts w:eastAsia="Times New Roman"/>
        </w:rPr>
      </w:pPr>
      <w:r>
        <w:rPr>
          <w:rFonts w:eastAsia="Times New Roman"/>
          <w:color w:val="000000"/>
          <w:sz w:val="20"/>
          <w:szCs w:val="20"/>
        </w:rPr>
        <w:t>In April 2021, the Company adopted the 2021 Long-Term Performance Incentive Plan (“2021 Incentive Plan”</w:t>
      </w:r>
      <w:r>
        <w:rPr>
          <w:rFonts w:eastAsia="Times New Roman"/>
          <w:color w:val="000000"/>
          <w:sz w:val="20"/>
          <w:szCs w:val="20"/>
        </w:rPr>
        <w:t xml:space="preserve">). Under the 2021 Incentive Plan, the Company can grant stock options, stock appreciation rights, restricted stock, restricted stock units (“RSUs”) and stock grants. The 2021 Incentive Plan allows for the issuance of up to 1,266,092 shares of common stock </w:t>
      </w:r>
      <w:r>
        <w:rPr>
          <w:rFonts w:eastAsia="Times New Roman"/>
          <w:color w:val="000000"/>
          <w:sz w:val="20"/>
          <w:szCs w:val="20"/>
        </w:rPr>
        <w:t xml:space="preserve">(the “Share Limit”). The Share Limit will automatically increase on January 1st of each year, during the term of the 2021 Incentive Plan, commencing on January 1 of the year following the year in which the effective date occurs, in an amount equal to four </w:t>
      </w:r>
      <w:r>
        <w:rPr>
          <w:rFonts w:eastAsia="Times New Roman"/>
          <w:color w:val="000000"/>
          <w:sz w:val="20"/>
          <w:szCs w:val="20"/>
        </w:rPr>
        <w:t>percent (4%) of the total number of shares of the Company’s common stock outstanding on December 31st of the preceding calendar year; provided that the Board may determine that there will be no such increase or a smaller increase for any particular year. A</w:t>
      </w:r>
      <w:r>
        <w:rPr>
          <w:rFonts w:eastAsia="Times New Roman"/>
          <w:color w:val="000000"/>
          <w:sz w:val="20"/>
          <w:szCs w:val="20"/>
        </w:rPr>
        <w:t xml:space="preserve">s of September 30, 2022, 546,535 shares remained available for future grants. </w:t>
      </w:r>
    </w:p>
    <w:p w:rsidR="00000000" w:rsidRDefault="00C668B1">
      <w:pPr>
        <w:divId w:val="213590602"/>
        <w:rPr>
          <w:rFonts w:eastAsia="Times New Roman"/>
        </w:rPr>
      </w:pPr>
      <w:r>
        <w:rPr>
          <w:rFonts w:eastAsia="Times New Roman"/>
          <w:color w:val="000000"/>
          <w:sz w:val="2"/>
          <w:szCs w:val="2"/>
        </w:rPr>
        <w:t> </w:t>
      </w:r>
    </w:p>
    <w:p w:rsidR="00000000" w:rsidRDefault="00C668B1">
      <w:pPr>
        <w:divId w:val="2036077985"/>
        <w:rPr>
          <w:rFonts w:eastAsia="Times New Roman"/>
        </w:rPr>
      </w:pPr>
      <w:r>
        <w:rPr>
          <w:rFonts w:eastAsia="Times New Roman"/>
          <w:color w:val="000000"/>
          <w:sz w:val="20"/>
          <w:szCs w:val="20"/>
        </w:rPr>
        <w:t>Share-based awards generally vest over a period of</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share-based awards that lapse or are forfeited are available to be granted again. The contractual lif</w:t>
      </w:r>
      <w:r>
        <w:rPr>
          <w:rFonts w:eastAsia="Times New Roman"/>
          <w:color w:val="000000"/>
          <w:sz w:val="20"/>
          <w:szCs w:val="20"/>
        </w:rPr>
        <w:t xml:space="preserve">e of all share-based awards is ten years. The expiration dates of the outstanding share-based awards range from January 2028 to August 2032. </w:t>
      </w:r>
    </w:p>
    <w:p w:rsidR="00000000" w:rsidRDefault="00C668B1">
      <w:pPr>
        <w:divId w:val="1239828358"/>
        <w:rPr>
          <w:rFonts w:eastAsia="Times New Roman"/>
        </w:rPr>
      </w:pPr>
      <w:r>
        <w:rPr>
          <w:rFonts w:eastAsia="Times New Roman"/>
          <w:color w:val="000000"/>
          <w:sz w:val="20"/>
          <w:szCs w:val="20"/>
        </w:rPr>
        <w:t>The Company measures share-based awards at their grant-date fair value and records compensation expense on a strai</w:t>
      </w:r>
      <w:r>
        <w:rPr>
          <w:rFonts w:eastAsia="Times New Roman"/>
          <w:color w:val="000000"/>
          <w:sz w:val="20"/>
          <w:szCs w:val="20"/>
        </w:rPr>
        <w:t xml:space="preserve">ght-line basis over the service period of the awards. Share-based compensation is allocated to employees and consultants based on their respective departments. All board of directors’ compensation is charged to general and administrative expense. </w:t>
      </w:r>
    </w:p>
    <w:p w:rsidR="00000000" w:rsidRDefault="00C668B1">
      <w:pPr>
        <w:divId w:val="1998921581"/>
        <w:rPr>
          <w:rFonts w:eastAsia="Times New Roman"/>
        </w:rPr>
      </w:pPr>
      <w:r>
        <w:rPr>
          <w:rFonts w:eastAsia="Times New Roman"/>
          <w:color w:val="000000"/>
          <w:sz w:val="20"/>
          <w:szCs w:val="20"/>
        </w:rPr>
        <w:t>Share-ba</w:t>
      </w:r>
      <w:r>
        <w:rPr>
          <w:rFonts w:eastAsia="Times New Roman"/>
          <w:color w:val="000000"/>
          <w:sz w:val="20"/>
          <w:szCs w:val="20"/>
        </w:rPr>
        <w:t xml:space="preserve">sed compensation expense related to the issuance of stock options was as follows for the three and nine months ended September 30, 2022 and 2021: </w:t>
      </w:r>
    </w:p>
    <w:p w:rsidR="00000000" w:rsidRDefault="00C668B1">
      <w:pPr>
        <w:divId w:val="892278675"/>
        <w:rPr>
          <w:rFonts w:eastAsia="Times New Roman"/>
        </w:rPr>
      </w:pPr>
    </w:p>
    <w:p w:rsidR="00000000" w:rsidRDefault="00C668B1">
      <w:pPr>
        <w:jc w:val="center"/>
        <w:divId w:val="1858225471"/>
        <w:rPr>
          <w:rFonts w:eastAsia="Times New Roman"/>
        </w:rPr>
      </w:pPr>
      <w:r>
        <w:rPr>
          <w:rFonts w:eastAsia="Times New Roman"/>
          <w:color w:val="000000"/>
        </w:rPr>
        <w:t>17</w:t>
      </w:r>
    </w:p>
    <w:p w:rsidR="00000000" w:rsidRDefault="00C668B1">
      <w:pPr>
        <w:rPr>
          <w:rFonts w:eastAsia="Times New Roman"/>
        </w:rPr>
      </w:pPr>
      <w:r>
        <w:rPr>
          <w:rFonts w:eastAsia="Times New Roman"/>
        </w:rPr>
        <w:pict>
          <v:rect id="_x0000_i1041" style="width:0;height:1.5pt" o:hralign="center" o:hrstd="t" o:hr="t" fillcolor="#a0a0a0" stroked="f"/>
        </w:pict>
      </w:r>
    </w:p>
    <w:p w:rsidR="00000000" w:rsidRDefault="00C668B1">
      <w:pPr>
        <w:divId w:val="1492673739"/>
        <w:rPr>
          <w:rFonts w:eastAsia="Times New Roman"/>
        </w:rPr>
      </w:pPr>
      <w:hyperlink w:anchor="i6128ef27165d4066a955a859b4b0ee27_7" w:history="1">
        <w:r>
          <w:rPr>
            <w:rStyle w:val="a3"/>
            <w:rFonts w:eastAsia="Times New Roman"/>
            <w:sz w:val="20"/>
            <w:szCs w:val="20"/>
          </w:rPr>
          <w:t>Table of C</w:t>
        </w:r>
        <w:r>
          <w:rPr>
            <w:rStyle w:val="a3"/>
            <w:rFonts w:eastAsia="Times New Roman"/>
            <w:sz w:val="20"/>
            <w:szCs w:val="20"/>
          </w:rPr>
          <w:t>ontents</w:t>
        </w:r>
      </w:hyperlink>
    </w:p>
    <w:tbl>
      <w:tblPr>
        <w:tblW w:w="4634" w:type="pct"/>
        <w:tblCellMar>
          <w:top w:w="15" w:type="dxa"/>
          <w:left w:w="15" w:type="dxa"/>
          <w:bottom w:w="15" w:type="dxa"/>
          <w:right w:w="15" w:type="dxa"/>
        </w:tblCellMar>
        <w:tblLook w:val="04A0" w:firstRow="1" w:lastRow="0" w:firstColumn="1" w:lastColumn="0" w:noHBand="0" w:noVBand="1"/>
      </w:tblPr>
      <w:tblGrid>
        <w:gridCol w:w="40"/>
        <w:gridCol w:w="2362"/>
        <w:gridCol w:w="37"/>
        <w:gridCol w:w="120"/>
        <w:gridCol w:w="1047"/>
        <w:gridCol w:w="36"/>
        <w:gridCol w:w="36"/>
        <w:gridCol w:w="36"/>
        <w:gridCol w:w="36"/>
        <w:gridCol w:w="120"/>
        <w:gridCol w:w="1132"/>
        <w:gridCol w:w="36"/>
        <w:gridCol w:w="36"/>
        <w:gridCol w:w="36"/>
        <w:gridCol w:w="36"/>
        <w:gridCol w:w="120"/>
        <w:gridCol w:w="1047"/>
        <w:gridCol w:w="36"/>
        <w:gridCol w:w="36"/>
        <w:gridCol w:w="36"/>
        <w:gridCol w:w="36"/>
        <w:gridCol w:w="120"/>
        <w:gridCol w:w="1085"/>
        <w:gridCol w:w="36"/>
      </w:tblGrid>
      <w:tr w:rsidR="00000000">
        <w:trPr>
          <w:divId w:val="2086339350"/>
        </w:trPr>
        <w:tc>
          <w:tcPr>
            <w:tcW w:w="50" w:type="pct"/>
            <w:vAlign w:val="center"/>
            <w:hideMark/>
          </w:tcPr>
          <w:p w:rsidR="00000000" w:rsidRDefault="00C668B1">
            <w:pPr>
              <w:rPr>
                <w:rFonts w:eastAsia="Times New Roman"/>
              </w:rPr>
            </w:pPr>
          </w:p>
        </w:tc>
        <w:tc>
          <w:tcPr>
            <w:tcW w:w="161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3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8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3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5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2086339350"/>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Nine months ended September 30,</w:t>
            </w:r>
          </w:p>
        </w:tc>
      </w:tr>
      <w:tr w:rsidR="00000000">
        <w:trPr>
          <w:divId w:val="2086339350"/>
        </w:trPr>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20"/>
                <w:szCs w:val="20"/>
              </w:rPr>
              <w:t>2021</w:t>
            </w:r>
          </w:p>
        </w:tc>
      </w:tr>
      <w:tr w:rsidR="00000000">
        <w:trPr>
          <w:divId w:val="2086339350"/>
          <w:trHeight w:val="300"/>
        </w:trPr>
        <w:tc>
          <w:tcPr>
            <w:tcW w:w="0" w:type="auto"/>
            <w:gridSpan w:val="3"/>
            <w:shd w:val="clear" w:color="auto" w:fill="CCEEFF"/>
            <w:tcMar>
              <w:top w:w="0" w:type="dxa"/>
              <w:left w:w="140" w:type="dxa"/>
              <w:bottom w:w="0" w:type="dxa"/>
              <w:right w:w="20" w:type="dxa"/>
            </w:tcMar>
            <w:vAlign w:val="center"/>
            <w:hideMark/>
          </w:tcPr>
          <w:p w:rsidR="00000000" w:rsidRDefault="00C668B1">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2086339350"/>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14,349 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17,775 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74,256 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56,677 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2086339350"/>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262,172 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133,300 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658,547 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224,049 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2086339350"/>
        </w:trPr>
        <w:tc>
          <w:tcPr>
            <w:tcW w:w="0" w:type="auto"/>
            <w:gridSpan w:val="3"/>
            <w:shd w:val="clear" w:color="auto" w:fill="FFFFFF"/>
            <w:tcMar>
              <w:top w:w="0" w:type="dxa"/>
              <w:left w:w="14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276,521 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151,075 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732,803 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280,726 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bl>
    <w:p w:rsidR="00000000" w:rsidRDefault="00C668B1">
      <w:pPr>
        <w:divId w:val="1843088515"/>
        <w:rPr>
          <w:rFonts w:eastAsia="Times New Roman"/>
        </w:rPr>
      </w:pPr>
      <w:r>
        <w:rPr>
          <w:rFonts w:eastAsia="Times New Roman"/>
          <w:color w:val="000000"/>
          <w:sz w:val="20"/>
          <w:szCs w:val="20"/>
        </w:rPr>
        <w:t>The weighted average assumptions used in the Black-Scholes option pricing model to determine the fair value of share-based awards granted to employees during the nine mont</w:t>
      </w:r>
      <w:r>
        <w:rPr>
          <w:rFonts w:eastAsia="Times New Roman"/>
          <w:color w:val="000000"/>
          <w:sz w:val="20"/>
          <w:szCs w:val="20"/>
        </w:rPr>
        <w:t xml:space="preserve">hs ended September 30, 2022 and 2021, respectively, were as follows: </w:t>
      </w:r>
    </w:p>
    <w:p w:rsidR="00000000" w:rsidRDefault="00C668B1">
      <w:pPr>
        <w:divId w:val="1453356248"/>
        <w:rPr>
          <w:rFonts w:eastAsia="Times New Roman"/>
        </w:rPr>
      </w:pPr>
      <w:r>
        <w:rPr>
          <w:rFonts w:eastAsia="Times New Roman"/>
          <w:color w:val="000000"/>
        </w:rPr>
        <w:t> </w:t>
      </w:r>
    </w:p>
    <w:tbl>
      <w:tblPr>
        <w:tblW w:w="4064" w:type="pct"/>
        <w:tblCellMar>
          <w:top w:w="15" w:type="dxa"/>
          <w:left w:w="15" w:type="dxa"/>
          <w:bottom w:w="15" w:type="dxa"/>
          <w:right w:w="15" w:type="dxa"/>
        </w:tblCellMar>
        <w:tblLook w:val="04A0" w:firstRow="1" w:lastRow="0" w:firstColumn="1" w:lastColumn="0" w:noHBand="0" w:noVBand="1"/>
      </w:tblPr>
      <w:tblGrid>
        <w:gridCol w:w="38"/>
        <w:gridCol w:w="4453"/>
        <w:gridCol w:w="36"/>
        <w:gridCol w:w="36"/>
        <w:gridCol w:w="36"/>
        <w:gridCol w:w="36"/>
        <w:gridCol w:w="43"/>
        <w:gridCol w:w="924"/>
        <w:gridCol w:w="36"/>
        <w:gridCol w:w="36"/>
        <w:gridCol w:w="36"/>
        <w:gridCol w:w="36"/>
        <w:gridCol w:w="43"/>
        <w:gridCol w:w="926"/>
        <w:gridCol w:w="36"/>
      </w:tblGrid>
      <w:tr w:rsidR="00000000">
        <w:trPr>
          <w:divId w:val="926889091"/>
        </w:trPr>
        <w:tc>
          <w:tcPr>
            <w:tcW w:w="50" w:type="pct"/>
            <w:vAlign w:val="center"/>
            <w:hideMark/>
          </w:tcPr>
          <w:p w:rsidR="00000000" w:rsidRDefault="00C668B1">
            <w:pPr>
              <w:rPr>
                <w:rFonts w:eastAsia="Times New Roman"/>
              </w:rPr>
            </w:pPr>
          </w:p>
        </w:tc>
        <w:tc>
          <w:tcPr>
            <w:tcW w:w="332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926889091"/>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2021</w:t>
            </w:r>
          </w:p>
        </w:tc>
      </w:tr>
      <w:tr w:rsidR="00000000">
        <w:trPr>
          <w:divId w:val="926889091"/>
        </w:trPr>
        <w:tc>
          <w:tcPr>
            <w:tcW w:w="0" w:type="auto"/>
            <w:gridSpan w:val="3"/>
            <w:shd w:val="clear" w:color="auto" w:fill="CCEEFF"/>
            <w:tcMar>
              <w:top w:w="30" w:type="dxa"/>
              <w:left w:w="260" w:type="dxa"/>
              <w:bottom w:w="30" w:type="dxa"/>
              <w:right w:w="20" w:type="dxa"/>
            </w:tcMar>
            <w:hideMark/>
          </w:tcPr>
          <w:p w:rsidR="00000000" w:rsidRDefault="00C668B1">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87.02%</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97.50%</w:t>
            </w:r>
          </w:p>
        </w:tc>
      </w:tr>
      <w:tr w:rsidR="00000000">
        <w:trPr>
          <w:divId w:val="926889091"/>
        </w:trPr>
        <w:tc>
          <w:tcPr>
            <w:tcW w:w="0" w:type="auto"/>
            <w:gridSpan w:val="3"/>
            <w:shd w:val="clear" w:color="auto" w:fill="FFFFFF"/>
            <w:tcMar>
              <w:top w:w="30" w:type="dxa"/>
              <w:left w:w="260" w:type="dxa"/>
              <w:bottom w:w="30" w:type="dxa"/>
              <w:right w:w="20" w:type="dxa"/>
            </w:tcMar>
            <w:hideMark/>
          </w:tcPr>
          <w:p w:rsidR="00000000" w:rsidRDefault="00C668B1">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2.17%</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1.03%</w:t>
            </w:r>
          </w:p>
        </w:tc>
      </w:tr>
      <w:tr w:rsidR="00000000">
        <w:trPr>
          <w:divId w:val="926889091"/>
        </w:trPr>
        <w:tc>
          <w:tcPr>
            <w:tcW w:w="0" w:type="auto"/>
            <w:gridSpan w:val="3"/>
            <w:shd w:val="clear" w:color="auto" w:fill="CCEEFF"/>
            <w:tcMar>
              <w:top w:w="30" w:type="dxa"/>
              <w:left w:w="260" w:type="dxa"/>
              <w:bottom w:w="30" w:type="dxa"/>
              <w:right w:w="20" w:type="dxa"/>
            </w:tcMar>
            <w:hideMark/>
          </w:tcPr>
          <w:p w:rsidR="00000000" w:rsidRDefault="00C668B1">
            <w:pPr>
              <w:spacing w:after="100"/>
              <w:rPr>
                <w:rFonts w:eastAsia="Times New Roman"/>
              </w:rPr>
            </w:pPr>
            <w:r>
              <w:rPr>
                <w:rFonts w:eastAsia="Times New Roman"/>
                <w:color w:val="000000"/>
                <w:sz w:val="20"/>
                <w:szCs w:val="20"/>
              </w:rPr>
              <w:t>Expected term (in years)</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5.95</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5.77</w:t>
            </w:r>
          </w:p>
        </w:tc>
      </w:tr>
      <w:tr w:rsidR="00000000">
        <w:trPr>
          <w:divId w:val="926889091"/>
        </w:trPr>
        <w:tc>
          <w:tcPr>
            <w:tcW w:w="0" w:type="auto"/>
            <w:gridSpan w:val="3"/>
            <w:shd w:val="clear" w:color="auto" w:fill="FFFFFF"/>
            <w:tcMar>
              <w:top w:w="30" w:type="dxa"/>
              <w:left w:w="260" w:type="dxa"/>
              <w:bottom w:w="30" w:type="dxa"/>
              <w:right w:w="20" w:type="dxa"/>
            </w:tcMar>
            <w:hideMark/>
          </w:tcPr>
          <w:p w:rsidR="00000000" w:rsidRDefault="00C668B1">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color w:val="000000"/>
                <w:sz w:val="20"/>
                <w:szCs w:val="20"/>
              </w:rPr>
              <w:t>—  </w:t>
            </w:r>
          </w:p>
        </w:tc>
      </w:tr>
    </w:tbl>
    <w:p w:rsidR="00000000" w:rsidRDefault="00C668B1">
      <w:pPr>
        <w:divId w:val="330453141"/>
        <w:rPr>
          <w:rFonts w:eastAsia="Times New Roman"/>
        </w:rPr>
      </w:pPr>
      <w:r>
        <w:rPr>
          <w:rFonts w:eastAsia="Times New Roman"/>
          <w:color w:val="000000"/>
          <w:sz w:val="20"/>
          <w:szCs w:val="20"/>
        </w:rPr>
        <w:t xml:space="preserve">The following table summarizes the share-based award activity for the periods presented: </w:t>
      </w:r>
    </w:p>
    <w:p w:rsidR="00000000" w:rsidRDefault="00C668B1">
      <w:pPr>
        <w:divId w:val="10423617"/>
        <w:rPr>
          <w:rFonts w:eastAsia="Times New Roman"/>
        </w:rPr>
      </w:pP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868"/>
        <w:gridCol w:w="36"/>
        <w:gridCol w:w="94"/>
        <w:gridCol w:w="1262"/>
        <w:gridCol w:w="36"/>
        <w:gridCol w:w="37"/>
        <w:gridCol w:w="90"/>
        <w:gridCol w:w="36"/>
        <w:gridCol w:w="121"/>
        <w:gridCol w:w="1209"/>
        <w:gridCol w:w="36"/>
        <w:gridCol w:w="36"/>
        <w:gridCol w:w="36"/>
        <w:gridCol w:w="36"/>
        <w:gridCol w:w="90"/>
        <w:gridCol w:w="1209"/>
        <w:gridCol w:w="36"/>
      </w:tblGrid>
      <w:tr w:rsidR="00000000">
        <w:trPr>
          <w:divId w:val="876233269"/>
        </w:trPr>
        <w:tc>
          <w:tcPr>
            <w:tcW w:w="50" w:type="pct"/>
            <w:vAlign w:val="center"/>
            <w:hideMark/>
          </w:tcPr>
          <w:p w:rsidR="00000000" w:rsidRDefault="00C668B1">
            <w:pPr>
              <w:rPr>
                <w:rFonts w:eastAsia="Times New Roman"/>
              </w:rPr>
            </w:pPr>
          </w:p>
        </w:tc>
        <w:tc>
          <w:tcPr>
            <w:tcW w:w="269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7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7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7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876233269"/>
        </w:trPr>
        <w:tc>
          <w:tcPr>
            <w:tcW w:w="0" w:type="auto"/>
            <w:gridSpan w:val="3"/>
            <w:tcMar>
              <w:top w:w="30" w:type="dxa"/>
              <w:left w:w="111" w:type="dxa"/>
              <w:bottom w:w="30" w:type="dxa"/>
              <w:right w:w="20" w:type="dxa"/>
            </w:tcMar>
            <w:vAlign w:val="bottom"/>
            <w:hideMark/>
          </w:tcPr>
          <w:p w:rsidR="00000000" w:rsidRDefault="00C668B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 xml:space="preserve">Number of Options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Exercise Price Per</w:t>
            </w:r>
            <w:r>
              <w:rPr>
                <w:rFonts w:eastAsia="Times New Roman"/>
                <w:b/>
                <w:bCs/>
                <w:color w:val="000000"/>
                <w:sz w:val="16"/>
                <w:szCs w:val="16"/>
              </w:rPr>
              <w:br/>
              <w:t xml:space="preserve">Share </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6"/>
                <w:szCs w:val="16"/>
              </w:rPr>
              <w:t>Weighted Average</w:t>
            </w:r>
            <w:r>
              <w:rPr>
                <w:rFonts w:eastAsia="Times New Roman"/>
                <w:b/>
                <w:bCs/>
                <w:color w:val="000000"/>
                <w:sz w:val="16"/>
                <w:szCs w:val="16"/>
              </w:rPr>
              <w:br/>
              <w:t>Remaining</w:t>
            </w:r>
            <w:r>
              <w:rPr>
                <w:rFonts w:eastAsia="Times New Roman"/>
                <w:b/>
                <w:bCs/>
                <w:color w:val="000000"/>
                <w:sz w:val="16"/>
                <w:szCs w:val="16"/>
              </w:rPr>
              <w:br/>
              <w:t>Contractual Term</w:t>
            </w:r>
            <w:r>
              <w:rPr>
                <w:rFonts w:eastAsia="Times New Roman"/>
                <w:b/>
                <w:bCs/>
                <w:color w:val="000000"/>
                <w:sz w:val="16"/>
                <w:szCs w:val="16"/>
              </w:rPr>
              <w:br/>
              <w:t xml:space="preserve">(years) </w:t>
            </w:r>
          </w:p>
        </w:tc>
      </w:tr>
      <w:tr w:rsidR="00000000">
        <w:trPr>
          <w:divId w:val="876233269"/>
        </w:trPr>
        <w:tc>
          <w:tcPr>
            <w:tcW w:w="0" w:type="auto"/>
            <w:gridSpan w:val="3"/>
            <w:shd w:val="clear" w:color="auto" w:fill="CCEEFF"/>
            <w:tcMar>
              <w:top w:w="30" w:type="dxa"/>
              <w:left w:w="260" w:type="dxa"/>
              <w:bottom w:w="30" w:type="dxa"/>
              <w:right w:w="20" w:type="dxa"/>
            </w:tcMar>
            <w:hideMark/>
          </w:tcPr>
          <w:p w:rsidR="00000000" w:rsidRDefault="00C668B1">
            <w:pPr>
              <w:spacing w:after="100"/>
              <w:rPr>
                <w:rFonts w:eastAsia="Times New Roman"/>
              </w:rPr>
            </w:pPr>
            <w:r>
              <w:rPr>
                <w:rFonts w:eastAsia="Times New Roman"/>
                <w:color w:val="000000"/>
                <w:sz w:val="20"/>
                <w:szCs w:val="20"/>
              </w:rPr>
              <w:t>Outstanding at January 1, 2022</w:t>
            </w: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506,691</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9.3</w:t>
            </w:r>
          </w:p>
        </w:tc>
      </w:tr>
      <w:tr w:rsidR="00000000">
        <w:trPr>
          <w:divId w:val="876233269"/>
        </w:trPr>
        <w:tc>
          <w:tcPr>
            <w:tcW w:w="0" w:type="auto"/>
            <w:gridSpan w:val="3"/>
            <w:shd w:val="clear" w:color="auto" w:fill="FFFFFF"/>
            <w:tcMar>
              <w:top w:w="30" w:type="dxa"/>
              <w:left w:w="260" w:type="dxa"/>
              <w:bottom w:w="30" w:type="dxa"/>
              <w:right w:w="20" w:type="dxa"/>
            </w:tcMar>
            <w:hideMark/>
          </w:tcPr>
          <w:p w:rsidR="00000000" w:rsidRDefault="00C668B1">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890,058</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 </w:t>
            </w:r>
          </w:p>
        </w:tc>
      </w:tr>
      <w:tr w:rsidR="00000000">
        <w:trPr>
          <w:divId w:val="876233269"/>
        </w:trPr>
        <w:tc>
          <w:tcPr>
            <w:tcW w:w="0" w:type="auto"/>
            <w:gridSpan w:val="3"/>
            <w:shd w:val="clear" w:color="auto" w:fill="CCEEFF"/>
            <w:tcMar>
              <w:top w:w="30" w:type="dxa"/>
              <w:left w:w="20" w:type="dxa"/>
              <w:bottom w:w="30" w:type="dxa"/>
              <w:right w:w="20" w:type="dxa"/>
            </w:tcMar>
            <w:hideMark/>
          </w:tcPr>
          <w:p w:rsidR="00000000" w:rsidRDefault="00C668B1">
            <w:pPr>
              <w:spacing w:after="100"/>
              <w:divId w:val="361328447"/>
              <w:rPr>
                <w:rFonts w:eastAsia="Times New Roman"/>
              </w:rPr>
            </w:pPr>
            <w:r>
              <w:rPr>
                <w:rFonts w:eastAsia="Times New Roman"/>
                <w:color w:val="000000"/>
                <w:sz w:val="20"/>
                <w:szCs w:val="20"/>
              </w:rPr>
              <w:t>     Forfeited</w:t>
            </w:r>
          </w:p>
        </w:tc>
        <w:tc>
          <w:tcPr>
            <w:tcW w:w="0" w:type="auto"/>
            <w:gridSpan w:val="3"/>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(55,245)</w:t>
            </w:r>
          </w:p>
        </w:tc>
        <w:tc>
          <w:tcPr>
            <w:tcW w:w="0" w:type="auto"/>
            <w:gridSpan w:val="3"/>
            <w:shd w:val="clear" w:color="auto" w:fill="CCEEFF"/>
            <w:tcMar>
              <w:top w:w="0" w:type="dxa"/>
              <w:left w:w="111"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2.52 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876233269"/>
        </w:trPr>
        <w:tc>
          <w:tcPr>
            <w:tcW w:w="0" w:type="auto"/>
            <w:gridSpan w:val="3"/>
            <w:shd w:val="clear" w:color="auto" w:fill="FFFFFF"/>
            <w:tcMar>
              <w:top w:w="30" w:type="dxa"/>
              <w:left w:w="20" w:type="dxa"/>
              <w:bottom w:w="30" w:type="dxa"/>
              <w:right w:w="20" w:type="dxa"/>
            </w:tcMar>
            <w:hideMark/>
          </w:tcPr>
          <w:p w:rsidR="00000000" w:rsidRDefault="00C668B1">
            <w:pPr>
              <w:spacing w:after="100"/>
              <w:divId w:val="2070616832"/>
              <w:rPr>
                <w:rFonts w:eastAsia="Times New Roman"/>
              </w:rPr>
            </w:pPr>
            <w:r>
              <w:rPr>
                <w:rFonts w:eastAsia="Times New Roman"/>
                <w:color w:val="000000"/>
                <w:sz w:val="20"/>
                <w:szCs w:val="20"/>
              </w:rPr>
              <w:t>Outstanding at September 30, 2022</w:t>
            </w:r>
          </w:p>
        </w:tc>
        <w:tc>
          <w:tcPr>
            <w:tcW w:w="0" w:type="auto"/>
            <w:gridSpan w:val="3"/>
            <w:tcBorders>
              <w:top w:val="single" w:sz="8" w:space="0" w:color="000000"/>
            </w:tcBorders>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1,341,504</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9.1</w:t>
            </w:r>
          </w:p>
        </w:tc>
      </w:tr>
      <w:tr w:rsidR="00000000">
        <w:trPr>
          <w:divId w:val="876233269"/>
        </w:trPr>
        <w:tc>
          <w:tcPr>
            <w:tcW w:w="0" w:type="auto"/>
            <w:gridSpan w:val="3"/>
            <w:shd w:val="clear" w:color="auto" w:fill="CCEEFF"/>
            <w:tcMar>
              <w:top w:w="30" w:type="dxa"/>
              <w:left w:w="20" w:type="dxa"/>
              <w:bottom w:w="30" w:type="dxa"/>
              <w:right w:w="20" w:type="dxa"/>
            </w:tcMar>
            <w:hideMark/>
          </w:tcPr>
          <w:p w:rsidR="00000000" w:rsidRDefault="00C668B1">
            <w:pPr>
              <w:spacing w:after="100"/>
              <w:divId w:val="1425959083"/>
              <w:rPr>
                <w:rFonts w:eastAsia="Times New Roman"/>
              </w:rPr>
            </w:pPr>
            <w:r>
              <w:rPr>
                <w:rFonts w:eastAsia="Times New Roman"/>
                <w:color w:val="000000"/>
                <w:sz w:val="20"/>
                <w:szCs w:val="20"/>
              </w:rPr>
              <w:t>Vested and exercisable at September 30, 2022</w:t>
            </w:r>
          </w:p>
        </w:tc>
        <w:tc>
          <w:tcPr>
            <w:tcW w:w="0" w:type="auto"/>
            <w:gridSpan w:val="3"/>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275,061</w:t>
            </w: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5.90 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CCEE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8.5</w:t>
            </w:r>
          </w:p>
        </w:tc>
      </w:tr>
      <w:tr w:rsidR="00000000">
        <w:trPr>
          <w:divId w:val="876233269"/>
        </w:trPr>
        <w:tc>
          <w:tcPr>
            <w:tcW w:w="0" w:type="auto"/>
            <w:gridSpan w:val="3"/>
            <w:shd w:val="clear" w:color="auto" w:fill="FFFFFF"/>
            <w:tcMar>
              <w:top w:w="30" w:type="dxa"/>
              <w:left w:w="20" w:type="dxa"/>
              <w:bottom w:w="30" w:type="dxa"/>
              <w:right w:w="20" w:type="dxa"/>
            </w:tcMar>
            <w:hideMark/>
          </w:tcPr>
          <w:p w:rsidR="00000000" w:rsidRDefault="00C668B1">
            <w:pPr>
              <w:spacing w:after="100"/>
              <w:divId w:val="293678949"/>
              <w:rPr>
                <w:rFonts w:eastAsia="Times New Roman"/>
              </w:rPr>
            </w:pPr>
            <w:r>
              <w:rPr>
                <w:rFonts w:eastAsia="Times New Roman"/>
                <w:color w:val="000000"/>
                <w:sz w:val="20"/>
                <w:szCs w:val="20"/>
              </w:rPr>
              <w:t>Vested and expected to vest at September 30, 2022</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1,341,504</w:t>
            </w: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3"/>
            <w:shd w:val="clear" w:color="auto" w:fill="FFFFFF"/>
            <w:tcMar>
              <w:top w:w="30" w:type="dxa"/>
              <w:left w:w="20" w:type="dxa"/>
              <w:bottom w:w="30" w:type="dxa"/>
              <w:right w:w="111" w:type="dxa"/>
            </w:tcMar>
            <w:vAlign w:val="bottom"/>
            <w:hideMark/>
          </w:tcPr>
          <w:p w:rsidR="00000000" w:rsidRDefault="00C668B1">
            <w:pPr>
              <w:spacing w:after="100"/>
              <w:jc w:val="right"/>
              <w:rPr>
                <w:rFonts w:eastAsia="Times New Roman"/>
              </w:rPr>
            </w:pPr>
            <w:r>
              <w:rPr>
                <w:rFonts w:eastAsia="Times New Roman"/>
                <w:color w:val="000000"/>
                <w:sz w:val="20"/>
                <w:szCs w:val="20"/>
              </w:rPr>
              <w:t>9.1</w:t>
            </w:r>
          </w:p>
        </w:tc>
      </w:tr>
    </w:tbl>
    <w:p w:rsidR="00000000" w:rsidRDefault="00C668B1">
      <w:pPr>
        <w:divId w:val="2060281012"/>
        <w:rPr>
          <w:rFonts w:eastAsia="Times New Roman"/>
        </w:rPr>
      </w:pPr>
      <w:r>
        <w:rPr>
          <w:rFonts w:eastAsia="Times New Roman"/>
          <w:color w:val="000000"/>
          <w:sz w:val="20"/>
          <w:szCs w:val="20"/>
        </w:rPr>
        <w:t>The weighted average fair value of share-based awards granted during the nine months ended September 30, 2022 and 2021 was $1.38 and $3.76, respectively. As of September 30, 2022, the unrecognized compensation cost related to outstanding share-based awards</w:t>
      </w:r>
      <w:r>
        <w:rPr>
          <w:rFonts w:eastAsia="Times New Roman"/>
          <w:color w:val="000000"/>
          <w:sz w:val="20"/>
          <w:szCs w:val="20"/>
        </w:rPr>
        <w:t xml:space="preserve"> was $1.9 million and is expected to be recognized as expense over a weighted-average period of approximately 2.25 years. </w:t>
      </w:r>
    </w:p>
    <w:p w:rsidR="00000000" w:rsidRDefault="00C668B1">
      <w:pPr>
        <w:divId w:val="1640573066"/>
        <w:rPr>
          <w:rFonts w:eastAsia="Times New Roman"/>
        </w:rPr>
      </w:pPr>
      <w:r>
        <w:rPr>
          <w:rFonts w:eastAsia="Times New Roman"/>
          <w:b/>
          <w:bCs/>
          <w:i/>
          <w:iCs/>
          <w:color w:val="000000"/>
          <w:sz w:val="20"/>
          <w:szCs w:val="20"/>
        </w:rPr>
        <w:t xml:space="preserve">Restricted Stock Units </w:t>
      </w:r>
    </w:p>
    <w:p w:rsidR="00000000" w:rsidRDefault="00C668B1">
      <w:pPr>
        <w:divId w:val="1351251563"/>
        <w:rPr>
          <w:rFonts w:eastAsia="Times New Roman"/>
        </w:rPr>
      </w:pPr>
      <w:r>
        <w:rPr>
          <w:rFonts w:eastAsia="Times New Roman"/>
          <w:color w:val="000000"/>
          <w:sz w:val="20"/>
          <w:szCs w:val="20"/>
        </w:rPr>
        <w:t>The Company issues RSUs to employees and consultants that generally vest monthly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three-year perio</w:t>
      </w:r>
      <w:r>
        <w:rPr>
          <w:rFonts w:eastAsia="Times New Roman"/>
          <w:color w:val="000000"/>
          <w:sz w:val="20"/>
          <w:szCs w:val="20"/>
        </w:rPr>
        <w:t xml:space="preserve">ds. The fair value of an RSU is equal to the fair market value price of the Company’s common stock on the date of grant. RSU expense is amortized straight-line over the service period. </w:t>
      </w:r>
    </w:p>
    <w:p w:rsidR="00000000" w:rsidRDefault="00C668B1">
      <w:pPr>
        <w:divId w:val="249003660"/>
        <w:rPr>
          <w:rFonts w:eastAsia="Times New Roman"/>
        </w:rPr>
      </w:pPr>
    </w:p>
    <w:p w:rsidR="00000000" w:rsidRDefault="00C668B1">
      <w:pPr>
        <w:divId w:val="2046634073"/>
        <w:rPr>
          <w:rFonts w:eastAsia="Times New Roman"/>
        </w:rPr>
      </w:pPr>
      <w:r>
        <w:rPr>
          <w:rFonts w:eastAsia="Times New Roman"/>
          <w:color w:val="000000"/>
          <w:sz w:val="20"/>
          <w:szCs w:val="20"/>
        </w:rPr>
        <w:t>The Company recorded share-based compensation expense of approximately $10,000 and $25,000 in research and development expense for the three and nine months ended September 30, 2021, respectively, related to RSUs. There were no RSUs outstanding as of Septe</w:t>
      </w:r>
      <w:r>
        <w:rPr>
          <w:rFonts w:eastAsia="Times New Roman"/>
          <w:color w:val="000000"/>
          <w:sz w:val="20"/>
          <w:szCs w:val="20"/>
        </w:rPr>
        <w:t>mber 30, 2022 or December 31, 2021.</w:t>
      </w:r>
    </w:p>
    <w:p w:rsidR="00000000" w:rsidRDefault="00C668B1">
      <w:pPr>
        <w:jc w:val="center"/>
        <w:divId w:val="1706637120"/>
        <w:rPr>
          <w:rFonts w:eastAsia="Times New Roman"/>
        </w:rPr>
      </w:pPr>
      <w:r>
        <w:rPr>
          <w:rFonts w:eastAsia="Times New Roman"/>
          <w:color w:val="000000"/>
        </w:rPr>
        <w:t>18</w:t>
      </w:r>
    </w:p>
    <w:p w:rsidR="00000000" w:rsidRDefault="00C668B1">
      <w:pPr>
        <w:rPr>
          <w:rFonts w:eastAsia="Times New Roman"/>
        </w:rPr>
      </w:pPr>
      <w:r>
        <w:rPr>
          <w:rFonts w:eastAsia="Times New Roman"/>
        </w:rPr>
        <w:pict>
          <v:rect id="_x0000_i1042" style="width:0;height:1.5pt" o:hralign="center" o:hrstd="t" o:hr="t" fillcolor="#a0a0a0" stroked="f"/>
        </w:pict>
      </w:r>
    </w:p>
    <w:p w:rsidR="00000000" w:rsidRDefault="00C668B1">
      <w:pPr>
        <w:divId w:val="1848206129"/>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551230634"/>
        <w:rPr>
          <w:rFonts w:eastAsia="Times New Roman"/>
        </w:rPr>
      </w:pPr>
      <w:r>
        <w:rPr>
          <w:rFonts w:eastAsia="Times New Roman"/>
          <w:b/>
          <w:bCs/>
          <w:color w:val="000000"/>
          <w:sz w:val="20"/>
          <w:szCs w:val="20"/>
        </w:rPr>
        <w:t xml:space="preserve">(9) Commitments and Contingencies </w:t>
      </w:r>
    </w:p>
    <w:p w:rsidR="00000000" w:rsidRDefault="00C668B1">
      <w:pPr>
        <w:divId w:val="979698181"/>
        <w:rPr>
          <w:rFonts w:eastAsia="Times New Roman"/>
        </w:rPr>
      </w:pPr>
      <w:r>
        <w:rPr>
          <w:rFonts w:eastAsia="Times New Roman"/>
          <w:b/>
          <w:bCs/>
          <w:i/>
          <w:iCs/>
          <w:color w:val="000000"/>
          <w:sz w:val="20"/>
          <w:szCs w:val="20"/>
        </w:rPr>
        <w:t>Operating Lease</w:t>
      </w:r>
    </w:p>
    <w:p w:rsidR="00000000" w:rsidRDefault="00C668B1">
      <w:pPr>
        <w:divId w:val="2053576369"/>
        <w:rPr>
          <w:rFonts w:eastAsia="Times New Roman"/>
        </w:rPr>
      </w:pPr>
    </w:p>
    <w:p w:rsidR="00000000" w:rsidRDefault="00C668B1">
      <w:pPr>
        <w:divId w:val="34743976"/>
        <w:rPr>
          <w:rFonts w:eastAsia="Times New Roman"/>
        </w:rPr>
      </w:pPr>
      <w:r>
        <w:rPr>
          <w:rFonts w:eastAsia="Times New Roman"/>
          <w:color w:val="000000"/>
          <w:sz w:val="20"/>
          <w:szCs w:val="20"/>
        </w:rPr>
        <w:t xml:space="preserve">In January 2022, the Company entered into a noncancellable operating sublease for corporate office space in Philadelphia, Pennsylvania. The sublease for this space commenced on February 1, 2022 and is set to expire on July 30, 2023. </w:t>
      </w:r>
    </w:p>
    <w:p w:rsidR="00000000" w:rsidRDefault="00C668B1">
      <w:pPr>
        <w:divId w:val="548109950"/>
        <w:rPr>
          <w:rFonts w:eastAsia="Times New Roman"/>
        </w:rPr>
      </w:pPr>
    </w:p>
    <w:p w:rsidR="00000000" w:rsidRDefault="00C668B1">
      <w:pPr>
        <w:divId w:val="1388995035"/>
        <w:rPr>
          <w:rFonts w:eastAsia="Times New Roman"/>
        </w:rPr>
      </w:pPr>
      <w:r>
        <w:rPr>
          <w:rFonts w:eastAsia="Times New Roman"/>
          <w:color w:val="000000"/>
          <w:sz w:val="20"/>
          <w:szCs w:val="20"/>
        </w:rPr>
        <w:t xml:space="preserve">As of September 30, </w:t>
      </w:r>
      <w:r>
        <w:rPr>
          <w:rFonts w:eastAsia="Times New Roman"/>
          <w:color w:val="000000"/>
          <w:sz w:val="20"/>
          <w:szCs w:val="20"/>
        </w:rPr>
        <w:t>2022, the operating lease right-of-use asset and the operating lease liabilities were $74,000 and $78,000, respectively. The weighted average discount rate used to account for the Company’s operating leases under Topic 842 is the Company’s estimated increm</w:t>
      </w:r>
      <w:r>
        <w:rPr>
          <w:rFonts w:eastAsia="Times New Roman"/>
          <w:color w:val="000000"/>
          <w:sz w:val="20"/>
          <w:szCs w:val="20"/>
        </w:rPr>
        <w:t>ental borrowing rate of 5.0%. The remaining term of the Company’s noncancellable operating lease is 0.83 years.</w:t>
      </w:r>
    </w:p>
    <w:p w:rsidR="00000000" w:rsidRDefault="00C668B1">
      <w:pPr>
        <w:divId w:val="1085566326"/>
        <w:rPr>
          <w:rFonts w:eastAsia="Times New Roman"/>
        </w:rPr>
      </w:pPr>
    </w:p>
    <w:p w:rsidR="00000000" w:rsidRDefault="00C668B1">
      <w:pPr>
        <w:divId w:val="1999259091"/>
        <w:rPr>
          <w:rFonts w:eastAsia="Times New Roman"/>
        </w:rPr>
      </w:pPr>
      <w:r>
        <w:rPr>
          <w:rFonts w:eastAsia="Times New Roman"/>
          <w:color w:val="000000"/>
          <w:sz w:val="20"/>
          <w:szCs w:val="20"/>
        </w:rPr>
        <w:t xml:space="preserve">Rent expense related to the Company’s operating lease was approximately $23,000 and $60,000 for the three and nine months ended September 30, </w:t>
      </w:r>
      <w:r>
        <w:rPr>
          <w:rFonts w:eastAsia="Times New Roman"/>
          <w:color w:val="000000"/>
          <w:sz w:val="20"/>
          <w:szCs w:val="20"/>
        </w:rPr>
        <w:t>2022, respectively. The Company recognizes rent expense on a straight-line basis over the lease period and accrues for rent expense incurred but not yet paid.</w:t>
      </w:r>
    </w:p>
    <w:p w:rsidR="00000000" w:rsidRDefault="00C668B1">
      <w:pPr>
        <w:divId w:val="1260525661"/>
        <w:rPr>
          <w:rFonts w:eastAsia="Times New Roman"/>
        </w:rPr>
      </w:pPr>
    </w:p>
    <w:p w:rsidR="00000000" w:rsidRDefault="00C668B1">
      <w:pPr>
        <w:divId w:val="828793591"/>
        <w:rPr>
          <w:rFonts w:eastAsia="Times New Roman"/>
        </w:rPr>
      </w:pPr>
      <w:r>
        <w:rPr>
          <w:rFonts w:eastAsia="Times New Roman"/>
          <w:color w:val="000000"/>
          <w:sz w:val="20"/>
          <w:szCs w:val="20"/>
        </w:rPr>
        <w:t>Future minimum lease payments under the sublease are $80,000 at September 30, 2022.</w:t>
      </w:r>
    </w:p>
    <w:p w:rsidR="00000000" w:rsidRDefault="00C668B1">
      <w:pPr>
        <w:divId w:val="1250386360"/>
        <w:rPr>
          <w:rFonts w:eastAsia="Times New Roman"/>
        </w:rPr>
      </w:pPr>
    </w:p>
    <w:p w:rsidR="00000000" w:rsidRDefault="00C668B1">
      <w:pPr>
        <w:divId w:val="2143032402"/>
        <w:rPr>
          <w:rFonts w:eastAsia="Times New Roman"/>
        </w:rPr>
      </w:pPr>
      <w:r>
        <w:rPr>
          <w:rFonts w:eastAsia="Times New Roman"/>
          <w:b/>
          <w:bCs/>
          <w:i/>
          <w:iCs/>
          <w:color w:val="000000"/>
          <w:sz w:val="20"/>
          <w:szCs w:val="20"/>
        </w:rPr>
        <w:t xml:space="preserve">Employee </w:t>
      </w:r>
      <w:r>
        <w:rPr>
          <w:rFonts w:eastAsia="Times New Roman"/>
          <w:b/>
          <w:bCs/>
          <w:i/>
          <w:iCs/>
          <w:color w:val="000000"/>
          <w:sz w:val="20"/>
          <w:szCs w:val="20"/>
        </w:rPr>
        <w:t>Benefit Plans</w:t>
      </w:r>
    </w:p>
    <w:p w:rsidR="00000000" w:rsidRDefault="00C668B1">
      <w:pPr>
        <w:divId w:val="227958187"/>
        <w:rPr>
          <w:rFonts w:eastAsia="Times New Roman"/>
        </w:rPr>
      </w:pPr>
    </w:p>
    <w:p w:rsidR="00000000" w:rsidRDefault="00C668B1">
      <w:pPr>
        <w:divId w:val="521550897"/>
        <w:rPr>
          <w:rFonts w:eastAsia="Times New Roman"/>
        </w:rPr>
      </w:pPr>
      <w:r>
        <w:rPr>
          <w:rFonts w:eastAsia="Times New Roman"/>
          <w:color w:val="000000"/>
          <w:sz w:val="20"/>
          <w:szCs w:val="20"/>
        </w:rPr>
        <w:t>In the first quarter of 2022, the Company established a defined contribution 401(k) plan in which employees may contribute up to 100% of their salary and bonus, subject to statutory maximum contribution amounts. The Company contributes a sa</w:t>
      </w:r>
      <w:r>
        <w:rPr>
          <w:rFonts w:eastAsia="Times New Roman"/>
          <w:color w:val="000000"/>
          <w:sz w:val="20"/>
          <w:szCs w:val="20"/>
        </w:rPr>
        <w:t>fe harbor minimum contribution equivalent to 3% of employees’ compensation. The Company generally assumes all administrative costs of the plan. For the three and nine months ended September 30, 2022, the Company provided contributions of approximately $12,</w:t>
      </w:r>
      <w:r>
        <w:rPr>
          <w:rFonts w:eastAsia="Times New Roman"/>
          <w:color w:val="000000"/>
          <w:sz w:val="20"/>
          <w:szCs w:val="20"/>
        </w:rPr>
        <w:t>000 and $54,000, respectively.</w:t>
      </w:r>
    </w:p>
    <w:p w:rsidR="00000000" w:rsidRDefault="00C668B1">
      <w:pPr>
        <w:divId w:val="1014957813"/>
        <w:rPr>
          <w:rFonts w:eastAsia="Times New Roman"/>
        </w:rPr>
      </w:pPr>
    </w:p>
    <w:p w:rsidR="00000000" w:rsidRDefault="00C668B1">
      <w:pPr>
        <w:divId w:val="1709842307"/>
        <w:rPr>
          <w:rFonts w:eastAsia="Times New Roman"/>
        </w:rPr>
      </w:pPr>
      <w:r>
        <w:rPr>
          <w:rFonts w:eastAsia="Times New Roman"/>
          <w:b/>
          <w:bCs/>
          <w:i/>
          <w:iCs/>
          <w:color w:val="000000"/>
          <w:sz w:val="20"/>
          <w:szCs w:val="20"/>
        </w:rPr>
        <w:t xml:space="preserve">Collaboration Agreement with Tyligand Bioscience </w:t>
      </w:r>
    </w:p>
    <w:p w:rsidR="00000000" w:rsidRDefault="00C668B1">
      <w:pPr>
        <w:divId w:val="1970016491"/>
        <w:rPr>
          <w:rFonts w:eastAsia="Times New Roman"/>
        </w:rPr>
      </w:pPr>
      <w:r>
        <w:rPr>
          <w:rFonts w:eastAsia="Times New Roman"/>
          <w:color w:val="000000"/>
          <w:sz w:val="20"/>
          <w:szCs w:val="20"/>
        </w:rPr>
        <w:t>In March 2020, the Company entered into a process development agreement (the “Tyligand Process Development Agreement”) with Tyligand Bioscience (Shanghai) Limited (“Tyligand</w:t>
      </w:r>
      <w:r>
        <w:rPr>
          <w:rFonts w:eastAsia="Times New Roman"/>
          <w:color w:val="000000"/>
          <w:sz w:val="20"/>
          <w:szCs w:val="20"/>
        </w:rPr>
        <w:t xml:space="preserve">”) for the development, manufacturing, registration and future commercialization of onapristone extended release (“ONA-XR”). </w:t>
      </w:r>
    </w:p>
    <w:p w:rsidR="00000000" w:rsidRDefault="00C668B1">
      <w:pPr>
        <w:divId w:val="52240348"/>
        <w:rPr>
          <w:rFonts w:eastAsia="Times New Roman"/>
        </w:rPr>
      </w:pPr>
    </w:p>
    <w:p w:rsidR="00000000" w:rsidRDefault="00C668B1">
      <w:pPr>
        <w:divId w:val="1125855321"/>
        <w:rPr>
          <w:rFonts w:eastAsia="Times New Roman"/>
        </w:rPr>
      </w:pPr>
      <w:r>
        <w:rPr>
          <w:rFonts w:eastAsia="Times New Roman"/>
          <w:color w:val="000000"/>
          <w:sz w:val="20"/>
          <w:szCs w:val="20"/>
        </w:rPr>
        <w:t>Under the terms of the Tyligand Process Development Agreement, Tyligand was solely responsible for the design and optimization o</w:t>
      </w:r>
      <w:r>
        <w:rPr>
          <w:rFonts w:eastAsia="Times New Roman"/>
          <w:color w:val="000000"/>
          <w:sz w:val="20"/>
          <w:szCs w:val="20"/>
        </w:rPr>
        <w:t>f an improved manufacturing process for ONA-XR. Upon completion of specific performance-based milestones, Tyligand and the Company entered into a license agreement (the “Tyligand License Agreement” and, together with the Tyligand Process Development Agreem</w:t>
      </w:r>
      <w:r>
        <w:rPr>
          <w:rFonts w:eastAsia="Times New Roman"/>
          <w:color w:val="000000"/>
          <w:sz w:val="20"/>
          <w:szCs w:val="20"/>
        </w:rPr>
        <w:t>ent, the “Tyligand Agreements”) whereby Tyligand was granted the exclusive right to ONA-XR and is solely responsible for the development and commercialization of ONA-XR in China, Hong Kong and Macau (the “Territory”). The Company retains rights in the rest</w:t>
      </w:r>
      <w:r>
        <w:rPr>
          <w:rFonts w:eastAsia="Times New Roman"/>
          <w:color w:val="000000"/>
          <w:sz w:val="20"/>
          <w:szCs w:val="20"/>
        </w:rPr>
        <w:t xml:space="preserve"> of the world to commercialize ONA-XR. </w:t>
      </w:r>
    </w:p>
    <w:p w:rsidR="00000000" w:rsidRDefault="00C668B1">
      <w:pPr>
        <w:divId w:val="1465544486"/>
        <w:rPr>
          <w:rFonts w:eastAsia="Times New Roman"/>
        </w:rPr>
      </w:pPr>
      <w:r>
        <w:rPr>
          <w:rFonts w:eastAsia="Times New Roman"/>
          <w:color w:val="000000"/>
          <w:sz w:val="20"/>
          <w:szCs w:val="20"/>
        </w:rPr>
        <w:t>Under the Tyligand Process Development Agreement, the Company paid Tyligand $0.8 million and issued 111,576 warrants to purchase shares of common stock at an exercise price of $7.17 per share upon successful completi</w:t>
      </w:r>
      <w:r>
        <w:rPr>
          <w:rFonts w:eastAsia="Times New Roman"/>
          <w:color w:val="000000"/>
          <w:sz w:val="20"/>
          <w:szCs w:val="20"/>
        </w:rPr>
        <w:t>on of the manufacturing development plan in 2021. The warrants were cancelled in connection with the Company’s IPO. In addition, $2.0 million will be payable upon the completion of scale-up of the first cumulative 100 kilograms of the Good Manufacturing Pr</w:t>
      </w:r>
      <w:r>
        <w:rPr>
          <w:rFonts w:eastAsia="Times New Roman"/>
          <w:color w:val="000000"/>
          <w:sz w:val="20"/>
          <w:szCs w:val="20"/>
        </w:rPr>
        <w:t>actices (“GMP”)-grade compound and $3.0 million upon the Company’s completion of scale-up of the first cumulative 300 kilograms of the GMP-grade compound. In consideration of and upon Tyligand’s successful completion of the development plan, within 30 days</w:t>
      </w:r>
      <w:r>
        <w:rPr>
          <w:rFonts w:eastAsia="Times New Roman"/>
          <w:color w:val="000000"/>
          <w:sz w:val="20"/>
          <w:szCs w:val="20"/>
        </w:rPr>
        <w:t xml:space="preserve"> at the end of each calendar quarter, the Company shall pay Tyligand 1% of net sales of finished product utilizing the compound substantially manufactured in accordance with the process and specifications outlined in the Tyligand Process Development Agreem</w:t>
      </w:r>
      <w:r>
        <w:rPr>
          <w:rFonts w:eastAsia="Times New Roman"/>
          <w:color w:val="000000"/>
          <w:sz w:val="20"/>
          <w:szCs w:val="20"/>
        </w:rPr>
        <w:t xml:space="preserve">ent. </w:t>
      </w:r>
    </w:p>
    <w:p w:rsidR="00000000" w:rsidRDefault="00C668B1">
      <w:pPr>
        <w:divId w:val="454832081"/>
        <w:rPr>
          <w:rFonts w:eastAsia="Times New Roman"/>
        </w:rPr>
      </w:pPr>
      <w:r>
        <w:rPr>
          <w:rFonts w:eastAsia="Times New Roman"/>
          <w:color w:val="000000"/>
          <w:sz w:val="20"/>
          <w:szCs w:val="20"/>
        </w:rPr>
        <w:t>Per the Tyligand License Agreement, Tyligand shall pay the Company a non-refundable, non-creditable royalty at a rate in the mid-single digits of the net sales of each product in the Territory in each calendar quarter commencing with the first commer</w:t>
      </w:r>
      <w:r>
        <w:rPr>
          <w:rFonts w:eastAsia="Times New Roman"/>
          <w:color w:val="000000"/>
          <w:sz w:val="20"/>
          <w:szCs w:val="20"/>
        </w:rPr>
        <w:t xml:space="preserve">cial sale of such product in the field in the Territory and ending upon the latest of (i) the sale of a generic product in the Territory and (ii) 15 years after the date of the first commercial sale of product in the Territory. </w:t>
      </w:r>
    </w:p>
    <w:p w:rsidR="00000000" w:rsidRDefault="00C668B1">
      <w:pPr>
        <w:jc w:val="center"/>
        <w:divId w:val="122307654"/>
        <w:rPr>
          <w:rFonts w:eastAsia="Times New Roman"/>
        </w:rPr>
      </w:pPr>
      <w:r>
        <w:rPr>
          <w:rFonts w:eastAsia="Times New Roman"/>
          <w:color w:val="000000"/>
        </w:rPr>
        <w:t>19</w:t>
      </w:r>
    </w:p>
    <w:p w:rsidR="00000000" w:rsidRDefault="00C668B1">
      <w:pPr>
        <w:rPr>
          <w:rFonts w:eastAsia="Times New Roman"/>
        </w:rPr>
      </w:pPr>
      <w:r>
        <w:rPr>
          <w:rFonts w:eastAsia="Times New Roman"/>
        </w:rPr>
        <w:pict>
          <v:rect id="_x0000_i1043" style="width:0;height:1.5pt" o:hralign="center" o:hrstd="t" o:hr="t" fillcolor="#a0a0a0" stroked="f"/>
        </w:pict>
      </w:r>
    </w:p>
    <w:p w:rsidR="00000000" w:rsidRDefault="00C668B1">
      <w:pPr>
        <w:divId w:val="1847134672"/>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843786379"/>
        <w:rPr>
          <w:rFonts w:eastAsia="Times New Roman"/>
        </w:rPr>
      </w:pPr>
      <w:r>
        <w:rPr>
          <w:rFonts w:eastAsia="Times New Roman"/>
          <w:b/>
          <w:bCs/>
          <w:i/>
          <w:iCs/>
          <w:color w:val="000000"/>
          <w:sz w:val="20"/>
          <w:szCs w:val="20"/>
        </w:rPr>
        <w:t xml:space="preserve">Collaboration and Licensing Agreement with Integral Molecular </w:t>
      </w:r>
    </w:p>
    <w:p w:rsidR="00000000" w:rsidRDefault="00C668B1">
      <w:pPr>
        <w:divId w:val="60762929"/>
        <w:rPr>
          <w:rFonts w:eastAsia="Times New Roman"/>
        </w:rPr>
      </w:pPr>
      <w:r>
        <w:rPr>
          <w:rFonts w:eastAsia="Times New Roman"/>
          <w:color w:val="000000"/>
          <w:sz w:val="20"/>
          <w:szCs w:val="20"/>
        </w:rPr>
        <w:t>In April 2021, the Company entered into a collaboration and licensing agreement with Integral Molecular, Inc. (“Integral”) for the development of an anti-claudin 6 (“CLDN6”) bispecific monoclonal antibody (“BsAb”) for cancer therapy. Under the terms of the</w:t>
      </w:r>
      <w:r>
        <w:rPr>
          <w:rFonts w:eastAsia="Times New Roman"/>
          <w:color w:val="000000"/>
          <w:sz w:val="20"/>
          <w:szCs w:val="20"/>
        </w:rPr>
        <w:t xml:space="preserve"> agreement, Integral and the Company will develop CLDN6 bispecific antibodies that trigger the activation of T cells and eliminate cancer cells displaying CLND6. The Company will conduct preclinical and all clinical development, as well as regulatory and c</w:t>
      </w:r>
      <w:r>
        <w:rPr>
          <w:rFonts w:eastAsia="Times New Roman"/>
          <w:color w:val="000000"/>
          <w:sz w:val="20"/>
          <w:szCs w:val="20"/>
        </w:rPr>
        <w:t>ommercial activities through exclusive worldwide rights to develop and commercialize the novel CLDN6 candidates. The Company paid an upfront license fee of $0.3 million, granted 418,559 shares of Series A Stock with a fair market value of approximately $2.</w:t>
      </w:r>
      <w:r>
        <w:rPr>
          <w:rFonts w:eastAsia="Times New Roman"/>
          <w:color w:val="000000"/>
          <w:sz w:val="20"/>
          <w:szCs w:val="20"/>
        </w:rPr>
        <w:t>8 million, and expensed these costs to acquired in-process research and development during the year ended December 31, 2021. As a part of the agreement, Integral will be eligible to receive remaining development and regulatory milestone payments totaling a</w:t>
      </w:r>
      <w:r>
        <w:rPr>
          <w:rFonts w:eastAsia="Times New Roman"/>
          <w:color w:val="000000"/>
          <w:sz w:val="20"/>
          <w:szCs w:val="20"/>
        </w:rPr>
        <w:t>pproximately $55 million, sales milestone payments totaling up to $130.0 million, and tiered royalties of up to 12% of net sales of certain products developed under this agreement. In the second quarter of 2022, the Company expensed $0.5 million in acquire</w:t>
      </w:r>
      <w:r>
        <w:rPr>
          <w:rFonts w:eastAsia="Times New Roman"/>
          <w:color w:val="000000"/>
          <w:sz w:val="20"/>
          <w:szCs w:val="20"/>
        </w:rPr>
        <w:t>d in-process research and development related to a development milestone achieved under the agreement with Integral.</w:t>
      </w:r>
    </w:p>
    <w:p w:rsidR="00000000" w:rsidRDefault="00C668B1">
      <w:pPr>
        <w:divId w:val="382943219"/>
        <w:rPr>
          <w:rFonts w:eastAsia="Times New Roman"/>
        </w:rPr>
      </w:pPr>
    </w:p>
    <w:p w:rsidR="00000000" w:rsidRDefault="00C668B1">
      <w:pPr>
        <w:divId w:val="1782339404"/>
        <w:rPr>
          <w:rFonts w:eastAsia="Times New Roman"/>
        </w:rPr>
      </w:pPr>
      <w:r>
        <w:rPr>
          <w:rFonts w:eastAsia="Times New Roman"/>
          <w:b/>
          <w:bCs/>
          <w:i/>
          <w:iCs/>
          <w:color w:val="000000"/>
          <w:sz w:val="20"/>
          <w:szCs w:val="20"/>
        </w:rPr>
        <w:t>Research and Development Arrangements</w:t>
      </w:r>
    </w:p>
    <w:p w:rsidR="00000000" w:rsidRDefault="00C668B1">
      <w:pPr>
        <w:divId w:val="660543828"/>
        <w:rPr>
          <w:rFonts w:eastAsia="Times New Roman"/>
        </w:rPr>
      </w:pPr>
      <w:r>
        <w:rPr>
          <w:rFonts w:eastAsia="Times New Roman"/>
          <w:color w:val="000000"/>
          <w:sz w:val="20"/>
          <w:szCs w:val="20"/>
        </w:rPr>
        <w:t>In the course of normal business operations, the Company enters into agreements with universities a</w:t>
      </w:r>
      <w:r>
        <w:rPr>
          <w:rFonts w:eastAsia="Times New Roman"/>
          <w:color w:val="000000"/>
          <w:sz w:val="20"/>
          <w:szCs w:val="20"/>
        </w:rPr>
        <w:t>nd contract research organizations to assist in the performance of research and development activities and contract manufacturers to assist with chemistry, manufacturing, and controls related expenses. Expenditures to contract research organizations repres</w:t>
      </w:r>
      <w:r>
        <w:rPr>
          <w:rFonts w:eastAsia="Times New Roman"/>
          <w:color w:val="000000"/>
          <w:sz w:val="20"/>
          <w:szCs w:val="20"/>
        </w:rPr>
        <w:t>ent a significant cost in clinical development for the Company. The Company could also enter into additional collaborative research, contract research, manufacturing, and supplier agreements in the future, which may</w:t>
      </w:r>
      <w:r>
        <w:rPr>
          <w:rFonts w:eastAsia="Times New Roman"/>
          <w:i/>
          <w:iCs/>
          <w:color w:val="000000"/>
          <w:sz w:val="20"/>
          <w:szCs w:val="20"/>
        </w:rPr>
        <w:t xml:space="preserve"> </w:t>
      </w:r>
      <w:r>
        <w:rPr>
          <w:rFonts w:eastAsia="Times New Roman"/>
          <w:color w:val="000000"/>
          <w:sz w:val="20"/>
          <w:szCs w:val="20"/>
        </w:rPr>
        <w:t>require upfront payments and long-term c</w:t>
      </w:r>
      <w:r>
        <w:rPr>
          <w:rFonts w:eastAsia="Times New Roman"/>
          <w:color w:val="000000"/>
          <w:sz w:val="20"/>
          <w:szCs w:val="20"/>
        </w:rPr>
        <w:t>ommitments of cash.</w:t>
      </w:r>
    </w:p>
    <w:p w:rsidR="00000000" w:rsidRDefault="00C668B1">
      <w:pPr>
        <w:divId w:val="1084182915"/>
        <w:rPr>
          <w:rFonts w:eastAsia="Times New Roman"/>
        </w:rPr>
      </w:pPr>
      <w:r>
        <w:rPr>
          <w:rFonts w:eastAsia="Times New Roman"/>
          <w:b/>
          <w:bCs/>
          <w:color w:val="000000"/>
          <w:sz w:val="20"/>
          <w:szCs w:val="20"/>
        </w:rPr>
        <w:t>(10) Subsequent Event</w:t>
      </w:r>
    </w:p>
    <w:p w:rsidR="00000000" w:rsidRDefault="00C668B1">
      <w:pPr>
        <w:divId w:val="870147875"/>
        <w:rPr>
          <w:rFonts w:eastAsia="Times New Roman"/>
        </w:rPr>
      </w:pPr>
    </w:p>
    <w:p w:rsidR="00000000" w:rsidRDefault="00C668B1">
      <w:pPr>
        <w:divId w:val="1113402500"/>
        <w:rPr>
          <w:rFonts w:eastAsia="Times New Roman"/>
        </w:rPr>
      </w:pPr>
      <w:r>
        <w:rPr>
          <w:rFonts w:eastAsia="Times New Roman"/>
          <w:color w:val="000000"/>
          <w:sz w:val="20"/>
          <w:szCs w:val="20"/>
        </w:rPr>
        <w:t>On November 7, 2022, the Company entered into a Development and Manufacturing Services Agreement (the “Lonza Development Agreement”), with Lonza Sales AG (“Lonza Sales”) and Lonza AG (collectively, “Lonza”). Unde</w:t>
      </w:r>
      <w:r>
        <w:rPr>
          <w:rFonts w:eastAsia="Times New Roman"/>
          <w:color w:val="000000"/>
          <w:sz w:val="20"/>
          <w:szCs w:val="20"/>
        </w:rPr>
        <w:t>r the terms of the Lonza Development Agreement, Lonza will provide services relating to the development and manufacture of the Company’s anti-claudin 6 bispecific monoclonal antibody product (the “Product”) in accordance with the project plan attached to t</w:t>
      </w:r>
      <w:r>
        <w:rPr>
          <w:rFonts w:eastAsia="Times New Roman"/>
          <w:color w:val="000000"/>
          <w:sz w:val="20"/>
          <w:szCs w:val="20"/>
        </w:rPr>
        <w:t>he Lonza Development Agreement and any other work as may be agreed to between the Company and Lonza. The Lonza Development Agreement will terminate upon the completion of the agreed upon services, unless earlier terminated by the Company or Lonza for uncur</w:t>
      </w:r>
      <w:r>
        <w:rPr>
          <w:rFonts w:eastAsia="Times New Roman"/>
          <w:color w:val="000000"/>
          <w:sz w:val="20"/>
          <w:szCs w:val="20"/>
        </w:rPr>
        <w:t>ed material breaches, insolvency of the other party, or if a party determines that it is not possible to complete the services for material scientific or material technical reasons.</w:t>
      </w:r>
    </w:p>
    <w:p w:rsidR="00000000" w:rsidRDefault="00C668B1">
      <w:pPr>
        <w:divId w:val="1635523516"/>
        <w:rPr>
          <w:rFonts w:eastAsia="Times New Roman"/>
        </w:rPr>
      </w:pPr>
    </w:p>
    <w:p w:rsidR="00000000" w:rsidRDefault="00C668B1">
      <w:pPr>
        <w:divId w:val="379793199"/>
        <w:rPr>
          <w:rFonts w:eastAsia="Times New Roman"/>
        </w:rPr>
      </w:pPr>
      <w:r>
        <w:rPr>
          <w:rFonts w:eastAsia="Times New Roman"/>
          <w:color w:val="000000"/>
          <w:sz w:val="20"/>
          <w:szCs w:val="20"/>
        </w:rPr>
        <w:t>In addition, on November 7, 2022, the Company entered into a License Agr</w:t>
      </w:r>
      <w:r>
        <w:rPr>
          <w:rFonts w:eastAsia="Times New Roman"/>
          <w:color w:val="000000"/>
          <w:sz w:val="20"/>
          <w:szCs w:val="20"/>
        </w:rPr>
        <w:t>eement (the “Lonza License Agreement”) with Lonza Sales. Under the terms of the Lonza License Agreement, to the extent incorporated into the Product, Lonza granted the Company a non-exclusive license to use certain proprietary Lonza intellectual property a</w:t>
      </w:r>
      <w:r>
        <w:rPr>
          <w:rFonts w:eastAsia="Times New Roman"/>
          <w:color w:val="000000"/>
          <w:sz w:val="20"/>
          <w:szCs w:val="20"/>
        </w:rPr>
        <w:t>nd systems for the Company to develop, manufacture and commercially exploit the Product.</w:t>
      </w:r>
    </w:p>
    <w:p w:rsidR="00000000" w:rsidRDefault="00C668B1">
      <w:pPr>
        <w:jc w:val="center"/>
        <w:divId w:val="1150292053"/>
        <w:rPr>
          <w:rFonts w:eastAsia="Times New Roman"/>
        </w:rPr>
      </w:pPr>
      <w:r>
        <w:rPr>
          <w:rFonts w:eastAsia="Times New Roman"/>
          <w:color w:val="000000"/>
        </w:rPr>
        <w:t>20</w:t>
      </w:r>
    </w:p>
    <w:p w:rsidR="00000000" w:rsidRDefault="00C668B1">
      <w:pPr>
        <w:rPr>
          <w:rFonts w:eastAsia="Times New Roman"/>
        </w:rPr>
      </w:pPr>
      <w:r>
        <w:rPr>
          <w:rFonts w:eastAsia="Times New Roman"/>
        </w:rPr>
        <w:pict>
          <v:rect id="_x0000_i1044" style="width:0;height:1.5pt" o:hralign="center" o:hrstd="t" o:hr="t" fillcolor="#a0a0a0" stroked="f"/>
        </w:pict>
      </w:r>
    </w:p>
    <w:p w:rsidR="00000000" w:rsidRDefault="00C668B1">
      <w:pPr>
        <w:divId w:val="1013259920"/>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jc w:val="center"/>
        <w:divId w:val="1495801839"/>
        <w:rPr>
          <w:rFonts w:eastAsia="Times New Roman"/>
        </w:rPr>
      </w:pPr>
    </w:p>
    <w:p w:rsidR="00000000" w:rsidRDefault="00C668B1">
      <w:pPr>
        <w:divId w:val="481389883"/>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C668B1">
      <w:pPr>
        <w:divId w:val="473790983"/>
        <w:rPr>
          <w:rFonts w:eastAsia="Times New Roman"/>
        </w:rPr>
      </w:pPr>
      <w:r>
        <w:rPr>
          <w:rFonts w:eastAsia="Times New Roman"/>
          <w:i/>
          <w:iCs/>
          <w:color w:val="000000"/>
          <w:sz w:val="20"/>
          <w:szCs w:val="20"/>
        </w:rPr>
        <w:t xml:space="preserve">You should read the following discussion of our </w:t>
      </w:r>
      <w:r>
        <w:rPr>
          <w:rFonts w:eastAsia="Times New Roman"/>
          <w:i/>
          <w:iCs/>
          <w:color w:val="000000"/>
          <w:sz w:val="20"/>
          <w:szCs w:val="20"/>
        </w:rPr>
        <w:t>financial condition and results of operations together with our unaudited condensed consolidated financial statements and the notes thereto included elsewhere in this Quarterly Report on Form 10-Q and other financial information included in this report and</w:t>
      </w:r>
      <w:r>
        <w:rPr>
          <w:rFonts w:eastAsia="Times New Roman"/>
          <w:i/>
          <w:iCs/>
          <w:color w:val="000000"/>
          <w:sz w:val="20"/>
          <w:szCs w:val="20"/>
        </w:rPr>
        <w:t xml:space="preserve"> our audited consolidated financial statements and related notes thereto and management’s discussion and analysis of financial condition and results of operations included in our Annual Report on Form 10-K for the year ended December 31, 2021 as filed with</w:t>
      </w:r>
      <w:r>
        <w:rPr>
          <w:rFonts w:eastAsia="Times New Roman"/>
          <w:i/>
          <w:iCs/>
          <w:color w:val="000000"/>
          <w:sz w:val="20"/>
          <w:szCs w:val="20"/>
        </w:rPr>
        <w:t xml:space="preserve"> the Securities and Exchange Commission ("SEC"), on March 23, 2022. In addition to historical information, the following discussion contains a number of forward-looking statements, all of which are based on our current expectations and could be affected by</w:t>
      </w:r>
      <w:r>
        <w:rPr>
          <w:rFonts w:eastAsia="Times New Roman"/>
          <w:i/>
          <w:iCs/>
          <w:color w:val="000000"/>
          <w:sz w:val="20"/>
          <w:szCs w:val="20"/>
        </w:rPr>
        <w:t xml:space="preserve"> the uncertainties and risks referred to under Part I, Item 1A. “Risk Factors” of our Annual Report on Form 10-K. Please also see the section entitled “Special Note Regarding Forward-Looking Statements.” </w:t>
      </w:r>
    </w:p>
    <w:p w:rsidR="00000000" w:rsidRDefault="00C668B1">
      <w:pPr>
        <w:divId w:val="312491352"/>
        <w:rPr>
          <w:rFonts w:eastAsia="Times New Roman"/>
        </w:rPr>
      </w:pPr>
      <w:r>
        <w:rPr>
          <w:rFonts w:eastAsia="Times New Roman"/>
          <w:b/>
          <w:bCs/>
          <w:color w:val="000000"/>
          <w:sz w:val="20"/>
          <w:szCs w:val="20"/>
        </w:rPr>
        <w:t xml:space="preserve">Overview </w:t>
      </w:r>
    </w:p>
    <w:p w:rsidR="00000000" w:rsidRDefault="00C668B1">
      <w:pPr>
        <w:ind w:firstLine="490"/>
        <w:divId w:val="1755399983"/>
        <w:rPr>
          <w:rFonts w:eastAsia="Times New Roman"/>
        </w:rPr>
      </w:pPr>
      <w:r>
        <w:rPr>
          <w:rFonts w:eastAsia="Times New Roman"/>
          <w:color w:val="000000"/>
          <w:sz w:val="20"/>
          <w:szCs w:val="20"/>
        </w:rPr>
        <w:t>We are a clinical-stage biopharmaceutical</w:t>
      </w:r>
      <w:r>
        <w:rPr>
          <w:rFonts w:eastAsia="Times New Roman"/>
          <w:color w:val="000000"/>
          <w:sz w:val="20"/>
          <w:szCs w:val="20"/>
        </w:rPr>
        <w:t xml:space="preserve"> company dedicated to improving the lives of women living with cancer. Our development team is advancing a pipeline of innovative therapies with a primary focus on treating female cancers, including breast, ovarian, and endometrial (uterine) cancer. Our mo</w:t>
      </w:r>
      <w:r>
        <w:rPr>
          <w:rFonts w:eastAsia="Times New Roman"/>
          <w:color w:val="000000"/>
          <w:sz w:val="20"/>
          <w:szCs w:val="20"/>
        </w:rPr>
        <w:t>st advanced product candidate, onapristone extended-release (“ONA-XR”), builds upon a foundation of successful drug development by our management team and advisors in the field of hormone-dependent cancers. ONA-XR is a potent and selective antagonist of th</w:t>
      </w:r>
      <w:r>
        <w:rPr>
          <w:rFonts w:eastAsia="Times New Roman"/>
          <w:color w:val="000000"/>
          <w:sz w:val="20"/>
          <w:szCs w:val="20"/>
        </w:rPr>
        <w:t xml:space="preserve">e progesterone receptor, which has been linked to resistance to multiple classes of cancer therapeutics, including anti-estrogen therapies, across female hormone-dependent cancers. </w:t>
      </w:r>
    </w:p>
    <w:p w:rsidR="00000000" w:rsidRDefault="00C668B1">
      <w:pPr>
        <w:divId w:val="1702781097"/>
        <w:rPr>
          <w:rFonts w:eastAsia="Times New Roman"/>
        </w:rPr>
      </w:pPr>
    </w:p>
    <w:p w:rsidR="00000000" w:rsidRDefault="00C668B1">
      <w:pPr>
        <w:divId w:val="1454249975"/>
        <w:rPr>
          <w:rFonts w:eastAsia="Times New Roman"/>
        </w:rPr>
      </w:pPr>
      <w:r>
        <w:rPr>
          <w:rFonts w:eastAsia="Times New Roman"/>
          <w:color w:val="000000"/>
          <w:sz w:val="20"/>
          <w:szCs w:val="20"/>
        </w:rPr>
        <w:t>Our first program, ONA-XR, is being advanced across various investigator</w:t>
      </w:r>
      <w:r>
        <w:rPr>
          <w:rFonts w:eastAsia="Times New Roman"/>
          <w:color w:val="000000"/>
          <w:sz w:val="20"/>
          <w:szCs w:val="20"/>
        </w:rPr>
        <w:t>-sponsored trials and a Company-sponsored trial:</w:t>
      </w:r>
    </w:p>
    <w:p w:rsidR="00000000" w:rsidRDefault="00C668B1">
      <w:pPr>
        <w:divId w:val="1961717528"/>
        <w:rPr>
          <w:rFonts w:eastAsia="Times New Roman"/>
        </w:rPr>
      </w:pPr>
    </w:p>
    <w:p w:rsidR="00000000" w:rsidRDefault="00C668B1">
      <w:pPr>
        <w:ind w:hanging="360"/>
        <w:divId w:val="385689311"/>
        <w:rPr>
          <w:rFonts w:eastAsia="Times New Roman"/>
        </w:rPr>
      </w:pPr>
      <w:r>
        <w:rPr>
          <w:rFonts w:ascii="Arial" w:eastAsia="Times New Roman" w:hAnsi="Arial" w:cs="Arial"/>
          <w:color w:val="000000"/>
        </w:rPr>
        <w:t>•</w:t>
      </w:r>
      <w:r>
        <w:rPr>
          <w:rFonts w:eastAsia="Times New Roman"/>
          <w:color w:val="000000"/>
          <w:sz w:val="20"/>
          <w:szCs w:val="20"/>
        </w:rPr>
        <w:t>An ongoing Phase 2 investigator-sponsored trial is being conducted in collaboration with Jefferson Health to evaluate ONA-XR in combination with anastrozole to treat women with progesterone receptor posit</w:t>
      </w:r>
      <w:r>
        <w:rPr>
          <w:rFonts w:eastAsia="Times New Roman"/>
          <w:color w:val="000000"/>
          <w:sz w:val="20"/>
          <w:szCs w:val="20"/>
        </w:rPr>
        <w:t>ive ("PR+") endometrial adenocarcinoma who have failed front line therapy with a platinum/taxane-based chemotherapy regimen. As of September 30, 2022, we note the following:</w:t>
      </w:r>
    </w:p>
    <w:p w:rsidR="00000000" w:rsidRDefault="00C668B1">
      <w:pPr>
        <w:ind w:hanging="360"/>
        <w:divId w:val="1194726734"/>
        <w:rPr>
          <w:rFonts w:eastAsia="Times New Roman"/>
        </w:rPr>
      </w:pPr>
      <w:r>
        <w:rPr>
          <w:rFonts w:eastAsia="Times New Roman"/>
          <w:color w:val="000000"/>
          <w:sz w:val="20"/>
          <w:szCs w:val="20"/>
        </w:rPr>
        <w:t>◦</w:t>
      </w:r>
      <w:r>
        <w:rPr>
          <w:rFonts w:eastAsia="Times New Roman"/>
          <w:color w:val="000000"/>
          <w:sz w:val="20"/>
          <w:szCs w:val="20"/>
        </w:rPr>
        <w:t>The trial has enrolled 12 of 25 planned patients.</w:t>
      </w:r>
    </w:p>
    <w:p w:rsidR="00000000" w:rsidRDefault="00C668B1">
      <w:pPr>
        <w:ind w:hanging="360"/>
        <w:divId w:val="1302927181"/>
        <w:rPr>
          <w:rFonts w:eastAsia="Times New Roman"/>
        </w:rPr>
      </w:pPr>
      <w:r>
        <w:rPr>
          <w:rFonts w:eastAsia="Times New Roman"/>
          <w:color w:val="000000"/>
          <w:sz w:val="20"/>
          <w:szCs w:val="20"/>
        </w:rPr>
        <w:t>◦</w:t>
      </w:r>
      <w:r>
        <w:rPr>
          <w:rFonts w:eastAsia="Times New Roman"/>
          <w:color w:val="000000"/>
          <w:sz w:val="20"/>
          <w:szCs w:val="20"/>
        </w:rPr>
        <w:t>The preliminary 4-month progre</w:t>
      </w:r>
      <w:r>
        <w:rPr>
          <w:rFonts w:eastAsia="Times New Roman"/>
          <w:color w:val="000000"/>
          <w:sz w:val="20"/>
          <w:szCs w:val="20"/>
        </w:rPr>
        <w:t xml:space="preserve">ssion free survival ("PFS") rate was 77.7%, based on nine evaluable patients. </w:t>
      </w:r>
    </w:p>
    <w:p w:rsidR="00000000" w:rsidRDefault="00C668B1">
      <w:pPr>
        <w:ind w:hanging="360"/>
        <w:divId w:val="9378078"/>
        <w:rPr>
          <w:rFonts w:eastAsia="Times New Roman"/>
        </w:rPr>
      </w:pPr>
      <w:r>
        <w:rPr>
          <w:rFonts w:eastAsia="Times New Roman"/>
          <w:color w:val="000000"/>
          <w:sz w:val="20"/>
          <w:szCs w:val="20"/>
        </w:rPr>
        <w:t>◦</w:t>
      </w:r>
      <w:r>
        <w:rPr>
          <w:rFonts w:eastAsia="Times New Roman"/>
          <w:color w:val="000000"/>
          <w:sz w:val="20"/>
          <w:szCs w:val="20"/>
        </w:rPr>
        <w:t>Three patients received treatment for greater than 12 months.</w:t>
      </w:r>
    </w:p>
    <w:p w:rsidR="00000000" w:rsidRDefault="00C668B1">
      <w:pPr>
        <w:ind w:hanging="360"/>
        <w:divId w:val="820732360"/>
        <w:rPr>
          <w:rFonts w:eastAsia="Times New Roman"/>
        </w:rPr>
      </w:pPr>
      <w:r>
        <w:rPr>
          <w:rFonts w:eastAsia="Times New Roman"/>
          <w:color w:val="000000"/>
          <w:sz w:val="20"/>
          <w:szCs w:val="20"/>
        </w:rPr>
        <w:t>◦</w:t>
      </w:r>
      <w:r>
        <w:rPr>
          <w:rFonts w:eastAsia="Times New Roman"/>
          <w:color w:val="000000"/>
          <w:sz w:val="20"/>
          <w:szCs w:val="20"/>
        </w:rPr>
        <w:t xml:space="preserve">Overall, seven patients remain in the trial. </w:t>
      </w:r>
    </w:p>
    <w:p w:rsidR="00000000" w:rsidRDefault="00C668B1">
      <w:pPr>
        <w:ind w:hanging="360"/>
        <w:divId w:val="1817523750"/>
        <w:rPr>
          <w:rFonts w:eastAsia="Times New Roman"/>
        </w:rPr>
      </w:pPr>
      <w:r>
        <w:rPr>
          <w:rFonts w:eastAsia="Times New Roman"/>
          <w:color w:val="000000"/>
          <w:sz w:val="20"/>
          <w:szCs w:val="20"/>
        </w:rPr>
        <w:t>◦</w:t>
      </w:r>
      <w:r>
        <w:rPr>
          <w:rFonts w:eastAsia="Times New Roman"/>
          <w:color w:val="000000"/>
          <w:sz w:val="20"/>
          <w:szCs w:val="20"/>
        </w:rPr>
        <w:t>There have been no treatment-related serious adverse events reported.</w:t>
      </w:r>
    </w:p>
    <w:p w:rsidR="00000000" w:rsidRDefault="00C668B1">
      <w:pPr>
        <w:divId w:val="1806701270"/>
        <w:rPr>
          <w:rFonts w:eastAsia="Times New Roman"/>
        </w:rPr>
      </w:pPr>
      <w:r>
        <w:rPr>
          <w:rFonts w:eastAsia="Times New Roman"/>
          <w:color w:val="000000"/>
          <w:sz w:val="20"/>
          <w:szCs w:val="20"/>
        </w:rPr>
        <w:t xml:space="preserve">This trial is ongoing and updated trial results are expected in mid-2023. </w:t>
      </w:r>
    </w:p>
    <w:p w:rsidR="00000000" w:rsidRDefault="00C668B1">
      <w:pPr>
        <w:ind w:hanging="360"/>
        <w:divId w:val="866672922"/>
        <w:rPr>
          <w:rFonts w:eastAsia="Times New Roman"/>
        </w:rPr>
      </w:pPr>
      <w:r>
        <w:rPr>
          <w:rFonts w:ascii="Arial" w:eastAsia="Times New Roman" w:hAnsi="Arial" w:cs="Arial"/>
          <w:color w:val="000000"/>
          <w:sz w:val="20"/>
          <w:szCs w:val="20"/>
        </w:rPr>
        <w:t>•</w:t>
      </w:r>
      <w:r>
        <w:rPr>
          <w:rFonts w:eastAsia="Times New Roman"/>
          <w:color w:val="000000"/>
          <w:sz w:val="20"/>
          <w:szCs w:val="20"/>
        </w:rPr>
        <w:t>An ongoing Phase 2 investigator-sponsored basket trial is being conducted in collaboration with Memorial Sloan</w:t>
      </w:r>
      <w:r>
        <w:rPr>
          <w:rFonts w:eastAsia="Times New Roman"/>
          <w:color w:val="000000"/>
          <w:sz w:val="20"/>
          <w:szCs w:val="20"/>
        </w:rPr>
        <w:t xml:space="preserve"> Kettering Cancer Center to evaluate ONA-XR in combination with anastrozole to treat women with PR+ recurrent gynecologic cancers. As of September 30, 2022, we note the following:</w:t>
      </w:r>
    </w:p>
    <w:p w:rsidR="00000000" w:rsidRDefault="00C668B1">
      <w:pPr>
        <w:ind w:hanging="360"/>
        <w:divId w:val="887836088"/>
        <w:rPr>
          <w:rFonts w:eastAsia="Times New Roman"/>
        </w:rPr>
      </w:pPr>
      <w:r>
        <w:rPr>
          <w:rFonts w:eastAsia="Times New Roman"/>
          <w:color w:val="000000"/>
          <w:sz w:val="20"/>
          <w:szCs w:val="20"/>
        </w:rPr>
        <w:t>◦</w:t>
      </w:r>
      <w:r>
        <w:rPr>
          <w:rFonts w:eastAsia="Times New Roman"/>
          <w:color w:val="000000"/>
          <w:sz w:val="20"/>
          <w:szCs w:val="20"/>
        </w:rPr>
        <w:t>Cohort 1, which treats patients with PR+ recurrent granulosa cell tumors wi</w:t>
      </w:r>
      <w:r>
        <w:rPr>
          <w:rFonts w:eastAsia="Times New Roman"/>
          <w:color w:val="000000"/>
          <w:sz w:val="20"/>
          <w:szCs w:val="20"/>
        </w:rPr>
        <w:t>th ONA-XR as a single agent, completed accrual to stage 1 and has shown a 12-month PFS rate of 20.1% and a Clinical Benefit Rate (stable disease) of 35.7%. Two patients continued on active treatment for greater than 18 months. One patient remains on trial.</w:t>
      </w:r>
    </w:p>
    <w:p w:rsidR="00000000" w:rsidRDefault="00C668B1">
      <w:pPr>
        <w:ind w:hanging="360"/>
        <w:divId w:val="1038896277"/>
        <w:rPr>
          <w:rFonts w:eastAsia="Times New Roman"/>
        </w:rPr>
      </w:pPr>
      <w:r>
        <w:rPr>
          <w:rFonts w:eastAsia="Times New Roman"/>
          <w:color w:val="000000"/>
          <w:sz w:val="20"/>
          <w:szCs w:val="20"/>
        </w:rPr>
        <w:t>◦</w:t>
      </w:r>
      <w:r>
        <w:rPr>
          <w:rFonts w:eastAsia="Times New Roman"/>
          <w:color w:val="000000"/>
          <w:sz w:val="20"/>
          <w:szCs w:val="20"/>
        </w:rPr>
        <w:t>Cohort 4, which treats patients with PR+ recurrent granulosa cell tumors with ONA-XR in combination with anastrozole, enrolled 14 patients in stage 1 and will expand to stage 2 when greater than or equal to one response is observed. Seven patients remain</w:t>
      </w:r>
      <w:r>
        <w:rPr>
          <w:rFonts w:eastAsia="Times New Roman"/>
          <w:color w:val="000000"/>
          <w:sz w:val="20"/>
          <w:szCs w:val="20"/>
        </w:rPr>
        <w:t xml:space="preserve"> on trial.</w:t>
      </w:r>
    </w:p>
    <w:p w:rsidR="00000000" w:rsidRDefault="00C668B1">
      <w:pPr>
        <w:ind w:hanging="360"/>
        <w:divId w:val="473914615"/>
        <w:rPr>
          <w:rFonts w:eastAsia="Times New Roman"/>
        </w:rPr>
      </w:pPr>
      <w:r>
        <w:rPr>
          <w:rFonts w:eastAsia="Times New Roman"/>
          <w:color w:val="000000"/>
          <w:sz w:val="20"/>
          <w:szCs w:val="20"/>
        </w:rPr>
        <w:t>◦</w:t>
      </w:r>
      <w:r>
        <w:rPr>
          <w:rFonts w:eastAsia="Times New Roman"/>
          <w:color w:val="000000"/>
          <w:sz w:val="20"/>
          <w:szCs w:val="20"/>
        </w:rPr>
        <w:t>There have been no treatment-related serious adverse events reported.</w:t>
      </w:r>
    </w:p>
    <w:p w:rsidR="00000000" w:rsidRDefault="00C668B1">
      <w:pPr>
        <w:divId w:val="389033967"/>
        <w:rPr>
          <w:rFonts w:eastAsia="Times New Roman"/>
        </w:rPr>
      </w:pPr>
      <w:r>
        <w:rPr>
          <w:rFonts w:eastAsia="Times New Roman"/>
          <w:color w:val="000000"/>
          <w:sz w:val="20"/>
          <w:szCs w:val="20"/>
        </w:rPr>
        <w:t>This trial is ongoing and updated trial results are expected in mid-2023.</w:t>
      </w:r>
    </w:p>
    <w:p w:rsidR="00000000" w:rsidRDefault="00C668B1">
      <w:pPr>
        <w:ind w:hanging="360"/>
        <w:divId w:val="1788623127"/>
        <w:rPr>
          <w:rFonts w:eastAsia="Times New Roman"/>
        </w:rPr>
      </w:pPr>
      <w:r>
        <w:rPr>
          <w:rFonts w:eastAsia="Times New Roman"/>
          <w:color w:val="000000"/>
          <w:sz w:val="20"/>
          <w:szCs w:val="20"/>
        </w:rPr>
        <w:t xml:space="preserve">•An ongoing Phase 2 investigator-sponsored trial is being conducted in collaboration with Wisconsin </w:t>
      </w:r>
      <w:r>
        <w:rPr>
          <w:rFonts w:eastAsia="Times New Roman"/>
          <w:color w:val="000000"/>
          <w:sz w:val="20"/>
          <w:szCs w:val="20"/>
        </w:rPr>
        <w:t>Oncology Network to evaluate ONA-XR in combination with fulvestrant in second line or third line advanced or metastatic estrogen receptor positive ("ER+"),PR+,HER2- breast cancer (the “SMILE” trial). This trial is intended to evaluate potential ONA-XR plus</w:t>
      </w:r>
      <w:r>
        <w:rPr>
          <w:rFonts w:eastAsia="Times New Roman"/>
          <w:color w:val="000000"/>
          <w:sz w:val="20"/>
          <w:szCs w:val="20"/>
        </w:rPr>
        <w:t xml:space="preserve"> fulvestrant drug synergy after treatment failure of CDK4/6 and/or PIK3α inhibitors, with initial clinical data expected in December 2022. </w:t>
      </w:r>
    </w:p>
    <w:p w:rsidR="00000000" w:rsidRDefault="00C668B1">
      <w:pPr>
        <w:ind w:hanging="360"/>
        <w:divId w:val="1214195599"/>
        <w:rPr>
          <w:rFonts w:eastAsia="Times New Roman"/>
        </w:rPr>
      </w:pPr>
      <w:r>
        <w:rPr>
          <w:rFonts w:eastAsia="Times New Roman"/>
          <w:color w:val="000000"/>
          <w:sz w:val="20"/>
          <w:szCs w:val="20"/>
        </w:rPr>
        <w:t>•The SMILE trial will also evaluate radiolabeled progesterone (</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8</w:t>
      </w:r>
      <w:r>
        <w:rPr>
          <w:rFonts w:eastAsia="Times New Roman"/>
          <w:color w:val="000000"/>
          <w:sz w:val="20"/>
          <w:szCs w:val="20"/>
        </w:rPr>
        <w:t>F-FFNP”</w:t>
      </w:r>
      <w:r>
        <w:rPr>
          <w:rFonts w:eastAsia="Times New Roman"/>
          <w:color w:val="000000"/>
          <w:sz w:val="20"/>
          <w:szCs w:val="20"/>
        </w:rPr>
        <w:t xml:space="preserve">) distribution in PR target tissues and quantify available PR binding sites via positron emission tomography (PET)/computed tomography (CT) imaging in breast tumors when co-treated with ONA-XR. Data is expected in 2023. </w:t>
      </w:r>
    </w:p>
    <w:p w:rsidR="00000000" w:rsidRDefault="00C668B1">
      <w:pPr>
        <w:jc w:val="center"/>
        <w:divId w:val="691300352"/>
        <w:rPr>
          <w:rFonts w:eastAsia="Times New Roman"/>
        </w:rPr>
      </w:pPr>
      <w:r>
        <w:rPr>
          <w:rFonts w:eastAsia="Times New Roman"/>
          <w:color w:val="000000"/>
        </w:rPr>
        <w:t>21</w:t>
      </w:r>
    </w:p>
    <w:p w:rsidR="00000000" w:rsidRDefault="00C668B1">
      <w:pPr>
        <w:rPr>
          <w:rFonts w:eastAsia="Times New Roman"/>
        </w:rPr>
      </w:pPr>
      <w:r>
        <w:rPr>
          <w:rFonts w:eastAsia="Times New Roman"/>
        </w:rPr>
        <w:pict>
          <v:rect id="_x0000_i1045" style="width:0;height:1.5pt" o:hralign="center" o:hrstd="t" o:hr="t" fillcolor="#a0a0a0" stroked="f"/>
        </w:pict>
      </w:r>
    </w:p>
    <w:p w:rsidR="00000000" w:rsidRDefault="00C668B1">
      <w:pPr>
        <w:divId w:val="1179736770"/>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hanging="360"/>
        <w:divId w:val="1513564072"/>
        <w:rPr>
          <w:rFonts w:eastAsia="Times New Roman"/>
        </w:rPr>
      </w:pPr>
      <w:r>
        <w:rPr>
          <w:rFonts w:eastAsia="Times New Roman"/>
          <w:color w:val="000000"/>
          <w:sz w:val="20"/>
          <w:szCs w:val="20"/>
        </w:rPr>
        <w:t>•On August 1, 2022, we entered into a Clinical Trial Collaboration and Supply Agreement (the “Menarini Agreement”) with Berlin-Chemie AG - Menarini Group - (“Menarini”). Pursua</w:t>
      </w:r>
      <w:r>
        <w:rPr>
          <w:rFonts w:eastAsia="Times New Roman"/>
          <w:color w:val="000000"/>
          <w:sz w:val="20"/>
          <w:szCs w:val="20"/>
        </w:rPr>
        <w:t>nt to the Menarini Agreement, we will conduct a Phase 1b/2 study of elacestrant in combination with ONA-XR in patients with advanced or metastatic ER+,PR+,HER2- breast cancer (the “ELONA” trial). Menarini will provide, at no cost to us, elacestrant, its no</w:t>
      </w:r>
      <w:r>
        <w:rPr>
          <w:rFonts w:eastAsia="Times New Roman"/>
          <w:color w:val="000000"/>
          <w:sz w:val="20"/>
          <w:szCs w:val="20"/>
        </w:rPr>
        <w:t>nsteroidal combined selective estrogen receptor modulator and selective estrogen receptor degrader therapy, for use in combination with our investigational drug, ONA-XR, in the ELONA trial. Under the Menarini Agreement, we will sponsor, fund and conduct th</w:t>
      </w:r>
      <w:r>
        <w:rPr>
          <w:rFonts w:eastAsia="Times New Roman"/>
          <w:color w:val="000000"/>
          <w:sz w:val="20"/>
          <w:szCs w:val="20"/>
        </w:rPr>
        <w:t xml:space="preserve">e ELONA trial, and Menarini has agreed to manufacture and supply elacestrant at Menarini's cost and for no charge to us for use in the ELONA trial and to provide cell-free nucleic acid analysis of the anonymized blood samples of all ELONA trial patients. </w:t>
      </w:r>
    </w:p>
    <w:p w:rsidR="00000000" w:rsidRDefault="00C668B1">
      <w:pPr>
        <w:ind w:hanging="360"/>
        <w:divId w:val="1622568957"/>
        <w:rPr>
          <w:rFonts w:eastAsia="Times New Roman"/>
        </w:rPr>
      </w:pPr>
      <w:r>
        <w:rPr>
          <w:rFonts w:eastAsia="Times New Roman"/>
          <w:color w:val="000000"/>
        </w:rPr>
        <w:t>•</w:t>
      </w:r>
      <w:r>
        <w:rPr>
          <w:rFonts w:eastAsia="Times New Roman"/>
          <w:color w:val="000000"/>
          <w:sz w:val="20"/>
          <w:szCs w:val="20"/>
        </w:rPr>
        <w:t xml:space="preserve">In November 2022, we initiated the ELONA trial, with Phase 1b data expected in the fourth quarter of 2023. </w:t>
      </w:r>
    </w:p>
    <w:p w:rsidR="00000000" w:rsidRDefault="00C668B1">
      <w:pPr>
        <w:divId w:val="2030636679"/>
        <w:rPr>
          <w:rFonts w:eastAsia="Times New Roman"/>
        </w:rPr>
      </w:pPr>
    </w:p>
    <w:p w:rsidR="00000000" w:rsidRDefault="00C668B1">
      <w:pPr>
        <w:ind w:firstLine="720"/>
        <w:divId w:val="1611934750"/>
        <w:rPr>
          <w:rFonts w:eastAsia="Times New Roman"/>
        </w:rPr>
      </w:pPr>
      <w:r>
        <w:rPr>
          <w:rFonts w:eastAsia="Times New Roman"/>
          <w:color w:val="000000"/>
          <w:sz w:val="20"/>
          <w:szCs w:val="20"/>
        </w:rPr>
        <w:t>The observations from the ongoing clinical trials noted above are based on information available as of September 30, 2022. These trials are still</w:t>
      </w:r>
      <w:r>
        <w:rPr>
          <w:rFonts w:eastAsia="Times New Roman"/>
          <w:color w:val="000000"/>
          <w:sz w:val="20"/>
          <w:szCs w:val="20"/>
        </w:rPr>
        <w:t xml:space="preserve"> actively enrolling patients and these preliminary clinical findings may materially fluctuate on a month-to-month basis as the trials progress and may not be representative of results after all patients complete the respective trial and all data is collect</w:t>
      </w:r>
      <w:r>
        <w:rPr>
          <w:rFonts w:eastAsia="Times New Roman"/>
          <w:color w:val="000000"/>
          <w:sz w:val="20"/>
          <w:szCs w:val="20"/>
        </w:rPr>
        <w:t>ed and analyzed. Further, this data is subject to continuing audit and verification procedures that will not be complete until the conclusion of the respective trial and therefore the interim data is subject to change.</w:t>
      </w:r>
    </w:p>
    <w:p w:rsidR="00000000" w:rsidRDefault="00C668B1">
      <w:pPr>
        <w:divId w:val="550922971"/>
        <w:rPr>
          <w:rFonts w:eastAsia="Times New Roman"/>
        </w:rPr>
      </w:pPr>
    </w:p>
    <w:p w:rsidR="00000000" w:rsidRDefault="00C668B1">
      <w:pPr>
        <w:ind w:firstLine="540"/>
        <w:divId w:val="2120373370"/>
        <w:rPr>
          <w:rFonts w:eastAsia="Times New Roman"/>
        </w:rPr>
      </w:pPr>
      <w:r>
        <w:rPr>
          <w:rFonts w:eastAsia="Times New Roman"/>
          <w:color w:val="000000"/>
          <w:sz w:val="20"/>
          <w:szCs w:val="20"/>
        </w:rPr>
        <w:t>Our second program, CLDN6xCD3 bispe</w:t>
      </w:r>
      <w:r>
        <w:rPr>
          <w:rFonts w:eastAsia="Times New Roman"/>
          <w:color w:val="000000"/>
          <w:sz w:val="20"/>
          <w:szCs w:val="20"/>
        </w:rPr>
        <w:t>cific antibody, is being advanced toward an Investigational New Drug Application ("IND") submission. CLDN6xCD3 BsAb is an anti-CD3 x anti-Claudin 6 (“CLDN6”) antigen bispecific monoclonal antibody (“BsAb”) that is intended to redirect T-cell-mediated lysis</w:t>
      </w:r>
      <w:r>
        <w:rPr>
          <w:rFonts w:eastAsia="Times New Roman"/>
          <w:color w:val="000000"/>
          <w:sz w:val="20"/>
          <w:szCs w:val="20"/>
        </w:rPr>
        <w:t xml:space="preserve"> toward malignant cells expressing CLDN6. CLDN6 is a tight junction membrane protein target expressed in multiple cancers, including ovarian and endometrial tumors, and absent from or expressed at very low levels in normal adult tissues. We reached the fir</w:t>
      </w:r>
      <w:r>
        <w:rPr>
          <w:rFonts w:eastAsia="Times New Roman"/>
          <w:color w:val="000000"/>
          <w:sz w:val="20"/>
          <w:szCs w:val="20"/>
        </w:rPr>
        <w:t>st development milestone under our collaboration and license agreement with Integral Molecular ("Integral") in the second quarter of 2022. We expect to select a candidate to support Investigational New Drug ("IND")-enabling studies for CLDN6xCD3 BsAb in De</w:t>
      </w:r>
      <w:r>
        <w:rPr>
          <w:rFonts w:eastAsia="Times New Roman"/>
          <w:color w:val="000000"/>
          <w:sz w:val="20"/>
          <w:szCs w:val="20"/>
        </w:rPr>
        <w:t xml:space="preserve">cember 2022 and an IND submission is planned in the first quarter of 2024. </w:t>
      </w:r>
    </w:p>
    <w:p w:rsidR="00000000" w:rsidRDefault="00C668B1">
      <w:pPr>
        <w:divId w:val="1890339485"/>
        <w:rPr>
          <w:rFonts w:eastAsia="Times New Roman"/>
        </w:rPr>
      </w:pPr>
    </w:p>
    <w:p w:rsidR="00000000" w:rsidRDefault="00C668B1">
      <w:pPr>
        <w:ind w:firstLine="490"/>
        <w:divId w:val="2022931980"/>
        <w:rPr>
          <w:rFonts w:eastAsia="Times New Roman"/>
        </w:rPr>
      </w:pPr>
      <w:r>
        <w:rPr>
          <w:rFonts w:eastAsia="Times New Roman"/>
          <w:color w:val="000000"/>
          <w:sz w:val="20"/>
          <w:szCs w:val="20"/>
        </w:rPr>
        <w:t>We were incorporated in April 2015 under the laws of the State of Delaware. Since inception, we have devoted substantially all of our resources to developing product and technolo</w:t>
      </w:r>
      <w:r>
        <w:rPr>
          <w:rFonts w:eastAsia="Times New Roman"/>
          <w:color w:val="000000"/>
          <w:sz w:val="20"/>
          <w:szCs w:val="20"/>
        </w:rPr>
        <w:t>gy rights, conducting research and development, organizing and staffing our company, business planning and raising capital. We operate as one business segment and have incurred recurring losses, the majority of which are attributable to research and develo</w:t>
      </w:r>
      <w:r>
        <w:rPr>
          <w:rFonts w:eastAsia="Times New Roman"/>
          <w:color w:val="000000"/>
          <w:sz w:val="20"/>
          <w:szCs w:val="20"/>
        </w:rPr>
        <w:t>pment activities, and negative cash flows from operations. We have funded our operations primarily through the issuance of convertible debt, convertible preferred stock and sale of common stock. Our net loss was $11.3 million for the nine months ended Sept</w:t>
      </w:r>
      <w:r>
        <w:rPr>
          <w:rFonts w:eastAsia="Times New Roman"/>
          <w:color w:val="000000"/>
          <w:sz w:val="20"/>
          <w:szCs w:val="20"/>
        </w:rPr>
        <w:t>ember 30, 2022. As of September 30, 2022, we had an accumulated deficit of $40.5 million.</w:t>
      </w:r>
    </w:p>
    <w:p w:rsidR="00000000" w:rsidRDefault="00C668B1">
      <w:pPr>
        <w:divId w:val="813327792"/>
        <w:rPr>
          <w:rFonts w:eastAsia="Times New Roman"/>
        </w:rPr>
      </w:pPr>
    </w:p>
    <w:p w:rsidR="00000000" w:rsidRDefault="00C668B1">
      <w:pPr>
        <w:ind w:firstLine="450"/>
        <w:divId w:val="984312406"/>
        <w:rPr>
          <w:rFonts w:eastAsia="Times New Roman"/>
        </w:rPr>
      </w:pPr>
      <w:r>
        <w:rPr>
          <w:rFonts w:eastAsia="Times New Roman"/>
          <w:color w:val="000000"/>
          <w:sz w:val="20"/>
          <w:szCs w:val="20"/>
        </w:rPr>
        <w:t>In October 2021, we closed an initial public offering (“IPO”) on the Nasdaq Stock Market, in which we issued and sold 5,750,000 shares at a public offering price of</w:t>
      </w:r>
      <w:r>
        <w:rPr>
          <w:rFonts w:eastAsia="Times New Roman"/>
          <w:color w:val="000000"/>
          <w:sz w:val="20"/>
          <w:szCs w:val="20"/>
        </w:rPr>
        <w:t xml:space="preserve"> $5.00 per share. We received gross proceeds of approximately $28.8 million as a result of the offering. In December 2021, we sold 5,000,000 shares of common stock together with warrants to purchase 5,000,000 shares of common stock in a private placement f</w:t>
      </w:r>
      <w:r>
        <w:rPr>
          <w:rFonts w:eastAsia="Times New Roman"/>
          <w:color w:val="000000"/>
          <w:sz w:val="20"/>
          <w:szCs w:val="20"/>
        </w:rPr>
        <w:t>or gross proceeds of approximately $31.3 million. We expect our existing cash and cash equivalents will be sufficient to fund our operations into the first quarter of 2024. Currently, our primary use of cash is to fund operating expenses, which consist pri</w:t>
      </w:r>
      <w:r>
        <w:rPr>
          <w:rFonts w:eastAsia="Times New Roman"/>
          <w:color w:val="000000"/>
          <w:sz w:val="20"/>
          <w:szCs w:val="20"/>
        </w:rPr>
        <w:t>marily of research and development expenditures as well as general and administrative expenditures. Our ability to generate product revenue sufficient to achieve profitability will depend heavily on the successful development and eventual commercialization</w:t>
      </w:r>
      <w:r>
        <w:rPr>
          <w:rFonts w:eastAsia="Times New Roman"/>
          <w:color w:val="000000"/>
          <w:sz w:val="20"/>
          <w:szCs w:val="20"/>
        </w:rPr>
        <w:t xml:space="preserve"> of one or more of our current or future product candidates. We expect to continue to incur significant expenses and operating losses for the foreseeable future as we advance our product candidates through all stages of development and clinical trials and,</w:t>
      </w:r>
      <w:r>
        <w:rPr>
          <w:rFonts w:eastAsia="Times New Roman"/>
          <w:color w:val="000000"/>
          <w:sz w:val="20"/>
          <w:szCs w:val="20"/>
        </w:rPr>
        <w:t xml:space="preserve"> ultimately, seek regulatory approval. In addition, if we obtain regulatory approval for any of our product candidates, we expect to incur significant commercialization expenses related to product manufacturing, marketing, sales and distribution. Furthermo</w:t>
      </w:r>
      <w:r>
        <w:rPr>
          <w:rFonts w:eastAsia="Times New Roman"/>
          <w:color w:val="000000"/>
          <w:sz w:val="20"/>
          <w:szCs w:val="20"/>
        </w:rPr>
        <w:t xml:space="preserve">re, in connection with the closing of our IPO, we have incurred and continue to incur additional costs associated with operating as a public company, including significant legal, accounting, investor relations and other expenses that we did not incur as a </w:t>
      </w:r>
      <w:r>
        <w:rPr>
          <w:rFonts w:eastAsia="Times New Roman"/>
          <w:color w:val="000000"/>
          <w:sz w:val="20"/>
          <w:szCs w:val="20"/>
        </w:rPr>
        <w:t xml:space="preserve">private company. Our net losses may fluctuate significantly from quarter-to-quarter and year-to-year, depending on the timing of our ongoing and planned clinical trials and our expenses on other research and development activities. </w:t>
      </w:r>
    </w:p>
    <w:p w:rsidR="00000000" w:rsidRDefault="00C668B1">
      <w:pPr>
        <w:ind w:firstLine="490"/>
        <w:divId w:val="413748287"/>
        <w:rPr>
          <w:rFonts w:eastAsia="Times New Roman"/>
        </w:rPr>
      </w:pPr>
      <w:r>
        <w:rPr>
          <w:rFonts w:eastAsia="Times New Roman"/>
          <w:color w:val="000000"/>
          <w:sz w:val="20"/>
          <w:szCs w:val="20"/>
        </w:rPr>
        <w:t>We expect to continue t</w:t>
      </w:r>
      <w:r>
        <w:rPr>
          <w:rFonts w:eastAsia="Times New Roman"/>
          <w:color w:val="000000"/>
          <w:sz w:val="20"/>
          <w:szCs w:val="20"/>
        </w:rPr>
        <w:t xml:space="preserve">o incur net operating losses for at least the next several years, and we expect our research and development expenses, general and administrative expenses, and capital expenditures will continue to increase. We expect our expenses and capital requirements </w:t>
      </w:r>
      <w:r>
        <w:rPr>
          <w:rFonts w:eastAsia="Times New Roman"/>
          <w:color w:val="000000"/>
          <w:sz w:val="20"/>
          <w:szCs w:val="20"/>
        </w:rPr>
        <w:t xml:space="preserve">will increase significantly in connection with our ongoing activities as we: </w:t>
      </w:r>
    </w:p>
    <w:p w:rsidR="00000000" w:rsidRDefault="00C668B1">
      <w:pPr>
        <w:ind w:hanging="360"/>
        <w:divId w:val="1010060927"/>
        <w:rPr>
          <w:rFonts w:eastAsia="Times New Roman"/>
        </w:rPr>
      </w:pPr>
      <w:r>
        <w:rPr>
          <w:rFonts w:eastAsia="Times New Roman"/>
          <w:color w:val="000000"/>
        </w:rPr>
        <w:t>•</w:t>
      </w:r>
      <w:r>
        <w:rPr>
          <w:rFonts w:eastAsia="Times New Roman"/>
          <w:color w:val="000000"/>
          <w:sz w:val="20"/>
          <w:szCs w:val="20"/>
        </w:rPr>
        <w:t xml:space="preserve">continue our ongoing and planned research and development of our most advanced product candidate ONA-XR; </w:t>
      </w:r>
    </w:p>
    <w:p w:rsidR="00000000" w:rsidRDefault="00C668B1">
      <w:pPr>
        <w:jc w:val="center"/>
        <w:divId w:val="2026327172"/>
        <w:rPr>
          <w:rFonts w:eastAsia="Times New Roman"/>
        </w:rPr>
      </w:pPr>
      <w:r>
        <w:rPr>
          <w:rFonts w:eastAsia="Times New Roman"/>
          <w:color w:val="000000"/>
        </w:rPr>
        <w:t>22</w:t>
      </w:r>
    </w:p>
    <w:p w:rsidR="00000000" w:rsidRDefault="00C668B1">
      <w:pPr>
        <w:rPr>
          <w:rFonts w:eastAsia="Times New Roman"/>
        </w:rPr>
      </w:pPr>
      <w:r>
        <w:rPr>
          <w:rFonts w:eastAsia="Times New Roman"/>
        </w:rPr>
        <w:pict>
          <v:rect id="_x0000_i1046" style="width:0;height:1.5pt" o:hralign="center" o:hrstd="t" o:hr="t" fillcolor="#a0a0a0" stroked="f"/>
        </w:pict>
      </w:r>
    </w:p>
    <w:p w:rsidR="00000000" w:rsidRDefault="00C668B1">
      <w:pPr>
        <w:divId w:val="1625574822"/>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hanging="360"/>
        <w:divId w:val="1285116235"/>
        <w:rPr>
          <w:rFonts w:eastAsia="Times New Roman"/>
        </w:rPr>
      </w:pPr>
      <w:r>
        <w:rPr>
          <w:rFonts w:eastAsia="Times New Roman"/>
          <w:color w:val="000000"/>
        </w:rPr>
        <w:t>•</w:t>
      </w:r>
      <w:r>
        <w:rPr>
          <w:rFonts w:eastAsia="Times New Roman"/>
          <w:color w:val="000000"/>
          <w:sz w:val="20"/>
          <w:szCs w:val="20"/>
        </w:rPr>
        <w:t>continue nonclinical studies and initiate clinical trials for our CLDN6 BsAb product and for any additional product candidates that we may purs</w:t>
      </w:r>
      <w:r>
        <w:rPr>
          <w:rFonts w:eastAsia="Times New Roman"/>
          <w:color w:val="000000"/>
          <w:sz w:val="20"/>
          <w:szCs w:val="20"/>
        </w:rPr>
        <w:t xml:space="preserve">ue; </w:t>
      </w:r>
    </w:p>
    <w:p w:rsidR="00000000" w:rsidRDefault="00C668B1">
      <w:pPr>
        <w:ind w:hanging="360"/>
        <w:divId w:val="1134257730"/>
        <w:rPr>
          <w:rFonts w:eastAsia="Times New Roman"/>
        </w:rPr>
      </w:pPr>
      <w:r>
        <w:rPr>
          <w:rFonts w:eastAsia="Times New Roman"/>
          <w:color w:val="000000"/>
        </w:rPr>
        <w:t>•</w:t>
      </w:r>
      <w:r>
        <w:rPr>
          <w:rFonts w:eastAsia="Times New Roman"/>
          <w:color w:val="000000"/>
          <w:sz w:val="20"/>
          <w:szCs w:val="20"/>
        </w:rPr>
        <w:t xml:space="preserve">continue to scale up external manufacturing capacity with the aim of securing sufficient quantities to meet our capacity requirements for clinical trials and potential commercialization; </w:t>
      </w:r>
    </w:p>
    <w:p w:rsidR="00000000" w:rsidRDefault="00C668B1">
      <w:pPr>
        <w:ind w:hanging="360"/>
        <w:divId w:val="613634636"/>
        <w:rPr>
          <w:rFonts w:eastAsia="Times New Roman"/>
        </w:rPr>
      </w:pPr>
      <w:r>
        <w:rPr>
          <w:rFonts w:eastAsia="Times New Roman"/>
          <w:color w:val="000000"/>
        </w:rPr>
        <w:t>•</w:t>
      </w:r>
      <w:r>
        <w:rPr>
          <w:rFonts w:eastAsia="Times New Roman"/>
          <w:color w:val="000000"/>
          <w:sz w:val="20"/>
          <w:szCs w:val="20"/>
        </w:rPr>
        <w:t xml:space="preserve">establish a sales, marketing and distribution infrastructure </w:t>
      </w:r>
      <w:r>
        <w:rPr>
          <w:rFonts w:eastAsia="Times New Roman"/>
          <w:color w:val="000000"/>
          <w:sz w:val="20"/>
          <w:szCs w:val="20"/>
        </w:rPr>
        <w:t xml:space="preserve">to commercialize any approved product candidates and related additional commercial manufacturing costs; </w:t>
      </w:r>
    </w:p>
    <w:p w:rsidR="00000000" w:rsidRDefault="00C668B1">
      <w:pPr>
        <w:ind w:hanging="360"/>
        <w:divId w:val="1257864458"/>
        <w:rPr>
          <w:rFonts w:eastAsia="Times New Roman"/>
        </w:rPr>
      </w:pPr>
      <w:r>
        <w:rPr>
          <w:rFonts w:eastAsia="Times New Roman"/>
          <w:color w:val="000000"/>
        </w:rPr>
        <w:t>•</w:t>
      </w:r>
      <w:r>
        <w:rPr>
          <w:rFonts w:eastAsia="Times New Roman"/>
          <w:color w:val="000000"/>
          <w:sz w:val="20"/>
          <w:szCs w:val="20"/>
        </w:rPr>
        <w:t xml:space="preserve">develop, maintain, expand, protect and enforce our intellectual property portfolio, including patents, trade secrets and know how; </w:t>
      </w:r>
    </w:p>
    <w:p w:rsidR="00000000" w:rsidRDefault="00C668B1">
      <w:pPr>
        <w:ind w:hanging="360"/>
        <w:divId w:val="341855853"/>
        <w:rPr>
          <w:rFonts w:eastAsia="Times New Roman"/>
        </w:rPr>
      </w:pPr>
      <w:r>
        <w:rPr>
          <w:rFonts w:eastAsia="Times New Roman"/>
          <w:color w:val="000000"/>
        </w:rPr>
        <w:t>•</w:t>
      </w:r>
      <w:r>
        <w:rPr>
          <w:rFonts w:eastAsia="Times New Roman"/>
          <w:color w:val="000000"/>
          <w:sz w:val="20"/>
          <w:szCs w:val="20"/>
        </w:rPr>
        <w:t>acquire or in-lic</w:t>
      </w:r>
      <w:r>
        <w:rPr>
          <w:rFonts w:eastAsia="Times New Roman"/>
          <w:color w:val="000000"/>
          <w:sz w:val="20"/>
          <w:szCs w:val="20"/>
        </w:rPr>
        <w:t xml:space="preserve">ense other product candidates and technologies, including related upfront, milestone and royalty payments; </w:t>
      </w:r>
    </w:p>
    <w:p w:rsidR="00000000" w:rsidRDefault="00C668B1">
      <w:pPr>
        <w:ind w:hanging="360"/>
        <w:divId w:val="1425146128"/>
        <w:rPr>
          <w:rFonts w:eastAsia="Times New Roman"/>
        </w:rPr>
      </w:pPr>
      <w:r>
        <w:rPr>
          <w:rFonts w:eastAsia="Times New Roman"/>
          <w:color w:val="000000"/>
        </w:rPr>
        <w:t>•</w:t>
      </w:r>
      <w:r>
        <w:rPr>
          <w:rFonts w:eastAsia="Times New Roman"/>
          <w:color w:val="000000"/>
          <w:sz w:val="20"/>
          <w:szCs w:val="20"/>
        </w:rPr>
        <w:t>attract, hire and retain additional executive officers, clinical, scientific, quality control, and manufacturing management and administrative pers</w:t>
      </w:r>
      <w:r>
        <w:rPr>
          <w:rFonts w:eastAsia="Times New Roman"/>
          <w:color w:val="000000"/>
          <w:sz w:val="20"/>
          <w:szCs w:val="20"/>
        </w:rPr>
        <w:t xml:space="preserve">onnel; </w:t>
      </w:r>
    </w:p>
    <w:p w:rsidR="00000000" w:rsidRDefault="00C668B1">
      <w:pPr>
        <w:ind w:hanging="360"/>
        <w:divId w:val="1407993540"/>
        <w:rPr>
          <w:rFonts w:eastAsia="Times New Roman"/>
        </w:rPr>
      </w:pPr>
      <w:r>
        <w:rPr>
          <w:rFonts w:eastAsia="Times New Roman"/>
          <w:color w:val="000000"/>
        </w:rPr>
        <w:t>•</w:t>
      </w:r>
      <w:r>
        <w:rPr>
          <w:rFonts w:eastAsia="Times New Roman"/>
          <w:color w:val="000000"/>
          <w:sz w:val="20"/>
          <w:szCs w:val="20"/>
        </w:rPr>
        <w:t xml:space="preserve">add clinical, operational, financial and management information systems and personnel, including personnel to support our product development and planned future commercialization efforts; </w:t>
      </w:r>
    </w:p>
    <w:p w:rsidR="00000000" w:rsidRDefault="00C668B1">
      <w:pPr>
        <w:ind w:hanging="360"/>
        <w:divId w:val="1679623774"/>
        <w:rPr>
          <w:rFonts w:eastAsia="Times New Roman"/>
        </w:rPr>
      </w:pPr>
      <w:r>
        <w:rPr>
          <w:rFonts w:eastAsia="Times New Roman"/>
          <w:color w:val="000000"/>
        </w:rPr>
        <w:t>•</w:t>
      </w:r>
      <w:r>
        <w:rPr>
          <w:rFonts w:eastAsia="Times New Roman"/>
          <w:color w:val="000000"/>
          <w:sz w:val="20"/>
          <w:szCs w:val="20"/>
        </w:rPr>
        <w:t>expand our operations in the United States and to other g</w:t>
      </w:r>
      <w:r>
        <w:rPr>
          <w:rFonts w:eastAsia="Times New Roman"/>
          <w:color w:val="000000"/>
          <w:sz w:val="20"/>
          <w:szCs w:val="20"/>
        </w:rPr>
        <w:t xml:space="preserve">eographies; and </w:t>
      </w:r>
    </w:p>
    <w:p w:rsidR="00000000" w:rsidRDefault="00C668B1">
      <w:pPr>
        <w:ind w:hanging="360"/>
        <w:divId w:val="1174536917"/>
        <w:rPr>
          <w:rFonts w:eastAsia="Times New Roman"/>
        </w:rPr>
      </w:pPr>
      <w:r>
        <w:rPr>
          <w:rFonts w:eastAsia="Times New Roman"/>
          <w:color w:val="000000"/>
        </w:rPr>
        <w:t>•</w:t>
      </w:r>
      <w:r>
        <w:rPr>
          <w:rFonts w:eastAsia="Times New Roman"/>
          <w:color w:val="000000"/>
          <w:sz w:val="20"/>
          <w:szCs w:val="20"/>
        </w:rPr>
        <w:t xml:space="preserve">incur additional legal, accounting, investor relations and other expenses associated with operating as a public company. </w:t>
      </w:r>
    </w:p>
    <w:p w:rsidR="00000000" w:rsidRDefault="00C668B1">
      <w:pPr>
        <w:ind w:firstLine="490"/>
        <w:divId w:val="617371704"/>
        <w:rPr>
          <w:rFonts w:eastAsia="Times New Roman"/>
        </w:rPr>
      </w:pPr>
      <w:r>
        <w:rPr>
          <w:rFonts w:eastAsia="Times New Roman"/>
          <w:color w:val="000000"/>
          <w:sz w:val="20"/>
          <w:szCs w:val="20"/>
        </w:rPr>
        <w:t>We will need to raise substantial additional capital to support our continuing operations and pursue our growth strategy. Until such time as we can generate significant revenue from product sales, if ever, we plan to finance our operations through the sale</w:t>
      </w:r>
      <w:r>
        <w:rPr>
          <w:rFonts w:eastAsia="Times New Roman"/>
          <w:color w:val="000000"/>
          <w:sz w:val="20"/>
          <w:szCs w:val="20"/>
        </w:rPr>
        <w:t xml:space="preserve"> of equity, debt financings and/or other capital sources, which may include collaborations with other companies or other strategic transactions. There are no assurances that we will be successful in obtaining an adequate level of financing as and when need</w:t>
      </w:r>
      <w:r>
        <w:rPr>
          <w:rFonts w:eastAsia="Times New Roman"/>
          <w:color w:val="000000"/>
          <w:sz w:val="20"/>
          <w:szCs w:val="20"/>
        </w:rPr>
        <w:t>ed to finance our operations on terms acceptable to us, or at all. Any failure to raise capital as and when needed could have a negative impact on our financial condition and on our ability to pursue our business plans and strategies. If we are unable to s</w:t>
      </w:r>
      <w:r>
        <w:rPr>
          <w:rFonts w:eastAsia="Times New Roman"/>
          <w:color w:val="000000"/>
          <w:sz w:val="20"/>
          <w:szCs w:val="20"/>
        </w:rPr>
        <w:t xml:space="preserve">ecure adequate additional funding, we may have to significantly delay, scale back or discontinue the development and commercialization of one or more product candidates or delay our pursuit of potential in-licenses or acquisitions. </w:t>
      </w:r>
    </w:p>
    <w:p w:rsidR="00000000" w:rsidRDefault="00C668B1">
      <w:pPr>
        <w:divId w:val="1852647200"/>
        <w:rPr>
          <w:rFonts w:eastAsia="Times New Roman"/>
        </w:rPr>
      </w:pPr>
      <w:r>
        <w:rPr>
          <w:rFonts w:eastAsia="Times New Roman"/>
          <w:b/>
          <w:bCs/>
          <w:color w:val="000000"/>
          <w:sz w:val="20"/>
          <w:szCs w:val="20"/>
        </w:rPr>
        <w:t>The COVID-19 Pandemic a</w:t>
      </w:r>
      <w:r>
        <w:rPr>
          <w:rFonts w:eastAsia="Times New Roman"/>
          <w:b/>
          <w:bCs/>
          <w:color w:val="000000"/>
          <w:sz w:val="20"/>
          <w:szCs w:val="20"/>
        </w:rPr>
        <w:t xml:space="preserve">nd its Impacts on Our Business </w:t>
      </w:r>
    </w:p>
    <w:p w:rsidR="00000000" w:rsidRDefault="00C668B1">
      <w:pPr>
        <w:ind w:firstLine="490"/>
        <w:divId w:val="2104373192"/>
        <w:rPr>
          <w:rFonts w:eastAsia="Times New Roman"/>
        </w:rPr>
      </w:pPr>
      <w:r>
        <w:rPr>
          <w:rFonts w:eastAsia="Times New Roman"/>
          <w:color w:val="000000"/>
          <w:sz w:val="20"/>
          <w:szCs w:val="20"/>
        </w:rPr>
        <w:t>In March 2020, the World Health Organization declared the outbreak of COVID-19 a global pandemic. The spread of COVID-19 has caused worldwide economic instability and significant volatility in the financial markets. There is</w:t>
      </w:r>
      <w:r>
        <w:rPr>
          <w:rFonts w:eastAsia="Times New Roman"/>
          <w:color w:val="000000"/>
          <w:sz w:val="20"/>
          <w:szCs w:val="20"/>
        </w:rPr>
        <w:t xml:space="preserve"> significant uncertainty as to the likely effects of this disease which may, among other things, materially impact our ongoing or planned clinical trials. This pandemic or outbreak could result in difficulty securing clinical trial site locations, contract</w:t>
      </w:r>
      <w:r>
        <w:rPr>
          <w:rFonts w:eastAsia="Times New Roman"/>
          <w:color w:val="000000"/>
          <w:sz w:val="20"/>
          <w:szCs w:val="20"/>
        </w:rPr>
        <w:t xml:space="preserve"> research organizations (“CROs”), and/or trial monitors and other critical vendors and consultants supporting the trial. In addition, outbreaks or the perception of an outbreak near a clinical trial site location could impact our ability to enroll patients</w:t>
      </w:r>
      <w:r>
        <w:rPr>
          <w:rFonts w:eastAsia="Times New Roman"/>
          <w:color w:val="000000"/>
          <w:sz w:val="20"/>
          <w:szCs w:val="20"/>
        </w:rPr>
        <w:t>. These situations, or others associated with COVID-19, could cause delays in our clinical trial plans and could increase expected costs, all of which could have a material adverse effect on our business and financial condition. At the current time, we are</w:t>
      </w:r>
      <w:r>
        <w:rPr>
          <w:rFonts w:eastAsia="Times New Roman"/>
          <w:color w:val="000000"/>
          <w:sz w:val="20"/>
          <w:szCs w:val="20"/>
        </w:rPr>
        <w:t xml:space="preserve"> unable to quantify the potential effects of this pandemic on our future consolidated financial statements. </w:t>
      </w:r>
    </w:p>
    <w:p w:rsidR="00000000" w:rsidRDefault="00C668B1">
      <w:pPr>
        <w:jc w:val="center"/>
        <w:divId w:val="519009297"/>
        <w:rPr>
          <w:rFonts w:eastAsia="Times New Roman"/>
        </w:rPr>
      </w:pPr>
      <w:r>
        <w:rPr>
          <w:rFonts w:eastAsia="Times New Roman"/>
          <w:color w:val="000000"/>
        </w:rPr>
        <w:t>23</w:t>
      </w:r>
    </w:p>
    <w:p w:rsidR="00000000" w:rsidRDefault="00C668B1">
      <w:pPr>
        <w:rPr>
          <w:rFonts w:eastAsia="Times New Roman"/>
        </w:rPr>
      </w:pPr>
      <w:r>
        <w:rPr>
          <w:rFonts w:eastAsia="Times New Roman"/>
        </w:rPr>
        <w:pict>
          <v:rect id="_x0000_i1047" style="width:0;height:1.5pt" o:hralign="center" o:hrstd="t" o:hr="t" fillcolor="#a0a0a0" stroked="f"/>
        </w:pict>
      </w:r>
    </w:p>
    <w:p w:rsidR="00000000" w:rsidRDefault="00C668B1">
      <w:pPr>
        <w:divId w:val="2033797255"/>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2004118952"/>
        <w:rPr>
          <w:rFonts w:eastAsia="Times New Roman"/>
        </w:rPr>
      </w:pPr>
      <w:r>
        <w:rPr>
          <w:rFonts w:eastAsia="Times New Roman"/>
          <w:b/>
          <w:bCs/>
          <w:color w:val="000000"/>
          <w:sz w:val="20"/>
          <w:szCs w:val="20"/>
        </w:rPr>
        <w:t>Components of Our Results of Ope</w:t>
      </w:r>
      <w:r>
        <w:rPr>
          <w:rFonts w:eastAsia="Times New Roman"/>
          <w:b/>
          <w:bCs/>
          <w:color w:val="000000"/>
          <w:sz w:val="20"/>
          <w:szCs w:val="20"/>
        </w:rPr>
        <w:t xml:space="preserve">rations </w:t>
      </w:r>
    </w:p>
    <w:p w:rsidR="00000000" w:rsidRDefault="00C668B1">
      <w:pPr>
        <w:divId w:val="1851136131"/>
        <w:rPr>
          <w:rFonts w:eastAsia="Times New Roman"/>
        </w:rPr>
      </w:pPr>
      <w:r>
        <w:rPr>
          <w:rFonts w:eastAsia="Times New Roman"/>
          <w:b/>
          <w:bCs/>
          <w:i/>
          <w:iCs/>
          <w:color w:val="000000"/>
          <w:sz w:val="20"/>
          <w:szCs w:val="20"/>
        </w:rPr>
        <w:t xml:space="preserve">Operating Expenses </w:t>
      </w:r>
    </w:p>
    <w:p w:rsidR="00000000" w:rsidRDefault="00C668B1">
      <w:pPr>
        <w:divId w:val="2073657195"/>
        <w:rPr>
          <w:rFonts w:eastAsia="Times New Roman"/>
        </w:rPr>
      </w:pPr>
      <w:r>
        <w:rPr>
          <w:rFonts w:eastAsia="Times New Roman"/>
          <w:i/>
          <w:iCs/>
          <w:color w:val="000000"/>
          <w:sz w:val="20"/>
          <w:szCs w:val="20"/>
        </w:rPr>
        <w:t xml:space="preserve">Research and Development Expenses </w:t>
      </w:r>
    </w:p>
    <w:p w:rsidR="00000000" w:rsidRDefault="00C668B1">
      <w:pPr>
        <w:ind w:firstLine="490"/>
        <w:divId w:val="1759673937"/>
        <w:rPr>
          <w:rFonts w:eastAsia="Times New Roman"/>
        </w:rPr>
      </w:pPr>
      <w:r>
        <w:rPr>
          <w:rFonts w:eastAsia="Times New Roman"/>
          <w:color w:val="000000"/>
          <w:sz w:val="20"/>
          <w:szCs w:val="20"/>
        </w:rPr>
        <w:t>Research and development expenses have consisted primarily of costs incurred in connection with the discovery and development of our product candidates. We expense research and development cos</w:t>
      </w:r>
      <w:r>
        <w:rPr>
          <w:rFonts w:eastAsia="Times New Roman"/>
          <w:color w:val="000000"/>
          <w:sz w:val="20"/>
          <w:szCs w:val="20"/>
        </w:rPr>
        <w:t xml:space="preserve">ts as incurred, including: </w:t>
      </w:r>
    </w:p>
    <w:p w:rsidR="00000000" w:rsidRDefault="00C668B1">
      <w:pPr>
        <w:ind w:hanging="360"/>
        <w:divId w:val="112480497"/>
        <w:rPr>
          <w:rFonts w:eastAsia="Times New Roman"/>
        </w:rPr>
      </w:pPr>
      <w:r>
        <w:rPr>
          <w:rFonts w:eastAsia="Times New Roman"/>
          <w:color w:val="000000"/>
        </w:rPr>
        <w:t>•</w:t>
      </w:r>
      <w:r>
        <w:rPr>
          <w:rFonts w:eastAsia="Times New Roman"/>
          <w:color w:val="000000"/>
          <w:sz w:val="20"/>
          <w:szCs w:val="20"/>
        </w:rPr>
        <w:t xml:space="preserve">expenses incurred to conduct the necessary discovery-stage laboratory work, preclinical studies and clinical trials required to obtain regulatory approval; </w:t>
      </w:r>
    </w:p>
    <w:p w:rsidR="00000000" w:rsidRDefault="00C668B1">
      <w:pPr>
        <w:ind w:hanging="360"/>
        <w:divId w:val="1390958965"/>
        <w:rPr>
          <w:rFonts w:eastAsia="Times New Roman"/>
        </w:rPr>
      </w:pPr>
      <w:r>
        <w:rPr>
          <w:rFonts w:eastAsia="Times New Roman"/>
          <w:color w:val="000000"/>
        </w:rPr>
        <w:t>•</w:t>
      </w:r>
      <w:r>
        <w:rPr>
          <w:rFonts w:eastAsia="Times New Roman"/>
          <w:color w:val="000000"/>
          <w:sz w:val="20"/>
          <w:szCs w:val="20"/>
        </w:rPr>
        <w:t>personnel expenses, including salaries, benefits and share-based comp</w:t>
      </w:r>
      <w:r>
        <w:rPr>
          <w:rFonts w:eastAsia="Times New Roman"/>
          <w:color w:val="000000"/>
          <w:sz w:val="20"/>
          <w:szCs w:val="20"/>
        </w:rPr>
        <w:t xml:space="preserve">ensation expense for our employees and consultants engaged in research and development functions; </w:t>
      </w:r>
    </w:p>
    <w:p w:rsidR="00000000" w:rsidRDefault="00C668B1">
      <w:pPr>
        <w:ind w:hanging="360"/>
        <w:divId w:val="1956250633"/>
        <w:rPr>
          <w:rFonts w:eastAsia="Times New Roman"/>
        </w:rPr>
      </w:pPr>
      <w:r>
        <w:rPr>
          <w:rFonts w:eastAsia="Times New Roman"/>
          <w:color w:val="000000"/>
        </w:rPr>
        <w:t>•</w:t>
      </w:r>
      <w:r>
        <w:rPr>
          <w:rFonts w:eastAsia="Times New Roman"/>
          <w:color w:val="000000"/>
          <w:sz w:val="20"/>
          <w:szCs w:val="20"/>
        </w:rPr>
        <w:t xml:space="preserve">costs of funding research performed by third parties, including pursuant to agreements with CROs that conduct our clinical trials, as well as investigative </w:t>
      </w:r>
      <w:r>
        <w:rPr>
          <w:rFonts w:eastAsia="Times New Roman"/>
          <w:color w:val="000000"/>
          <w:sz w:val="20"/>
          <w:szCs w:val="20"/>
        </w:rPr>
        <w:t xml:space="preserve">sites, consultants and CROs that conduct our preclinical and clinical studies; </w:t>
      </w:r>
    </w:p>
    <w:p w:rsidR="00000000" w:rsidRDefault="00C668B1">
      <w:pPr>
        <w:ind w:hanging="360"/>
        <w:divId w:val="1421215176"/>
        <w:rPr>
          <w:rFonts w:eastAsia="Times New Roman"/>
        </w:rPr>
      </w:pPr>
      <w:r>
        <w:rPr>
          <w:rFonts w:eastAsia="Times New Roman"/>
          <w:color w:val="000000"/>
        </w:rPr>
        <w:t>•</w:t>
      </w:r>
      <w:r>
        <w:rPr>
          <w:rFonts w:eastAsia="Times New Roman"/>
          <w:color w:val="000000"/>
          <w:sz w:val="20"/>
          <w:szCs w:val="20"/>
        </w:rPr>
        <w:t>expenses incurred under agreements with contract manufacturing organizations ("CMOs"), including manufacturing scale-up expenses, milestone-based payments, and the cost of acq</w:t>
      </w:r>
      <w:r>
        <w:rPr>
          <w:rFonts w:eastAsia="Times New Roman"/>
          <w:color w:val="000000"/>
          <w:sz w:val="20"/>
          <w:szCs w:val="20"/>
        </w:rPr>
        <w:t xml:space="preserve">uiring and manufacturing preclinical study and clinical trial materials; </w:t>
      </w:r>
    </w:p>
    <w:p w:rsidR="00000000" w:rsidRDefault="00C668B1">
      <w:pPr>
        <w:ind w:hanging="360"/>
        <w:divId w:val="1459184600"/>
        <w:rPr>
          <w:rFonts w:eastAsia="Times New Roman"/>
        </w:rPr>
      </w:pPr>
      <w:r>
        <w:rPr>
          <w:rFonts w:eastAsia="Times New Roman"/>
          <w:color w:val="000000"/>
        </w:rPr>
        <w:t>•</w:t>
      </w:r>
      <w:r>
        <w:rPr>
          <w:rFonts w:eastAsia="Times New Roman"/>
          <w:color w:val="000000"/>
          <w:sz w:val="20"/>
          <w:szCs w:val="20"/>
        </w:rPr>
        <w:t xml:space="preserve">fees paid to consultants who assist with research and development activities; </w:t>
      </w:r>
    </w:p>
    <w:p w:rsidR="00000000" w:rsidRDefault="00C668B1">
      <w:pPr>
        <w:ind w:hanging="360"/>
        <w:divId w:val="2105105245"/>
        <w:rPr>
          <w:rFonts w:eastAsia="Times New Roman"/>
        </w:rPr>
      </w:pPr>
      <w:r>
        <w:rPr>
          <w:rFonts w:eastAsia="Times New Roman"/>
          <w:color w:val="000000"/>
        </w:rPr>
        <w:t>•</w:t>
      </w:r>
      <w:r>
        <w:rPr>
          <w:rFonts w:eastAsia="Times New Roman"/>
          <w:color w:val="000000"/>
          <w:sz w:val="20"/>
          <w:szCs w:val="20"/>
        </w:rPr>
        <w:t xml:space="preserve">expenses related to regulatory activities, including filing fees paid to regulatory agencies; and </w:t>
      </w:r>
    </w:p>
    <w:p w:rsidR="00000000" w:rsidRDefault="00C668B1">
      <w:pPr>
        <w:ind w:hanging="360"/>
        <w:divId w:val="634142210"/>
        <w:rPr>
          <w:rFonts w:eastAsia="Times New Roman"/>
        </w:rPr>
      </w:pPr>
      <w:r>
        <w:rPr>
          <w:rFonts w:eastAsia="Times New Roman"/>
          <w:color w:val="000000"/>
        </w:rPr>
        <w:t>•</w:t>
      </w:r>
      <w:r>
        <w:rPr>
          <w:rFonts w:eastAsia="Times New Roman"/>
          <w:color w:val="000000"/>
          <w:sz w:val="20"/>
          <w:szCs w:val="20"/>
        </w:rPr>
        <w:t xml:space="preserve">allocated expenses for facility costs, including rent, utilities and maintenance. </w:t>
      </w:r>
    </w:p>
    <w:p w:rsidR="00000000" w:rsidRDefault="00C668B1">
      <w:pPr>
        <w:ind w:firstLine="490"/>
        <w:divId w:val="1959028353"/>
        <w:rPr>
          <w:rFonts w:eastAsia="Times New Roman"/>
        </w:rPr>
      </w:pPr>
      <w:r>
        <w:rPr>
          <w:rFonts w:eastAsia="Times New Roman"/>
          <w:color w:val="000000"/>
          <w:sz w:val="20"/>
          <w:szCs w:val="20"/>
        </w:rPr>
        <w:t>We track outsourced development costs and other external research and development costs to specific product candidates on a program-by-program basis, fees paid to CROs, CMOs</w:t>
      </w:r>
      <w:r>
        <w:rPr>
          <w:rFonts w:eastAsia="Times New Roman"/>
          <w:color w:val="000000"/>
          <w:sz w:val="20"/>
          <w:szCs w:val="20"/>
        </w:rPr>
        <w:t xml:space="preserve"> and research laboratories in connection with our preclinical development, process development, manufacturing and clinical development activities. However, we do not track our internal research and development expenses on a program-by-program basis as they</w:t>
      </w:r>
      <w:r>
        <w:rPr>
          <w:rFonts w:eastAsia="Times New Roman"/>
          <w:color w:val="000000"/>
          <w:sz w:val="20"/>
          <w:szCs w:val="20"/>
        </w:rPr>
        <w:t xml:space="preserve"> primarily relate to compensation, early research and other costs which are deployed across multiple projects under development. </w:t>
      </w:r>
    </w:p>
    <w:p w:rsidR="00000000" w:rsidRDefault="00C668B1">
      <w:pPr>
        <w:ind w:firstLine="490"/>
        <w:divId w:val="162356770"/>
        <w:rPr>
          <w:rFonts w:eastAsia="Times New Roman"/>
        </w:rPr>
      </w:pPr>
      <w:r>
        <w:rPr>
          <w:rFonts w:eastAsia="Times New Roman"/>
          <w:color w:val="000000"/>
          <w:sz w:val="20"/>
          <w:szCs w:val="20"/>
        </w:rPr>
        <w:t>Research and development activities are central to our business model. Product candidates in later stages of clinical developm</w:t>
      </w:r>
      <w:r>
        <w:rPr>
          <w:rFonts w:eastAsia="Times New Roman"/>
          <w:color w:val="000000"/>
          <w:sz w:val="20"/>
          <w:szCs w:val="20"/>
        </w:rPr>
        <w:t>ent generally have higher development costs than those in earlier stages of clinical development, primarily due to the increased size and duration of later-stage clinical trials. We expect our research and development expenses to increase significantly ove</w:t>
      </w:r>
      <w:r>
        <w:rPr>
          <w:rFonts w:eastAsia="Times New Roman"/>
          <w:color w:val="000000"/>
          <w:sz w:val="20"/>
          <w:szCs w:val="20"/>
        </w:rPr>
        <w:t>r the next several years as we increase personnel costs, including share-based compensation, conduct our clinical trials, including later-stage clinical trials, for current and future product candidates and prepare regulatory filings for our product candid</w:t>
      </w:r>
      <w:r>
        <w:rPr>
          <w:rFonts w:eastAsia="Times New Roman"/>
          <w:color w:val="000000"/>
          <w:sz w:val="20"/>
          <w:szCs w:val="20"/>
        </w:rPr>
        <w:t xml:space="preserve">ates. </w:t>
      </w:r>
    </w:p>
    <w:p w:rsidR="00000000" w:rsidRDefault="00C668B1">
      <w:pPr>
        <w:divId w:val="1735154751"/>
        <w:rPr>
          <w:rFonts w:eastAsia="Times New Roman"/>
        </w:rPr>
      </w:pPr>
      <w:r>
        <w:rPr>
          <w:rFonts w:eastAsia="Times New Roman"/>
          <w:color w:val="000000"/>
          <w:sz w:val="2"/>
          <w:szCs w:val="2"/>
        </w:rPr>
        <w:t> </w:t>
      </w:r>
    </w:p>
    <w:p w:rsidR="00000000" w:rsidRDefault="00C668B1">
      <w:pPr>
        <w:divId w:val="194734214"/>
        <w:rPr>
          <w:rFonts w:eastAsia="Times New Roman"/>
        </w:rPr>
      </w:pPr>
      <w:r>
        <w:rPr>
          <w:rFonts w:eastAsia="Times New Roman"/>
          <w:i/>
          <w:iCs/>
          <w:color w:val="000000"/>
          <w:sz w:val="20"/>
          <w:szCs w:val="20"/>
        </w:rPr>
        <w:t xml:space="preserve">General and Administrative Expenses </w:t>
      </w:r>
    </w:p>
    <w:p w:rsidR="00000000" w:rsidRDefault="00C668B1">
      <w:pPr>
        <w:ind w:firstLine="490"/>
        <w:divId w:val="66727084"/>
        <w:rPr>
          <w:rFonts w:eastAsia="Times New Roman"/>
        </w:rPr>
      </w:pPr>
      <w:r>
        <w:rPr>
          <w:rFonts w:eastAsia="Times New Roman"/>
          <w:color w:val="000000"/>
          <w:sz w:val="20"/>
          <w:szCs w:val="20"/>
        </w:rPr>
        <w:t>General and administrative expenses have consisted primarily of personnel expenses, including salaries, benefits and share-based compensation expense, for employees and consultants in executive, finance and accounting, legal, operations support, informatio</w:t>
      </w:r>
      <w:r>
        <w:rPr>
          <w:rFonts w:eastAsia="Times New Roman"/>
          <w:color w:val="000000"/>
          <w:sz w:val="20"/>
          <w:szCs w:val="20"/>
        </w:rPr>
        <w:t>n technology and business development functions. General and administrative expense also includes corporate facility costs not otherwise included in research and development expense, including rent, utilities and insurance, as well as legal fees related to</w:t>
      </w:r>
      <w:r>
        <w:rPr>
          <w:rFonts w:eastAsia="Times New Roman"/>
          <w:color w:val="000000"/>
          <w:sz w:val="20"/>
          <w:szCs w:val="20"/>
        </w:rPr>
        <w:t xml:space="preserve"> intellectual property and corporate matters and fees for accounting and consulting services. </w:t>
      </w:r>
    </w:p>
    <w:p w:rsidR="00000000" w:rsidRDefault="00C668B1">
      <w:pPr>
        <w:ind w:firstLine="490"/>
        <w:divId w:val="1695690431"/>
        <w:rPr>
          <w:rFonts w:eastAsia="Times New Roman"/>
        </w:rPr>
      </w:pPr>
      <w:r>
        <w:rPr>
          <w:rFonts w:eastAsia="Times New Roman"/>
          <w:color w:val="000000"/>
          <w:sz w:val="20"/>
          <w:szCs w:val="20"/>
        </w:rPr>
        <w:t>We expect that our general and administrative expenses will increase in the future to support our continued research and development activities, potential commer</w:t>
      </w:r>
      <w:r>
        <w:rPr>
          <w:rFonts w:eastAsia="Times New Roman"/>
          <w:color w:val="000000"/>
          <w:sz w:val="20"/>
          <w:szCs w:val="20"/>
        </w:rPr>
        <w:t>cialization efforts and increased costs of operating as a public company. These increases will likely include increased costs related to the hiring of additional personnel and fees to outside consultants, legal support and accountants, among other expenses</w:t>
      </w:r>
      <w:r>
        <w:rPr>
          <w:rFonts w:eastAsia="Times New Roman"/>
          <w:color w:val="000000"/>
          <w:sz w:val="20"/>
          <w:szCs w:val="20"/>
        </w:rPr>
        <w:t xml:space="preserve">. Additionally, we will continue to incur significant costs associated with being a public company, including expenses related to services associated with maintaining compliance with the requirements of Nasdaq and the SEC, insurance and investor relations </w:t>
      </w:r>
      <w:r>
        <w:rPr>
          <w:rFonts w:eastAsia="Times New Roman"/>
          <w:color w:val="000000"/>
          <w:sz w:val="20"/>
          <w:szCs w:val="20"/>
        </w:rPr>
        <w:t xml:space="preserve">costs. If any of our current or future product candidates obtain U.S. regulatory approval, we expect that we would incur significantly increased expenses associated with building a sales and marketing team. </w:t>
      </w:r>
    </w:p>
    <w:p w:rsidR="00000000" w:rsidRDefault="00C668B1">
      <w:pPr>
        <w:jc w:val="center"/>
        <w:divId w:val="1565413123"/>
        <w:rPr>
          <w:rFonts w:eastAsia="Times New Roman"/>
        </w:rPr>
      </w:pPr>
      <w:r>
        <w:rPr>
          <w:rFonts w:eastAsia="Times New Roman"/>
          <w:color w:val="000000"/>
        </w:rPr>
        <w:t>24</w:t>
      </w:r>
    </w:p>
    <w:p w:rsidR="00000000" w:rsidRDefault="00C668B1">
      <w:pPr>
        <w:rPr>
          <w:rFonts w:eastAsia="Times New Roman"/>
        </w:rPr>
      </w:pPr>
      <w:r>
        <w:rPr>
          <w:rFonts w:eastAsia="Times New Roman"/>
        </w:rPr>
        <w:pict>
          <v:rect id="_x0000_i1048" style="width:0;height:1.5pt" o:hralign="center" o:hrstd="t" o:hr="t" fillcolor="#a0a0a0" stroked="f"/>
        </w:pict>
      </w:r>
    </w:p>
    <w:p w:rsidR="00000000" w:rsidRDefault="00C668B1">
      <w:pPr>
        <w:divId w:val="19012848"/>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933828200"/>
        <w:rPr>
          <w:rFonts w:eastAsia="Times New Roman"/>
        </w:rPr>
      </w:pPr>
      <w:r>
        <w:rPr>
          <w:rFonts w:eastAsia="Times New Roman"/>
          <w:i/>
          <w:iCs/>
          <w:color w:val="000000"/>
          <w:sz w:val="20"/>
          <w:szCs w:val="20"/>
        </w:rPr>
        <w:t>Interest Income</w:t>
      </w:r>
    </w:p>
    <w:p w:rsidR="00000000" w:rsidRDefault="00C668B1">
      <w:pPr>
        <w:ind w:firstLine="490"/>
        <w:divId w:val="355543385"/>
        <w:rPr>
          <w:rFonts w:eastAsia="Times New Roman"/>
        </w:rPr>
      </w:pPr>
      <w:r>
        <w:rPr>
          <w:rFonts w:eastAsia="Times New Roman"/>
          <w:color w:val="000000"/>
          <w:sz w:val="20"/>
          <w:szCs w:val="20"/>
        </w:rPr>
        <w:t>Interest income consists of interest earned on our cash and cash equivalents.</w:t>
      </w:r>
    </w:p>
    <w:p w:rsidR="00000000" w:rsidRDefault="00C668B1">
      <w:pPr>
        <w:divId w:val="1258750534"/>
        <w:rPr>
          <w:rFonts w:eastAsia="Times New Roman"/>
        </w:rPr>
      </w:pPr>
    </w:p>
    <w:p w:rsidR="00000000" w:rsidRDefault="00C668B1">
      <w:pPr>
        <w:divId w:val="875970505"/>
        <w:rPr>
          <w:rFonts w:eastAsia="Times New Roman"/>
        </w:rPr>
      </w:pPr>
      <w:r>
        <w:rPr>
          <w:rFonts w:eastAsia="Times New Roman"/>
          <w:i/>
          <w:iCs/>
          <w:color w:val="000000"/>
          <w:sz w:val="20"/>
          <w:szCs w:val="20"/>
        </w:rPr>
        <w:t xml:space="preserve">Interest Expense </w:t>
      </w:r>
    </w:p>
    <w:p w:rsidR="00000000" w:rsidRDefault="00C668B1">
      <w:pPr>
        <w:ind w:firstLine="490"/>
        <w:divId w:val="246813897"/>
        <w:rPr>
          <w:rFonts w:eastAsia="Times New Roman"/>
        </w:rPr>
      </w:pPr>
      <w:r>
        <w:rPr>
          <w:rFonts w:eastAsia="Times New Roman"/>
          <w:color w:val="000000"/>
          <w:sz w:val="20"/>
          <w:szCs w:val="20"/>
        </w:rPr>
        <w:t>Interest expense has consisted primarily of interest related to our conver</w:t>
      </w:r>
      <w:r>
        <w:rPr>
          <w:rFonts w:eastAsia="Times New Roman"/>
          <w:color w:val="000000"/>
          <w:sz w:val="20"/>
          <w:szCs w:val="20"/>
        </w:rPr>
        <w:t xml:space="preserve">tible promissory notes that converted to Series A stock in 2021. All of the previously outstanding convertible promissory notes of the Company were converted as of February 2021. </w:t>
      </w:r>
    </w:p>
    <w:p w:rsidR="00000000" w:rsidRDefault="00C668B1">
      <w:pPr>
        <w:divId w:val="1818524453"/>
        <w:rPr>
          <w:rFonts w:eastAsia="Times New Roman"/>
        </w:rPr>
      </w:pPr>
    </w:p>
    <w:p w:rsidR="00000000" w:rsidRDefault="00C668B1">
      <w:pPr>
        <w:divId w:val="2031832046"/>
        <w:rPr>
          <w:rFonts w:eastAsia="Times New Roman"/>
        </w:rPr>
      </w:pPr>
    </w:p>
    <w:p w:rsidR="00000000" w:rsidRDefault="00C668B1">
      <w:pPr>
        <w:divId w:val="430324009"/>
        <w:rPr>
          <w:rFonts w:eastAsia="Times New Roman"/>
        </w:rPr>
      </w:pPr>
      <w:r>
        <w:rPr>
          <w:rFonts w:eastAsia="Times New Roman"/>
          <w:b/>
          <w:bCs/>
          <w:color w:val="000000"/>
          <w:sz w:val="20"/>
          <w:szCs w:val="20"/>
        </w:rPr>
        <w:t xml:space="preserve">Results of Operations </w:t>
      </w:r>
    </w:p>
    <w:p w:rsidR="00000000" w:rsidRDefault="00C668B1">
      <w:pPr>
        <w:divId w:val="82460079"/>
        <w:rPr>
          <w:rFonts w:eastAsia="Times New Roman"/>
        </w:rPr>
      </w:pPr>
    </w:p>
    <w:p w:rsidR="00000000" w:rsidRDefault="00C668B1">
      <w:pPr>
        <w:divId w:val="63843863"/>
        <w:rPr>
          <w:rFonts w:eastAsia="Times New Roman"/>
        </w:rPr>
      </w:pPr>
      <w:r>
        <w:rPr>
          <w:rFonts w:eastAsia="Times New Roman"/>
          <w:b/>
          <w:bCs/>
          <w:i/>
          <w:iCs/>
          <w:color w:val="000000"/>
          <w:sz w:val="20"/>
          <w:szCs w:val="20"/>
        </w:rPr>
        <w:t xml:space="preserve">Comparison of the Three Months Ended September </w:t>
      </w:r>
      <w:r>
        <w:rPr>
          <w:rFonts w:eastAsia="Times New Roman"/>
          <w:b/>
          <w:bCs/>
          <w:i/>
          <w:iCs/>
          <w:color w:val="000000"/>
          <w:sz w:val="20"/>
          <w:szCs w:val="20"/>
        </w:rPr>
        <w:t xml:space="preserve">30, 2022 and 2021 </w:t>
      </w:r>
    </w:p>
    <w:p w:rsidR="00000000" w:rsidRDefault="00C668B1">
      <w:pPr>
        <w:ind w:firstLine="490"/>
        <w:divId w:val="1307466307"/>
        <w:rPr>
          <w:rFonts w:eastAsia="Times New Roman"/>
        </w:rPr>
      </w:pPr>
      <w:r>
        <w:rPr>
          <w:rFonts w:eastAsia="Times New Roman"/>
          <w:color w:val="000000"/>
          <w:sz w:val="20"/>
          <w:szCs w:val="20"/>
        </w:rPr>
        <w:t xml:space="preserve">The following table sets forth our results of operations for the three months ended September 30, 2022 and 2021: </w:t>
      </w:r>
    </w:p>
    <w:p w:rsidR="00000000" w:rsidRDefault="00C668B1">
      <w:pPr>
        <w:divId w:val="132647558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8"/>
        <w:gridCol w:w="110"/>
        <w:gridCol w:w="961"/>
        <w:gridCol w:w="36"/>
        <w:gridCol w:w="36"/>
        <w:gridCol w:w="36"/>
        <w:gridCol w:w="36"/>
        <w:gridCol w:w="110"/>
        <w:gridCol w:w="961"/>
        <w:gridCol w:w="36"/>
        <w:gridCol w:w="36"/>
        <w:gridCol w:w="36"/>
        <w:gridCol w:w="36"/>
        <w:gridCol w:w="110"/>
        <w:gridCol w:w="887"/>
        <w:gridCol w:w="36"/>
        <w:gridCol w:w="36"/>
        <w:gridCol w:w="36"/>
        <w:gridCol w:w="36"/>
        <w:gridCol w:w="50"/>
        <w:gridCol w:w="847"/>
        <w:gridCol w:w="170"/>
      </w:tblGrid>
      <w:tr w:rsidR="00000000">
        <w:trPr>
          <w:divId w:val="2122331822"/>
        </w:trPr>
        <w:tc>
          <w:tcPr>
            <w:tcW w:w="50" w:type="pct"/>
            <w:vAlign w:val="center"/>
            <w:hideMark/>
          </w:tcPr>
          <w:p w:rsidR="00000000" w:rsidRDefault="00C668B1">
            <w:pPr>
              <w:rPr>
                <w:rFonts w:eastAsia="Times New Roman"/>
              </w:rPr>
            </w:pPr>
          </w:p>
        </w:tc>
        <w:tc>
          <w:tcPr>
            <w:tcW w:w="22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2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2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8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8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2122331822"/>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2122331822"/>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r>
      <w:tr w:rsidR="00000000">
        <w:trPr>
          <w:divId w:val="2122331822"/>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2122331822"/>
        </w:trPr>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2122331822"/>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Research and development</w:t>
            </w: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2,077,566 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739,598 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1,337,968 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2122331822"/>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1,970,521 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828,464 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1,142,057 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138 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2122331822"/>
        </w:trPr>
        <w:tc>
          <w:tcPr>
            <w:tcW w:w="0" w:type="auto"/>
            <w:gridSpan w:val="3"/>
            <w:shd w:val="clear" w:color="auto" w:fill="FFFF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(4,048,087)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(1,568,062)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(2,480,025)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2122331822"/>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Interest income (expense), net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192,245 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(1,261)</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193,506 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(15345)</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2122331822"/>
        </w:trPr>
        <w:tc>
          <w:tcPr>
            <w:tcW w:w="0" w:type="auto"/>
            <w:gridSpan w:val="3"/>
            <w:vAlign w:val="center"/>
            <w:hideMark/>
          </w:tcPr>
          <w:p w:rsidR="00000000" w:rsidRDefault="00C668B1">
            <w:pPr>
              <w:spacing w:after="100"/>
              <w:jc w:val="right"/>
              <w:rPr>
                <w:rFonts w:eastAsia="Times New Roman"/>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c>
          <w:tcPr>
            <w:tcW w:w="0" w:type="auto"/>
            <w:gridSpan w:val="3"/>
            <w:vAlign w:val="center"/>
            <w:hideMark/>
          </w:tcPr>
          <w:p w:rsidR="00000000" w:rsidRDefault="00C668B1">
            <w:pPr>
              <w:spacing w:after="100"/>
              <w:rPr>
                <w:rFonts w:eastAsia="Times New Roman"/>
                <w:sz w:val="20"/>
                <w:szCs w:val="20"/>
              </w:rPr>
            </w:pPr>
          </w:p>
        </w:tc>
      </w:tr>
      <w:tr w:rsidR="00000000">
        <w:trPr>
          <w:divId w:val="2122331822"/>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Other income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1,532 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126,531 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(124,999)</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(99)</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2122331822"/>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(3,854,310)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(1,442,792)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(2,411,518)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bl>
    <w:p w:rsidR="00000000" w:rsidRDefault="00C668B1">
      <w:pPr>
        <w:divId w:val="1203639457"/>
        <w:rPr>
          <w:rFonts w:eastAsia="Times New Roman"/>
        </w:rPr>
      </w:pPr>
    </w:p>
    <w:p w:rsidR="00000000" w:rsidRDefault="00C668B1">
      <w:pPr>
        <w:divId w:val="1612009705"/>
        <w:rPr>
          <w:rFonts w:eastAsia="Times New Roman"/>
        </w:rPr>
      </w:pPr>
      <w:r>
        <w:rPr>
          <w:rFonts w:eastAsia="Times New Roman"/>
          <w:i/>
          <w:iCs/>
          <w:color w:val="000000"/>
          <w:sz w:val="20"/>
          <w:szCs w:val="20"/>
        </w:rPr>
        <w:t xml:space="preserve">Research and Development Expenses </w:t>
      </w:r>
    </w:p>
    <w:p w:rsidR="00000000" w:rsidRDefault="00C668B1">
      <w:pPr>
        <w:ind w:firstLine="490"/>
        <w:divId w:val="127941940"/>
        <w:rPr>
          <w:rFonts w:eastAsia="Times New Roman"/>
        </w:rPr>
      </w:pPr>
      <w:r>
        <w:rPr>
          <w:rFonts w:eastAsia="Times New Roman"/>
          <w:color w:val="000000"/>
          <w:sz w:val="20"/>
          <w:szCs w:val="20"/>
        </w:rPr>
        <w:t>Research and development expenses increased by approximately $1.3 million for the three months ended September 30, 2022 as compared to the same period in 20</w:t>
      </w:r>
      <w:r>
        <w:rPr>
          <w:rFonts w:eastAsia="Times New Roman"/>
          <w:color w:val="000000"/>
          <w:sz w:val="20"/>
          <w:szCs w:val="20"/>
        </w:rPr>
        <w:t xml:space="preserve">21. The following table summarizes our research and development expenses for the three months ended September 30, 2022 as compared to the same period in 2021: </w:t>
      </w:r>
    </w:p>
    <w:p w:rsidR="00000000" w:rsidRDefault="00C668B1">
      <w:pPr>
        <w:divId w:val="1490551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179"/>
        <w:gridCol w:w="38"/>
        <w:gridCol w:w="110"/>
        <w:gridCol w:w="1027"/>
        <w:gridCol w:w="36"/>
        <w:gridCol w:w="36"/>
        <w:gridCol w:w="36"/>
        <w:gridCol w:w="36"/>
        <w:gridCol w:w="110"/>
        <w:gridCol w:w="1028"/>
        <w:gridCol w:w="36"/>
        <w:gridCol w:w="36"/>
        <w:gridCol w:w="36"/>
        <w:gridCol w:w="36"/>
        <w:gridCol w:w="110"/>
        <w:gridCol w:w="1028"/>
        <w:gridCol w:w="36"/>
        <w:gridCol w:w="36"/>
        <w:gridCol w:w="36"/>
        <w:gridCol w:w="36"/>
        <w:gridCol w:w="44"/>
        <w:gridCol w:w="990"/>
        <w:gridCol w:w="170"/>
      </w:tblGrid>
      <w:tr w:rsidR="00000000">
        <w:trPr>
          <w:divId w:val="1139375550"/>
        </w:trPr>
        <w:tc>
          <w:tcPr>
            <w:tcW w:w="50" w:type="pct"/>
            <w:vAlign w:val="center"/>
            <w:hideMark/>
          </w:tcPr>
          <w:p w:rsidR="00000000" w:rsidRDefault="00C668B1">
            <w:pPr>
              <w:rPr>
                <w:rFonts w:eastAsia="Times New Roman"/>
              </w:rPr>
            </w:pPr>
          </w:p>
        </w:tc>
        <w:tc>
          <w:tcPr>
            <w:tcW w:w="198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139375550"/>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139375550"/>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r>
      <w:tr w:rsidR="00000000">
        <w:trPr>
          <w:divId w:val="1139375550"/>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ONA-XR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1,422,477 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331,872 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1,090,605 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139375550"/>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CLDN6</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299,686 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207,398 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92,288 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139375550"/>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Personnel-related costs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331,263 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199,216 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132,047 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139375550"/>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Other 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24,140 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1,112 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23,028 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2071 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139375550"/>
        </w:trPr>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2,077,566 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739,598 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1,337,968 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bl>
    <w:p w:rsidR="00000000" w:rsidRDefault="00C668B1">
      <w:pPr>
        <w:ind w:firstLine="490"/>
        <w:divId w:val="479425991"/>
        <w:rPr>
          <w:rFonts w:eastAsia="Times New Roman"/>
        </w:rPr>
      </w:pPr>
      <w:r>
        <w:rPr>
          <w:rFonts w:eastAsia="Times New Roman"/>
          <w:color w:val="000000"/>
          <w:sz w:val="20"/>
          <w:szCs w:val="20"/>
        </w:rPr>
        <w:t xml:space="preserve">The increase in ONA-XR expense of $1.1 million was primarily due to an increase of $0.6 million in </w:t>
      </w:r>
      <w:r>
        <w:rPr>
          <w:rFonts w:eastAsia="Times New Roman"/>
          <w:color w:val="000000"/>
          <w:sz w:val="20"/>
          <w:szCs w:val="20"/>
        </w:rPr>
        <w:t>contract manufacturing costs and an increase of $0.4 million in clinical trial costs, mostly as a result of preparing to initiate our Phase 1b/2 ELONA trial. Personnel-related costs, which include salaries, benefits and stock compensation expense, increase</w:t>
      </w:r>
      <w:r>
        <w:rPr>
          <w:rFonts w:eastAsia="Times New Roman"/>
          <w:color w:val="000000"/>
          <w:sz w:val="20"/>
          <w:szCs w:val="20"/>
        </w:rPr>
        <w:t>d by approximately $0.1 million, primarily due to higher headcount over the prior year period.</w:t>
      </w:r>
    </w:p>
    <w:p w:rsidR="00000000" w:rsidRDefault="00C668B1">
      <w:pPr>
        <w:divId w:val="213733244"/>
        <w:rPr>
          <w:rFonts w:eastAsia="Times New Roman"/>
        </w:rPr>
      </w:pPr>
    </w:p>
    <w:p w:rsidR="00000000" w:rsidRDefault="00C668B1">
      <w:pPr>
        <w:divId w:val="1990135433"/>
        <w:rPr>
          <w:rFonts w:eastAsia="Times New Roman"/>
        </w:rPr>
      </w:pPr>
      <w:r>
        <w:rPr>
          <w:rFonts w:eastAsia="Times New Roman"/>
          <w:i/>
          <w:iCs/>
          <w:color w:val="000000"/>
          <w:sz w:val="20"/>
          <w:szCs w:val="20"/>
        </w:rPr>
        <w:t xml:space="preserve">General and Administrative Expenses </w:t>
      </w:r>
    </w:p>
    <w:p w:rsidR="00000000" w:rsidRDefault="00C668B1">
      <w:pPr>
        <w:ind w:firstLine="490"/>
        <w:divId w:val="796488450"/>
        <w:rPr>
          <w:rFonts w:eastAsia="Times New Roman"/>
        </w:rPr>
      </w:pPr>
    </w:p>
    <w:p w:rsidR="00000000" w:rsidRDefault="00C668B1">
      <w:pPr>
        <w:ind w:firstLine="360"/>
        <w:divId w:val="1167601272"/>
        <w:rPr>
          <w:rFonts w:eastAsia="Times New Roman"/>
        </w:rPr>
      </w:pPr>
      <w:r>
        <w:rPr>
          <w:rFonts w:eastAsia="Times New Roman"/>
          <w:color w:val="000000"/>
          <w:sz w:val="20"/>
          <w:szCs w:val="20"/>
        </w:rPr>
        <w:t xml:space="preserve">General and administrative expenses increased by approximately $1.1 million for the three months ended September 30, 2022 as compared to the same period in 2021. The increase was primarily due to an increase of $0.4 million in compensation and share-based </w:t>
      </w:r>
      <w:r>
        <w:rPr>
          <w:rFonts w:eastAsia="Times New Roman"/>
          <w:color w:val="000000"/>
          <w:sz w:val="20"/>
          <w:szCs w:val="20"/>
        </w:rPr>
        <w:t>compensation as a result of an increase in our general and administrative headcount and changes to compensation arrangements, higher insurance costs of $0.4 million and $0.3 million of other costs associated with operating as a public company.</w:t>
      </w:r>
    </w:p>
    <w:p w:rsidR="00000000" w:rsidRDefault="00C668B1">
      <w:pPr>
        <w:divId w:val="906914776"/>
        <w:rPr>
          <w:rFonts w:eastAsia="Times New Roman"/>
        </w:rPr>
      </w:pPr>
    </w:p>
    <w:p w:rsidR="00000000" w:rsidRDefault="00C668B1">
      <w:pPr>
        <w:divId w:val="1492942724"/>
        <w:rPr>
          <w:rFonts w:eastAsia="Times New Roman"/>
        </w:rPr>
      </w:pPr>
      <w:r>
        <w:rPr>
          <w:rFonts w:eastAsia="Times New Roman"/>
          <w:i/>
          <w:iCs/>
          <w:color w:val="000000"/>
          <w:sz w:val="20"/>
          <w:szCs w:val="20"/>
        </w:rPr>
        <w:t>Interest I</w:t>
      </w:r>
      <w:r>
        <w:rPr>
          <w:rFonts w:eastAsia="Times New Roman"/>
          <w:i/>
          <w:iCs/>
          <w:color w:val="000000"/>
          <w:sz w:val="20"/>
          <w:szCs w:val="20"/>
        </w:rPr>
        <w:t xml:space="preserve">ncome (Expense), net </w:t>
      </w:r>
    </w:p>
    <w:p w:rsidR="00000000" w:rsidRDefault="00C668B1">
      <w:pPr>
        <w:jc w:val="center"/>
        <w:divId w:val="263879676"/>
        <w:rPr>
          <w:rFonts w:eastAsia="Times New Roman"/>
        </w:rPr>
      </w:pPr>
      <w:r>
        <w:rPr>
          <w:rFonts w:eastAsia="Times New Roman"/>
          <w:color w:val="000000"/>
        </w:rPr>
        <w:t>25</w:t>
      </w:r>
    </w:p>
    <w:p w:rsidR="00000000" w:rsidRDefault="00C668B1">
      <w:pPr>
        <w:rPr>
          <w:rFonts w:eastAsia="Times New Roman"/>
        </w:rPr>
      </w:pPr>
      <w:r>
        <w:rPr>
          <w:rFonts w:eastAsia="Times New Roman"/>
        </w:rPr>
        <w:pict>
          <v:rect id="_x0000_i1049" style="width:0;height:1.5pt" o:hralign="center" o:hrstd="t" o:hr="t" fillcolor="#a0a0a0" stroked="f"/>
        </w:pict>
      </w:r>
    </w:p>
    <w:p w:rsidR="00000000" w:rsidRDefault="00C668B1">
      <w:pPr>
        <w:divId w:val="1217814852"/>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firstLine="490"/>
        <w:divId w:val="1127774974"/>
        <w:rPr>
          <w:rFonts w:eastAsia="Times New Roman"/>
        </w:rPr>
      </w:pPr>
      <w:r>
        <w:rPr>
          <w:rFonts w:eastAsia="Times New Roman"/>
          <w:color w:val="000000"/>
          <w:sz w:val="20"/>
          <w:szCs w:val="20"/>
        </w:rPr>
        <w:t>Interest income (expense), net, increased by approximately $0.2 million for the three months ended September 30, 2022 as compared to the same pe</w:t>
      </w:r>
      <w:r>
        <w:rPr>
          <w:rFonts w:eastAsia="Times New Roman"/>
          <w:color w:val="000000"/>
          <w:sz w:val="20"/>
          <w:szCs w:val="20"/>
        </w:rPr>
        <w:t>riod in 2021 primarily due to higher interest income earned as a result of higher cash and cash equivalent balances and higher interest rates.</w:t>
      </w:r>
    </w:p>
    <w:p w:rsidR="00000000" w:rsidRDefault="00C668B1">
      <w:pPr>
        <w:divId w:val="358941289"/>
        <w:rPr>
          <w:rFonts w:eastAsia="Times New Roman"/>
        </w:rPr>
      </w:pPr>
    </w:p>
    <w:p w:rsidR="00000000" w:rsidRDefault="00C668B1">
      <w:pPr>
        <w:divId w:val="1985431061"/>
        <w:rPr>
          <w:rFonts w:eastAsia="Times New Roman"/>
        </w:rPr>
      </w:pPr>
      <w:r>
        <w:rPr>
          <w:rFonts w:eastAsia="Times New Roman"/>
          <w:i/>
          <w:iCs/>
          <w:color w:val="000000"/>
          <w:sz w:val="20"/>
          <w:szCs w:val="20"/>
        </w:rPr>
        <w:t>Other Income</w:t>
      </w:r>
    </w:p>
    <w:p w:rsidR="00000000" w:rsidRDefault="00C668B1">
      <w:pPr>
        <w:ind w:firstLine="490"/>
        <w:divId w:val="1054742606"/>
        <w:rPr>
          <w:rFonts w:eastAsia="Times New Roman"/>
        </w:rPr>
      </w:pPr>
      <w:r>
        <w:rPr>
          <w:rFonts w:eastAsia="Times New Roman"/>
          <w:color w:val="000000"/>
          <w:sz w:val="20"/>
          <w:szCs w:val="20"/>
        </w:rPr>
        <w:t>Other income of $0.1 million for the three months ended September 30, 2021 was primarily due to th</w:t>
      </w:r>
      <w:r>
        <w:rPr>
          <w:rFonts w:eastAsia="Times New Roman"/>
          <w:color w:val="000000"/>
          <w:sz w:val="20"/>
          <w:szCs w:val="20"/>
        </w:rPr>
        <w:t>e recognition of a gain on extinguishment of debt as a result of the forgiveness of our outstanding Paycheck Protection Program loan in July 2021.</w:t>
      </w:r>
    </w:p>
    <w:p w:rsidR="00000000" w:rsidRDefault="00C668B1">
      <w:pPr>
        <w:divId w:val="2082943195"/>
        <w:rPr>
          <w:rFonts w:eastAsia="Times New Roman"/>
        </w:rPr>
      </w:pPr>
    </w:p>
    <w:p w:rsidR="00000000" w:rsidRDefault="00C668B1">
      <w:pPr>
        <w:divId w:val="1343243232"/>
        <w:rPr>
          <w:rFonts w:eastAsia="Times New Roman"/>
        </w:rPr>
      </w:pPr>
      <w:r>
        <w:rPr>
          <w:rFonts w:eastAsia="Times New Roman"/>
          <w:b/>
          <w:bCs/>
          <w:i/>
          <w:iCs/>
          <w:color w:val="000000"/>
          <w:sz w:val="20"/>
          <w:szCs w:val="20"/>
        </w:rPr>
        <w:t xml:space="preserve">Comparison of the Nine Months Ended September 30, 2022 and 2021 </w:t>
      </w:r>
    </w:p>
    <w:p w:rsidR="00000000" w:rsidRDefault="00C668B1">
      <w:pPr>
        <w:ind w:firstLine="490"/>
        <w:divId w:val="2021349795"/>
        <w:rPr>
          <w:rFonts w:eastAsia="Times New Roman"/>
        </w:rPr>
      </w:pPr>
      <w:r>
        <w:rPr>
          <w:rFonts w:eastAsia="Times New Roman"/>
          <w:color w:val="000000"/>
          <w:sz w:val="20"/>
          <w:szCs w:val="20"/>
        </w:rPr>
        <w:t>The following table sets forth our results</w:t>
      </w:r>
      <w:r>
        <w:rPr>
          <w:rFonts w:eastAsia="Times New Roman"/>
          <w:color w:val="000000"/>
          <w:sz w:val="20"/>
          <w:szCs w:val="20"/>
        </w:rPr>
        <w:t xml:space="preserve"> of operations for the nine months ended September 30, 2022 and 2021: </w:t>
      </w:r>
    </w:p>
    <w:p w:rsidR="00000000" w:rsidRDefault="00C668B1">
      <w:pPr>
        <w:divId w:val="19421834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8"/>
        <w:gridCol w:w="110"/>
        <w:gridCol w:w="961"/>
        <w:gridCol w:w="36"/>
        <w:gridCol w:w="36"/>
        <w:gridCol w:w="36"/>
        <w:gridCol w:w="36"/>
        <w:gridCol w:w="110"/>
        <w:gridCol w:w="961"/>
        <w:gridCol w:w="36"/>
        <w:gridCol w:w="36"/>
        <w:gridCol w:w="36"/>
        <w:gridCol w:w="36"/>
        <w:gridCol w:w="110"/>
        <w:gridCol w:w="887"/>
        <w:gridCol w:w="36"/>
        <w:gridCol w:w="36"/>
        <w:gridCol w:w="36"/>
        <w:gridCol w:w="36"/>
        <w:gridCol w:w="50"/>
        <w:gridCol w:w="847"/>
        <w:gridCol w:w="170"/>
      </w:tblGrid>
      <w:tr w:rsidR="00000000">
        <w:trPr>
          <w:divId w:val="1392343342"/>
        </w:trPr>
        <w:tc>
          <w:tcPr>
            <w:tcW w:w="50" w:type="pct"/>
            <w:vAlign w:val="center"/>
            <w:hideMark/>
          </w:tcPr>
          <w:p w:rsidR="00000000" w:rsidRDefault="00C668B1">
            <w:pPr>
              <w:rPr>
                <w:rFonts w:eastAsia="Times New Roman"/>
              </w:rPr>
            </w:pPr>
          </w:p>
        </w:tc>
        <w:tc>
          <w:tcPr>
            <w:tcW w:w="222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2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2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8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9"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58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392343342"/>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392343342"/>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r>
      <w:tr w:rsidR="00000000">
        <w:trPr>
          <w:divId w:val="1392343342"/>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392343342"/>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Acquired in-process research and development</w:t>
            </w: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500,000 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3,087,832 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(2,587,832)</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(84)</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CCEE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4,946,304 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2,511,438 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2,434,866 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FFFFFF"/>
            <w:tcMar>
              <w:top w:w="30" w:type="dxa"/>
              <w:left w:w="14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6,052,556 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1,834,645 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4,217,911 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230 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CCEEFF"/>
            <w:tcMar>
              <w:top w:w="30" w:type="dxa"/>
              <w:left w:w="26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Loss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(11,498,860)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(7,433,915)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(4,064,945)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Interest income (expense), net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219,405 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(64,555)</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283,960 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(440)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Change in fair value of convertible promissory notes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9,317 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(9,317)</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(100)</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Other income</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297 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124,148 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(123,851)</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392343342"/>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Net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(11,279,158)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(7,365,005)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(3,914,153)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bl>
    <w:p w:rsidR="00000000" w:rsidRDefault="00C668B1">
      <w:pPr>
        <w:divId w:val="1971127165"/>
        <w:rPr>
          <w:rFonts w:eastAsia="Times New Roman"/>
        </w:rPr>
      </w:pPr>
      <w:r>
        <w:rPr>
          <w:rFonts w:eastAsia="Times New Roman"/>
          <w:i/>
          <w:iCs/>
          <w:color w:val="000000"/>
          <w:sz w:val="20"/>
          <w:szCs w:val="20"/>
        </w:rPr>
        <w:t>Acquired In-Process Research and Development Expenses</w:t>
      </w:r>
    </w:p>
    <w:p w:rsidR="00000000" w:rsidRDefault="00C668B1">
      <w:pPr>
        <w:divId w:val="1738086259"/>
        <w:rPr>
          <w:rFonts w:eastAsia="Times New Roman"/>
        </w:rPr>
      </w:pPr>
    </w:p>
    <w:p w:rsidR="00000000" w:rsidRDefault="00C668B1">
      <w:pPr>
        <w:ind w:firstLine="450"/>
        <w:divId w:val="816919401"/>
        <w:rPr>
          <w:rFonts w:eastAsia="Times New Roman"/>
        </w:rPr>
      </w:pPr>
      <w:r>
        <w:rPr>
          <w:rFonts w:eastAsia="Times New Roman"/>
          <w:color w:val="000000"/>
          <w:sz w:val="20"/>
          <w:szCs w:val="20"/>
        </w:rPr>
        <w:t>Acquired in-process research and development expe</w:t>
      </w:r>
      <w:r>
        <w:rPr>
          <w:rFonts w:eastAsia="Times New Roman"/>
          <w:color w:val="000000"/>
          <w:sz w:val="20"/>
          <w:szCs w:val="20"/>
        </w:rPr>
        <w:t xml:space="preserve">nse of $0.5 million for the nine months ended September 30, 2022 reflects the expense recognized related to a development milestone achieved in the second quarter of 2022 under the collaboration and licensing agreement with Integral for the development of </w:t>
      </w:r>
      <w:r>
        <w:rPr>
          <w:rFonts w:eastAsia="Times New Roman"/>
          <w:color w:val="000000"/>
          <w:sz w:val="20"/>
          <w:szCs w:val="20"/>
        </w:rPr>
        <w:t>CLDN6 BsAb.</w:t>
      </w:r>
    </w:p>
    <w:p w:rsidR="00000000" w:rsidRDefault="00C668B1">
      <w:pPr>
        <w:divId w:val="1802385103"/>
        <w:rPr>
          <w:rFonts w:eastAsia="Times New Roman"/>
        </w:rPr>
      </w:pPr>
    </w:p>
    <w:p w:rsidR="00000000" w:rsidRDefault="00C668B1">
      <w:pPr>
        <w:ind w:firstLine="450"/>
        <w:divId w:val="899899121"/>
        <w:rPr>
          <w:rFonts w:eastAsia="Times New Roman"/>
        </w:rPr>
      </w:pPr>
      <w:r>
        <w:rPr>
          <w:rFonts w:eastAsia="Times New Roman"/>
          <w:color w:val="000000"/>
          <w:sz w:val="20"/>
          <w:szCs w:val="20"/>
        </w:rPr>
        <w:t>Acquired in-process research and development expense of $3.1 million for the nine months ended September 30, 2021 reflects the fair value of the initial consideration paid/issued under the collaboration and licensing agreement with Integral f</w:t>
      </w:r>
      <w:r>
        <w:rPr>
          <w:rFonts w:eastAsia="Times New Roman"/>
          <w:color w:val="000000"/>
          <w:sz w:val="20"/>
          <w:szCs w:val="20"/>
        </w:rPr>
        <w:t xml:space="preserve">or the development of CLDN6 BsAb. </w:t>
      </w:r>
    </w:p>
    <w:p w:rsidR="00000000" w:rsidRDefault="00C668B1">
      <w:pPr>
        <w:divId w:val="1559631076"/>
        <w:rPr>
          <w:rFonts w:eastAsia="Times New Roman"/>
        </w:rPr>
      </w:pPr>
    </w:p>
    <w:p w:rsidR="00000000" w:rsidRDefault="00C668B1">
      <w:pPr>
        <w:divId w:val="2055808710"/>
        <w:rPr>
          <w:rFonts w:eastAsia="Times New Roman"/>
        </w:rPr>
      </w:pPr>
      <w:r>
        <w:rPr>
          <w:rFonts w:eastAsia="Times New Roman"/>
          <w:i/>
          <w:iCs/>
          <w:color w:val="000000"/>
          <w:sz w:val="20"/>
          <w:szCs w:val="20"/>
        </w:rPr>
        <w:t xml:space="preserve">Research and Development Expenses </w:t>
      </w:r>
    </w:p>
    <w:p w:rsidR="00000000" w:rsidRDefault="00C668B1">
      <w:pPr>
        <w:ind w:firstLine="490"/>
        <w:divId w:val="400257299"/>
        <w:rPr>
          <w:rFonts w:eastAsia="Times New Roman"/>
        </w:rPr>
      </w:pPr>
      <w:r>
        <w:rPr>
          <w:rFonts w:eastAsia="Times New Roman"/>
          <w:color w:val="000000"/>
          <w:sz w:val="20"/>
          <w:szCs w:val="20"/>
        </w:rPr>
        <w:t>Research and development expenses increased by approximately $2.4 million for the nine months ended September 30, 2022 as compared to the same period in 2021. The following table summa</w:t>
      </w:r>
      <w:r>
        <w:rPr>
          <w:rFonts w:eastAsia="Times New Roman"/>
          <w:color w:val="000000"/>
          <w:sz w:val="20"/>
          <w:szCs w:val="20"/>
        </w:rPr>
        <w:t xml:space="preserve">rizes our research and development expenses for the nine months ended September 30, 2022 as compared to the same period in 2021: </w:t>
      </w:r>
    </w:p>
    <w:p w:rsidR="00000000" w:rsidRDefault="00C668B1">
      <w:pPr>
        <w:divId w:val="21085754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80"/>
        <w:gridCol w:w="38"/>
        <w:gridCol w:w="110"/>
        <w:gridCol w:w="1027"/>
        <w:gridCol w:w="36"/>
        <w:gridCol w:w="36"/>
        <w:gridCol w:w="36"/>
        <w:gridCol w:w="36"/>
        <w:gridCol w:w="110"/>
        <w:gridCol w:w="1028"/>
        <w:gridCol w:w="36"/>
        <w:gridCol w:w="36"/>
        <w:gridCol w:w="36"/>
        <w:gridCol w:w="36"/>
        <w:gridCol w:w="110"/>
        <w:gridCol w:w="1028"/>
        <w:gridCol w:w="36"/>
        <w:gridCol w:w="36"/>
        <w:gridCol w:w="36"/>
        <w:gridCol w:w="36"/>
        <w:gridCol w:w="44"/>
        <w:gridCol w:w="990"/>
        <w:gridCol w:w="170"/>
      </w:tblGrid>
      <w:tr w:rsidR="00000000">
        <w:trPr>
          <w:divId w:val="1877502104"/>
        </w:trPr>
        <w:tc>
          <w:tcPr>
            <w:tcW w:w="50" w:type="pct"/>
            <w:vAlign w:val="center"/>
            <w:hideMark/>
          </w:tcPr>
          <w:p w:rsidR="00000000" w:rsidRDefault="00C668B1">
            <w:pPr>
              <w:rPr>
                <w:rFonts w:eastAsia="Times New Roman"/>
              </w:rPr>
            </w:pPr>
          </w:p>
        </w:tc>
        <w:tc>
          <w:tcPr>
            <w:tcW w:w="1980"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18"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6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877502104"/>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r>
      <w:tr w:rsidR="00000000">
        <w:trPr>
          <w:divId w:val="1877502104"/>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Change</w:t>
            </w:r>
          </w:p>
        </w:tc>
      </w:tr>
      <w:tr w:rsidR="00000000">
        <w:trPr>
          <w:divId w:val="1877502104"/>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ONA-XR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3,283,887 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1,423,277 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1,860,610 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877502104"/>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CLDN6 expenses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452,646 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523,462 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(70,816)</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877502104"/>
        </w:trPr>
        <w:tc>
          <w:tcPr>
            <w:tcW w:w="0" w:type="auto"/>
            <w:gridSpan w:val="3"/>
            <w:shd w:val="clear" w:color="auto" w:fill="CCEE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Personnel-related costs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1,101,291 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545,583 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555,708 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877502104"/>
        </w:trPr>
        <w:tc>
          <w:tcPr>
            <w:tcW w:w="0" w:type="auto"/>
            <w:gridSpan w:val="3"/>
            <w:shd w:val="clear" w:color="auto" w:fill="FFFFFF"/>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18"/>
                <w:szCs w:val="18"/>
              </w:rPr>
              <w:t>Other research and development</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108,480 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19,116 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89,364 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467 </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r w:rsidR="00000000">
        <w:trPr>
          <w:divId w:val="1877502104"/>
        </w:trPr>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4,946,304 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2,511,438 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2,434,866 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r>
              <w:rPr>
                <w:rFonts w:eastAsia="Times New Roman"/>
                <w:color w:val="000000"/>
                <w:sz w:val="18"/>
                <w:szCs w:val="18"/>
              </w:rPr>
              <w:t>%</w:t>
            </w:r>
          </w:p>
        </w:tc>
      </w:tr>
    </w:tbl>
    <w:p w:rsidR="00000000" w:rsidRDefault="00C668B1">
      <w:pPr>
        <w:divId w:val="713696530"/>
        <w:rPr>
          <w:rFonts w:eastAsia="Times New Roman"/>
        </w:rPr>
      </w:pPr>
    </w:p>
    <w:p w:rsidR="00000000" w:rsidRDefault="00C668B1">
      <w:pPr>
        <w:ind w:firstLine="490"/>
        <w:divId w:val="634682973"/>
        <w:rPr>
          <w:rFonts w:eastAsia="Times New Roman"/>
        </w:rPr>
      </w:pPr>
      <w:r>
        <w:rPr>
          <w:rFonts w:eastAsia="Times New Roman"/>
          <w:color w:val="000000"/>
          <w:sz w:val="20"/>
          <w:szCs w:val="20"/>
        </w:rPr>
        <w:t xml:space="preserve">The increase in ONA-XR expenses of $1.9 million was primarily due to an increase of $1.1 million </w:t>
      </w:r>
      <w:r>
        <w:rPr>
          <w:rFonts w:eastAsia="Times New Roman"/>
          <w:color w:val="000000"/>
          <w:sz w:val="20"/>
          <w:szCs w:val="20"/>
        </w:rPr>
        <w:t xml:space="preserve">in contract manufacturing costs and an increase of $0.5 million in clinical trial costs, mostly as a result of preparing to initiate our Phase </w:t>
      </w:r>
    </w:p>
    <w:p w:rsidR="00000000" w:rsidRDefault="00C668B1">
      <w:pPr>
        <w:jc w:val="center"/>
        <w:divId w:val="1619490050"/>
        <w:rPr>
          <w:rFonts w:eastAsia="Times New Roman"/>
        </w:rPr>
      </w:pPr>
      <w:r>
        <w:rPr>
          <w:rFonts w:eastAsia="Times New Roman"/>
          <w:color w:val="000000"/>
        </w:rPr>
        <w:t>26</w:t>
      </w:r>
    </w:p>
    <w:p w:rsidR="00000000" w:rsidRDefault="00C668B1">
      <w:pPr>
        <w:rPr>
          <w:rFonts w:eastAsia="Times New Roman"/>
        </w:rPr>
      </w:pPr>
      <w:r>
        <w:rPr>
          <w:rFonts w:eastAsia="Times New Roman"/>
        </w:rPr>
        <w:pict>
          <v:rect id="_x0000_i1050" style="width:0;height:1.5pt" o:hralign="center" o:hrstd="t" o:hr="t" fillcolor="#a0a0a0" stroked="f"/>
        </w:pict>
      </w:r>
    </w:p>
    <w:p w:rsidR="00000000" w:rsidRDefault="00C668B1">
      <w:pPr>
        <w:divId w:val="204762032"/>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733770959"/>
        <w:rPr>
          <w:rFonts w:eastAsia="Times New Roman"/>
        </w:rPr>
      </w:pPr>
      <w:r>
        <w:rPr>
          <w:rFonts w:eastAsia="Times New Roman"/>
          <w:color w:val="000000"/>
          <w:sz w:val="20"/>
          <w:szCs w:val="20"/>
        </w:rPr>
        <w:t>1b/2 ELONA trial. Personnel-related costs, which include salaries, benefits and stock compensation expense, increased by approximately $0.6 mill</w:t>
      </w:r>
      <w:r>
        <w:rPr>
          <w:rFonts w:eastAsia="Times New Roman"/>
          <w:color w:val="000000"/>
          <w:sz w:val="20"/>
          <w:szCs w:val="20"/>
        </w:rPr>
        <w:t>ion, primarily due to higher headcount over the prior year period.</w:t>
      </w:r>
    </w:p>
    <w:p w:rsidR="00000000" w:rsidRDefault="00C668B1">
      <w:pPr>
        <w:divId w:val="655769724"/>
        <w:rPr>
          <w:rFonts w:eastAsia="Times New Roman"/>
        </w:rPr>
      </w:pPr>
    </w:p>
    <w:p w:rsidR="00000000" w:rsidRDefault="00C668B1">
      <w:pPr>
        <w:divId w:val="2144732754"/>
        <w:rPr>
          <w:rFonts w:eastAsia="Times New Roman"/>
        </w:rPr>
      </w:pPr>
      <w:r>
        <w:rPr>
          <w:rFonts w:eastAsia="Times New Roman"/>
          <w:i/>
          <w:iCs/>
          <w:color w:val="000000"/>
          <w:sz w:val="20"/>
          <w:szCs w:val="20"/>
        </w:rPr>
        <w:t xml:space="preserve">General and Administrative Expenses </w:t>
      </w:r>
    </w:p>
    <w:p w:rsidR="00000000" w:rsidRDefault="00C668B1">
      <w:pPr>
        <w:ind w:firstLine="490"/>
        <w:divId w:val="1900094030"/>
        <w:rPr>
          <w:rFonts w:eastAsia="Times New Roman"/>
        </w:rPr>
      </w:pPr>
    </w:p>
    <w:p w:rsidR="00000000" w:rsidRDefault="00C668B1">
      <w:pPr>
        <w:ind w:firstLine="360"/>
        <w:divId w:val="300573480"/>
        <w:rPr>
          <w:rFonts w:eastAsia="Times New Roman"/>
        </w:rPr>
      </w:pPr>
      <w:r>
        <w:rPr>
          <w:rFonts w:eastAsia="Times New Roman"/>
          <w:color w:val="000000"/>
          <w:sz w:val="20"/>
          <w:szCs w:val="20"/>
        </w:rPr>
        <w:t>General and administrative expenses increased by approximately $4.2 million for the nine months ended September 30, 2022 as compared to the same per</w:t>
      </w:r>
      <w:r>
        <w:rPr>
          <w:rFonts w:eastAsia="Times New Roman"/>
          <w:color w:val="000000"/>
          <w:sz w:val="20"/>
          <w:szCs w:val="20"/>
        </w:rPr>
        <w:t>iod in 2021. The increase was mainly due to an increase of $1.8 million in compensation and share-based compensation as a result of an increase in our general and administrative headcount and changes to compensation arrangements. Additionally, expenses inc</w:t>
      </w:r>
      <w:r>
        <w:rPr>
          <w:rFonts w:eastAsia="Times New Roman"/>
          <w:color w:val="000000"/>
          <w:sz w:val="20"/>
          <w:szCs w:val="20"/>
        </w:rPr>
        <w:t>reased due to higher insurance costs of $1.3 million and $0.9 million of other costs associated with operating as a public company.</w:t>
      </w:r>
    </w:p>
    <w:p w:rsidR="00000000" w:rsidRDefault="00C668B1">
      <w:pPr>
        <w:divId w:val="435953265"/>
        <w:rPr>
          <w:rFonts w:eastAsia="Times New Roman"/>
        </w:rPr>
      </w:pPr>
    </w:p>
    <w:p w:rsidR="00000000" w:rsidRDefault="00C668B1">
      <w:pPr>
        <w:divId w:val="1857885908"/>
        <w:rPr>
          <w:rFonts w:eastAsia="Times New Roman"/>
        </w:rPr>
      </w:pPr>
      <w:r>
        <w:rPr>
          <w:rFonts w:eastAsia="Times New Roman"/>
          <w:i/>
          <w:iCs/>
          <w:color w:val="000000"/>
          <w:sz w:val="20"/>
          <w:szCs w:val="20"/>
        </w:rPr>
        <w:t xml:space="preserve">Interest Income (Expense), net </w:t>
      </w:r>
    </w:p>
    <w:p w:rsidR="00000000" w:rsidRDefault="00C668B1">
      <w:pPr>
        <w:ind w:firstLine="490"/>
        <w:divId w:val="1053963996"/>
        <w:rPr>
          <w:rFonts w:eastAsia="Times New Roman"/>
        </w:rPr>
      </w:pPr>
      <w:r>
        <w:rPr>
          <w:rFonts w:eastAsia="Times New Roman"/>
          <w:color w:val="000000"/>
          <w:sz w:val="20"/>
          <w:szCs w:val="20"/>
        </w:rPr>
        <w:t>Interest income (expense), net, increased by approximately $0.3 million for the nine month</w:t>
      </w:r>
      <w:r>
        <w:rPr>
          <w:rFonts w:eastAsia="Times New Roman"/>
          <w:color w:val="000000"/>
          <w:sz w:val="20"/>
          <w:szCs w:val="20"/>
        </w:rPr>
        <w:t xml:space="preserve">s ended September 30, 2022 as compared to the same period in 2021 primarily due to higher interest income earned as a result of higher cash and cash equivalent balances and higher interest rates. In addition, interest expense was lower for the nine months </w:t>
      </w:r>
      <w:r>
        <w:rPr>
          <w:rFonts w:eastAsia="Times New Roman"/>
          <w:color w:val="000000"/>
          <w:sz w:val="20"/>
          <w:szCs w:val="20"/>
        </w:rPr>
        <w:t xml:space="preserve">ended September 30, 2022 due to the conversion of all convertible promissory notes during 2021. </w:t>
      </w:r>
    </w:p>
    <w:p w:rsidR="00000000" w:rsidRDefault="00C668B1">
      <w:pPr>
        <w:divId w:val="513572158"/>
        <w:rPr>
          <w:rFonts w:eastAsia="Times New Roman"/>
        </w:rPr>
      </w:pPr>
      <w:r>
        <w:rPr>
          <w:rFonts w:eastAsia="Times New Roman"/>
          <w:i/>
          <w:iCs/>
          <w:color w:val="000000"/>
          <w:sz w:val="20"/>
          <w:szCs w:val="20"/>
        </w:rPr>
        <w:t xml:space="preserve">Change in Fair Value of Convertible Promissory Notes </w:t>
      </w:r>
    </w:p>
    <w:p w:rsidR="00000000" w:rsidRDefault="00C668B1">
      <w:pPr>
        <w:ind w:firstLine="490"/>
        <w:divId w:val="1336690293"/>
        <w:rPr>
          <w:rFonts w:eastAsia="Times New Roman"/>
        </w:rPr>
      </w:pPr>
      <w:r>
        <w:rPr>
          <w:rFonts w:eastAsia="Times New Roman"/>
          <w:color w:val="000000"/>
          <w:sz w:val="20"/>
          <w:szCs w:val="20"/>
        </w:rPr>
        <w:t>The change in fair value of convertible promissory notes was $9,317 for the nine months ended September 3</w:t>
      </w:r>
      <w:r>
        <w:rPr>
          <w:rFonts w:eastAsia="Times New Roman"/>
          <w:color w:val="000000"/>
          <w:sz w:val="20"/>
          <w:szCs w:val="20"/>
        </w:rPr>
        <w:t xml:space="preserve">0, 2021. This change was attributable to a decrease in the fair value of our common stock. </w:t>
      </w:r>
    </w:p>
    <w:p w:rsidR="00000000" w:rsidRDefault="00C668B1">
      <w:pPr>
        <w:divId w:val="205992708"/>
        <w:rPr>
          <w:rFonts w:eastAsia="Times New Roman"/>
        </w:rPr>
      </w:pPr>
      <w:r>
        <w:rPr>
          <w:rFonts w:eastAsia="Times New Roman"/>
          <w:i/>
          <w:iCs/>
          <w:color w:val="000000"/>
          <w:sz w:val="20"/>
          <w:szCs w:val="20"/>
        </w:rPr>
        <w:t>Other Income</w:t>
      </w:r>
    </w:p>
    <w:p w:rsidR="00000000" w:rsidRDefault="00C668B1">
      <w:pPr>
        <w:ind w:firstLine="490"/>
        <w:divId w:val="978996839"/>
        <w:rPr>
          <w:rFonts w:eastAsia="Times New Roman"/>
        </w:rPr>
      </w:pPr>
      <w:r>
        <w:rPr>
          <w:rFonts w:eastAsia="Times New Roman"/>
          <w:color w:val="000000"/>
          <w:sz w:val="20"/>
          <w:szCs w:val="20"/>
        </w:rPr>
        <w:t>Other income of $0.1 million for the nine months ended September 30, 2021 was primarily due to the recognition of a gain on extinguishment of debt as a</w:t>
      </w:r>
      <w:r>
        <w:rPr>
          <w:rFonts w:eastAsia="Times New Roman"/>
          <w:color w:val="000000"/>
          <w:sz w:val="20"/>
          <w:szCs w:val="20"/>
        </w:rPr>
        <w:t xml:space="preserve"> result of the forgiveness of our outstanding Paycheck Protection Program loan in July 2021.</w:t>
      </w:r>
    </w:p>
    <w:p w:rsidR="00000000" w:rsidRDefault="00C668B1">
      <w:pPr>
        <w:divId w:val="1944877370"/>
        <w:rPr>
          <w:rFonts w:eastAsia="Times New Roman"/>
        </w:rPr>
      </w:pPr>
      <w:r>
        <w:rPr>
          <w:rFonts w:eastAsia="Times New Roman"/>
          <w:b/>
          <w:bCs/>
          <w:color w:val="000000"/>
          <w:sz w:val="20"/>
          <w:szCs w:val="20"/>
        </w:rPr>
        <w:t xml:space="preserve">Liquidity and Capital Resources </w:t>
      </w:r>
    </w:p>
    <w:p w:rsidR="00000000" w:rsidRDefault="00C668B1">
      <w:pPr>
        <w:divId w:val="1540968803"/>
        <w:rPr>
          <w:rFonts w:eastAsia="Times New Roman"/>
        </w:rPr>
      </w:pPr>
      <w:r>
        <w:rPr>
          <w:rFonts w:eastAsia="Times New Roman"/>
          <w:b/>
          <w:bCs/>
          <w:i/>
          <w:iCs/>
          <w:color w:val="000000"/>
          <w:sz w:val="20"/>
          <w:szCs w:val="20"/>
        </w:rPr>
        <w:t xml:space="preserve">Overview </w:t>
      </w:r>
    </w:p>
    <w:p w:rsidR="00000000" w:rsidRDefault="00C668B1">
      <w:pPr>
        <w:divId w:val="1931769087"/>
        <w:rPr>
          <w:rFonts w:eastAsia="Times New Roman"/>
        </w:rPr>
      </w:pPr>
      <w:r>
        <w:rPr>
          <w:rFonts w:eastAsia="Times New Roman"/>
          <w:color w:val="000000"/>
          <w:sz w:val="20"/>
          <w:szCs w:val="20"/>
        </w:rPr>
        <w:t>Since our inception, we have not recognized any revenue and have incurred operating losses and negative cash flows from our operations. We have not yet commercialized any product and we do not expect to generate revenue from sales of any products for sever</w:t>
      </w:r>
      <w:r>
        <w:rPr>
          <w:rFonts w:eastAsia="Times New Roman"/>
          <w:color w:val="000000"/>
          <w:sz w:val="20"/>
          <w:szCs w:val="20"/>
        </w:rPr>
        <w:t>al years, if at all. Since our inception through September 30, 2022, we have funded our operations through the sale of convertible debt, convertible preferred stock and common stock. As of September 30, 2022, we had $39.4 million in cash and cash equivalen</w:t>
      </w:r>
      <w:r>
        <w:rPr>
          <w:rFonts w:eastAsia="Times New Roman"/>
          <w:color w:val="000000"/>
          <w:sz w:val="20"/>
          <w:szCs w:val="20"/>
        </w:rPr>
        <w:t xml:space="preserve">ts and had an accumulated deficit of $40.5 million. </w:t>
      </w:r>
    </w:p>
    <w:p w:rsidR="00000000" w:rsidRDefault="00C668B1">
      <w:pPr>
        <w:ind w:firstLine="540"/>
        <w:divId w:val="2129856294"/>
        <w:rPr>
          <w:rFonts w:eastAsia="Times New Roman"/>
        </w:rPr>
      </w:pPr>
    </w:p>
    <w:p w:rsidR="00000000" w:rsidRDefault="00C668B1">
      <w:pPr>
        <w:ind w:firstLine="540"/>
        <w:divId w:val="886339022"/>
        <w:rPr>
          <w:rFonts w:eastAsia="Times New Roman"/>
        </w:rPr>
      </w:pPr>
      <w:r>
        <w:rPr>
          <w:rFonts w:eastAsia="Times New Roman"/>
          <w:color w:val="000000"/>
          <w:sz w:val="20"/>
          <w:szCs w:val="20"/>
        </w:rPr>
        <w:t>In October 2021, we closed an IPO on the Nasdaq Stock Market, in which we issued and sold 5,750,000 shares at a public offering price of $5.00 per share. We received gross proceeds of approximately $28</w:t>
      </w:r>
      <w:r>
        <w:rPr>
          <w:rFonts w:eastAsia="Times New Roman"/>
          <w:color w:val="000000"/>
          <w:sz w:val="20"/>
          <w:szCs w:val="20"/>
        </w:rPr>
        <w:t>.8 million as a result of the offering. In December 2021, we sold 5,000,000 shares of common stock together with warrants to purchase 5,000,000 shares of common stock in a private placement for gross proceeds of approximately $31.3 million. We expect our e</w:t>
      </w:r>
      <w:r>
        <w:rPr>
          <w:rFonts w:eastAsia="Times New Roman"/>
          <w:color w:val="000000"/>
          <w:sz w:val="20"/>
          <w:szCs w:val="20"/>
        </w:rPr>
        <w:t>xisting cash and cash equivalents will be sufficient to fund our operations into the first quarter of 2024. We have based these estimates on assumptions that may prove to be imprecise, and we could utilize our available capital resources sooner than we exp</w:t>
      </w:r>
      <w:r>
        <w:rPr>
          <w:rFonts w:eastAsia="Times New Roman"/>
          <w:color w:val="000000"/>
          <w:sz w:val="20"/>
          <w:szCs w:val="20"/>
        </w:rPr>
        <w:t xml:space="preserve">ect. </w:t>
      </w:r>
    </w:p>
    <w:p w:rsidR="00000000" w:rsidRDefault="00C668B1">
      <w:pPr>
        <w:divId w:val="477310503"/>
        <w:rPr>
          <w:rFonts w:eastAsia="Times New Roman"/>
        </w:rPr>
      </w:pPr>
      <w:r>
        <w:rPr>
          <w:rFonts w:eastAsia="Times New Roman"/>
          <w:b/>
          <w:bCs/>
          <w:i/>
          <w:iCs/>
          <w:color w:val="000000"/>
          <w:sz w:val="20"/>
          <w:szCs w:val="20"/>
        </w:rPr>
        <w:t xml:space="preserve">Funding Requirements </w:t>
      </w:r>
    </w:p>
    <w:p w:rsidR="00000000" w:rsidRDefault="00C668B1">
      <w:pPr>
        <w:ind w:firstLine="490"/>
        <w:divId w:val="795877311"/>
        <w:rPr>
          <w:rFonts w:eastAsia="Times New Roman"/>
        </w:rPr>
      </w:pPr>
      <w:r>
        <w:rPr>
          <w:rFonts w:eastAsia="Times New Roman"/>
          <w:color w:val="000000"/>
          <w:sz w:val="20"/>
          <w:szCs w:val="20"/>
        </w:rPr>
        <w:t>Our primary use of cash is to fund operating expenses, which consist of research and development expenditures and various general and administrative expenses. Cash used to fund operating expenses is impacted by the timing of whe</w:t>
      </w:r>
      <w:r>
        <w:rPr>
          <w:rFonts w:eastAsia="Times New Roman"/>
          <w:color w:val="000000"/>
          <w:sz w:val="20"/>
          <w:szCs w:val="20"/>
        </w:rPr>
        <w:t xml:space="preserve">n we pay these expenses, as reflected in the change in our outstanding accounts payable, accrued expenses and prepaid expenses. </w:t>
      </w:r>
    </w:p>
    <w:p w:rsidR="00000000" w:rsidRDefault="00C668B1">
      <w:pPr>
        <w:ind w:firstLine="490"/>
        <w:divId w:val="1691494752"/>
        <w:rPr>
          <w:rFonts w:eastAsia="Times New Roman"/>
        </w:rPr>
      </w:pPr>
      <w:r>
        <w:rPr>
          <w:rFonts w:eastAsia="Times New Roman"/>
          <w:color w:val="000000"/>
          <w:sz w:val="20"/>
          <w:szCs w:val="20"/>
        </w:rPr>
        <w:t>Because of the numerous risks and uncertainties associated with research, development and commercialization of pharmaceutical p</w:t>
      </w:r>
      <w:r>
        <w:rPr>
          <w:rFonts w:eastAsia="Times New Roman"/>
          <w:color w:val="000000"/>
          <w:sz w:val="20"/>
          <w:szCs w:val="20"/>
        </w:rPr>
        <w:t xml:space="preserve">roducts, we are unable to estimate the exact amount of our operating capital requirements. Our future funding requirements will depend on many factors, including, but not limited to: </w:t>
      </w:r>
    </w:p>
    <w:p w:rsidR="00000000" w:rsidRDefault="00C668B1">
      <w:pPr>
        <w:ind w:hanging="360"/>
        <w:divId w:val="1652826290"/>
        <w:rPr>
          <w:rFonts w:eastAsia="Times New Roman"/>
        </w:rPr>
      </w:pPr>
      <w:r>
        <w:rPr>
          <w:rFonts w:eastAsia="Times New Roman"/>
          <w:color w:val="000000"/>
        </w:rPr>
        <w:t>•</w:t>
      </w:r>
      <w:r>
        <w:rPr>
          <w:rFonts w:eastAsia="Times New Roman"/>
          <w:color w:val="000000"/>
          <w:sz w:val="20"/>
          <w:szCs w:val="20"/>
        </w:rPr>
        <w:t>the scope, timing, progress and results of discovery, preclinical devel</w:t>
      </w:r>
      <w:r>
        <w:rPr>
          <w:rFonts w:eastAsia="Times New Roman"/>
          <w:color w:val="000000"/>
          <w:sz w:val="20"/>
          <w:szCs w:val="20"/>
        </w:rPr>
        <w:t xml:space="preserve">opment, laboratory testing and clinical trials for our product candidates; </w:t>
      </w:r>
    </w:p>
    <w:p w:rsidR="00000000" w:rsidRDefault="00C668B1">
      <w:pPr>
        <w:jc w:val="center"/>
        <w:divId w:val="1811820731"/>
        <w:rPr>
          <w:rFonts w:eastAsia="Times New Roman"/>
        </w:rPr>
      </w:pPr>
      <w:r>
        <w:rPr>
          <w:rFonts w:eastAsia="Times New Roman"/>
          <w:color w:val="000000"/>
        </w:rPr>
        <w:t>27</w:t>
      </w:r>
    </w:p>
    <w:p w:rsidR="00000000" w:rsidRDefault="00C668B1">
      <w:pPr>
        <w:rPr>
          <w:rFonts w:eastAsia="Times New Roman"/>
        </w:rPr>
      </w:pPr>
      <w:r>
        <w:rPr>
          <w:rFonts w:eastAsia="Times New Roman"/>
        </w:rPr>
        <w:pict>
          <v:rect id="_x0000_i1051" style="width:0;height:1.5pt" o:hralign="center" o:hrstd="t" o:hr="t" fillcolor="#a0a0a0" stroked="f"/>
        </w:pict>
      </w:r>
    </w:p>
    <w:p w:rsidR="00000000" w:rsidRDefault="00C668B1">
      <w:pPr>
        <w:divId w:val="1949727369"/>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hanging="360"/>
        <w:divId w:val="168373268"/>
        <w:rPr>
          <w:rFonts w:eastAsia="Times New Roman"/>
        </w:rPr>
      </w:pPr>
      <w:r>
        <w:rPr>
          <w:rFonts w:eastAsia="Times New Roman"/>
          <w:color w:val="000000"/>
        </w:rPr>
        <w:t>•</w:t>
      </w:r>
      <w:r>
        <w:rPr>
          <w:rFonts w:eastAsia="Times New Roman"/>
          <w:color w:val="000000"/>
          <w:sz w:val="20"/>
          <w:szCs w:val="20"/>
        </w:rPr>
        <w:t xml:space="preserve">the costs of manufacturing our product candidates for clinical trials and in preparation for regulatory approval and commercialization; </w:t>
      </w:r>
    </w:p>
    <w:p w:rsidR="00000000" w:rsidRDefault="00C668B1">
      <w:pPr>
        <w:ind w:hanging="360"/>
        <w:divId w:val="467237673"/>
        <w:rPr>
          <w:rFonts w:eastAsia="Times New Roman"/>
        </w:rPr>
      </w:pPr>
      <w:r>
        <w:rPr>
          <w:rFonts w:eastAsia="Times New Roman"/>
          <w:color w:val="000000"/>
        </w:rPr>
        <w:t>•</w:t>
      </w:r>
      <w:r>
        <w:rPr>
          <w:rFonts w:eastAsia="Times New Roman"/>
          <w:color w:val="000000"/>
          <w:sz w:val="20"/>
          <w:szCs w:val="20"/>
        </w:rPr>
        <w:t>the extent to which we enter into additional collaborations or other arrangements with additional third parties in ord</w:t>
      </w:r>
      <w:r>
        <w:rPr>
          <w:rFonts w:eastAsia="Times New Roman"/>
          <w:color w:val="000000"/>
          <w:sz w:val="20"/>
          <w:szCs w:val="20"/>
        </w:rPr>
        <w:t xml:space="preserve">er to further develop our product candidates; </w:t>
      </w:r>
    </w:p>
    <w:p w:rsidR="00000000" w:rsidRDefault="00C668B1">
      <w:pPr>
        <w:ind w:hanging="360"/>
        <w:divId w:val="2135517942"/>
        <w:rPr>
          <w:rFonts w:eastAsia="Times New Roman"/>
        </w:rPr>
      </w:pPr>
      <w:r>
        <w:rPr>
          <w:rFonts w:eastAsia="Times New Roman"/>
          <w:color w:val="000000"/>
        </w:rPr>
        <w:t>•</w:t>
      </w:r>
      <w:r>
        <w:rPr>
          <w:rFonts w:eastAsia="Times New Roman"/>
          <w:color w:val="000000"/>
          <w:sz w:val="20"/>
          <w:szCs w:val="20"/>
        </w:rPr>
        <w:t xml:space="preserve">the costs of preparing, filing and prosecuting patent applications, maintaining and enforcing our intellectual property rights and defending intellectual property-related claims; </w:t>
      </w:r>
    </w:p>
    <w:p w:rsidR="00000000" w:rsidRDefault="00C668B1">
      <w:pPr>
        <w:ind w:hanging="360"/>
        <w:divId w:val="24137845"/>
        <w:rPr>
          <w:rFonts w:eastAsia="Times New Roman"/>
        </w:rPr>
      </w:pPr>
      <w:r>
        <w:rPr>
          <w:rFonts w:eastAsia="Times New Roman"/>
          <w:color w:val="000000"/>
        </w:rPr>
        <w:t>•</w:t>
      </w:r>
      <w:r>
        <w:rPr>
          <w:rFonts w:eastAsia="Times New Roman"/>
          <w:color w:val="000000"/>
          <w:sz w:val="20"/>
          <w:szCs w:val="20"/>
        </w:rPr>
        <w:t>the costs and fees associat</w:t>
      </w:r>
      <w:r>
        <w:rPr>
          <w:rFonts w:eastAsia="Times New Roman"/>
          <w:color w:val="000000"/>
          <w:sz w:val="20"/>
          <w:szCs w:val="20"/>
        </w:rPr>
        <w:t xml:space="preserve">ed with the discovery, acquisition or in-license of additional product candidates or technologies; </w:t>
      </w:r>
    </w:p>
    <w:p w:rsidR="00000000" w:rsidRDefault="00C668B1">
      <w:pPr>
        <w:ind w:hanging="360"/>
        <w:divId w:val="731345054"/>
        <w:rPr>
          <w:rFonts w:eastAsia="Times New Roman"/>
        </w:rPr>
      </w:pPr>
      <w:r>
        <w:rPr>
          <w:rFonts w:eastAsia="Times New Roman"/>
          <w:color w:val="000000"/>
        </w:rPr>
        <w:t>•</w:t>
      </w:r>
      <w:r>
        <w:rPr>
          <w:rFonts w:eastAsia="Times New Roman"/>
          <w:color w:val="000000"/>
          <w:sz w:val="20"/>
          <w:szCs w:val="20"/>
        </w:rPr>
        <w:t xml:space="preserve">expenses needed to attract and retain skilled personnel; </w:t>
      </w:r>
    </w:p>
    <w:p w:rsidR="00000000" w:rsidRDefault="00C668B1">
      <w:pPr>
        <w:ind w:hanging="360"/>
        <w:divId w:val="266013162"/>
        <w:rPr>
          <w:rFonts w:eastAsia="Times New Roman"/>
        </w:rPr>
      </w:pPr>
      <w:r>
        <w:rPr>
          <w:rFonts w:eastAsia="Times New Roman"/>
          <w:color w:val="000000"/>
        </w:rPr>
        <w:t>•</w:t>
      </w:r>
      <w:r>
        <w:rPr>
          <w:rFonts w:eastAsia="Times New Roman"/>
          <w:color w:val="000000"/>
          <w:sz w:val="20"/>
          <w:szCs w:val="20"/>
        </w:rPr>
        <w:t xml:space="preserve">costs associated with being a public company; </w:t>
      </w:r>
    </w:p>
    <w:p w:rsidR="00000000" w:rsidRDefault="00C668B1">
      <w:pPr>
        <w:ind w:hanging="360"/>
        <w:divId w:val="1443651794"/>
        <w:rPr>
          <w:rFonts w:eastAsia="Times New Roman"/>
        </w:rPr>
      </w:pPr>
      <w:r>
        <w:rPr>
          <w:rFonts w:eastAsia="Times New Roman"/>
          <w:color w:val="000000"/>
        </w:rPr>
        <w:t>•</w:t>
      </w:r>
      <w:r>
        <w:rPr>
          <w:rFonts w:eastAsia="Times New Roman"/>
          <w:color w:val="000000"/>
          <w:sz w:val="20"/>
          <w:szCs w:val="20"/>
        </w:rPr>
        <w:t>the costs required to scale up our clinical, reg</w:t>
      </w:r>
      <w:r>
        <w:rPr>
          <w:rFonts w:eastAsia="Times New Roman"/>
          <w:color w:val="000000"/>
          <w:sz w:val="20"/>
          <w:szCs w:val="20"/>
        </w:rPr>
        <w:t xml:space="preserve">ulatory and manufacturing capabilities; </w:t>
      </w:r>
    </w:p>
    <w:p w:rsidR="00000000" w:rsidRDefault="00C668B1">
      <w:pPr>
        <w:ind w:hanging="360"/>
        <w:divId w:val="1981693429"/>
        <w:rPr>
          <w:rFonts w:eastAsia="Times New Roman"/>
        </w:rPr>
      </w:pPr>
      <w:r>
        <w:rPr>
          <w:rFonts w:eastAsia="Times New Roman"/>
          <w:color w:val="000000"/>
        </w:rPr>
        <w:t>•</w:t>
      </w:r>
      <w:r>
        <w:rPr>
          <w:rFonts w:eastAsia="Times New Roman"/>
          <w:color w:val="000000"/>
          <w:sz w:val="20"/>
          <w:szCs w:val="20"/>
        </w:rPr>
        <w:t>the costs of future commercialization activities, if any, including establishing sales, marketing, manufacturing and distribution capabilities, for any of our product candidates for which we receive regulatory appr</w:t>
      </w:r>
      <w:r>
        <w:rPr>
          <w:rFonts w:eastAsia="Times New Roman"/>
          <w:color w:val="000000"/>
          <w:sz w:val="20"/>
          <w:szCs w:val="20"/>
        </w:rPr>
        <w:t xml:space="preserve">oval; and </w:t>
      </w:r>
    </w:p>
    <w:p w:rsidR="00000000" w:rsidRDefault="00C668B1">
      <w:pPr>
        <w:ind w:hanging="360"/>
        <w:divId w:val="2003655462"/>
        <w:rPr>
          <w:rFonts w:eastAsia="Times New Roman"/>
        </w:rPr>
      </w:pPr>
      <w:r>
        <w:rPr>
          <w:rFonts w:eastAsia="Times New Roman"/>
          <w:color w:val="000000"/>
        </w:rPr>
        <w:t>•</w:t>
      </w:r>
      <w:r>
        <w:rPr>
          <w:rFonts w:eastAsia="Times New Roman"/>
          <w:color w:val="000000"/>
          <w:sz w:val="20"/>
          <w:szCs w:val="20"/>
        </w:rPr>
        <w:t xml:space="preserve">revenue, if any, received from commercial sales of our product candidates, should any of our product candidates receive regulatory approval. </w:t>
      </w:r>
    </w:p>
    <w:p w:rsidR="00000000" w:rsidRDefault="00C668B1">
      <w:pPr>
        <w:divId w:val="1653945009"/>
        <w:rPr>
          <w:rFonts w:eastAsia="Times New Roman"/>
        </w:rPr>
      </w:pPr>
      <w:r>
        <w:rPr>
          <w:rFonts w:eastAsia="Times New Roman"/>
          <w:color w:val="000000"/>
          <w:sz w:val="2"/>
          <w:szCs w:val="2"/>
        </w:rPr>
        <w:t> </w:t>
      </w:r>
    </w:p>
    <w:p w:rsidR="00000000" w:rsidRDefault="00C668B1">
      <w:pPr>
        <w:ind w:firstLine="490"/>
        <w:divId w:val="994721776"/>
        <w:rPr>
          <w:rFonts w:eastAsia="Times New Roman"/>
        </w:rPr>
      </w:pPr>
      <w:r>
        <w:rPr>
          <w:rFonts w:eastAsia="Times New Roman"/>
          <w:color w:val="000000"/>
          <w:sz w:val="20"/>
          <w:szCs w:val="20"/>
        </w:rPr>
        <w:t>We will need additional funds to meet our operational needs and capital requirements for clinical tr</w:t>
      </w:r>
      <w:r>
        <w:rPr>
          <w:rFonts w:eastAsia="Times New Roman"/>
          <w:color w:val="000000"/>
          <w:sz w:val="20"/>
          <w:szCs w:val="20"/>
        </w:rPr>
        <w:t xml:space="preserve">ials, other research and development expenditures, and general and administrative expenses. We currently have no credit facility or committed sources of capital. </w:t>
      </w:r>
    </w:p>
    <w:p w:rsidR="00000000" w:rsidRDefault="00C668B1">
      <w:pPr>
        <w:ind w:firstLine="490"/>
        <w:divId w:val="2134666809"/>
        <w:rPr>
          <w:rFonts w:eastAsia="Times New Roman"/>
        </w:rPr>
      </w:pPr>
      <w:r>
        <w:rPr>
          <w:rFonts w:eastAsia="Times New Roman"/>
          <w:color w:val="000000"/>
          <w:sz w:val="20"/>
          <w:szCs w:val="20"/>
        </w:rPr>
        <w:t>Until such time, if ever, as we can generate substantial product revenue, we expect to financ</w:t>
      </w:r>
      <w:r>
        <w:rPr>
          <w:rFonts w:eastAsia="Times New Roman"/>
          <w:color w:val="000000"/>
          <w:sz w:val="20"/>
          <w:szCs w:val="20"/>
        </w:rPr>
        <w:t>e our operations through a combination of equity offerings, debt financings, collaborations, strategic alliances and/or marketing, distribution or licensing arrangements. To the extent that we raise additional capital through the sale of equity or converti</w:t>
      </w:r>
      <w:r>
        <w:rPr>
          <w:rFonts w:eastAsia="Times New Roman"/>
          <w:color w:val="000000"/>
          <w:sz w:val="20"/>
          <w:szCs w:val="20"/>
        </w:rPr>
        <w:t>ble debt securities, the ownership interests of our stockholders will be diluted, and the terms of these securities may include liquidation or other preferences that adversely affect the rights of our common stockholders. Debt financing and preferred equit</w:t>
      </w:r>
      <w:r>
        <w:rPr>
          <w:rFonts w:eastAsia="Times New Roman"/>
          <w:color w:val="000000"/>
          <w:sz w:val="20"/>
          <w:szCs w:val="20"/>
        </w:rPr>
        <w:t>y financing, if available, may involve agreements that include covenants limiting or restricting our ability to take specific actions, such as incurring additional debt, making acquisitions or capital expenditures or declaring dividends. If we raise additi</w:t>
      </w:r>
      <w:r>
        <w:rPr>
          <w:rFonts w:eastAsia="Times New Roman"/>
          <w:color w:val="000000"/>
          <w:sz w:val="20"/>
          <w:szCs w:val="20"/>
        </w:rPr>
        <w:t xml:space="preserve">onal funds through collaborations, strategic alliances or marketing, distribution or licensing arrangements with third parties, we may have to relinquish valuable rights to our technologies, future revenue streams, research programs or product candidates, </w:t>
      </w:r>
      <w:r>
        <w:rPr>
          <w:rFonts w:eastAsia="Times New Roman"/>
          <w:color w:val="000000"/>
          <w:sz w:val="20"/>
          <w:szCs w:val="20"/>
        </w:rPr>
        <w:t>or grant licenses on terms that may not be favorable to us. If we are unable to raise additional funds through equity or debt financings or other arrangements when needed, we may be required to delay, limit, reduce or terminate our research, product develo</w:t>
      </w:r>
      <w:r>
        <w:rPr>
          <w:rFonts w:eastAsia="Times New Roman"/>
          <w:color w:val="000000"/>
          <w:sz w:val="20"/>
          <w:szCs w:val="20"/>
        </w:rPr>
        <w:t xml:space="preserve">pment or future commercialization efforts, or grant rights to develop and market product candidates that we would otherwise prefer to develop and market ourselves. </w:t>
      </w:r>
    </w:p>
    <w:p w:rsidR="00000000" w:rsidRDefault="00C668B1">
      <w:pPr>
        <w:jc w:val="center"/>
        <w:divId w:val="481459638"/>
        <w:rPr>
          <w:rFonts w:eastAsia="Times New Roman"/>
        </w:rPr>
      </w:pPr>
      <w:r>
        <w:rPr>
          <w:rFonts w:eastAsia="Times New Roman"/>
          <w:color w:val="000000"/>
        </w:rPr>
        <w:t>28</w:t>
      </w:r>
    </w:p>
    <w:p w:rsidR="00000000" w:rsidRDefault="00C668B1">
      <w:pPr>
        <w:rPr>
          <w:rFonts w:eastAsia="Times New Roman"/>
        </w:rPr>
      </w:pPr>
      <w:r>
        <w:rPr>
          <w:rFonts w:eastAsia="Times New Roman"/>
        </w:rPr>
        <w:pict>
          <v:rect id="_x0000_i1052" style="width:0;height:1.5pt" o:hralign="center" o:hrstd="t" o:hr="t" fillcolor="#a0a0a0" stroked="f"/>
        </w:pict>
      </w:r>
    </w:p>
    <w:p w:rsidR="00000000" w:rsidRDefault="00C668B1">
      <w:pPr>
        <w:divId w:val="708338398"/>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776681026"/>
        <w:rPr>
          <w:rFonts w:eastAsia="Times New Roman"/>
        </w:rPr>
      </w:pPr>
      <w:r>
        <w:rPr>
          <w:rFonts w:eastAsia="Times New Roman"/>
          <w:b/>
          <w:bCs/>
          <w:i/>
          <w:iCs/>
          <w:color w:val="000000"/>
          <w:sz w:val="20"/>
          <w:szCs w:val="20"/>
        </w:rPr>
        <w:t xml:space="preserve">Cash Flows </w:t>
      </w:r>
    </w:p>
    <w:p w:rsidR="00000000" w:rsidRDefault="00C668B1">
      <w:pPr>
        <w:ind w:firstLine="490"/>
        <w:divId w:val="229466707"/>
        <w:rPr>
          <w:rFonts w:eastAsia="Times New Roman"/>
        </w:rPr>
      </w:pPr>
      <w:r>
        <w:rPr>
          <w:rFonts w:eastAsia="Times New Roman"/>
          <w:color w:val="000000"/>
          <w:sz w:val="20"/>
          <w:szCs w:val="20"/>
        </w:rPr>
        <w:t xml:space="preserve">The following table shows a summary of our cash flows for the periods indicated: </w:t>
      </w:r>
    </w:p>
    <w:p w:rsidR="00000000" w:rsidRDefault="00C668B1">
      <w:pPr>
        <w:divId w:val="878707222"/>
        <w:rPr>
          <w:rFonts w:eastAsia="Times New Roman"/>
        </w:rPr>
      </w:pPr>
    </w:p>
    <w:p w:rsidR="00000000" w:rsidRDefault="00C668B1">
      <w:pPr>
        <w:divId w:val="485434637"/>
        <w:rPr>
          <w:rFonts w:eastAsia="Times New Roman"/>
        </w:rPr>
      </w:pPr>
      <w:r>
        <w:rPr>
          <w:rFonts w:eastAsia="Times New Roman"/>
          <w:color w:val="000000"/>
        </w:rPr>
        <w:t> </w:t>
      </w:r>
    </w:p>
    <w:tbl>
      <w:tblPr>
        <w:tblW w:w="4305" w:type="pct"/>
        <w:tblCellMar>
          <w:top w:w="15" w:type="dxa"/>
          <w:left w:w="15" w:type="dxa"/>
          <w:bottom w:w="15" w:type="dxa"/>
          <w:right w:w="15" w:type="dxa"/>
        </w:tblCellMar>
        <w:tblLook w:val="04A0" w:firstRow="1" w:lastRow="0" w:firstColumn="1" w:lastColumn="0" w:noHBand="0" w:noVBand="1"/>
      </w:tblPr>
      <w:tblGrid>
        <w:gridCol w:w="38"/>
        <w:gridCol w:w="4688"/>
        <w:gridCol w:w="37"/>
        <w:gridCol w:w="110"/>
        <w:gridCol w:w="994"/>
        <w:gridCol w:w="36"/>
        <w:gridCol w:w="36"/>
        <w:gridCol w:w="36"/>
        <w:gridCol w:w="36"/>
        <w:gridCol w:w="110"/>
        <w:gridCol w:w="994"/>
        <w:gridCol w:w="36"/>
      </w:tblGrid>
      <w:tr w:rsidR="00000000">
        <w:trPr>
          <w:divId w:val="485434637"/>
        </w:trPr>
        <w:tc>
          <w:tcPr>
            <w:tcW w:w="50" w:type="pct"/>
            <w:vAlign w:val="center"/>
            <w:hideMark/>
          </w:tcPr>
          <w:p w:rsidR="00000000" w:rsidRDefault="00C668B1">
            <w:pPr>
              <w:rPr>
                <w:rFonts w:eastAsia="Times New Roman"/>
              </w:rPr>
            </w:pPr>
          </w:p>
        </w:tc>
        <w:tc>
          <w:tcPr>
            <w:tcW w:w="3332"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3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2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73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485434637"/>
        </w:trPr>
        <w:tc>
          <w:tcPr>
            <w:tcW w:w="0" w:type="auto"/>
            <w:gridSpan w:val="3"/>
            <w:tcMar>
              <w:top w:w="0" w:type="dxa"/>
              <w:left w:w="20" w:type="dxa"/>
              <w:bottom w:w="0" w:type="dxa"/>
              <w:right w:w="20" w:type="dxa"/>
            </w:tcMar>
            <w:vAlign w:val="center"/>
            <w:hideMark/>
          </w:tcPr>
          <w:p w:rsidR="00000000" w:rsidRDefault="00C668B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Nine months ended September 30,</w:t>
            </w:r>
          </w:p>
        </w:tc>
      </w:tr>
      <w:tr w:rsidR="00000000">
        <w:trPr>
          <w:divId w:val="485434637"/>
        </w:trPr>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C668B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2021</w:t>
            </w:r>
          </w:p>
        </w:tc>
      </w:tr>
      <w:tr w:rsidR="00000000">
        <w:trPr>
          <w:divId w:val="485434637"/>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8"/>
                <w:szCs w:val="18"/>
              </w:rPr>
              <w:t>Cash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(9,619,561)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(3,837,803)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485434637"/>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8"/>
                <w:szCs w:val="18"/>
              </w:rPr>
              <w:t>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(536,836)</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(250,000)</w:t>
            </w:r>
          </w:p>
        </w:tc>
        <w:tc>
          <w:tcPr>
            <w:tcW w:w="0" w:type="auto"/>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485434637"/>
        </w:trPr>
        <w:tc>
          <w:tcPr>
            <w:tcW w:w="0" w:type="auto"/>
            <w:gridSpan w:val="3"/>
            <w:shd w:val="clear" w:color="auto" w:fill="CCEE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8"/>
                <w:szCs w:val="18"/>
              </w:rPr>
              <w:t>Cash (used in)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(102,071)</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4,165,918 </w:t>
            </w:r>
          </w:p>
        </w:tc>
        <w:tc>
          <w:tcPr>
            <w:tcW w:w="0" w:type="auto"/>
            <w:shd w:val="clear" w:color="auto" w:fill="CCEEFF"/>
            <w:tcMar>
              <w:top w:w="30" w:type="dxa"/>
              <w:left w:w="0" w:type="dxa"/>
              <w:bottom w:w="30" w:type="dxa"/>
              <w:right w:w="20" w:type="dxa"/>
            </w:tcMar>
            <w:vAlign w:val="bottom"/>
            <w:hideMark/>
          </w:tcPr>
          <w:p w:rsidR="00000000" w:rsidRDefault="00C668B1">
            <w:pPr>
              <w:spacing w:after="100"/>
              <w:jc w:val="right"/>
              <w:rPr>
                <w:rFonts w:eastAsia="Times New Roman"/>
              </w:rPr>
            </w:pPr>
          </w:p>
        </w:tc>
      </w:tr>
      <w:tr w:rsidR="00000000">
        <w:trPr>
          <w:divId w:val="485434637"/>
        </w:trPr>
        <w:tc>
          <w:tcPr>
            <w:tcW w:w="0" w:type="auto"/>
            <w:gridSpan w:val="3"/>
            <w:shd w:val="clear" w:color="auto" w:fill="FFFFFF"/>
            <w:tcMar>
              <w:top w:w="30" w:type="dxa"/>
              <w:left w:w="200" w:type="dxa"/>
              <w:bottom w:w="30" w:type="dxa"/>
              <w:right w:w="20" w:type="dxa"/>
            </w:tcMar>
            <w:hideMark/>
          </w:tcPr>
          <w:p w:rsidR="00000000" w:rsidRDefault="00C668B1">
            <w:pPr>
              <w:spacing w:after="100"/>
              <w:ind w:hanging="180"/>
              <w:rPr>
                <w:rFonts w:eastAsia="Times New Roman"/>
              </w:rPr>
            </w:pPr>
            <w:r>
              <w:rPr>
                <w:rFonts w:eastAsia="Times New Roman"/>
                <w:color w:val="000000"/>
                <w:sz w:val="18"/>
                <w:szCs w:val="18"/>
              </w:rPr>
              <w:t>Net (decrease) increase in 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(10,258,468)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C668B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C668B1">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C668B1">
            <w:pPr>
              <w:spacing w:after="100"/>
              <w:jc w:val="right"/>
              <w:rPr>
                <w:rFonts w:eastAsia="Times New Roman"/>
              </w:rPr>
            </w:pPr>
            <w:r>
              <w:rPr>
                <w:rFonts w:eastAsia="Times New Roman"/>
                <w:color w:val="000000"/>
                <w:sz w:val="18"/>
                <w:szCs w:val="18"/>
              </w:rPr>
              <w:t>78,115 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C668B1">
            <w:pPr>
              <w:spacing w:after="100"/>
              <w:jc w:val="right"/>
              <w:rPr>
                <w:rFonts w:eastAsia="Times New Roman"/>
              </w:rPr>
            </w:pPr>
          </w:p>
        </w:tc>
      </w:tr>
    </w:tbl>
    <w:p w:rsidR="00000000" w:rsidRDefault="00C668B1">
      <w:pPr>
        <w:divId w:val="1850951434"/>
        <w:rPr>
          <w:rFonts w:eastAsia="Times New Roman"/>
        </w:rPr>
      </w:pPr>
      <w:r>
        <w:rPr>
          <w:rFonts w:eastAsia="Times New Roman"/>
          <w:b/>
          <w:bCs/>
          <w:i/>
          <w:iCs/>
          <w:color w:val="000000"/>
          <w:sz w:val="20"/>
          <w:szCs w:val="20"/>
        </w:rPr>
        <w:t>Comparison of the Nine Months Ended September 30, 2022 and 2021</w:t>
      </w:r>
    </w:p>
    <w:p w:rsidR="00000000" w:rsidRDefault="00C668B1">
      <w:pPr>
        <w:divId w:val="2035496279"/>
        <w:rPr>
          <w:rFonts w:eastAsia="Times New Roman"/>
        </w:rPr>
      </w:pPr>
      <w:r>
        <w:rPr>
          <w:rFonts w:eastAsia="Times New Roman"/>
          <w:i/>
          <w:iCs/>
          <w:color w:val="000000"/>
          <w:sz w:val="20"/>
          <w:szCs w:val="20"/>
        </w:rPr>
        <w:t xml:space="preserve">Operating Activities </w:t>
      </w:r>
    </w:p>
    <w:p w:rsidR="00000000" w:rsidRDefault="00C668B1">
      <w:pPr>
        <w:ind w:firstLine="490"/>
        <w:divId w:val="1330790224"/>
        <w:rPr>
          <w:rFonts w:eastAsia="Times New Roman"/>
        </w:rPr>
      </w:pPr>
      <w:r>
        <w:rPr>
          <w:rFonts w:eastAsia="Times New Roman"/>
          <w:color w:val="000000"/>
          <w:sz w:val="20"/>
          <w:szCs w:val="20"/>
        </w:rPr>
        <w:t>During the nine months ended September 30, 2022, we used $9.6 million of cash in operating activities. Cash used in operating activities reflected our net loss of $11.3 million partially offset by in-process research and development charges of $0.5 million</w:t>
      </w:r>
      <w:r>
        <w:rPr>
          <w:rFonts w:eastAsia="Times New Roman"/>
          <w:color w:val="000000"/>
          <w:sz w:val="20"/>
          <w:szCs w:val="20"/>
        </w:rPr>
        <w:t xml:space="preserve">, non-cash share-based compensation of $0.7 million, and a change in our operating assets and liabilities of $0.4 million. The primary uses of cash were to fund our operations related to the development of our product candidates. </w:t>
      </w:r>
    </w:p>
    <w:p w:rsidR="00000000" w:rsidRDefault="00C668B1">
      <w:pPr>
        <w:ind w:firstLine="490"/>
        <w:divId w:val="2115712647"/>
        <w:rPr>
          <w:rFonts w:eastAsia="Times New Roman"/>
        </w:rPr>
      </w:pPr>
      <w:r>
        <w:rPr>
          <w:rFonts w:eastAsia="Times New Roman"/>
          <w:color w:val="000000"/>
          <w:sz w:val="20"/>
          <w:szCs w:val="20"/>
        </w:rPr>
        <w:t>During the nine months en</w:t>
      </w:r>
      <w:r>
        <w:rPr>
          <w:rFonts w:eastAsia="Times New Roman"/>
          <w:color w:val="000000"/>
          <w:sz w:val="20"/>
          <w:szCs w:val="20"/>
        </w:rPr>
        <w:t>ded September 30, 2021, we used $3.8 million of cash in operating activities. Cash used in operating activities reflected our net loss of $7.4 million, a gain of $0.1 million from the extinguishment of debt and an increase in our operating assets and liabi</w:t>
      </w:r>
      <w:r>
        <w:rPr>
          <w:rFonts w:eastAsia="Times New Roman"/>
          <w:color w:val="000000"/>
          <w:sz w:val="20"/>
          <w:szCs w:val="20"/>
        </w:rPr>
        <w:t>lities of $0.2 million. This was offset by non-cash in-process research and development charges of $3.1 million, the non-cash fair value measurement of warrants for services of $0.4 million and non-cash interest expense and share-based compensation of $0.4</w:t>
      </w:r>
      <w:r>
        <w:rPr>
          <w:rFonts w:eastAsia="Times New Roman"/>
          <w:color w:val="000000"/>
          <w:sz w:val="20"/>
          <w:szCs w:val="20"/>
        </w:rPr>
        <w:t xml:space="preserve"> million. The primary uses of cash were to fund our operations related to the development of our product candidates.</w:t>
      </w:r>
    </w:p>
    <w:p w:rsidR="00000000" w:rsidRDefault="00C668B1">
      <w:pPr>
        <w:divId w:val="1906528467"/>
        <w:rPr>
          <w:rFonts w:eastAsia="Times New Roman"/>
        </w:rPr>
      </w:pPr>
    </w:p>
    <w:p w:rsidR="00000000" w:rsidRDefault="00C668B1">
      <w:pPr>
        <w:divId w:val="1290746719"/>
        <w:rPr>
          <w:rFonts w:eastAsia="Times New Roman"/>
        </w:rPr>
      </w:pPr>
      <w:r>
        <w:rPr>
          <w:rFonts w:eastAsia="Times New Roman"/>
          <w:i/>
          <w:iCs/>
          <w:color w:val="000000"/>
          <w:sz w:val="20"/>
          <w:szCs w:val="20"/>
        </w:rPr>
        <w:t xml:space="preserve">Investing Activities </w:t>
      </w:r>
    </w:p>
    <w:p w:rsidR="00000000" w:rsidRDefault="00C668B1">
      <w:pPr>
        <w:divId w:val="1118135985"/>
        <w:rPr>
          <w:rFonts w:eastAsia="Times New Roman"/>
        </w:rPr>
      </w:pPr>
    </w:p>
    <w:p w:rsidR="00000000" w:rsidRDefault="00C668B1">
      <w:pPr>
        <w:ind w:firstLine="490"/>
        <w:divId w:val="1096822922"/>
        <w:rPr>
          <w:rFonts w:eastAsia="Times New Roman"/>
        </w:rPr>
      </w:pPr>
      <w:r>
        <w:rPr>
          <w:rFonts w:eastAsia="Times New Roman"/>
          <w:color w:val="000000"/>
          <w:sz w:val="20"/>
          <w:szCs w:val="20"/>
        </w:rPr>
        <w:t xml:space="preserve">During the nine months ended September 30, 2022, cash used in investing activities was primarily attributable to </w:t>
      </w:r>
      <w:r>
        <w:rPr>
          <w:rFonts w:eastAsia="Times New Roman"/>
          <w:color w:val="000000"/>
          <w:sz w:val="20"/>
          <w:szCs w:val="20"/>
        </w:rPr>
        <w:t>the payment of a development milestone of $0.5 million under the collaboration and licensing agreement with Integral for the development of CLDN6 BsAb for gynecologic cancer therapy. In addition, we used $37,000 of cash to purchase property and equipment.</w:t>
      </w:r>
    </w:p>
    <w:p w:rsidR="00000000" w:rsidRDefault="00C668B1">
      <w:pPr>
        <w:ind w:firstLine="490"/>
        <w:divId w:val="572010027"/>
        <w:rPr>
          <w:rFonts w:eastAsia="Times New Roman"/>
        </w:rPr>
      </w:pPr>
      <w:r>
        <w:rPr>
          <w:rFonts w:eastAsia="Times New Roman"/>
          <w:color w:val="000000"/>
          <w:sz w:val="20"/>
          <w:szCs w:val="20"/>
        </w:rPr>
        <w:t>During the nine months ended September 30, 2021, cash used in investing activities was attributable to the initial upfront license fee of $0.3 million related to our acquired in-process research and development.</w:t>
      </w:r>
    </w:p>
    <w:p w:rsidR="00000000" w:rsidRDefault="00C668B1">
      <w:pPr>
        <w:divId w:val="966424274"/>
        <w:rPr>
          <w:rFonts w:eastAsia="Times New Roman"/>
        </w:rPr>
      </w:pPr>
    </w:p>
    <w:p w:rsidR="00000000" w:rsidRDefault="00C668B1">
      <w:pPr>
        <w:divId w:val="93212844"/>
        <w:rPr>
          <w:rFonts w:eastAsia="Times New Roman"/>
        </w:rPr>
      </w:pPr>
      <w:r>
        <w:rPr>
          <w:rFonts w:eastAsia="Times New Roman"/>
          <w:i/>
          <w:iCs/>
          <w:color w:val="000000"/>
          <w:sz w:val="20"/>
          <w:szCs w:val="20"/>
        </w:rPr>
        <w:t xml:space="preserve">Financing Activities </w:t>
      </w:r>
    </w:p>
    <w:p w:rsidR="00000000" w:rsidRDefault="00C668B1">
      <w:pPr>
        <w:ind w:firstLine="490"/>
        <w:divId w:val="1924757316"/>
        <w:rPr>
          <w:rFonts w:eastAsia="Times New Roman"/>
        </w:rPr>
      </w:pPr>
      <w:r>
        <w:rPr>
          <w:rFonts w:eastAsia="Times New Roman"/>
          <w:color w:val="000000"/>
          <w:sz w:val="20"/>
          <w:szCs w:val="20"/>
        </w:rPr>
        <w:t>During the nine mont</w:t>
      </w:r>
      <w:r>
        <w:rPr>
          <w:rFonts w:eastAsia="Times New Roman"/>
          <w:color w:val="000000"/>
          <w:sz w:val="20"/>
          <w:szCs w:val="20"/>
        </w:rPr>
        <w:t>hs ended September 30, 2022, cash used in financing activities was $0.1 million, consisting of the payment of offering costs related to our December 2021 private placement.</w:t>
      </w:r>
    </w:p>
    <w:p w:rsidR="00000000" w:rsidRDefault="00C668B1">
      <w:pPr>
        <w:ind w:firstLine="490"/>
        <w:divId w:val="255141851"/>
        <w:rPr>
          <w:rFonts w:eastAsia="Times New Roman"/>
        </w:rPr>
      </w:pPr>
      <w:r>
        <w:rPr>
          <w:rFonts w:eastAsia="Times New Roman"/>
          <w:color w:val="000000"/>
          <w:sz w:val="20"/>
          <w:szCs w:val="20"/>
        </w:rPr>
        <w:t>During the nine months ended September 30, 2021, financing activities provided $4.2</w:t>
      </w:r>
      <w:r>
        <w:rPr>
          <w:rFonts w:eastAsia="Times New Roman"/>
          <w:color w:val="000000"/>
          <w:sz w:val="20"/>
          <w:szCs w:val="20"/>
        </w:rPr>
        <w:t xml:space="preserve"> million, primarily consisting of net proceeds of $5.0 million from the sale of Series A preferred stock and warrants for common stock, partially offset by the payment of $0.8 million of offering costs related to our IPO.</w:t>
      </w:r>
    </w:p>
    <w:p w:rsidR="00000000" w:rsidRDefault="00C668B1">
      <w:pPr>
        <w:divId w:val="547225956"/>
        <w:rPr>
          <w:rFonts w:eastAsia="Times New Roman"/>
        </w:rPr>
      </w:pPr>
      <w:r>
        <w:rPr>
          <w:rFonts w:eastAsia="Times New Roman"/>
          <w:b/>
          <w:bCs/>
          <w:color w:val="000000"/>
          <w:sz w:val="20"/>
          <w:szCs w:val="20"/>
        </w:rPr>
        <w:t xml:space="preserve">Off-Balance Sheet Arrangements </w:t>
      </w:r>
    </w:p>
    <w:p w:rsidR="00000000" w:rsidRDefault="00C668B1">
      <w:pPr>
        <w:ind w:firstLine="490"/>
        <w:divId w:val="1933539008"/>
        <w:rPr>
          <w:rFonts w:eastAsia="Times New Roman"/>
        </w:rPr>
      </w:pPr>
      <w:r>
        <w:rPr>
          <w:rFonts w:eastAsia="Times New Roman"/>
          <w:color w:val="000000"/>
          <w:sz w:val="20"/>
          <w:szCs w:val="20"/>
        </w:rPr>
        <w:t>Du</w:t>
      </w:r>
      <w:r>
        <w:rPr>
          <w:rFonts w:eastAsia="Times New Roman"/>
          <w:color w:val="000000"/>
          <w:sz w:val="20"/>
          <w:szCs w:val="20"/>
        </w:rPr>
        <w:t>ring the periods presented, we did not have, nor do we currently have, any relationships with unconsolidated entities or financial partnerships, including entities sometimes referred to as structured finance or special purpose entities that were establishe</w:t>
      </w:r>
      <w:r>
        <w:rPr>
          <w:rFonts w:eastAsia="Times New Roman"/>
          <w:color w:val="000000"/>
          <w:sz w:val="20"/>
          <w:szCs w:val="20"/>
        </w:rPr>
        <w:t>d for the purpose of facilitating off-balance sheet arrangements or other contractually narrow or limited purposes. We do not engage in off-balance sheet financing arrangements. In addition, we do not engage in trading activities involving non-exchange tra</w:t>
      </w:r>
      <w:r>
        <w:rPr>
          <w:rFonts w:eastAsia="Times New Roman"/>
          <w:color w:val="000000"/>
          <w:sz w:val="20"/>
          <w:szCs w:val="20"/>
        </w:rPr>
        <w:t xml:space="preserve">ded contracts. We therefore believe that we are not materially exposed to any financing, liquidity, market or credit risk that could arise if we had engaged in these relationships. </w:t>
      </w:r>
    </w:p>
    <w:p w:rsidR="00000000" w:rsidRDefault="00C668B1">
      <w:pPr>
        <w:divId w:val="1642542441"/>
        <w:rPr>
          <w:rFonts w:eastAsia="Times New Roman"/>
        </w:rPr>
      </w:pPr>
    </w:p>
    <w:p w:rsidR="00000000" w:rsidRDefault="00C668B1">
      <w:pPr>
        <w:jc w:val="center"/>
        <w:divId w:val="222523448"/>
        <w:rPr>
          <w:rFonts w:eastAsia="Times New Roman"/>
        </w:rPr>
      </w:pPr>
      <w:r>
        <w:rPr>
          <w:rFonts w:eastAsia="Times New Roman"/>
          <w:color w:val="000000"/>
        </w:rPr>
        <w:t>29</w:t>
      </w:r>
    </w:p>
    <w:p w:rsidR="00000000" w:rsidRDefault="00C668B1">
      <w:pPr>
        <w:rPr>
          <w:rFonts w:eastAsia="Times New Roman"/>
        </w:rPr>
      </w:pPr>
      <w:r>
        <w:rPr>
          <w:rFonts w:eastAsia="Times New Roman"/>
        </w:rPr>
        <w:pict>
          <v:rect id="_x0000_i1053" style="width:0;height:1.5pt" o:hralign="center" o:hrstd="t" o:hr="t" fillcolor="#a0a0a0" stroked="f"/>
        </w:pict>
      </w:r>
    </w:p>
    <w:p w:rsidR="00000000" w:rsidRDefault="00C668B1">
      <w:pPr>
        <w:divId w:val="600187515"/>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692849231"/>
        <w:rPr>
          <w:rFonts w:eastAsia="Times New Roman"/>
        </w:rPr>
      </w:pPr>
      <w:r>
        <w:rPr>
          <w:rFonts w:eastAsia="Times New Roman"/>
          <w:b/>
          <w:bCs/>
          <w:color w:val="000000"/>
          <w:sz w:val="20"/>
          <w:szCs w:val="20"/>
        </w:rPr>
        <w:t xml:space="preserve">Critical Accounting Policies </w:t>
      </w:r>
    </w:p>
    <w:p w:rsidR="00000000" w:rsidRDefault="00C668B1">
      <w:pPr>
        <w:divId w:val="168176141"/>
        <w:rPr>
          <w:rFonts w:eastAsia="Times New Roman"/>
        </w:rPr>
      </w:pPr>
    </w:p>
    <w:p w:rsidR="00000000" w:rsidRDefault="00C668B1">
      <w:pPr>
        <w:ind w:firstLine="450"/>
        <w:divId w:val="1521315831"/>
        <w:rPr>
          <w:rFonts w:eastAsia="Times New Roman"/>
        </w:rPr>
      </w:pPr>
      <w:r>
        <w:rPr>
          <w:rFonts w:eastAsia="Times New Roman"/>
          <w:color w:val="000000"/>
          <w:sz w:val="20"/>
          <w:szCs w:val="20"/>
        </w:rPr>
        <w:t>During the three and nine months ended September 30, 2022, there were no material changes to our critical accounting policies and estimates from those described in our Annual Repor</w:t>
      </w:r>
      <w:r>
        <w:rPr>
          <w:rFonts w:eastAsia="Times New Roman"/>
          <w:color w:val="000000"/>
          <w:sz w:val="20"/>
          <w:szCs w:val="20"/>
        </w:rPr>
        <w:t>t on Form 10-K for the year ended December 31, 2021, as filed with the SEC on March 23, 2022.</w:t>
      </w:r>
    </w:p>
    <w:p w:rsidR="00000000" w:rsidRDefault="00C668B1">
      <w:pPr>
        <w:divId w:val="1862166720"/>
        <w:rPr>
          <w:rFonts w:eastAsia="Times New Roman"/>
        </w:rPr>
      </w:pPr>
      <w:r>
        <w:rPr>
          <w:rFonts w:eastAsia="Times New Roman"/>
          <w:b/>
          <w:bCs/>
          <w:color w:val="000000"/>
          <w:sz w:val="20"/>
          <w:szCs w:val="20"/>
        </w:rPr>
        <w:t xml:space="preserve">Recent Accounting Pronouncements </w:t>
      </w:r>
    </w:p>
    <w:p w:rsidR="00000000" w:rsidRDefault="00C668B1">
      <w:pPr>
        <w:ind w:firstLine="490"/>
        <w:divId w:val="1012879358"/>
        <w:rPr>
          <w:rFonts w:eastAsia="Times New Roman"/>
        </w:rPr>
      </w:pPr>
      <w:r>
        <w:rPr>
          <w:rFonts w:eastAsia="Times New Roman"/>
          <w:color w:val="000000"/>
          <w:sz w:val="20"/>
          <w:szCs w:val="20"/>
        </w:rPr>
        <w:t>See Note 3 to our unaudited condensed consolidated financial statements found elsewhere in this Quarterly Report for a descripti</w:t>
      </w:r>
      <w:r>
        <w:rPr>
          <w:rFonts w:eastAsia="Times New Roman"/>
          <w:color w:val="000000"/>
          <w:sz w:val="20"/>
          <w:szCs w:val="20"/>
        </w:rPr>
        <w:t xml:space="preserve">on of recent accounting pronouncements applicable to our condensed consolidated financial statements. </w:t>
      </w:r>
    </w:p>
    <w:p w:rsidR="00000000" w:rsidRDefault="00C668B1">
      <w:pPr>
        <w:divId w:val="1664431378"/>
        <w:rPr>
          <w:rFonts w:eastAsia="Times New Roman"/>
        </w:rPr>
      </w:pPr>
      <w:r>
        <w:rPr>
          <w:rFonts w:eastAsia="Times New Roman"/>
          <w:b/>
          <w:bCs/>
          <w:color w:val="000000"/>
          <w:sz w:val="20"/>
          <w:szCs w:val="20"/>
        </w:rPr>
        <w:t xml:space="preserve">Emerging Growth Company and Smaller Reporting Company Status </w:t>
      </w:r>
    </w:p>
    <w:p w:rsidR="00000000" w:rsidRDefault="00C668B1">
      <w:pPr>
        <w:ind w:firstLine="490"/>
        <w:divId w:val="489103061"/>
        <w:rPr>
          <w:rFonts w:eastAsia="Times New Roman"/>
        </w:rPr>
      </w:pPr>
      <w:r>
        <w:rPr>
          <w:rFonts w:eastAsia="Times New Roman"/>
          <w:color w:val="000000"/>
          <w:sz w:val="20"/>
          <w:szCs w:val="20"/>
        </w:rPr>
        <w:t xml:space="preserve">In April 2012, the Jumpstart Our Business Startups Act of 2012 (the "JOBS Act"), was enacted. Section 107 of the JOBS Act provides that an “emerging growth company” can take advantage of the extended transition period provided in Section 7(a)(2)(B) of the </w:t>
      </w:r>
      <w:r>
        <w:rPr>
          <w:rFonts w:eastAsia="Times New Roman"/>
          <w:color w:val="000000"/>
          <w:sz w:val="20"/>
          <w:szCs w:val="20"/>
        </w:rPr>
        <w:t>Securities Act of 1933, as amended, for complying with new or revised accounting standards. Thus, an emerging growth company can delay the adoption of certain accounting standards until those standards would otherwise apply to private companies. We have el</w:t>
      </w:r>
      <w:r>
        <w:rPr>
          <w:rFonts w:eastAsia="Times New Roman"/>
          <w:color w:val="000000"/>
          <w:sz w:val="20"/>
          <w:szCs w:val="20"/>
        </w:rPr>
        <w:t>ected to avail ourselves of this exemption from complying with new or revised accounting standards and, therefore, will not be subject to the same new or revised accounting standards as other public companies that are not emerging growth companies. As a re</w:t>
      </w:r>
      <w:r>
        <w:rPr>
          <w:rFonts w:eastAsia="Times New Roman"/>
          <w:color w:val="000000"/>
          <w:sz w:val="20"/>
          <w:szCs w:val="20"/>
        </w:rPr>
        <w:t xml:space="preserve">sult, our financial statements may not be comparable to companies that comply with new or revised accounting pronouncements as of public company effective dates. </w:t>
      </w:r>
    </w:p>
    <w:p w:rsidR="00000000" w:rsidRDefault="00C668B1">
      <w:pPr>
        <w:ind w:firstLine="490"/>
        <w:divId w:val="1687242830"/>
        <w:rPr>
          <w:rFonts w:eastAsia="Times New Roman"/>
        </w:rPr>
      </w:pPr>
      <w:r>
        <w:rPr>
          <w:rFonts w:eastAsia="Times New Roman"/>
          <w:color w:val="000000"/>
          <w:sz w:val="20"/>
          <w:szCs w:val="20"/>
        </w:rPr>
        <w:t>We also rely on other exemptions and reduced reporting requirements under the JOBS Act, inclu</w:t>
      </w:r>
      <w:r>
        <w:rPr>
          <w:rFonts w:eastAsia="Times New Roman"/>
          <w:color w:val="000000"/>
          <w:sz w:val="20"/>
          <w:szCs w:val="20"/>
        </w:rPr>
        <w:t xml:space="preserve">ding without limitation, exemption from the requirements to provide an auditor’s attestation report on our system of internal controls over financial reporting pursuant to Section 404(b) of the Sarbanes-Oxley Act. We will remain an emerging growth company </w:t>
      </w:r>
      <w:r>
        <w:rPr>
          <w:rFonts w:eastAsia="Times New Roman"/>
          <w:color w:val="000000"/>
          <w:sz w:val="20"/>
          <w:szCs w:val="20"/>
        </w:rPr>
        <w:t>until the earlier to occur of (a) the last day of the fiscal year (i) following the fifth anniversary of the completion of our IPO (December 31, 2026), (ii) in which we have total annual gross revenues of at least $1.235 billion or (iii) in which we are de</w:t>
      </w:r>
      <w:r>
        <w:rPr>
          <w:rFonts w:eastAsia="Times New Roman"/>
          <w:color w:val="000000"/>
          <w:sz w:val="20"/>
          <w:szCs w:val="20"/>
        </w:rPr>
        <w:t>emed to be a “large accelerated filer” under the rules of the SEC, which means that we have been required to file annual and quarterly reports under the Securities Exchange Act of 1934, as amended (the "Exchange Act") for a period of at least 12 months and</w:t>
      </w:r>
      <w:r>
        <w:rPr>
          <w:rFonts w:eastAsia="Times New Roman"/>
          <w:color w:val="000000"/>
          <w:sz w:val="20"/>
          <w:szCs w:val="20"/>
        </w:rPr>
        <w:t xml:space="preserve"> have filed at least one annual report pursuant to the Exchange Act and either (a) the market value of our common stock that is held by non-affiliates exceeds $700.0 million as of the prior June 30th, or (b) the date on which we have issued more than $1.0 </w:t>
      </w:r>
      <w:r>
        <w:rPr>
          <w:rFonts w:eastAsia="Times New Roman"/>
          <w:color w:val="000000"/>
          <w:sz w:val="20"/>
          <w:szCs w:val="20"/>
        </w:rPr>
        <w:t xml:space="preserve">billion in non-convertible debt during the prior three-year period. </w:t>
      </w:r>
    </w:p>
    <w:p w:rsidR="00000000" w:rsidRDefault="00C668B1">
      <w:pPr>
        <w:divId w:val="1720670493"/>
        <w:rPr>
          <w:rFonts w:eastAsia="Times New Roman"/>
        </w:rPr>
      </w:pPr>
      <w:r>
        <w:rPr>
          <w:rFonts w:eastAsia="Times New Roman"/>
          <w:color w:val="000000"/>
          <w:sz w:val="2"/>
          <w:szCs w:val="2"/>
        </w:rPr>
        <w:t> </w:t>
      </w:r>
    </w:p>
    <w:p w:rsidR="00000000" w:rsidRDefault="00C668B1">
      <w:pPr>
        <w:ind w:firstLine="490"/>
        <w:divId w:val="1576166311"/>
        <w:rPr>
          <w:rFonts w:eastAsia="Times New Roman"/>
        </w:rPr>
      </w:pPr>
      <w:r>
        <w:rPr>
          <w:rFonts w:eastAsia="Times New Roman"/>
          <w:color w:val="000000"/>
          <w:sz w:val="20"/>
          <w:szCs w:val="20"/>
        </w:rPr>
        <w:t xml:space="preserve">We are also a “smaller reporting company,” </w:t>
      </w:r>
      <w:r>
        <w:rPr>
          <w:rFonts w:eastAsia="Times New Roman"/>
          <w:color w:val="000000"/>
          <w:sz w:val="20"/>
          <w:szCs w:val="20"/>
        </w:rPr>
        <w:t xml:space="preserve">meaning that the market value of our stock held by non-affiliates is less than $700.0 million and our annual revenue is less than $100.0 million during the most recently completed fiscal year. We may continue to be a smaller reporting company until either </w:t>
      </w:r>
      <w:r>
        <w:rPr>
          <w:rFonts w:eastAsia="Times New Roman"/>
          <w:color w:val="000000"/>
          <w:sz w:val="20"/>
          <w:szCs w:val="20"/>
        </w:rPr>
        <w:t>(i) the market value of our stock held by non-affiliates is less than $250.0 million or (ii) our annual revenue is less than $100.0 million during the most recently completed fiscal year and the market value of our stock held by non-affiliates is less than</w:t>
      </w:r>
      <w:r>
        <w:rPr>
          <w:rFonts w:eastAsia="Times New Roman"/>
          <w:color w:val="000000"/>
          <w:sz w:val="20"/>
          <w:szCs w:val="20"/>
        </w:rPr>
        <w:t xml:space="preserve"> $700.0 million. If we are a smaller reporting company at the time we cease to be an emerging growth company, we may continue to rely on exemptions from certain disclosure requirements that are available to smaller reporting companies. Specifically, as a s</w:t>
      </w:r>
      <w:r>
        <w:rPr>
          <w:rFonts w:eastAsia="Times New Roman"/>
          <w:color w:val="000000"/>
          <w:sz w:val="20"/>
          <w:szCs w:val="20"/>
        </w:rPr>
        <w:t>maller reporting company we may choose to present only the two most recent fiscal years of audited financial statements in our Annual Report on Form 10-K and, similar to emerging growth companies, smaller reporting companies have reduced disclosure obligat</w:t>
      </w:r>
      <w:r>
        <w:rPr>
          <w:rFonts w:eastAsia="Times New Roman"/>
          <w:color w:val="000000"/>
          <w:sz w:val="20"/>
          <w:szCs w:val="20"/>
        </w:rPr>
        <w:t xml:space="preserve">ions regarding executive compensation. </w:t>
      </w:r>
    </w:p>
    <w:p w:rsidR="00000000" w:rsidRDefault="00C668B1">
      <w:pPr>
        <w:jc w:val="center"/>
        <w:divId w:val="855509250"/>
        <w:rPr>
          <w:rFonts w:eastAsia="Times New Roman"/>
        </w:rPr>
      </w:pPr>
      <w:r>
        <w:rPr>
          <w:rFonts w:eastAsia="Times New Roman"/>
          <w:color w:val="000000"/>
        </w:rPr>
        <w:t>30</w:t>
      </w:r>
    </w:p>
    <w:p w:rsidR="00000000" w:rsidRDefault="00C668B1">
      <w:pPr>
        <w:rPr>
          <w:rFonts w:eastAsia="Times New Roman"/>
        </w:rPr>
      </w:pPr>
      <w:r>
        <w:rPr>
          <w:rFonts w:eastAsia="Times New Roman"/>
        </w:rPr>
        <w:pict>
          <v:rect id="_x0000_i1054" style="width:0;height:1.5pt" o:hralign="center" o:hrstd="t" o:hr="t" fillcolor="#a0a0a0" stroked="f"/>
        </w:pict>
      </w:r>
    </w:p>
    <w:p w:rsidR="00000000" w:rsidRDefault="00C668B1">
      <w:pPr>
        <w:divId w:val="430509202"/>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212499392"/>
        <w:rPr>
          <w:rFonts w:eastAsia="Times New Roman"/>
        </w:rPr>
      </w:pPr>
      <w:r>
        <w:rPr>
          <w:rFonts w:eastAsia="Times New Roman"/>
          <w:b/>
          <w:bCs/>
          <w:color w:val="000000"/>
          <w:sz w:val="20"/>
          <w:szCs w:val="20"/>
        </w:rPr>
        <w:t xml:space="preserve">Item 3. Quantitative and Qualitative Disclosures About Market Risk </w:t>
      </w:r>
    </w:p>
    <w:p w:rsidR="00000000" w:rsidRDefault="00C668B1">
      <w:pPr>
        <w:ind w:firstLine="450"/>
        <w:divId w:val="1665359986"/>
        <w:rPr>
          <w:rFonts w:eastAsia="Times New Roman"/>
        </w:rPr>
      </w:pPr>
      <w:r>
        <w:rPr>
          <w:rFonts w:eastAsia="Times New Roman"/>
          <w:color w:val="000000"/>
          <w:sz w:val="20"/>
          <w:szCs w:val="20"/>
        </w:rPr>
        <w:t>We are a smaller reporting compa</w:t>
      </w:r>
      <w:r>
        <w:rPr>
          <w:rFonts w:eastAsia="Times New Roman"/>
          <w:color w:val="000000"/>
          <w:sz w:val="20"/>
          <w:szCs w:val="20"/>
        </w:rPr>
        <w:t>ny as defined in Rule 12b-2 of the Exchange Act and are not required to provide the information otherwise required under this Item 3.</w:t>
      </w:r>
    </w:p>
    <w:p w:rsidR="00000000" w:rsidRDefault="00C668B1">
      <w:pPr>
        <w:divId w:val="730272024"/>
        <w:rPr>
          <w:rFonts w:eastAsia="Times New Roman"/>
        </w:rPr>
      </w:pPr>
      <w:r>
        <w:rPr>
          <w:rFonts w:eastAsia="Times New Roman"/>
          <w:b/>
          <w:bCs/>
          <w:color w:val="000000"/>
          <w:sz w:val="20"/>
          <w:szCs w:val="20"/>
        </w:rPr>
        <w:t>Item 4. Controls and Procedures</w:t>
      </w:r>
    </w:p>
    <w:p w:rsidR="00000000" w:rsidRDefault="00C668B1">
      <w:pPr>
        <w:divId w:val="1242254417"/>
        <w:rPr>
          <w:rFonts w:eastAsia="Times New Roman"/>
        </w:rPr>
      </w:pPr>
    </w:p>
    <w:p w:rsidR="00000000" w:rsidRDefault="00C668B1">
      <w:pPr>
        <w:divId w:val="1580214619"/>
        <w:rPr>
          <w:rFonts w:eastAsia="Times New Roman"/>
        </w:rPr>
      </w:pPr>
      <w:r>
        <w:rPr>
          <w:rFonts w:eastAsia="Times New Roman"/>
          <w:b/>
          <w:bCs/>
          <w:color w:val="000000"/>
          <w:sz w:val="20"/>
          <w:szCs w:val="20"/>
        </w:rPr>
        <w:t>Evaluation of Disclosure Controls and Procedures</w:t>
      </w:r>
    </w:p>
    <w:p w:rsidR="00000000" w:rsidRDefault="00C668B1">
      <w:pPr>
        <w:ind w:firstLine="450"/>
        <w:divId w:val="395204512"/>
        <w:rPr>
          <w:rFonts w:eastAsia="Times New Roman"/>
        </w:rPr>
      </w:pPr>
      <w:r>
        <w:rPr>
          <w:rFonts w:eastAsia="Times New Roman"/>
          <w:color w:val="000000"/>
          <w:sz w:val="20"/>
          <w:szCs w:val="20"/>
        </w:rPr>
        <w:t xml:space="preserve">Our management, with the participation </w:t>
      </w:r>
      <w:r>
        <w:rPr>
          <w:rFonts w:eastAsia="Times New Roman"/>
          <w:color w:val="000000"/>
          <w:sz w:val="20"/>
          <w:szCs w:val="20"/>
        </w:rPr>
        <w:t>of our principal executive officer and our principal financial officer, evaluated, as of the end of the period covered by this Quarterly Report on Form 10-Q, the effectiveness of our disclosure controls and procedures as defined in Rules 13a-15(e) and 15d-</w:t>
      </w:r>
      <w:r>
        <w:rPr>
          <w:rFonts w:eastAsia="Times New Roman"/>
          <w:color w:val="000000"/>
          <w:sz w:val="20"/>
          <w:szCs w:val="20"/>
        </w:rPr>
        <w:t>15(e) under the Exchange Act. The term “disclosure controls and procedures,” as defined in Rules 13a-15(e) and 15d-15(e) under the Exchange Act, means controls and other procedures of a company that are designed to ensure that information required to be di</w:t>
      </w:r>
      <w:r>
        <w:rPr>
          <w:rFonts w:eastAsia="Times New Roman"/>
          <w:color w:val="000000"/>
          <w:sz w:val="20"/>
          <w:szCs w:val="20"/>
        </w:rPr>
        <w:t>sclosed by a company in the reports that it files or submits under the Exchange Act is recorded, processed, summarized and reported, within the time periods specified in the SEC’s rules and forms. Disclosure controls and procedures include, without limitat</w:t>
      </w:r>
      <w:r>
        <w:rPr>
          <w:rFonts w:eastAsia="Times New Roman"/>
          <w:color w:val="000000"/>
          <w:sz w:val="20"/>
          <w:szCs w:val="20"/>
        </w:rPr>
        <w:t>ion, controls and procedures designed to ensure that information required to be disclosed by a company in the reports that it files or submits under the Exchange Act is accumulated and communicated to the company’s management, including its principal execu</w:t>
      </w:r>
      <w:r>
        <w:rPr>
          <w:rFonts w:eastAsia="Times New Roman"/>
          <w:color w:val="000000"/>
          <w:sz w:val="20"/>
          <w:szCs w:val="20"/>
        </w:rPr>
        <w:t>tive and principal financial officers, or persons performing similar functions, as appropriate to allow timely decisions regarding required disclosure. Management recognizes that any controls and procedures, no matter how well designed and operated, can pr</w:t>
      </w:r>
      <w:r>
        <w:rPr>
          <w:rFonts w:eastAsia="Times New Roman"/>
          <w:color w:val="000000"/>
          <w:sz w:val="20"/>
          <w:szCs w:val="20"/>
        </w:rPr>
        <w:t>ovide only reasonable assurance of achieving their objectives and management necessarily applies its judgment in evaluating the cost-benefit relationship of possible controls and procedures.</w:t>
      </w:r>
    </w:p>
    <w:p w:rsidR="00000000" w:rsidRDefault="00C668B1">
      <w:pPr>
        <w:divId w:val="768165089"/>
        <w:rPr>
          <w:rFonts w:eastAsia="Times New Roman"/>
        </w:rPr>
      </w:pPr>
    </w:p>
    <w:p w:rsidR="00000000" w:rsidRDefault="00C668B1">
      <w:pPr>
        <w:ind w:firstLine="450"/>
        <w:divId w:val="391276847"/>
        <w:rPr>
          <w:rFonts w:eastAsia="Times New Roman"/>
        </w:rPr>
      </w:pPr>
      <w:r>
        <w:rPr>
          <w:rFonts w:eastAsia="Times New Roman"/>
          <w:color w:val="000000"/>
          <w:sz w:val="20"/>
          <w:szCs w:val="20"/>
        </w:rPr>
        <w:t>Based on the evaluation of our disclosure controls and procedur</w:t>
      </w:r>
      <w:r>
        <w:rPr>
          <w:rFonts w:eastAsia="Times New Roman"/>
          <w:color w:val="000000"/>
          <w:sz w:val="20"/>
          <w:szCs w:val="20"/>
        </w:rPr>
        <w:t>es as of September 30, 2022, our principal executive officer and principal financial officer concluded that our disclosure controls and procedures as of such date were effective at the reasonable assurance level.</w:t>
      </w:r>
    </w:p>
    <w:p w:rsidR="00000000" w:rsidRDefault="00C668B1">
      <w:pPr>
        <w:divId w:val="1157767719"/>
        <w:rPr>
          <w:rFonts w:eastAsia="Times New Roman"/>
        </w:rPr>
      </w:pPr>
    </w:p>
    <w:p w:rsidR="00000000" w:rsidRDefault="00C668B1">
      <w:pPr>
        <w:divId w:val="1237590479"/>
        <w:rPr>
          <w:rFonts w:eastAsia="Times New Roman"/>
        </w:rPr>
      </w:pPr>
      <w:r>
        <w:rPr>
          <w:rFonts w:eastAsia="Times New Roman"/>
          <w:b/>
          <w:bCs/>
          <w:color w:val="000000"/>
          <w:sz w:val="20"/>
          <w:szCs w:val="20"/>
        </w:rPr>
        <w:t>Changes in Internal Control over Financia</w:t>
      </w:r>
      <w:r>
        <w:rPr>
          <w:rFonts w:eastAsia="Times New Roman"/>
          <w:b/>
          <w:bCs/>
          <w:color w:val="000000"/>
          <w:sz w:val="20"/>
          <w:szCs w:val="20"/>
        </w:rPr>
        <w:t>l Reporting</w:t>
      </w:r>
    </w:p>
    <w:p w:rsidR="00000000" w:rsidRDefault="00C668B1">
      <w:pPr>
        <w:ind w:firstLine="450"/>
        <w:divId w:val="386532250"/>
        <w:rPr>
          <w:rFonts w:eastAsia="Times New Roman"/>
        </w:rPr>
      </w:pPr>
      <w:r>
        <w:rPr>
          <w:rFonts w:eastAsia="Times New Roman"/>
          <w:color w:val="000000"/>
          <w:sz w:val="20"/>
          <w:szCs w:val="20"/>
        </w:rPr>
        <w:t>There were no changes in our internal control over financial reporting (as defined in Rules 13a-15(f) and 15d-15(f) under the Exchange Act) during the quarter ended September 30, 2022 that have materially affected, or are reasonably likely to m</w:t>
      </w:r>
      <w:r>
        <w:rPr>
          <w:rFonts w:eastAsia="Times New Roman"/>
          <w:color w:val="000000"/>
          <w:sz w:val="20"/>
          <w:szCs w:val="20"/>
        </w:rPr>
        <w:t xml:space="preserve">aterially affect, our internal control over financial reporting. </w:t>
      </w:r>
    </w:p>
    <w:p w:rsidR="00000000" w:rsidRDefault="00C668B1">
      <w:pPr>
        <w:jc w:val="center"/>
        <w:divId w:val="575361991"/>
        <w:rPr>
          <w:rFonts w:eastAsia="Times New Roman"/>
        </w:rPr>
      </w:pPr>
      <w:r>
        <w:rPr>
          <w:rFonts w:eastAsia="Times New Roman"/>
          <w:color w:val="000000"/>
        </w:rPr>
        <w:t>31</w:t>
      </w:r>
    </w:p>
    <w:p w:rsidR="00000000" w:rsidRDefault="00C668B1">
      <w:pPr>
        <w:rPr>
          <w:rFonts w:eastAsia="Times New Roman"/>
        </w:rPr>
      </w:pPr>
      <w:r>
        <w:rPr>
          <w:rFonts w:eastAsia="Times New Roman"/>
        </w:rPr>
        <w:pict>
          <v:rect id="_x0000_i1055" style="width:0;height:1.5pt" o:hralign="center" o:hrstd="t" o:hr="t" fillcolor="#a0a0a0" stroked="f"/>
        </w:pict>
      </w:r>
    </w:p>
    <w:p w:rsidR="00000000" w:rsidRDefault="00C668B1">
      <w:pPr>
        <w:divId w:val="916670899"/>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firstLine="180"/>
        <w:jc w:val="center"/>
        <w:rPr>
          <w:rFonts w:eastAsia="Times New Roman"/>
        </w:rPr>
      </w:pPr>
      <w:r>
        <w:rPr>
          <w:rFonts w:eastAsia="Times New Roman"/>
          <w:b/>
          <w:bCs/>
          <w:color w:val="000000"/>
          <w:sz w:val="20"/>
          <w:szCs w:val="20"/>
        </w:rPr>
        <w:t>PART II – Other Information</w:t>
      </w:r>
    </w:p>
    <w:p w:rsidR="00000000" w:rsidRDefault="00C668B1">
      <w:pPr>
        <w:jc w:val="center"/>
        <w:rPr>
          <w:rFonts w:eastAsia="Times New Roman"/>
        </w:rPr>
      </w:pPr>
    </w:p>
    <w:p w:rsidR="00000000" w:rsidRDefault="00C668B1">
      <w:pPr>
        <w:divId w:val="406878760"/>
        <w:rPr>
          <w:rFonts w:eastAsia="Times New Roman"/>
        </w:rPr>
      </w:pPr>
      <w:r>
        <w:rPr>
          <w:rFonts w:eastAsia="Times New Roman"/>
          <w:b/>
          <w:bCs/>
          <w:color w:val="000000"/>
          <w:sz w:val="20"/>
          <w:szCs w:val="20"/>
        </w:rPr>
        <w:t>Item 1.     Legal Proceedings</w:t>
      </w:r>
    </w:p>
    <w:p w:rsidR="00000000" w:rsidRDefault="00C668B1">
      <w:pPr>
        <w:divId w:val="65230420"/>
        <w:rPr>
          <w:rFonts w:eastAsia="Times New Roman"/>
        </w:rPr>
      </w:pPr>
      <w:r>
        <w:rPr>
          <w:rFonts w:eastAsia="Times New Roman"/>
          <w:color w:val="000000"/>
          <w:sz w:val="20"/>
          <w:szCs w:val="20"/>
        </w:rPr>
        <w:t>From time to t</w:t>
      </w:r>
      <w:r>
        <w:rPr>
          <w:rFonts w:eastAsia="Times New Roman"/>
          <w:color w:val="000000"/>
          <w:sz w:val="20"/>
          <w:szCs w:val="20"/>
        </w:rPr>
        <w:t>ime, we may become involved in legal proceedings arising in the ordinary course of our business. We</w:t>
      </w:r>
    </w:p>
    <w:p w:rsidR="00000000" w:rsidRDefault="00C668B1">
      <w:pPr>
        <w:divId w:val="2057699702"/>
        <w:rPr>
          <w:rFonts w:eastAsia="Times New Roman"/>
        </w:rPr>
      </w:pPr>
      <w:r>
        <w:rPr>
          <w:rFonts w:eastAsia="Times New Roman"/>
          <w:color w:val="000000"/>
          <w:sz w:val="20"/>
          <w:szCs w:val="20"/>
        </w:rPr>
        <w:t>are not presently a party to any material legal proceedings.</w:t>
      </w:r>
    </w:p>
    <w:p w:rsidR="00000000" w:rsidRDefault="00C668B1">
      <w:pPr>
        <w:divId w:val="649602294"/>
        <w:rPr>
          <w:rFonts w:eastAsia="Times New Roman"/>
        </w:rPr>
      </w:pPr>
      <w:r>
        <w:rPr>
          <w:rFonts w:eastAsia="Times New Roman"/>
          <w:b/>
          <w:bCs/>
          <w:color w:val="000000"/>
          <w:sz w:val="20"/>
          <w:szCs w:val="20"/>
        </w:rPr>
        <w:t>Item 1A. Risk Factors</w:t>
      </w:r>
    </w:p>
    <w:p w:rsidR="00000000" w:rsidRDefault="00C668B1">
      <w:pPr>
        <w:ind w:firstLine="720"/>
        <w:divId w:val="73861181"/>
        <w:rPr>
          <w:rFonts w:eastAsia="Times New Roman"/>
        </w:rPr>
      </w:pPr>
      <w:r>
        <w:rPr>
          <w:rFonts w:eastAsia="Times New Roman"/>
          <w:color w:val="000000"/>
          <w:sz w:val="20"/>
          <w:szCs w:val="20"/>
        </w:rPr>
        <w:t>Investing in our common stock involves a high degree of risk. In addition</w:t>
      </w:r>
      <w:r>
        <w:rPr>
          <w:rFonts w:eastAsia="Times New Roman"/>
          <w:color w:val="000000"/>
          <w:sz w:val="20"/>
          <w:szCs w:val="20"/>
        </w:rPr>
        <w:t xml:space="preserve"> to the other information set forth in this quarterly report on Form 10-Q, you should carefully consider the factors described under the caption "Risk Factors" in our Annual Report on Form 10-K for the year ended December 31, 2021, filed with the SEC on Ma</w:t>
      </w:r>
      <w:r>
        <w:rPr>
          <w:rFonts w:eastAsia="Times New Roman"/>
          <w:color w:val="000000"/>
          <w:sz w:val="20"/>
          <w:szCs w:val="20"/>
        </w:rPr>
        <w:t xml:space="preserve">rch 23, 2022. Other than as set forth below, there have been no material changes to the risk factors described in that report. The occurrence of any of the events or developments described in our Risk Factors could adversely affect our business, financial </w:t>
      </w:r>
      <w:r>
        <w:rPr>
          <w:rFonts w:eastAsia="Times New Roman"/>
          <w:color w:val="000000"/>
          <w:sz w:val="20"/>
          <w:szCs w:val="20"/>
        </w:rPr>
        <w:t xml:space="preserve">condition, results of operations and growth prospects. In such an event, the market price of our common stock could decline, and you may lose all or part of your investment. Additional risks and uncertainties not presently known to us or that we currently </w:t>
      </w:r>
      <w:r>
        <w:rPr>
          <w:rFonts w:eastAsia="Times New Roman"/>
          <w:color w:val="000000"/>
          <w:sz w:val="20"/>
          <w:szCs w:val="20"/>
        </w:rPr>
        <w:t>deem immaterial also may impair our business operations.</w:t>
      </w:r>
    </w:p>
    <w:p w:rsidR="00000000" w:rsidRDefault="00C668B1">
      <w:pPr>
        <w:divId w:val="643848770"/>
        <w:rPr>
          <w:rFonts w:eastAsia="Times New Roman"/>
        </w:rPr>
      </w:pPr>
    </w:p>
    <w:p w:rsidR="00000000" w:rsidRDefault="00C668B1">
      <w:pPr>
        <w:divId w:val="1236629976"/>
        <w:rPr>
          <w:rFonts w:eastAsia="Times New Roman"/>
        </w:rPr>
      </w:pPr>
      <w:r>
        <w:rPr>
          <w:rFonts w:eastAsia="Times New Roman"/>
          <w:b/>
          <w:bCs/>
          <w:color w:val="000000"/>
          <w:sz w:val="20"/>
          <w:szCs w:val="20"/>
        </w:rPr>
        <w:t>The passage of the Inflation Reduction Act of 2022 may negatively impact our ability to sell our product candidates, if approved, profitably.</w:t>
      </w:r>
    </w:p>
    <w:p w:rsidR="00000000" w:rsidRDefault="00C668B1">
      <w:pPr>
        <w:ind w:firstLine="720"/>
        <w:divId w:val="173811937"/>
        <w:rPr>
          <w:rFonts w:eastAsia="Times New Roman"/>
        </w:rPr>
      </w:pPr>
    </w:p>
    <w:p w:rsidR="00000000" w:rsidRDefault="00C668B1">
      <w:pPr>
        <w:ind w:firstLine="720"/>
        <w:divId w:val="1134833497"/>
        <w:rPr>
          <w:rFonts w:eastAsia="Times New Roman"/>
        </w:rPr>
      </w:pPr>
      <w:r>
        <w:rPr>
          <w:rFonts w:eastAsia="Times New Roman"/>
          <w:color w:val="000000"/>
          <w:sz w:val="20"/>
          <w:szCs w:val="20"/>
        </w:rPr>
        <w:t>On August 16, 2022, the Inflation Reduction Act of 2022, or the IRA, was passed, which among other things, allows for The Centers for Medicare &amp; Medicaid Services to negotiate prices for certain single-source drugs and biologics reimbursed under Medicare P</w:t>
      </w:r>
      <w:r>
        <w:rPr>
          <w:rFonts w:eastAsia="Times New Roman"/>
          <w:color w:val="000000"/>
          <w:sz w:val="20"/>
          <w:szCs w:val="20"/>
        </w:rPr>
        <w:t>art B and Part D, beginning with ten high-cost drugs paid for by Medicare Part D starting in 2026, followed by 15 Part D drugs in 2027, 15 Part B or Part D drugs in 2028, and 20 Part B or Part D drugs in 2029 and beyond. The legislation subjects drug manuf</w:t>
      </w:r>
      <w:r>
        <w:rPr>
          <w:rFonts w:eastAsia="Times New Roman"/>
          <w:color w:val="000000"/>
          <w:sz w:val="20"/>
          <w:szCs w:val="20"/>
        </w:rPr>
        <w:t>acturers to civil monetary penalties and a potential excise tax for failing to comply with the legislation by offering a price that is not equal to or less than the negotiated “maximum fair price” under the law or for taking price increases that exceed inf</w:t>
      </w:r>
      <w:r>
        <w:rPr>
          <w:rFonts w:eastAsia="Times New Roman"/>
          <w:color w:val="000000"/>
          <w:sz w:val="20"/>
          <w:szCs w:val="20"/>
        </w:rPr>
        <w:t>lation. The legislation also caps Medicare beneficiaries’ annual out-of-pocket drug expenses at $2,000. The effect of the IRA on our business and the healthcare industry in general is not yet known.</w:t>
      </w:r>
    </w:p>
    <w:p w:rsidR="00000000" w:rsidRDefault="00C668B1">
      <w:pPr>
        <w:ind w:firstLine="720"/>
        <w:divId w:val="1969432578"/>
        <w:rPr>
          <w:rFonts w:eastAsia="Times New Roman"/>
        </w:rPr>
      </w:pPr>
    </w:p>
    <w:p w:rsidR="00000000" w:rsidRDefault="00C668B1">
      <w:pPr>
        <w:jc w:val="both"/>
        <w:divId w:val="1653095651"/>
        <w:rPr>
          <w:rFonts w:eastAsia="Times New Roman"/>
        </w:rPr>
      </w:pPr>
      <w:r>
        <w:rPr>
          <w:rFonts w:eastAsia="Times New Roman"/>
          <w:b/>
          <w:bCs/>
          <w:color w:val="000000"/>
          <w:sz w:val="20"/>
          <w:szCs w:val="20"/>
        </w:rPr>
        <w:t>Item 2. Unregistered Sales of Equity Securities and Use</w:t>
      </w:r>
      <w:r>
        <w:rPr>
          <w:rFonts w:eastAsia="Times New Roman"/>
          <w:b/>
          <w:bCs/>
          <w:color w:val="000000"/>
          <w:sz w:val="20"/>
          <w:szCs w:val="20"/>
        </w:rPr>
        <w:t xml:space="preserve"> of Proceeds</w:t>
      </w:r>
    </w:p>
    <w:p w:rsidR="00000000" w:rsidRDefault="00C668B1">
      <w:pPr>
        <w:divId w:val="1632592571"/>
        <w:rPr>
          <w:rFonts w:eastAsia="Times New Roman"/>
        </w:rPr>
      </w:pPr>
    </w:p>
    <w:p w:rsidR="00000000" w:rsidRDefault="00C668B1">
      <w:pPr>
        <w:ind w:firstLine="720"/>
        <w:divId w:val="1021708317"/>
        <w:rPr>
          <w:rFonts w:eastAsia="Times New Roman"/>
        </w:rPr>
      </w:pPr>
      <w:r>
        <w:rPr>
          <w:rFonts w:eastAsia="Times New Roman"/>
          <w:color w:val="000000"/>
          <w:sz w:val="20"/>
          <w:szCs w:val="20"/>
        </w:rPr>
        <w:t>None.</w:t>
      </w:r>
    </w:p>
    <w:p w:rsidR="00000000" w:rsidRDefault="00C668B1">
      <w:pPr>
        <w:divId w:val="1219707552"/>
        <w:rPr>
          <w:rFonts w:eastAsia="Times New Roman"/>
        </w:rPr>
      </w:pPr>
      <w:r>
        <w:rPr>
          <w:rFonts w:eastAsia="Times New Roman"/>
          <w:b/>
          <w:bCs/>
          <w:color w:val="000000"/>
          <w:sz w:val="20"/>
          <w:szCs w:val="20"/>
        </w:rPr>
        <w:t>Item 3.     Defaults upon Senior Securities</w:t>
      </w:r>
    </w:p>
    <w:p w:rsidR="00000000" w:rsidRDefault="00C668B1">
      <w:pPr>
        <w:jc w:val="both"/>
        <w:divId w:val="284233385"/>
        <w:rPr>
          <w:rFonts w:eastAsia="Times New Roman"/>
        </w:rPr>
      </w:pPr>
      <w:r>
        <w:rPr>
          <w:rFonts w:eastAsia="Times New Roman"/>
          <w:color w:val="000000"/>
          <w:sz w:val="20"/>
          <w:szCs w:val="20"/>
        </w:rPr>
        <w:t xml:space="preserve">None. </w:t>
      </w:r>
    </w:p>
    <w:p w:rsidR="00000000" w:rsidRDefault="00C668B1">
      <w:pPr>
        <w:divId w:val="1701011461"/>
        <w:rPr>
          <w:rFonts w:eastAsia="Times New Roman"/>
        </w:rPr>
      </w:pPr>
      <w:r>
        <w:rPr>
          <w:rFonts w:eastAsia="Times New Roman"/>
          <w:b/>
          <w:bCs/>
          <w:color w:val="000000"/>
          <w:sz w:val="20"/>
          <w:szCs w:val="20"/>
        </w:rPr>
        <w:t>Item 4. Mine Safety Disclosures</w:t>
      </w:r>
    </w:p>
    <w:p w:rsidR="00000000" w:rsidRDefault="00C668B1">
      <w:pPr>
        <w:ind w:firstLine="720"/>
        <w:divId w:val="963123417"/>
        <w:rPr>
          <w:rFonts w:eastAsia="Times New Roman"/>
        </w:rPr>
      </w:pPr>
      <w:r>
        <w:rPr>
          <w:rFonts w:eastAsia="Times New Roman"/>
          <w:color w:val="000000"/>
          <w:sz w:val="20"/>
          <w:szCs w:val="20"/>
        </w:rPr>
        <w:t>Not applicable.</w:t>
      </w:r>
    </w:p>
    <w:p w:rsidR="00000000" w:rsidRDefault="00C668B1">
      <w:pPr>
        <w:divId w:val="1049576415"/>
        <w:rPr>
          <w:rFonts w:eastAsia="Times New Roman"/>
        </w:rPr>
      </w:pPr>
      <w:r>
        <w:rPr>
          <w:rFonts w:eastAsia="Times New Roman"/>
          <w:b/>
          <w:bCs/>
          <w:color w:val="000000"/>
          <w:sz w:val="20"/>
          <w:szCs w:val="20"/>
        </w:rPr>
        <w:t>Item 5. Other Information</w:t>
      </w:r>
    </w:p>
    <w:p w:rsidR="00000000" w:rsidRDefault="00C668B1">
      <w:pPr>
        <w:divId w:val="1633243843"/>
        <w:rPr>
          <w:rFonts w:eastAsia="Times New Roman"/>
        </w:rPr>
      </w:pPr>
    </w:p>
    <w:p w:rsidR="00000000" w:rsidRDefault="00C668B1">
      <w:pPr>
        <w:ind w:firstLine="720"/>
        <w:divId w:val="861361414"/>
        <w:rPr>
          <w:rFonts w:eastAsia="Times New Roman"/>
        </w:rPr>
      </w:pPr>
      <w:r>
        <w:rPr>
          <w:rFonts w:eastAsia="Times New Roman"/>
          <w:color w:val="000000"/>
          <w:sz w:val="20"/>
          <w:szCs w:val="20"/>
          <w:shd w:val="clear" w:color="auto" w:fill="FFFFFF"/>
        </w:rPr>
        <w:t>Because we are filing this Quarterly Report on Form 10-Q within four business days after the triggering even</w:t>
      </w:r>
      <w:r>
        <w:rPr>
          <w:rFonts w:eastAsia="Times New Roman"/>
          <w:color w:val="000000"/>
          <w:sz w:val="20"/>
          <w:szCs w:val="20"/>
          <w:shd w:val="clear" w:color="auto" w:fill="FFFFFF"/>
        </w:rPr>
        <w:t>t, we are making the following disclosure under this Item 5 instead of filing a Current Report on Form 8-K under Item 1.01, Entry into a Material Definitive Agreement:</w:t>
      </w:r>
    </w:p>
    <w:p w:rsidR="00000000" w:rsidRDefault="00C668B1">
      <w:pPr>
        <w:divId w:val="1687486524"/>
        <w:rPr>
          <w:rFonts w:eastAsia="Times New Roman"/>
        </w:rPr>
      </w:pPr>
    </w:p>
    <w:p w:rsidR="00000000" w:rsidRDefault="00C668B1">
      <w:pPr>
        <w:divId w:val="2124614665"/>
        <w:rPr>
          <w:rFonts w:eastAsia="Times New Roman"/>
        </w:rPr>
      </w:pPr>
      <w:r>
        <w:rPr>
          <w:rFonts w:eastAsia="Times New Roman"/>
          <w:color w:val="000000"/>
          <w:sz w:val="20"/>
          <w:szCs w:val="20"/>
        </w:rPr>
        <w:t>Development and Manufacturing Services Agreement</w:t>
      </w:r>
    </w:p>
    <w:p w:rsidR="00000000" w:rsidRDefault="00C668B1">
      <w:pPr>
        <w:divId w:val="1033730547"/>
        <w:rPr>
          <w:rFonts w:eastAsia="Times New Roman"/>
        </w:rPr>
      </w:pPr>
    </w:p>
    <w:p w:rsidR="00000000" w:rsidRDefault="00C668B1">
      <w:pPr>
        <w:ind w:firstLine="720"/>
        <w:divId w:val="95298595"/>
        <w:rPr>
          <w:rFonts w:eastAsia="Times New Roman"/>
        </w:rPr>
      </w:pPr>
      <w:r>
        <w:rPr>
          <w:rFonts w:eastAsia="Times New Roman"/>
          <w:color w:val="000000"/>
          <w:sz w:val="20"/>
          <w:szCs w:val="20"/>
        </w:rPr>
        <w:t>On November 7, 2022, Context Therap</w:t>
      </w:r>
      <w:r>
        <w:rPr>
          <w:rFonts w:eastAsia="Times New Roman"/>
          <w:color w:val="000000"/>
          <w:sz w:val="20"/>
          <w:szCs w:val="20"/>
        </w:rPr>
        <w:t>eutics Inc. (the “Company”) entered into a Development and Manufacturing Services Agreement (the “Lonza Development Agreement”), with Lonza Sales AG (“Lonza Sales”) and Lonza AG (collectively, “Lonza”). Under the terms of the Lonza Development Agreement, L</w:t>
      </w:r>
      <w:r>
        <w:rPr>
          <w:rFonts w:eastAsia="Times New Roman"/>
          <w:color w:val="000000"/>
          <w:sz w:val="20"/>
          <w:szCs w:val="20"/>
        </w:rPr>
        <w:t>onza will provide services relating to the development and manufacture of the Company’s anti-claudin 6 bispecific monoclonal antibody product (the “Product”) in accordance with the project plan attached to the Lonza Development Agreement and any other work</w:t>
      </w:r>
      <w:r>
        <w:rPr>
          <w:rFonts w:eastAsia="Times New Roman"/>
          <w:color w:val="000000"/>
          <w:sz w:val="20"/>
          <w:szCs w:val="20"/>
        </w:rPr>
        <w:t xml:space="preserve"> as may be agreed to between the Company and Lonza. The Lonza Development Agreement will terminate upon the completion of the agreed upon </w:t>
      </w:r>
    </w:p>
    <w:p w:rsidR="00000000" w:rsidRDefault="00C668B1">
      <w:pPr>
        <w:jc w:val="center"/>
        <w:divId w:val="1816874780"/>
        <w:rPr>
          <w:rFonts w:eastAsia="Times New Roman"/>
        </w:rPr>
      </w:pPr>
      <w:r>
        <w:rPr>
          <w:rFonts w:eastAsia="Times New Roman"/>
          <w:color w:val="000000"/>
        </w:rPr>
        <w:t>32</w:t>
      </w:r>
    </w:p>
    <w:p w:rsidR="00000000" w:rsidRDefault="00C668B1">
      <w:pPr>
        <w:rPr>
          <w:rFonts w:eastAsia="Times New Roman"/>
        </w:rPr>
      </w:pPr>
      <w:r>
        <w:rPr>
          <w:rFonts w:eastAsia="Times New Roman"/>
        </w:rPr>
        <w:pict>
          <v:rect id="_x0000_i1056" style="width:0;height:1.5pt" o:hralign="center" o:hrstd="t" o:hr="t" fillcolor="#a0a0a0" stroked="f"/>
        </w:pict>
      </w:r>
    </w:p>
    <w:p w:rsidR="00000000" w:rsidRDefault="00C668B1">
      <w:pPr>
        <w:divId w:val="35593259"/>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577638201"/>
        <w:rPr>
          <w:rFonts w:eastAsia="Times New Roman"/>
        </w:rPr>
      </w:pPr>
      <w:r>
        <w:rPr>
          <w:rFonts w:eastAsia="Times New Roman"/>
          <w:color w:val="000000"/>
          <w:sz w:val="20"/>
          <w:szCs w:val="20"/>
        </w:rPr>
        <w:t>se</w:t>
      </w:r>
      <w:r>
        <w:rPr>
          <w:rFonts w:eastAsia="Times New Roman"/>
          <w:color w:val="000000"/>
          <w:sz w:val="20"/>
          <w:szCs w:val="20"/>
        </w:rPr>
        <w:t>rvices, unless earlier terminated by the Company or Lonza for uncured material breaches, insolvency of the other party, or if a party determines that it is not possible to complete the services for material scientific or material technical reasons.</w:t>
      </w:r>
    </w:p>
    <w:p w:rsidR="00000000" w:rsidRDefault="00C668B1">
      <w:pPr>
        <w:divId w:val="475532846"/>
        <w:rPr>
          <w:rFonts w:eastAsia="Times New Roman"/>
        </w:rPr>
      </w:pPr>
    </w:p>
    <w:p w:rsidR="00000000" w:rsidRDefault="00C668B1">
      <w:pPr>
        <w:ind w:firstLine="720"/>
        <w:divId w:val="192767170"/>
        <w:rPr>
          <w:rFonts w:eastAsia="Times New Roman"/>
        </w:rPr>
      </w:pPr>
      <w:r>
        <w:rPr>
          <w:rFonts w:eastAsia="Times New Roman"/>
          <w:color w:val="000000"/>
          <w:sz w:val="20"/>
          <w:szCs w:val="20"/>
        </w:rPr>
        <w:t>The C</w:t>
      </w:r>
      <w:r>
        <w:rPr>
          <w:rFonts w:eastAsia="Times New Roman"/>
          <w:color w:val="000000"/>
          <w:sz w:val="20"/>
          <w:szCs w:val="20"/>
        </w:rPr>
        <w:t>ompany can terminate certain services under the Lonza Development Agreement, but in addition to payment for certain non-cancellable commitments, the Company would be required to pay a cancellation fee, such fee to be determined depending on the timing of s</w:t>
      </w:r>
      <w:r>
        <w:rPr>
          <w:rFonts w:eastAsia="Times New Roman"/>
          <w:color w:val="000000"/>
          <w:sz w:val="20"/>
          <w:szCs w:val="20"/>
        </w:rPr>
        <w:t xml:space="preserve">uch notice prior to the commencement of the related services. </w:t>
      </w:r>
    </w:p>
    <w:p w:rsidR="00000000" w:rsidRDefault="00C668B1">
      <w:pPr>
        <w:divId w:val="455029831"/>
        <w:rPr>
          <w:rFonts w:eastAsia="Times New Roman"/>
        </w:rPr>
      </w:pPr>
    </w:p>
    <w:p w:rsidR="00000000" w:rsidRDefault="00C668B1">
      <w:pPr>
        <w:ind w:firstLine="720"/>
        <w:divId w:val="811991188"/>
        <w:rPr>
          <w:rFonts w:eastAsia="Times New Roman"/>
        </w:rPr>
      </w:pPr>
      <w:r>
        <w:rPr>
          <w:rFonts w:eastAsia="Times New Roman"/>
          <w:color w:val="000000"/>
          <w:sz w:val="20"/>
          <w:szCs w:val="20"/>
        </w:rPr>
        <w:t>The License Development Agreement requires the Company to obtain a license from Lonza prior to receipt of the Product or in vivo clinical studies or any other commercial use or sale of the Pr</w:t>
      </w:r>
      <w:r>
        <w:rPr>
          <w:rFonts w:eastAsia="Times New Roman"/>
          <w:color w:val="000000"/>
          <w:sz w:val="20"/>
          <w:szCs w:val="20"/>
        </w:rPr>
        <w:t>oduct, which the Company entered into concurrently with the License Development Agreement, as further described below. Additionally, should the Company desire to either manufacture the Product itself or have it manufactured by a third party, the Company wo</w:t>
      </w:r>
      <w:r>
        <w:rPr>
          <w:rFonts w:eastAsia="Times New Roman"/>
          <w:color w:val="000000"/>
          <w:sz w:val="20"/>
          <w:szCs w:val="20"/>
        </w:rPr>
        <w:t>uld be required to obtain Lonza’s consent (not to be unreasonably withheld, conditioned or delayed) and would need to enter into a separate technology transfer agreement with Lonza for a non-exclusive license to the extent necessary to manufacture, have ma</w:t>
      </w:r>
      <w:r>
        <w:rPr>
          <w:rFonts w:eastAsia="Times New Roman"/>
          <w:color w:val="000000"/>
          <w:sz w:val="20"/>
          <w:szCs w:val="20"/>
        </w:rPr>
        <w:t xml:space="preserve">nufactured and supply the Product at a licensing fee up to £750,000. </w:t>
      </w:r>
    </w:p>
    <w:p w:rsidR="00000000" w:rsidRDefault="00C668B1">
      <w:pPr>
        <w:divId w:val="760443720"/>
        <w:rPr>
          <w:rFonts w:eastAsia="Times New Roman"/>
        </w:rPr>
      </w:pPr>
    </w:p>
    <w:p w:rsidR="00000000" w:rsidRDefault="00C668B1">
      <w:pPr>
        <w:ind w:firstLine="720"/>
        <w:divId w:val="815340017"/>
        <w:rPr>
          <w:rFonts w:eastAsia="Times New Roman"/>
        </w:rPr>
      </w:pPr>
      <w:r>
        <w:rPr>
          <w:rFonts w:eastAsia="Times New Roman"/>
          <w:color w:val="000000"/>
          <w:sz w:val="20"/>
          <w:szCs w:val="20"/>
        </w:rPr>
        <w:t xml:space="preserve">The Lonza Development Agreement also contains customary representations, warranties, indemnification and other obligations of the Company and Lonza. </w:t>
      </w:r>
    </w:p>
    <w:p w:rsidR="00000000" w:rsidRDefault="00C668B1">
      <w:pPr>
        <w:divId w:val="1162357983"/>
        <w:rPr>
          <w:rFonts w:eastAsia="Times New Roman"/>
        </w:rPr>
      </w:pPr>
    </w:p>
    <w:p w:rsidR="00000000" w:rsidRDefault="00C668B1">
      <w:pPr>
        <w:divId w:val="130174153"/>
        <w:rPr>
          <w:rFonts w:eastAsia="Times New Roman"/>
        </w:rPr>
      </w:pPr>
      <w:r>
        <w:rPr>
          <w:rFonts w:eastAsia="Times New Roman"/>
          <w:color w:val="000000"/>
          <w:sz w:val="20"/>
          <w:szCs w:val="20"/>
        </w:rPr>
        <w:t>License Agreement</w:t>
      </w:r>
    </w:p>
    <w:p w:rsidR="00000000" w:rsidRDefault="00C668B1">
      <w:pPr>
        <w:divId w:val="1814174189"/>
        <w:rPr>
          <w:rFonts w:eastAsia="Times New Roman"/>
        </w:rPr>
      </w:pPr>
    </w:p>
    <w:p w:rsidR="00000000" w:rsidRDefault="00C668B1">
      <w:pPr>
        <w:ind w:firstLine="720"/>
        <w:divId w:val="490831060"/>
        <w:rPr>
          <w:rFonts w:eastAsia="Times New Roman"/>
        </w:rPr>
      </w:pPr>
      <w:r>
        <w:rPr>
          <w:rFonts w:eastAsia="Times New Roman"/>
          <w:color w:val="000000"/>
          <w:sz w:val="20"/>
          <w:szCs w:val="20"/>
        </w:rPr>
        <w:t>On November 7, 2022, the Company entered into a License Agreement (the “Lonza Licens</w:t>
      </w:r>
      <w:r>
        <w:rPr>
          <w:rFonts w:eastAsia="Times New Roman"/>
          <w:color w:val="000000"/>
          <w:sz w:val="20"/>
          <w:szCs w:val="20"/>
        </w:rPr>
        <w:t>e Agreement”) with Lonza Sales. Under the terms of the Lonza License Agreement, to the extent incorporated into the Product, Lonza granted the Company a non-exclusive license to use certain proprietary Lonza intellectual property and systems for the Compan</w:t>
      </w:r>
      <w:r>
        <w:rPr>
          <w:rFonts w:eastAsia="Times New Roman"/>
          <w:color w:val="000000"/>
          <w:sz w:val="20"/>
          <w:szCs w:val="20"/>
        </w:rPr>
        <w:t>y to develop, manufacture and commercially exploit the Product.</w:t>
      </w:r>
    </w:p>
    <w:p w:rsidR="00000000" w:rsidRDefault="00C668B1">
      <w:pPr>
        <w:ind w:firstLine="720"/>
        <w:divId w:val="1941252851"/>
        <w:rPr>
          <w:rFonts w:eastAsia="Times New Roman"/>
        </w:rPr>
      </w:pPr>
    </w:p>
    <w:p w:rsidR="00000000" w:rsidRDefault="00C668B1">
      <w:pPr>
        <w:ind w:firstLine="720"/>
        <w:divId w:val="1335111414"/>
        <w:rPr>
          <w:rFonts w:eastAsia="Times New Roman"/>
        </w:rPr>
      </w:pPr>
      <w:r>
        <w:rPr>
          <w:rFonts w:eastAsia="Times New Roman"/>
          <w:color w:val="000000"/>
          <w:sz w:val="20"/>
          <w:szCs w:val="20"/>
        </w:rPr>
        <w:t xml:space="preserve">The Company shall pay certain royalties and annual payments in respect of the manufacturing and sale of Product, which amounts shall be determined by the party manufacturing the Product and </w:t>
      </w:r>
      <w:r>
        <w:rPr>
          <w:rFonts w:eastAsia="Times New Roman"/>
          <w:color w:val="000000"/>
          <w:sz w:val="20"/>
          <w:szCs w:val="20"/>
        </w:rPr>
        <w:t>ranges from a potential annual payment of up to less than $500,000 and a royalty on net sales from 0% up to a low single digit percentage. The royalty payments and annual payments would be reduced in certain circumstances, including should the valid claims</w:t>
      </w:r>
      <w:r>
        <w:rPr>
          <w:rFonts w:eastAsia="Times New Roman"/>
          <w:color w:val="000000"/>
          <w:sz w:val="20"/>
          <w:szCs w:val="20"/>
        </w:rPr>
        <w:t xml:space="preserve"> for any such patent rights not exist in the country in which such Product is being sold, and the royalty payments would expire upon the later of the expiration of the licensed patents in the country in which such Product is being sold, the expiration of t</w:t>
      </w:r>
      <w:r>
        <w:rPr>
          <w:rFonts w:eastAsia="Times New Roman"/>
          <w:color w:val="000000"/>
          <w:sz w:val="20"/>
          <w:szCs w:val="20"/>
        </w:rPr>
        <w:t xml:space="preserve">he licensed patents in the country in which such Product is being manufactured, and ten years from the first commercial sales of the Product in such country of sale. </w:t>
      </w:r>
    </w:p>
    <w:p w:rsidR="00000000" w:rsidRDefault="00C668B1">
      <w:pPr>
        <w:divId w:val="463238647"/>
        <w:rPr>
          <w:rFonts w:eastAsia="Times New Roman"/>
        </w:rPr>
      </w:pPr>
    </w:p>
    <w:p w:rsidR="00000000" w:rsidRDefault="00C668B1">
      <w:pPr>
        <w:ind w:firstLine="720"/>
        <w:divId w:val="909536236"/>
        <w:rPr>
          <w:rFonts w:eastAsia="Times New Roman"/>
        </w:rPr>
      </w:pPr>
      <w:r>
        <w:rPr>
          <w:rFonts w:eastAsia="Times New Roman"/>
          <w:color w:val="000000"/>
          <w:sz w:val="20"/>
          <w:szCs w:val="20"/>
        </w:rPr>
        <w:t>The Lonza License Agreement continues until terminated, and the Company or Lonza may te</w:t>
      </w:r>
      <w:r>
        <w:rPr>
          <w:rFonts w:eastAsia="Times New Roman"/>
          <w:color w:val="000000"/>
          <w:sz w:val="20"/>
          <w:szCs w:val="20"/>
        </w:rPr>
        <w:t>rminate the Lonza License Agreement for uncured material breaches or insolvency of the other party. The Company can unilaterally terminate the Lonza License Agreement with prior written notice to Lonza, and Lonza can also unilaterally terminate the Lonza L</w:t>
      </w:r>
      <w:r>
        <w:rPr>
          <w:rFonts w:eastAsia="Times New Roman"/>
          <w:color w:val="000000"/>
          <w:sz w:val="20"/>
          <w:szCs w:val="20"/>
        </w:rPr>
        <w:t>icense Agreement upon certain actions by the Company.</w:t>
      </w:r>
    </w:p>
    <w:p w:rsidR="00000000" w:rsidRDefault="00C668B1">
      <w:pPr>
        <w:divId w:val="1937251057"/>
        <w:rPr>
          <w:rFonts w:eastAsia="Times New Roman"/>
        </w:rPr>
      </w:pPr>
    </w:p>
    <w:p w:rsidR="00000000" w:rsidRDefault="00C668B1">
      <w:pPr>
        <w:ind w:firstLine="720"/>
        <w:divId w:val="619412360"/>
        <w:rPr>
          <w:rFonts w:eastAsia="Times New Roman"/>
        </w:rPr>
      </w:pPr>
      <w:r>
        <w:rPr>
          <w:rFonts w:eastAsia="Times New Roman"/>
          <w:color w:val="000000"/>
          <w:sz w:val="20"/>
          <w:szCs w:val="20"/>
        </w:rPr>
        <w:t xml:space="preserve">The Lonza License Agreement also contains customary representations, warranties, indemnification and other obligations of the Company and Lonza. </w:t>
      </w:r>
    </w:p>
    <w:p w:rsidR="00000000" w:rsidRDefault="00C668B1">
      <w:pPr>
        <w:divId w:val="1042049793"/>
        <w:rPr>
          <w:rFonts w:eastAsia="Times New Roman"/>
        </w:rPr>
      </w:pPr>
    </w:p>
    <w:p w:rsidR="00000000" w:rsidRDefault="00C668B1">
      <w:pPr>
        <w:ind w:firstLine="720"/>
        <w:divId w:val="650334362"/>
        <w:rPr>
          <w:rFonts w:eastAsia="Times New Roman"/>
        </w:rPr>
      </w:pPr>
      <w:r>
        <w:rPr>
          <w:rFonts w:eastAsia="Times New Roman"/>
          <w:color w:val="000000"/>
          <w:sz w:val="20"/>
          <w:szCs w:val="20"/>
        </w:rPr>
        <w:t>The foregoing description of the Lonza Development A</w:t>
      </w:r>
      <w:r>
        <w:rPr>
          <w:rFonts w:eastAsia="Times New Roman"/>
          <w:color w:val="000000"/>
          <w:sz w:val="20"/>
          <w:szCs w:val="20"/>
        </w:rPr>
        <w:t xml:space="preserve">greement and Lonza License Agreement does not purport to be complete and is qualified in its entirety by reference to the full text of the Lonza Development Agreement and Lonza License Agreement, which will be filed as exhibits to a subsequent filing with </w:t>
      </w:r>
      <w:r>
        <w:rPr>
          <w:rFonts w:eastAsia="Times New Roman"/>
          <w:color w:val="000000"/>
          <w:sz w:val="20"/>
          <w:szCs w:val="20"/>
        </w:rPr>
        <w:t xml:space="preserve">the Securities and Exchange Commission (the “Commission”), as permitted by the rules of the Commission. </w:t>
      </w:r>
    </w:p>
    <w:p w:rsidR="00000000" w:rsidRDefault="00C668B1">
      <w:pPr>
        <w:jc w:val="center"/>
        <w:divId w:val="1149445844"/>
        <w:rPr>
          <w:rFonts w:eastAsia="Times New Roman"/>
        </w:rPr>
      </w:pPr>
      <w:r>
        <w:rPr>
          <w:rFonts w:eastAsia="Times New Roman"/>
          <w:color w:val="000000"/>
        </w:rPr>
        <w:t>33</w:t>
      </w:r>
    </w:p>
    <w:p w:rsidR="00000000" w:rsidRDefault="00C668B1">
      <w:pPr>
        <w:rPr>
          <w:rFonts w:eastAsia="Times New Roman"/>
        </w:rPr>
      </w:pPr>
      <w:r>
        <w:rPr>
          <w:rFonts w:eastAsia="Times New Roman"/>
        </w:rPr>
        <w:pict>
          <v:rect id="_x0000_i1057" style="width:0;height:1.5pt" o:hralign="center" o:hrstd="t" o:hr="t" fillcolor="#a0a0a0" stroked="f"/>
        </w:pict>
      </w:r>
    </w:p>
    <w:p w:rsidR="00000000" w:rsidRDefault="00C668B1">
      <w:pPr>
        <w:divId w:val="68383938"/>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divId w:val="1945767524"/>
        <w:rPr>
          <w:rFonts w:eastAsia="Times New Roman"/>
        </w:rPr>
      </w:pPr>
      <w:r>
        <w:rPr>
          <w:rFonts w:eastAsia="Times New Roman"/>
          <w:b/>
          <w:bCs/>
          <w:color w:val="000000"/>
          <w:sz w:val="20"/>
          <w:szCs w:val="20"/>
        </w:rPr>
        <w:t>Item 6. Exhibits</w:t>
      </w:r>
    </w:p>
    <w:p w:rsidR="00000000" w:rsidRDefault="00C668B1">
      <w:pPr>
        <w:divId w:val="5526216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828"/>
        <w:gridCol w:w="36"/>
        <w:gridCol w:w="69"/>
        <w:gridCol w:w="6169"/>
        <w:gridCol w:w="38"/>
        <w:gridCol w:w="69"/>
        <w:gridCol w:w="993"/>
        <w:gridCol w:w="36"/>
      </w:tblGrid>
      <w:tr w:rsidR="00000000">
        <w:trPr>
          <w:divId w:val="1183323238"/>
        </w:trPr>
        <w:tc>
          <w:tcPr>
            <w:tcW w:w="50" w:type="pct"/>
            <w:vAlign w:val="center"/>
            <w:hideMark/>
          </w:tcPr>
          <w:p w:rsidR="00000000" w:rsidRDefault="00C668B1">
            <w:pPr>
              <w:rPr>
                <w:rFonts w:eastAsia="Times New Roman"/>
              </w:rPr>
            </w:pPr>
          </w:p>
        </w:tc>
        <w:tc>
          <w:tcPr>
            <w:tcW w:w="507"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3721"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60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183323238"/>
        </w:trPr>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Exhibit</w:t>
            </w:r>
            <w:r>
              <w:rPr>
                <w:rFonts w:eastAsia="Times New Roman"/>
                <w:b/>
                <w:bCs/>
                <w:color w:val="000000"/>
                <w:sz w:val="18"/>
                <w:szCs w:val="18"/>
              </w:rPr>
              <w:br/>
              <w:t>No.</w:t>
            </w:r>
          </w:p>
        </w:tc>
        <w:tc>
          <w:tcPr>
            <w:tcW w:w="0" w:type="auto"/>
            <w:gridSpan w:val="3"/>
            <w:tcMar>
              <w:top w:w="30" w:type="dxa"/>
              <w:left w:w="20" w:type="dxa"/>
              <w:bottom w:w="30" w:type="dxa"/>
              <w:right w:w="20" w:type="dxa"/>
            </w:tcMar>
            <w:vAlign w:val="bottom"/>
            <w:hideMark/>
          </w:tcPr>
          <w:p w:rsidR="00000000" w:rsidRDefault="00C668B1">
            <w:pPr>
              <w:spacing w:after="100"/>
              <w:jc w:val="center"/>
              <w:rPr>
                <w:rFonts w:eastAsia="Times New Roman"/>
              </w:rPr>
            </w:pPr>
            <w:r>
              <w:rPr>
                <w:rFonts w:eastAsia="Times New Roman"/>
                <w:b/>
                <w:bCs/>
                <w:color w:val="000000"/>
                <w:sz w:val="18"/>
                <w:szCs w:val="18"/>
              </w:rPr>
              <w:t> </w:t>
            </w:r>
            <w:r>
              <w:rPr>
                <w:rFonts w:eastAsia="Times New Roman"/>
                <w:b/>
                <w:bCs/>
                <w:color w:val="000000"/>
                <w:sz w:val="18"/>
                <w:szCs w:val="18"/>
              </w:rPr>
              <w:br/>
              <w:t>Exhibit Description</w:t>
            </w:r>
          </w:p>
        </w:tc>
        <w:tc>
          <w:tcPr>
            <w:tcW w:w="0" w:type="auto"/>
            <w:gridSpan w:val="3"/>
            <w:tcMar>
              <w:top w:w="0" w:type="dxa"/>
              <w:left w:w="20" w:type="dxa"/>
              <w:bottom w:w="0" w:type="dxa"/>
              <w:right w:w="20" w:type="dxa"/>
            </w:tcMar>
            <w:vAlign w:val="center"/>
            <w:hideMark/>
          </w:tcPr>
          <w:p w:rsidR="00000000" w:rsidRDefault="00C668B1">
            <w:pPr>
              <w:spacing w:after="100"/>
              <w:jc w:val="center"/>
              <w:rPr>
                <w:rFonts w:eastAsia="Times New Roman"/>
              </w:rPr>
            </w:pPr>
          </w:p>
        </w:tc>
      </w:tr>
      <w:tr w:rsidR="00000000">
        <w:trPr>
          <w:divId w:val="1183323238"/>
        </w:trPr>
        <w:tc>
          <w:tcPr>
            <w:tcW w:w="0" w:type="auto"/>
            <w:gridSpan w:val="3"/>
            <w:tcBorders>
              <w:top w:val="single" w:sz="8" w:space="0" w:color="000000"/>
            </w:tcBorders>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C668B1">
            <w:pPr>
              <w:spacing w:after="100"/>
              <w:divId w:val="1335457756"/>
              <w:rPr>
                <w:rFonts w:eastAsia="Times New Roman"/>
              </w:rPr>
            </w:pPr>
            <w:hyperlink r:id="rId4" w:history="1">
              <w:r>
                <w:rPr>
                  <w:rStyle w:val="a3"/>
                  <w:rFonts w:eastAsia="Times New Roman"/>
                  <w:sz w:val="20"/>
                  <w:szCs w:val="20"/>
                </w:rPr>
                <w:t>Amended &amp; Restated Certificate of Incorporation of Context Therapeutics Inc. (incorporated by reference t</w:t>
              </w:r>
              <w:r>
                <w:rPr>
                  <w:rStyle w:val="a3"/>
                  <w:rFonts w:eastAsia="Times New Roman"/>
                  <w:sz w:val="20"/>
                  <w:szCs w:val="20"/>
                </w:rPr>
                <w:t>o Exhibit 3.1 to the Company's Current Report on Form 8-K (File No. 001-40654), as filed with the SEC on October 22, 2021).</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C668B1">
            <w:pPr>
              <w:spacing w:after="100"/>
              <w:divId w:val="1364551941"/>
              <w:rPr>
                <w:rFonts w:eastAsia="Times New Roman"/>
              </w:rPr>
            </w:pPr>
            <w:hyperlink r:id="rId5" w:history="1">
              <w:r>
                <w:rPr>
                  <w:rStyle w:val="a3"/>
                  <w:rFonts w:eastAsia="Times New Roman"/>
                  <w:sz w:val="20"/>
                  <w:szCs w:val="20"/>
                </w:rPr>
                <w:t xml:space="preserve">Amended and Restated Bylaws of Context Therapeutics Inc. (incorporated by reference to Exhibit 3.2 to the Company's Current Report on Form 8-K (File No. </w:t>
              </w:r>
              <w:r>
                <w:rPr>
                  <w:rStyle w:val="a3"/>
                  <w:rFonts w:eastAsia="Times New Roman"/>
                  <w:sz w:val="20"/>
                  <w:szCs w:val="20"/>
                </w:rPr>
                <w:t>001-40654), as filed with the SEC on October 22, 2021).</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divId w:val="405418846"/>
              <w:rPr>
                <w:rFonts w:eastAsia="Times New Roman"/>
              </w:rPr>
            </w:pPr>
            <w:r>
              <w:rPr>
                <w:rFonts w:eastAsia="Times New Roman"/>
                <w:color w:val="000000"/>
                <w:sz w:val="20"/>
                <w:szCs w:val="20"/>
              </w:rPr>
              <w:t>10.</w:t>
            </w:r>
            <w:r>
              <w:rPr>
                <w:rFonts w:eastAsia="Times New Roman"/>
                <w:color w:val="000000"/>
                <w:sz w:val="20"/>
                <w:szCs w:val="20"/>
              </w:rPr>
              <w:t>1</w:t>
            </w:r>
            <w:r>
              <w:rPr>
                <w:rFonts w:eastAsia="Times New Roman"/>
                <w:color w:val="000000"/>
                <w:sz w:val="13"/>
                <w:szCs w:val="13"/>
              </w:rPr>
              <w:t>#</w:t>
            </w:r>
          </w:p>
        </w:tc>
        <w:tc>
          <w:tcPr>
            <w:tcW w:w="0" w:type="auto"/>
            <w:gridSpan w:val="3"/>
            <w:tcMar>
              <w:top w:w="30" w:type="dxa"/>
              <w:left w:w="20" w:type="dxa"/>
              <w:bottom w:w="30" w:type="dxa"/>
              <w:right w:w="20" w:type="dxa"/>
            </w:tcMar>
            <w:hideMark/>
          </w:tcPr>
          <w:p w:rsidR="00000000" w:rsidRDefault="00C668B1">
            <w:pPr>
              <w:spacing w:after="100"/>
              <w:divId w:val="1006903584"/>
              <w:rPr>
                <w:rFonts w:eastAsia="Times New Roman"/>
              </w:rPr>
            </w:pPr>
            <w:hyperlink r:id="rId6" w:history="1">
              <w:r>
                <w:rPr>
                  <w:rStyle w:val="a3"/>
                  <w:rFonts w:eastAsia="Times New Roman"/>
                  <w:sz w:val="20"/>
                  <w:szCs w:val="20"/>
                </w:rPr>
                <w:t>Clinical Trial Collaboration and Supply Agreement, dated August 1, 2022,</w:t>
              </w:r>
              <w:r>
                <w:rPr>
                  <w:rStyle w:val="a3"/>
                  <w:rFonts w:eastAsia="Times New Roman"/>
                  <w:sz w:val="20"/>
                  <w:szCs w:val="20"/>
                </w:rPr>
                <w:t xml:space="preserve"> by and between Context Therapeutics Inc. and Berlin-Chemie AG - Menarini Group (incorporated by reference to Exhibit 10.2 to the Company's Quarterly Report on Form 10-Q (File No. 001-40654), as filed with the SEC on August 11, 2022).</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C668B1">
            <w:pPr>
              <w:spacing w:after="100"/>
              <w:divId w:val="1493836217"/>
              <w:rPr>
                <w:rFonts w:eastAsia="Times New Roman"/>
              </w:rPr>
            </w:pPr>
            <w:hyperlink r:id="rId7" w:history="1">
              <w:r>
                <w:rPr>
                  <w:rStyle w:val="a3"/>
                  <w:rFonts w:eastAsia="Times New Roman"/>
                  <w:sz w:val="20"/>
                  <w:szCs w:val="20"/>
                </w:rPr>
                <w:t xml:space="preserve">Amendment No. 3 to Process Development Agreement </w:t>
              </w:r>
            </w:hyperlink>
            <w:hyperlink r:id="rId8" w:history="1">
              <w:r>
                <w:rPr>
                  <w:rStyle w:val="a3"/>
                  <w:rFonts w:eastAsia="Times New Roman"/>
                  <w:sz w:val="20"/>
                  <w:szCs w:val="20"/>
                </w:rPr>
                <w:t>&amp;</w:t>
              </w:r>
            </w:hyperlink>
            <w:hyperlink r:id="rId9" w:history="1">
              <w:r>
                <w:rPr>
                  <w:rStyle w:val="a3"/>
                  <w:rFonts w:eastAsia="Times New Roman"/>
                  <w:sz w:val="20"/>
                  <w:szCs w:val="20"/>
                </w:rPr>
                <w:t xml:space="preserve"> </w:t>
              </w:r>
              <w:r>
                <w:rPr>
                  <w:rStyle w:val="a3"/>
                  <w:rFonts w:eastAsia="Times New Roman"/>
                  <w:sz w:val="20"/>
                  <w:szCs w:val="20"/>
                </w:rPr>
                <w:t xml:space="preserve">Amendment No. 1 to License, Development, Manufacturing &amp; Marketing Agreement, dated November </w:t>
              </w:r>
            </w:hyperlink>
            <w:hyperlink r:id="rId10" w:history="1">
              <w:r>
                <w:rPr>
                  <w:rStyle w:val="a3"/>
                  <w:rFonts w:eastAsia="Times New Roman"/>
                  <w:sz w:val="20"/>
                  <w:szCs w:val="20"/>
                </w:rPr>
                <w:t>7,</w:t>
              </w:r>
            </w:hyperlink>
            <w:hyperlink r:id="rId11" w:history="1">
              <w:r>
                <w:rPr>
                  <w:rStyle w:val="a3"/>
                  <w:rFonts w:eastAsia="Times New Roman"/>
                  <w:sz w:val="20"/>
                  <w:szCs w:val="20"/>
                </w:rPr>
                <w:t xml:space="preserve"> 2022, between Context Therapeutics LLC and Tyligand Bioscience (Sh</w:t>
              </w:r>
              <w:r>
                <w:rPr>
                  <w:rStyle w:val="a3"/>
                  <w:rFonts w:eastAsia="Times New Roman"/>
                  <w:sz w:val="20"/>
                  <w:szCs w:val="20"/>
                </w:rPr>
                <w:t>anghai) Limited.</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divId w:val="1280726800"/>
              <w:rPr>
                <w:rFonts w:eastAsia="Times New Roman"/>
              </w:rPr>
            </w:pPr>
            <w:r>
              <w:rPr>
                <w:rFonts w:eastAsia="Times New Roman"/>
                <w:color w:val="000000"/>
                <w:sz w:val="20"/>
                <w:szCs w:val="20"/>
              </w:rPr>
              <w:t>10.3</w:t>
            </w:r>
            <w:r>
              <w:rPr>
                <w:rFonts w:eastAsia="Times New Roman"/>
                <w:color w:val="000000"/>
                <w:sz w:val="20"/>
                <w:szCs w:val="20"/>
              </w:rPr>
              <w:t>*</w:t>
            </w:r>
            <w:r>
              <w:rPr>
                <w:rFonts w:eastAsia="Times New Roman"/>
                <w:color w:val="000000"/>
                <w:sz w:val="13"/>
                <w:szCs w:val="13"/>
              </w:rPr>
              <w:t>#</w:t>
            </w:r>
          </w:p>
        </w:tc>
        <w:tc>
          <w:tcPr>
            <w:tcW w:w="0" w:type="auto"/>
            <w:gridSpan w:val="3"/>
            <w:tcMar>
              <w:top w:w="30" w:type="dxa"/>
              <w:left w:w="20" w:type="dxa"/>
              <w:bottom w:w="30" w:type="dxa"/>
              <w:right w:w="20" w:type="dxa"/>
            </w:tcMar>
            <w:hideMark/>
          </w:tcPr>
          <w:p w:rsidR="00000000" w:rsidRDefault="00C668B1">
            <w:pPr>
              <w:spacing w:after="100"/>
              <w:divId w:val="472527007"/>
              <w:rPr>
                <w:rFonts w:eastAsia="Times New Roman"/>
              </w:rPr>
            </w:pPr>
            <w:hyperlink r:id="rId12" w:history="1">
              <w:r>
                <w:rPr>
                  <w:rStyle w:val="a3"/>
                  <w:rFonts w:eastAsia="Times New Roman"/>
                  <w:sz w:val="20"/>
                  <w:szCs w:val="20"/>
                </w:rPr>
                <w:t xml:space="preserve">Development and Manufacturing Services Agreement, dated November </w:t>
              </w:r>
            </w:hyperlink>
            <w:hyperlink r:id="rId13" w:history="1">
              <w:r>
                <w:rPr>
                  <w:rStyle w:val="a3"/>
                  <w:rFonts w:eastAsia="Times New Roman"/>
                  <w:sz w:val="20"/>
                  <w:szCs w:val="20"/>
                </w:rPr>
                <w:t>7,</w:t>
              </w:r>
            </w:hyperlink>
            <w:hyperlink r:id="rId14" w:history="1">
              <w:r>
                <w:rPr>
                  <w:rStyle w:val="a3"/>
                  <w:rFonts w:eastAsia="Times New Roman"/>
                  <w:sz w:val="20"/>
                  <w:szCs w:val="20"/>
                </w:rPr>
                <w:t xml:space="preserve"> 2022, between Lonza Sales AG, Lonza AG and Co</w:t>
              </w:r>
              <w:r>
                <w:rPr>
                  <w:rStyle w:val="a3"/>
                  <w:rFonts w:eastAsia="Times New Roman"/>
                  <w:sz w:val="20"/>
                  <w:szCs w:val="20"/>
                </w:rPr>
                <w:t>ntext Therapeutics Inc.</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divId w:val="1251159224"/>
              <w:rPr>
                <w:rFonts w:eastAsia="Times New Roman"/>
              </w:rPr>
            </w:pPr>
            <w:r>
              <w:rPr>
                <w:rFonts w:eastAsia="Times New Roman"/>
                <w:color w:val="000000"/>
                <w:sz w:val="20"/>
                <w:szCs w:val="20"/>
              </w:rPr>
              <w:t>10.4</w:t>
            </w:r>
            <w:r>
              <w:rPr>
                <w:rFonts w:eastAsia="Times New Roman"/>
                <w:color w:val="000000"/>
                <w:sz w:val="20"/>
                <w:szCs w:val="20"/>
              </w:rPr>
              <w:t>*</w:t>
            </w:r>
            <w:r>
              <w:rPr>
                <w:rFonts w:eastAsia="Times New Roman"/>
                <w:color w:val="000000"/>
                <w:sz w:val="13"/>
                <w:szCs w:val="13"/>
              </w:rPr>
              <w:t>#</w:t>
            </w:r>
          </w:p>
        </w:tc>
        <w:tc>
          <w:tcPr>
            <w:tcW w:w="0" w:type="auto"/>
            <w:gridSpan w:val="3"/>
            <w:tcMar>
              <w:top w:w="30" w:type="dxa"/>
              <w:left w:w="20" w:type="dxa"/>
              <w:bottom w:w="30" w:type="dxa"/>
              <w:right w:w="20" w:type="dxa"/>
            </w:tcMar>
            <w:hideMark/>
          </w:tcPr>
          <w:p w:rsidR="00000000" w:rsidRDefault="00C668B1">
            <w:pPr>
              <w:spacing w:after="100"/>
              <w:divId w:val="740178563"/>
              <w:rPr>
                <w:rFonts w:eastAsia="Times New Roman"/>
              </w:rPr>
            </w:pPr>
            <w:hyperlink r:id="rId15" w:history="1">
              <w:r>
                <w:rPr>
                  <w:rStyle w:val="a3"/>
                  <w:rFonts w:eastAsia="Times New Roman"/>
                  <w:sz w:val="20"/>
                  <w:szCs w:val="20"/>
                </w:rPr>
                <w:t xml:space="preserve">License Agreement, dated November </w:t>
              </w:r>
            </w:hyperlink>
            <w:hyperlink r:id="rId16" w:history="1">
              <w:r>
                <w:rPr>
                  <w:rStyle w:val="a3"/>
                  <w:rFonts w:eastAsia="Times New Roman"/>
                  <w:sz w:val="20"/>
                  <w:szCs w:val="20"/>
                </w:rPr>
                <w:t>7,</w:t>
              </w:r>
            </w:hyperlink>
            <w:hyperlink r:id="rId17" w:history="1">
              <w:r>
                <w:rPr>
                  <w:rStyle w:val="a3"/>
                  <w:rFonts w:eastAsia="Times New Roman"/>
                  <w:sz w:val="20"/>
                  <w:szCs w:val="20"/>
                </w:rPr>
                <w:t xml:space="preserve"> 2022, between Lonza Sales AG and Contex</w:t>
              </w:r>
              <w:r>
                <w:rPr>
                  <w:rStyle w:val="a3"/>
                  <w:rFonts w:eastAsia="Times New Roman"/>
                  <w:sz w:val="20"/>
                  <w:szCs w:val="20"/>
                </w:rPr>
                <w:t>t Therapeutics Inc.</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C668B1">
            <w:pPr>
              <w:spacing w:after="100"/>
              <w:divId w:val="998578984"/>
              <w:rPr>
                <w:rFonts w:eastAsia="Times New Roman"/>
              </w:rPr>
            </w:pPr>
            <w:hyperlink r:id="rId18" w:history="1">
              <w:r>
                <w:rPr>
                  <w:rStyle w:val="a3"/>
                  <w:rFonts w:eastAsia="Times New Roman"/>
                  <w:sz w:val="20"/>
                  <w:szCs w:val="20"/>
                </w:rPr>
                <w:t>Certification of Chief Executive Officer pursuant to Rule 13a-14(a) or 15a-14(a) under the Exchange Act.</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C668B1">
            <w:pPr>
              <w:spacing w:after="100"/>
              <w:divId w:val="1863781075"/>
              <w:rPr>
                <w:rFonts w:eastAsia="Times New Roman"/>
              </w:rPr>
            </w:pPr>
            <w:hyperlink r:id="rId19" w:history="1">
              <w:r>
                <w:rPr>
                  <w:rStyle w:val="a3"/>
                  <w:rFonts w:eastAsia="Times New Roman"/>
                  <w:sz w:val="20"/>
                  <w:szCs w:val="20"/>
                </w:rPr>
                <w:t>Certification of Chief Financial Officer pursuant to Rule 13a-14(a) or 15a-14(a) under the Exchange Act.</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shd w:val="clear" w:color="auto" w:fill="FFFFFF"/>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32.1*+</w:t>
            </w:r>
          </w:p>
        </w:tc>
        <w:tc>
          <w:tcPr>
            <w:tcW w:w="0" w:type="auto"/>
            <w:gridSpan w:val="3"/>
            <w:tcMar>
              <w:top w:w="30" w:type="dxa"/>
              <w:left w:w="20" w:type="dxa"/>
              <w:bottom w:w="30" w:type="dxa"/>
              <w:right w:w="20" w:type="dxa"/>
            </w:tcMar>
            <w:hideMark/>
          </w:tcPr>
          <w:p w:rsidR="00000000" w:rsidRDefault="00C668B1">
            <w:pPr>
              <w:spacing w:after="100"/>
              <w:divId w:val="1101687164"/>
              <w:rPr>
                <w:rFonts w:eastAsia="Times New Roman"/>
              </w:rPr>
            </w:pPr>
            <w:hyperlink r:id="rId20" w:history="1">
              <w:r>
                <w:rPr>
                  <w:rStyle w:val="a3"/>
                  <w:rFonts w:eastAsia="Times New Roman"/>
                  <w:sz w:val="20"/>
                  <w:szCs w:val="20"/>
                </w:rPr>
                <w:t>Certification Pursuant to 18 U.S.C. Section 1350 of principal executive officer and principal financial officer.</w:t>
              </w:r>
            </w:hyperlink>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shd w:val="clear" w:color="auto" w:fill="FFFFFF"/>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C668B1">
            <w:pPr>
              <w:spacing w:after="100"/>
              <w:divId w:val="1648238002"/>
              <w:rPr>
                <w:rFonts w:eastAsia="Times New Roman"/>
              </w:rPr>
            </w:pPr>
            <w:r>
              <w:rPr>
                <w:rFonts w:eastAsia="Times New Roman"/>
                <w:color w:val="000000"/>
                <w:sz w:val="20"/>
                <w:szCs w:val="20"/>
              </w:rPr>
              <w:t>The following financial statements from Context Therapeutics Inc.’s Quarterly Report on Form 10-Q for the fiscal quarter ended Sep</w:t>
            </w:r>
            <w:r>
              <w:rPr>
                <w:rFonts w:eastAsia="Times New Roman"/>
                <w:color w:val="000000"/>
                <w:sz w:val="20"/>
                <w:szCs w:val="20"/>
              </w:rPr>
              <w:t xml:space="preserve">tember 30, 2022, formatted in Inline XBRL (eXtensible Business Reporting Language): (i) Condensed Consolidated Balance Sheets; (ii) Condensed Consolidated Statements of Operations; (iii) Condensed Consolidated Statement of Changes in Convertible Preferred </w:t>
            </w:r>
            <w:r>
              <w:rPr>
                <w:rFonts w:eastAsia="Times New Roman"/>
                <w:color w:val="000000"/>
                <w:sz w:val="20"/>
                <w:szCs w:val="20"/>
              </w:rPr>
              <w:t>Stock, Redeemable Common Stock and Stockholders’ Deficit; (iv) Condensed Consolidated Statement of Changes in Stockholders’ Equity; (v) Condensed Consolidated Statements of Cash Flows; and (vi) Notes to the Condensed Consolidated Financial Statements.</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r w:rsidR="00000000">
        <w:trPr>
          <w:divId w:val="1183323238"/>
        </w:trPr>
        <w:tc>
          <w:tcPr>
            <w:tcW w:w="0" w:type="auto"/>
            <w:gridSpan w:val="3"/>
            <w:shd w:val="clear" w:color="auto" w:fill="FFFFFF"/>
            <w:tcMar>
              <w:top w:w="30" w:type="dxa"/>
              <w:left w:w="20" w:type="dxa"/>
              <w:bottom w:w="30" w:type="dxa"/>
              <w:right w:w="20" w:type="dxa"/>
            </w:tcMar>
            <w:hideMark/>
          </w:tcPr>
          <w:p w:rsidR="00000000" w:rsidRDefault="00C668B1">
            <w:pPr>
              <w:spacing w:after="100"/>
              <w:jc w:val="cente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hideMark/>
          </w:tcPr>
          <w:p w:rsidR="00000000" w:rsidRDefault="00C668B1">
            <w:pPr>
              <w:spacing w:after="100"/>
              <w:rPr>
                <w:rFonts w:eastAsia="Times New Roman"/>
              </w:rPr>
            </w:pPr>
            <w:r>
              <w:rPr>
                <w:rFonts w:eastAsia="Times New Roman"/>
                <w:color w:val="000000"/>
                <w:sz w:val="20"/>
                <w:szCs w:val="20"/>
              </w:rPr>
              <w:t>Cover Page Interactive Data File (formatted as Inline XBRL and contained in Exhibit 101 hereto)</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r>
    </w:tbl>
    <w:p w:rsidR="00000000" w:rsidRDefault="00C668B1">
      <w:pPr>
        <w:divId w:val="768084059"/>
        <w:rPr>
          <w:rFonts w:eastAsia="Times New Roman"/>
        </w:rPr>
      </w:pPr>
    </w:p>
    <w:p w:rsidR="00000000" w:rsidRDefault="00C668B1">
      <w:pPr>
        <w:divId w:val="637883613"/>
        <w:rPr>
          <w:rFonts w:eastAsia="Times New Roman"/>
        </w:rPr>
      </w:pPr>
      <w:r>
        <w:rPr>
          <w:rFonts w:eastAsia="Times New Roman"/>
          <w:color w:val="000000"/>
          <w:sz w:val="20"/>
          <w:szCs w:val="20"/>
        </w:rPr>
        <w:t xml:space="preserve">* Filed herewith </w:t>
      </w:r>
    </w:p>
    <w:p w:rsidR="00000000" w:rsidRDefault="00C668B1">
      <w:pPr>
        <w:divId w:val="1403068390"/>
        <w:rPr>
          <w:rFonts w:eastAsia="Times New Roman"/>
        </w:rPr>
      </w:pP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Certain confidential information contained in this agreement has been omitted because it is both not material and is the type that the registrant treats as private or confidential</w:t>
      </w:r>
    </w:p>
    <w:p w:rsidR="00000000" w:rsidRDefault="00C668B1">
      <w:pPr>
        <w:divId w:val="1176845008"/>
        <w:rPr>
          <w:rFonts w:eastAsia="Times New Roman"/>
        </w:rPr>
      </w:pPr>
    </w:p>
    <w:p w:rsidR="00000000" w:rsidRDefault="00C668B1">
      <w:pPr>
        <w:divId w:val="1569219155"/>
        <w:rPr>
          <w:rFonts w:eastAsia="Times New Roman"/>
        </w:rPr>
      </w:pPr>
      <w:r>
        <w:rPr>
          <w:rFonts w:eastAsia="Times New Roman"/>
          <w:color w:val="000000"/>
          <w:sz w:val="20"/>
          <w:szCs w:val="20"/>
        </w:rPr>
        <w:t>+ This certification is being furnished pursuant to 18 U.S.C. Section 1350</w:t>
      </w:r>
      <w:r>
        <w:rPr>
          <w:rFonts w:eastAsia="Times New Roman"/>
          <w:color w:val="000000"/>
          <w:sz w:val="20"/>
          <w:szCs w:val="20"/>
        </w:rPr>
        <w:t xml:space="preserve"> and is not being filed for purposes of Section 18 of the Exchange Act, and is not to be incorporated by reference into any filing of the Company, whether made before or after the date hereof.</w:t>
      </w:r>
    </w:p>
    <w:p w:rsidR="00000000" w:rsidRDefault="00C668B1">
      <w:pPr>
        <w:jc w:val="center"/>
        <w:divId w:val="486440385"/>
        <w:rPr>
          <w:rFonts w:eastAsia="Times New Roman"/>
        </w:rPr>
      </w:pPr>
      <w:r>
        <w:rPr>
          <w:rFonts w:eastAsia="Times New Roman"/>
          <w:color w:val="000000"/>
        </w:rPr>
        <w:t>34</w:t>
      </w:r>
    </w:p>
    <w:p w:rsidR="00000000" w:rsidRDefault="00C668B1">
      <w:pPr>
        <w:rPr>
          <w:rFonts w:eastAsia="Times New Roman"/>
        </w:rPr>
      </w:pPr>
      <w:r>
        <w:rPr>
          <w:rFonts w:eastAsia="Times New Roman"/>
        </w:rPr>
        <w:pict>
          <v:rect id="_x0000_i1058" style="width:0;height:1.5pt" o:hralign="center" o:hrstd="t" o:hr="t" fillcolor="#a0a0a0" stroked="f"/>
        </w:pict>
      </w:r>
    </w:p>
    <w:p w:rsidR="00000000" w:rsidRDefault="00C668B1">
      <w:pPr>
        <w:divId w:val="1700812378"/>
        <w:rPr>
          <w:rFonts w:eastAsia="Times New Roman"/>
        </w:rPr>
      </w:pPr>
      <w:hyperlink w:anchor="i6128ef27165d4066a955a859b4b0ee27_7" w:history="1">
        <w:r>
          <w:rPr>
            <w:rStyle w:val="a3"/>
            <w:rFonts w:eastAsia="Times New Roman"/>
            <w:sz w:val="20"/>
            <w:szCs w:val="20"/>
          </w:rPr>
          <w:t>Table of Contents</w:t>
        </w:r>
      </w:hyperlink>
    </w:p>
    <w:p w:rsidR="00000000" w:rsidRDefault="00C668B1">
      <w:pPr>
        <w:ind w:firstLine="180"/>
        <w:jc w:val="center"/>
        <w:rPr>
          <w:rFonts w:eastAsia="Times New Roman"/>
        </w:rPr>
      </w:pPr>
      <w:r>
        <w:rPr>
          <w:rFonts w:eastAsia="Times New Roman"/>
          <w:b/>
          <w:bCs/>
          <w:color w:val="000000"/>
          <w:sz w:val="20"/>
          <w:szCs w:val="20"/>
        </w:rPr>
        <w:t>SIGNATURES</w:t>
      </w:r>
    </w:p>
    <w:p w:rsidR="00000000" w:rsidRDefault="00C668B1">
      <w:pPr>
        <w:ind w:firstLine="180"/>
        <w:divId w:val="1923293621"/>
        <w:rPr>
          <w:rFonts w:eastAsia="Times New Roman"/>
        </w:rPr>
      </w:pPr>
      <w:r>
        <w:rPr>
          <w:rFonts w:eastAsia="Times New Roman"/>
          <w:color w:val="000000"/>
          <w:sz w:val="20"/>
          <w:szCs w:val="20"/>
        </w:rPr>
        <w:t> </w:t>
      </w:r>
    </w:p>
    <w:p w:rsidR="00000000" w:rsidRDefault="00C668B1">
      <w:pPr>
        <w:ind w:firstLine="900"/>
        <w:divId w:val="711540648"/>
        <w:rPr>
          <w:rFonts w:eastAsia="Times New Roman"/>
        </w:rPr>
      </w:pPr>
      <w:r>
        <w:rPr>
          <w:rFonts w:eastAsia="Times New Roman"/>
          <w:color w:val="000000"/>
          <w:sz w:val="20"/>
          <w:szCs w:val="20"/>
        </w:rPr>
        <w:t>Pursuant to the requirements of the Securities Exchange Act of 1934, as amended, the registrant has duly caused this report to be signed on its behalf by the undersigned, thereunto duly autho</w:t>
      </w:r>
      <w:r>
        <w:rPr>
          <w:rFonts w:eastAsia="Times New Roman"/>
          <w:color w:val="000000"/>
          <w:sz w:val="20"/>
          <w:szCs w:val="20"/>
        </w:rPr>
        <w:t>rized.</w:t>
      </w:r>
    </w:p>
    <w:p w:rsidR="00000000" w:rsidRDefault="00C668B1">
      <w:pPr>
        <w:ind w:firstLine="180"/>
        <w:divId w:val="607201612"/>
        <w:rPr>
          <w:rFonts w:eastAsia="Times New Roman"/>
        </w:rPr>
      </w:pPr>
      <w:r>
        <w:rPr>
          <w:rFonts w:eastAsia="Times New Roman"/>
          <w:color w:val="000000"/>
          <w:sz w:val="20"/>
          <w:szCs w:val="20"/>
        </w:rPr>
        <w:t> </w:t>
      </w:r>
    </w:p>
    <w:p w:rsidR="00000000" w:rsidRDefault="00C668B1">
      <w:pPr>
        <w:ind w:firstLine="180"/>
        <w:divId w:val="1651910069"/>
        <w:rPr>
          <w:rFonts w:eastAsia="Times New Roman"/>
        </w:rPr>
      </w:pPr>
      <w:r>
        <w:rPr>
          <w:rFonts w:eastAsia="Times New Roman"/>
          <w:color w:val="000000"/>
          <w:sz w:val="20"/>
          <w:szCs w:val="20"/>
        </w:rPr>
        <w:t>Date: November 9, 2022</w:t>
      </w:r>
    </w:p>
    <w:p w:rsidR="00000000" w:rsidRDefault="00C668B1">
      <w:pPr>
        <w:ind w:firstLine="180"/>
        <w:divId w:val="434715271"/>
        <w:rPr>
          <w:rFonts w:eastAsia="Times New Roman"/>
        </w:rPr>
      </w:pP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3963"/>
        <w:gridCol w:w="36"/>
        <w:gridCol w:w="69"/>
        <w:gridCol w:w="295"/>
        <w:gridCol w:w="36"/>
        <w:gridCol w:w="69"/>
        <w:gridCol w:w="2288"/>
        <w:gridCol w:w="36"/>
        <w:gridCol w:w="70"/>
        <w:gridCol w:w="1339"/>
        <w:gridCol w:w="36"/>
      </w:tblGrid>
      <w:tr w:rsidR="00000000">
        <w:trPr>
          <w:divId w:val="1850482523"/>
        </w:trPr>
        <w:tc>
          <w:tcPr>
            <w:tcW w:w="50" w:type="pct"/>
            <w:vAlign w:val="center"/>
            <w:hideMark/>
          </w:tcPr>
          <w:p w:rsidR="00000000" w:rsidRDefault="00C668B1">
            <w:pPr>
              <w:ind w:firstLine="180"/>
              <w:rPr>
                <w:rFonts w:eastAsia="Times New Roman"/>
              </w:rPr>
            </w:pPr>
          </w:p>
        </w:tc>
        <w:tc>
          <w:tcPr>
            <w:tcW w:w="2393"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86"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1385"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c>
          <w:tcPr>
            <w:tcW w:w="50" w:type="pct"/>
            <w:vAlign w:val="center"/>
            <w:hideMark/>
          </w:tcPr>
          <w:p w:rsidR="00000000" w:rsidRDefault="00C668B1">
            <w:pPr>
              <w:spacing w:after="100"/>
              <w:rPr>
                <w:rFonts w:eastAsia="Times New Roman"/>
                <w:sz w:val="20"/>
                <w:szCs w:val="20"/>
              </w:rPr>
            </w:pPr>
          </w:p>
        </w:tc>
        <w:tc>
          <w:tcPr>
            <w:tcW w:w="814" w:type="pct"/>
            <w:vAlign w:val="center"/>
            <w:hideMark/>
          </w:tcPr>
          <w:p w:rsidR="00000000" w:rsidRDefault="00C668B1">
            <w:pPr>
              <w:spacing w:after="100"/>
              <w:rPr>
                <w:rFonts w:eastAsia="Times New Roman"/>
                <w:sz w:val="20"/>
                <w:szCs w:val="20"/>
              </w:rPr>
            </w:pPr>
          </w:p>
        </w:tc>
        <w:tc>
          <w:tcPr>
            <w:tcW w:w="5" w:type="pct"/>
            <w:vAlign w:val="center"/>
            <w:hideMark/>
          </w:tcPr>
          <w:p w:rsidR="00000000" w:rsidRDefault="00C668B1">
            <w:pPr>
              <w:spacing w:after="100"/>
              <w:rPr>
                <w:rFonts w:eastAsia="Times New Roman"/>
                <w:sz w:val="20"/>
                <w:szCs w:val="20"/>
              </w:rPr>
            </w:pP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b/>
                <w:bCs/>
                <w:color w:val="000000"/>
                <w:sz w:val="20"/>
                <w:szCs w:val="20"/>
              </w:rPr>
              <w:t>CONTEXT THERAPEUTICS INC.</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/s/ Martin Lehr</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Martin Lehr</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Chief Executive Officer (Principal Executive Officer)</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C668B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/s/ Jennifer Minai-Azary</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Jennifer Minai-Azary</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r w:rsidR="00000000">
        <w:trPr>
          <w:divId w:val="1850482523"/>
        </w:trPr>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Chief Financial Officer (Principal Financial Officer and Principal Accounting Officer)</w:t>
            </w:r>
          </w:p>
        </w:tc>
        <w:tc>
          <w:tcPr>
            <w:tcW w:w="0" w:type="auto"/>
            <w:gridSpan w:val="3"/>
            <w:tcMar>
              <w:top w:w="30" w:type="dxa"/>
              <w:left w:w="20" w:type="dxa"/>
              <w:bottom w:w="30" w:type="dxa"/>
              <w:right w:w="20" w:type="dxa"/>
            </w:tcMar>
            <w:vAlign w:val="bottom"/>
            <w:hideMark/>
          </w:tcPr>
          <w:p w:rsidR="00000000" w:rsidRDefault="00C668B1">
            <w:pPr>
              <w:spacing w:after="100"/>
              <w:rPr>
                <w:rFonts w:eastAsia="Times New Roman"/>
              </w:rPr>
            </w:pPr>
            <w:r>
              <w:rPr>
                <w:rFonts w:eastAsia="Times New Roman"/>
                <w:color w:val="000000"/>
                <w:sz w:val="20"/>
                <w:szCs w:val="20"/>
              </w:rPr>
              <w:t> </w:t>
            </w:r>
          </w:p>
        </w:tc>
      </w:tr>
    </w:tbl>
    <w:p w:rsidR="00000000" w:rsidRDefault="00C668B1">
      <w:pPr>
        <w:ind w:firstLine="180"/>
        <w:divId w:val="1757239901"/>
        <w:rPr>
          <w:rFonts w:eastAsia="Times New Roman"/>
        </w:rPr>
      </w:pPr>
    </w:p>
    <w:p w:rsidR="00C668B1" w:rsidRDefault="00C668B1">
      <w:pPr>
        <w:jc w:val="center"/>
        <w:divId w:val="987589249"/>
        <w:rPr>
          <w:rFonts w:eastAsia="Times New Roman"/>
        </w:rPr>
      </w:pPr>
      <w:r>
        <w:rPr>
          <w:rFonts w:eastAsia="Times New Roman"/>
          <w:color w:val="000000"/>
        </w:rPr>
        <w:t>35</w:t>
      </w:r>
    </w:p>
    <w:sectPr w:rsidR="00C668B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68B1"/>
    <w:rsid w:val="00C668B1"/>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w3.org/1999/xlink"/>
  <w:attachedSchema w:val="http://xbrl.org/2006/xbrldi"/>
  <w:attachedSchema w:val="http://fasb.org/us-gaap/2022"/>
  <w:attachedSchema w:val="http://www.xbrl.org/2013/inlineXBRL"/>
  <w:attachedSchema w:val="http://xbrl.sec.gov/dei/2022"/>
  <w:attachedSchema w:val="http://fasb.org/srt/2022"/>
  <w:attachedSchema w:val="http://www.contexttherapeutics.com/20220930"/>
  <w:attachedSchema w:val="http://www.sec.gov/inlineXBRL/transformation/2015-08-31"/>
  <w:attachedSchema w:val="http://www.xbrl.org/2003/iso4217"/>
  <w:attachedSchema w:val="http://www.xbrl.org/2003/instance"/>
  <w:attachedSchema w:val="http://www.xbrl.org/inlineXBRL/transformation/2020-02-1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64">
      <w:marLeft w:val="0"/>
      <w:marRight w:val="0"/>
      <w:marTop w:val="120"/>
      <w:marBottom w:val="0"/>
      <w:divBdr>
        <w:top w:val="none" w:sz="0" w:space="0" w:color="auto"/>
        <w:left w:val="none" w:sz="0" w:space="0" w:color="auto"/>
        <w:bottom w:val="none" w:sz="0" w:space="0" w:color="auto"/>
        <w:right w:val="none" w:sz="0" w:space="0" w:color="auto"/>
      </w:divBdr>
    </w:div>
    <w:div w:id="3946246">
      <w:marLeft w:val="0"/>
      <w:marRight w:val="0"/>
      <w:marTop w:val="0"/>
      <w:marBottom w:val="0"/>
      <w:divBdr>
        <w:top w:val="none" w:sz="0" w:space="0" w:color="auto"/>
        <w:left w:val="none" w:sz="0" w:space="0" w:color="auto"/>
        <w:bottom w:val="none" w:sz="0" w:space="0" w:color="auto"/>
        <w:right w:val="none" w:sz="0" w:space="0" w:color="auto"/>
      </w:divBdr>
    </w:div>
    <w:div w:id="9378078">
      <w:marLeft w:val="0"/>
      <w:marRight w:val="0"/>
      <w:marTop w:val="0"/>
      <w:marBottom w:val="0"/>
      <w:divBdr>
        <w:top w:val="none" w:sz="0" w:space="0" w:color="auto"/>
        <w:left w:val="none" w:sz="0" w:space="0" w:color="auto"/>
        <w:bottom w:val="none" w:sz="0" w:space="0" w:color="auto"/>
        <w:right w:val="none" w:sz="0" w:space="0" w:color="auto"/>
      </w:divBdr>
    </w:div>
    <w:div w:id="10423617">
      <w:marLeft w:val="0"/>
      <w:marRight w:val="0"/>
      <w:marTop w:val="0"/>
      <w:marBottom w:val="0"/>
      <w:divBdr>
        <w:top w:val="none" w:sz="0" w:space="0" w:color="auto"/>
        <w:left w:val="none" w:sz="0" w:space="0" w:color="auto"/>
        <w:bottom w:val="none" w:sz="0" w:space="0" w:color="auto"/>
        <w:right w:val="none" w:sz="0" w:space="0" w:color="auto"/>
      </w:divBdr>
    </w:div>
    <w:div w:id="16123348">
      <w:marLeft w:val="0"/>
      <w:marRight w:val="0"/>
      <w:marTop w:val="0"/>
      <w:marBottom w:val="0"/>
      <w:divBdr>
        <w:top w:val="none" w:sz="0" w:space="0" w:color="auto"/>
        <w:left w:val="none" w:sz="0" w:space="0" w:color="auto"/>
        <w:bottom w:val="none" w:sz="0" w:space="0" w:color="auto"/>
        <w:right w:val="none" w:sz="0" w:space="0" w:color="auto"/>
      </w:divBdr>
    </w:div>
    <w:div w:id="23554114">
      <w:marLeft w:val="0"/>
      <w:marRight w:val="0"/>
      <w:marTop w:val="0"/>
      <w:marBottom w:val="0"/>
      <w:divBdr>
        <w:top w:val="none" w:sz="0" w:space="0" w:color="auto"/>
        <w:left w:val="none" w:sz="0" w:space="0" w:color="auto"/>
        <w:bottom w:val="none" w:sz="0" w:space="0" w:color="auto"/>
        <w:right w:val="none" w:sz="0" w:space="0" w:color="auto"/>
      </w:divBdr>
      <w:divsChild>
        <w:div w:id="1776516425">
          <w:marLeft w:val="0"/>
          <w:marRight w:val="0"/>
          <w:marTop w:val="0"/>
          <w:marBottom w:val="0"/>
          <w:divBdr>
            <w:top w:val="none" w:sz="0" w:space="0" w:color="auto"/>
            <w:left w:val="none" w:sz="0" w:space="0" w:color="auto"/>
            <w:bottom w:val="none" w:sz="0" w:space="0" w:color="auto"/>
            <w:right w:val="none" w:sz="0" w:space="0" w:color="auto"/>
          </w:divBdr>
        </w:div>
      </w:divsChild>
    </w:div>
    <w:div w:id="24137845">
      <w:marLeft w:val="0"/>
      <w:marRight w:val="0"/>
      <w:marTop w:val="120"/>
      <w:marBottom w:val="0"/>
      <w:divBdr>
        <w:top w:val="none" w:sz="0" w:space="0" w:color="auto"/>
        <w:left w:val="none" w:sz="0" w:space="0" w:color="auto"/>
        <w:bottom w:val="none" w:sz="0" w:space="0" w:color="auto"/>
        <w:right w:val="none" w:sz="0" w:space="0" w:color="auto"/>
      </w:divBdr>
    </w:div>
    <w:div w:id="27149741">
      <w:marLeft w:val="0"/>
      <w:marRight w:val="0"/>
      <w:marTop w:val="0"/>
      <w:marBottom w:val="0"/>
      <w:divBdr>
        <w:top w:val="none" w:sz="0" w:space="0" w:color="auto"/>
        <w:left w:val="none" w:sz="0" w:space="0" w:color="auto"/>
        <w:bottom w:val="none" w:sz="0" w:space="0" w:color="auto"/>
        <w:right w:val="none" w:sz="0" w:space="0" w:color="auto"/>
      </w:divBdr>
      <w:divsChild>
        <w:div w:id="1848206129">
          <w:marLeft w:val="0"/>
          <w:marRight w:val="0"/>
          <w:marTop w:val="0"/>
          <w:marBottom w:val="0"/>
          <w:divBdr>
            <w:top w:val="none" w:sz="0" w:space="0" w:color="auto"/>
            <w:left w:val="none" w:sz="0" w:space="0" w:color="auto"/>
            <w:bottom w:val="none" w:sz="0" w:space="0" w:color="auto"/>
            <w:right w:val="none" w:sz="0" w:space="0" w:color="auto"/>
          </w:divBdr>
        </w:div>
      </w:divsChild>
    </w:div>
    <w:div w:id="28067366">
      <w:marLeft w:val="0"/>
      <w:marRight w:val="0"/>
      <w:marTop w:val="120"/>
      <w:marBottom w:val="0"/>
      <w:divBdr>
        <w:top w:val="none" w:sz="0" w:space="0" w:color="auto"/>
        <w:left w:val="none" w:sz="0" w:space="0" w:color="auto"/>
        <w:bottom w:val="none" w:sz="0" w:space="0" w:color="auto"/>
        <w:right w:val="none" w:sz="0" w:space="0" w:color="auto"/>
      </w:divBdr>
    </w:div>
    <w:div w:id="32510839">
      <w:marLeft w:val="0"/>
      <w:marRight w:val="0"/>
      <w:marTop w:val="0"/>
      <w:marBottom w:val="0"/>
      <w:divBdr>
        <w:top w:val="none" w:sz="0" w:space="0" w:color="auto"/>
        <w:left w:val="none" w:sz="0" w:space="0" w:color="auto"/>
        <w:bottom w:val="none" w:sz="0" w:space="0" w:color="auto"/>
        <w:right w:val="none" w:sz="0" w:space="0" w:color="auto"/>
      </w:divBdr>
    </w:div>
    <w:div w:id="34743976">
      <w:marLeft w:val="0"/>
      <w:marRight w:val="0"/>
      <w:marTop w:val="0"/>
      <w:marBottom w:val="0"/>
      <w:divBdr>
        <w:top w:val="none" w:sz="0" w:space="0" w:color="auto"/>
        <w:left w:val="none" w:sz="0" w:space="0" w:color="auto"/>
        <w:bottom w:val="none" w:sz="0" w:space="0" w:color="auto"/>
        <w:right w:val="none" w:sz="0" w:space="0" w:color="auto"/>
      </w:divBdr>
    </w:div>
    <w:div w:id="52240348">
      <w:marLeft w:val="0"/>
      <w:marRight w:val="0"/>
      <w:marTop w:val="0"/>
      <w:marBottom w:val="0"/>
      <w:divBdr>
        <w:top w:val="none" w:sz="0" w:space="0" w:color="auto"/>
        <w:left w:val="none" w:sz="0" w:space="0" w:color="auto"/>
        <w:bottom w:val="none" w:sz="0" w:space="0" w:color="auto"/>
        <w:right w:val="none" w:sz="0" w:space="0" w:color="auto"/>
      </w:divBdr>
    </w:div>
    <w:div w:id="57671766">
      <w:marLeft w:val="0"/>
      <w:marRight w:val="0"/>
      <w:marTop w:val="0"/>
      <w:marBottom w:val="0"/>
      <w:divBdr>
        <w:top w:val="none" w:sz="0" w:space="0" w:color="auto"/>
        <w:left w:val="none" w:sz="0" w:space="0" w:color="auto"/>
        <w:bottom w:val="none" w:sz="0" w:space="0" w:color="auto"/>
        <w:right w:val="none" w:sz="0" w:space="0" w:color="auto"/>
      </w:divBdr>
      <w:divsChild>
        <w:div w:id="1921677027">
          <w:marLeft w:val="0"/>
          <w:marRight w:val="0"/>
          <w:marTop w:val="0"/>
          <w:marBottom w:val="0"/>
          <w:divBdr>
            <w:top w:val="none" w:sz="0" w:space="0" w:color="auto"/>
            <w:left w:val="none" w:sz="0" w:space="0" w:color="auto"/>
            <w:bottom w:val="none" w:sz="0" w:space="0" w:color="auto"/>
            <w:right w:val="none" w:sz="0" w:space="0" w:color="auto"/>
          </w:divBdr>
        </w:div>
      </w:divsChild>
    </w:div>
    <w:div w:id="58795881">
      <w:marLeft w:val="0"/>
      <w:marRight w:val="0"/>
      <w:marTop w:val="240"/>
      <w:marBottom w:val="0"/>
      <w:divBdr>
        <w:top w:val="none" w:sz="0" w:space="0" w:color="auto"/>
        <w:left w:val="none" w:sz="0" w:space="0" w:color="auto"/>
        <w:bottom w:val="none" w:sz="0" w:space="0" w:color="auto"/>
        <w:right w:val="none" w:sz="0" w:space="0" w:color="auto"/>
      </w:divBdr>
    </w:div>
    <w:div w:id="60762929">
      <w:marLeft w:val="0"/>
      <w:marRight w:val="0"/>
      <w:marTop w:val="120"/>
      <w:marBottom w:val="0"/>
      <w:divBdr>
        <w:top w:val="none" w:sz="0" w:space="0" w:color="auto"/>
        <w:left w:val="none" w:sz="0" w:space="0" w:color="auto"/>
        <w:bottom w:val="none" w:sz="0" w:space="0" w:color="auto"/>
        <w:right w:val="none" w:sz="0" w:space="0" w:color="auto"/>
      </w:divBdr>
    </w:div>
    <w:div w:id="63843863">
      <w:marLeft w:val="0"/>
      <w:marRight w:val="0"/>
      <w:marTop w:val="120"/>
      <w:marBottom w:val="0"/>
      <w:divBdr>
        <w:top w:val="none" w:sz="0" w:space="0" w:color="auto"/>
        <w:left w:val="none" w:sz="0" w:space="0" w:color="auto"/>
        <w:bottom w:val="none" w:sz="0" w:space="0" w:color="auto"/>
        <w:right w:val="none" w:sz="0" w:space="0" w:color="auto"/>
      </w:divBdr>
    </w:div>
    <w:div w:id="65230420">
      <w:marLeft w:val="0"/>
      <w:marRight w:val="0"/>
      <w:marTop w:val="120"/>
      <w:marBottom w:val="0"/>
      <w:divBdr>
        <w:top w:val="none" w:sz="0" w:space="0" w:color="auto"/>
        <w:left w:val="none" w:sz="0" w:space="0" w:color="auto"/>
        <w:bottom w:val="none" w:sz="0" w:space="0" w:color="auto"/>
        <w:right w:val="none" w:sz="0" w:space="0" w:color="auto"/>
      </w:divBdr>
    </w:div>
    <w:div w:id="66727084">
      <w:marLeft w:val="0"/>
      <w:marRight w:val="0"/>
      <w:marTop w:val="120"/>
      <w:marBottom w:val="0"/>
      <w:divBdr>
        <w:top w:val="none" w:sz="0" w:space="0" w:color="auto"/>
        <w:left w:val="none" w:sz="0" w:space="0" w:color="auto"/>
        <w:bottom w:val="none" w:sz="0" w:space="0" w:color="auto"/>
        <w:right w:val="none" w:sz="0" w:space="0" w:color="auto"/>
      </w:divBdr>
    </w:div>
    <w:div w:id="67963425">
      <w:marLeft w:val="0"/>
      <w:marRight w:val="0"/>
      <w:marTop w:val="120"/>
      <w:marBottom w:val="0"/>
      <w:divBdr>
        <w:top w:val="none" w:sz="0" w:space="0" w:color="auto"/>
        <w:left w:val="none" w:sz="0" w:space="0" w:color="auto"/>
        <w:bottom w:val="none" w:sz="0" w:space="0" w:color="auto"/>
        <w:right w:val="none" w:sz="0" w:space="0" w:color="auto"/>
      </w:divBdr>
    </w:div>
    <w:div w:id="73861181">
      <w:marLeft w:val="0"/>
      <w:marRight w:val="0"/>
      <w:marTop w:val="120"/>
      <w:marBottom w:val="0"/>
      <w:divBdr>
        <w:top w:val="none" w:sz="0" w:space="0" w:color="auto"/>
        <w:left w:val="none" w:sz="0" w:space="0" w:color="auto"/>
        <w:bottom w:val="none" w:sz="0" w:space="0" w:color="auto"/>
        <w:right w:val="none" w:sz="0" w:space="0" w:color="auto"/>
      </w:divBdr>
    </w:div>
    <w:div w:id="82460079">
      <w:marLeft w:val="0"/>
      <w:marRight w:val="0"/>
      <w:marTop w:val="1"/>
      <w:marBottom w:val="1"/>
      <w:divBdr>
        <w:top w:val="none" w:sz="0" w:space="0" w:color="auto"/>
        <w:left w:val="none" w:sz="0" w:space="0" w:color="auto"/>
        <w:bottom w:val="none" w:sz="0" w:space="0" w:color="auto"/>
        <w:right w:val="none" w:sz="0" w:space="0" w:color="auto"/>
      </w:divBdr>
    </w:div>
    <w:div w:id="93212844">
      <w:marLeft w:val="0"/>
      <w:marRight w:val="0"/>
      <w:marTop w:val="1"/>
      <w:marBottom w:val="1"/>
      <w:divBdr>
        <w:top w:val="none" w:sz="0" w:space="0" w:color="auto"/>
        <w:left w:val="none" w:sz="0" w:space="0" w:color="auto"/>
        <w:bottom w:val="none" w:sz="0" w:space="0" w:color="auto"/>
        <w:right w:val="none" w:sz="0" w:space="0" w:color="auto"/>
      </w:divBdr>
    </w:div>
    <w:div w:id="95298595">
      <w:marLeft w:val="0"/>
      <w:marRight w:val="0"/>
      <w:marTop w:val="0"/>
      <w:marBottom w:val="0"/>
      <w:divBdr>
        <w:top w:val="none" w:sz="0" w:space="0" w:color="auto"/>
        <w:left w:val="none" w:sz="0" w:space="0" w:color="auto"/>
        <w:bottom w:val="none" w:sz="0" w:space="0" w:color="auto"/>
        <w:right w:val="none" w:sz="0" w:space="0" w:color="auto"/>
      </w:divBdr>
    </w:div>
    <w:div w:id="110175704">
      <w:marLeft w:val="0"/>
      <w:marRight w:val="0"/>
      <w:marTop w:val="0"/>
      <w:marBottom w:val="120"/>
      <w:divBdr>
        <w:top w:val="none" w:sz="0" w:space="0" w:color="auto"/>
        <w:left w:val="none" w:sz="0" w:space="0" w:color="auto"/>
        <w:bottom w:val="none" w:sz="0" w:space="0" w:color="auto"/>
        <w:right w:val="none" w:sz="0" w:space="0" w:color="auto"/>
      </w:divBdr>
    </w:div>
    <w:div w:id="112480497">
      <w:marLeft w:val="0"/>
      <w:marRight w:val="0"/>
      <w:marTop w:val="120"/>
      <w:marBottom w:val="0"/>
      <w:divBdr>
        <w:top w:val="none" w:sz="0" w:space="0" w:color="auto"/>
        <w:left w:val="none" w:sz="0" w:space="0" w:color="auto"/>
        <w:bottom w:val="none" w:sz="0" w:space="0" w:color="auto"/>
        <w:right w:val="none" w:sz="0" w:space="0" w:color="auto"/>
      </w:divBdr>
    </w:div>
    <w:div w:id="125048823">
      <w:marLeft w:val="0"/>
      <w:marRight w:val="0"/>
      <w:marTop w:val="120"/>
      <w:marBottom w:val="0"/>
      <w:divBdr>
        <w:top w:val="none" w:sz="0" w:space="0" w:color="auto"/>
        <w:left w:val="none" w:sz="0" w:space="0" w:color="auto"/>
        <w:bottom w:val="none" w:sz="0" w:space="0" w:color="auto"/>
        <w:right w:val="none" w:sz="0" w:space="0" w:color="auto"/>
      </w:divBdr>
    </w:div>
    <w:div w:id="127941940">
      <w:marLeft w:val="0"/>
      <w:marRight w:val="0"/>
      <w:marTop w:val="120"/>
      <w:marBottom w:val="0"/>
      <w:divBdr>
        <w:top w:val="none" w:sz="0" w:space="0" w:color="auto"/>
        <w:left w:val="none" w:sz="0" w:space="0" w:color="auto"/>
        <w:bottom w:val="none" w:sz="0" w:space="0" w:color="auto"/>
        <w:right w:val="none" w:sz="0" w:space="0" w:color="auto"/>
      </w:divBdr>
    </w:div>
    <w:div w:id="130174153">
      <w:marLeft w:val="0"/>
      <w:marRight w:val="0"/>
      <w:marTop w:val="0"/>
      <w:marBottom w:val="0"/>
      <w:divBdr>
        <w:top w:val="none" w:sz="0" w:space="0" w:color="auto"/>
        <w:left w:val="none" w:sz="0" w:space="0" w:color="auto"/>
        <w:bottom w:val="none" w:sz="0" w:space="0" w:color="auto"/>
        <w:right w:val="none" w:sz="0" w:space="0" w:color="auto"/>
      </w:divBdr>
    </w:div>
    <w:div w:id="149055102">
      <w:marLeft w:val="0"/>
      <w:marRight w:val="0"/>
      <w:marTop w:val="1"/>
      <w:marBottom w:val="1"/>
      <w:divBdr>
        <w:top w:val="none" w:sz="0" w:space="0" w:color="auto"/>
        <w:left w:val="none" w:sz="0" w:space="0" w:color="auto"/>
        <w:bottom w:val="none" w:sz="0" w:space="0" w:color="auto"/>
        <w:right w:val="none" w:sz="0" w:space="0" w:color="auto"/>
      </w:divBdr>
    </w:div>
    <w:div w:id="162356770">
      <w:marLeft w:val="0"/>
      <w:marRight w:val="0"/>
      <w:marTop w:val="240"/>
      <w:marBottom w:val="0"/>
      <w:divBdr>
        <w:top w:val="none" w:sz="0" w:space="0" w:color="auto"/>
        <w:left w:val="none" w:sz="0" w:space="0" w:color="auto"/>
        <w:bottom w:val="none" w:sz="0" w:space="0" w:color="auto"/>
        <w:right w:val="none" w:sz="0" w:space="0" w:color="auto"/>
      </w:divBdr>
    </w:div>
    <w:div w:id="165705048">
      <w:marLeft w:val="0"/>
      <w:marRight w:val="0"/>
      <w:marTop w:val="120"/>
      <w:marBottom w:val="0"/>
      <w:divBdr>
        <w:top w:val="none" w:sz="0" w:space="0" w:color="auto"/>
        <w:left w:val="none" w:sz="0" w:space="0" w:color="auto"/>
        <w:bottom w:val="none" w:sz="0" w:space="0" w:color="auto"/>
        <w:right w:val="none" w:sz="0" w:space="0" w:color="auto"/>
      </w:divBdr>
    </w:div>
    <w:div w:id="168176141">
      <w:marLeft w:val="0"/>
      <w:marRight w:val="0"/>
      <w:marTop w:val="0"/>
      <w:marBottom w:val="0"/>
      <w:divBdr>
        <w:top w:val="none" w:sz="0" w:space="0" w:color="auto"/>
        <w:left w:val="none" w:sz="0" w:space="0" w:color="auto"/>
        <w:bottom w:val="none" w:sz="0" w:space="0" w:color="auto"/>
        <w:right w:val="none" w:sz="0" w:space="0" w:color="auto"/>
      </w:divBdr>
    </w:div>
    <w:div w:id="168373268">
      <w:marLeft w:val="0"/>
      <w:marRight w:val="0"/>
      <w:marTop w:val="120"/>
      <w:marBottom w:val="0"/>
      <w:divBdr>
        <w:top w:val="none" w:sz="0" w:space="0" w:color="auto"/>
        <w:left w:val="none" w:sz="0" w:space="0" w:color="auto"/>
        <w:bottom w:val="none" w:sz="0" w:space="0" w:color="auto"/>
        <w:right w:val="none" w:sz="0" w:space="0" w:color="auto"/>
      </w:divBdr>
    </w:div>
    <w:div w:id="173811937">
      <w:marLeft w:val="0"/>
      <w:marRight w:val="0"/>
      <w:marTop w:val="0"/>
      <w:marBottom w:val="0"/>
      <w:divBdr>
        <w:top w:val="none" w:sz="0" w:space="0" w:color="auto"/>
        <w:left w:val="none" w:sz="0" w:space="0" w:color="auto"/>
        <w:bottom w:val="none" w:sz="0" w:space="0" w:color="auto"/>
        <w:right w:val="none" w:sz="0" w:space="0" w:color="auto"/>
      </w:divBdr>
    </w:div>
    <w:div w:id="180051754">
      <w:marLeft w:val="0"/>
      <w:marRight w:val="0"/>
      <w:marTop w:val="120"/>
      <w:marBottom w:val="0"/>
      <w:divBdr>
        <w:top w:val="none" w:sz="0" w:space="0" w:color="auto"/>
        <w:left w:val="none" w:sz="0" w:space="0" w:color="auto"/>
        <w:bottom w:val="none" w:sz="0" w:space="0" w:color="auto"/>
        <w:right w:val="none" w:sz="0" w:space="0" w:color="auto"/>
      </w:divBdr>
    </w:div>
    <w:div w:id="192767170">
      <w:marLeft w:val="0"/>
      <w:marRight w:val="0"/>
      <w:marTop w:val="0"/>
      <w:marBottom w:val="0"/>
      <w:divBdr>
        <w:top w:val="none" w:sz="0" w:space="0" w:color="auto"/>
        <w:left w:val="none" w:sz="0" w:space="0" w:color="auto"/>
        <w:bottom w:val="none" w:sz="0" w:space="0" w:color="auto"/>
        <w:right w:val="none" w:sz="0" w:space="0" w:color="auto"/>
      </w:divBdr>
    </w:div>
    <w:div w:id="193616620">
      <w:marLeft w:val="0"/>
      <w:marRight w:val="0"/>
      <w:marTop w:val="0"/>
      <w:marBottom w:val="0"/>
      <w:divBdr>
        <w:top w:val="none" w:sz="0" w:space="0" w:color="auto"/>
        <w:left w:val="none" w:sz="0" w:space="0" w:color="auto"/>
        <w:bottom w:val="none" w:sz="0" w:space="0" w:color="auto"/>
        <w:right w:val="none" w:sz="0" w:space="0" w:color="auto"/>
      </w:divBdr>
    </w:div>
    <w:div w:id="194734214">
      <w:marLeft w:val="0"/>
      <w:marRight w:val="0"/>
      <w:marTop w:val="0"/>
      <w:marBottom w:val="0"/>
      <w:divBdr>
        <w:top w:val="none" w:sz="0" w:space="0" w:color="auto"/>
        <w:left w:val="none" w:sz="0" w:space="0" w:color="auto"/>
        <w:bottom w:val="none" w:sz="0" w:space="0" w:color="auto"/>
        <w:right w:val="none" w:sz="0" w:space="0" w:color="auto"/>
      </w:divBdr>
    </w:div>
    <w:div w:id="196089535">
      <w:marLeft w:val="0"/>
      <w:marRight w:val="0"/>
      <w:marTop w:val="0"/>
      <w:marBottom w:val="0"/>
      <w:divBdr>
        <w:top w:val="none" w:sz="0" w:space="0" w:color="auto"/>
        <w:left w:val="none" w:sz="0" w:space="0" w:color="auto"/>
        <w:bottom w:val="none" w:sz="0" w:space="0" w:color="auto"/>
        <w:right w:val="none" w:sz="0" w:space="0" w:color="auto"/>
      </w:divBdr>
      <w:divsChild>
        <w:div w:id="708338398">
          <w:marLeft w:val="0"/>
          <w:marRight w:val="0"/>
          <w:marTop w:val="0"/>
          <w:marBottom w:val="0"/>
          <w:divBdr>
            <w:top w:val="none" w:sz="0" w:space="0" w:color="auto"/>
            <w:left w:val="none" w:sz="0" w:space="0" w:color="auto"/>
            <w:bottom w:val="none" w:sz="0" w:space="0" w:color="auto"/>
            <w:right w:val="none" w:sz="0" w:space="0" w:color="auto"/>
          </w:divBdr>
        </w:div>
      </w:divsChild>
    </w:div>
    <w:div w:id="199169956">
      <w:marLeft w:val="0"/>
      <w:marRight w:val="0"/>
      <w:marTop w:val="120"/>
      <w:marBottom w:val="0"/>
      <w:divBdr>
        <w:top w:val="none" w:sz="0" w:space="0" w:color="auto"/>
        <w:left w:val="none" w:sz="0" w:space="0" w:color="auto"/>
        <w:bottom w:val="none" w:sz="0" w:space="0" w:color="auto"/>
        <w:right w:val="none" w:sz="0" w:space="0" w:color="auto"/>
      </w:divBdr>
    </w:div>
    <w:div w:id="205992708">
      <w:marLeft w:val="0"/>
      <w:marRight w:val="0"/>
      <w:marTop w:val="240"/>
      <w:marBottom w:val="1"/>
      <w:divBdr>
        <w:top w:val="none" w:sz="0" w:space="0" w:color="auto"/>
        <w:left w:val="none" w:sz="0" w:space="0" w:color="auto"/>
        <w:bottom w:val="none" w:sz="0" w:space="0" w:color="auto"/>
        <w:right w:val="none" w:sz="0" w:space="0" w:color="auto"/>
      </w:divBdr>
    </w:div>
    <w:div w:id="208347735">
      <w:marLeft w:val="0"/>
      <w:marRight w:val="0"/>
      <w:marTop w:val="120"/>
      <w:marBottom w:val="0"/>
      <w:divBdr>
        <w:top w:val="none" w:sz="0" w:space="0" w:color="auto"/>
        <w:left w:val="none" w:sz="0" w:space="0" w:color="auto"/>
        <w:bottom w:val="none" w:sz="0" w:space="0" w:color="auto"/>
        <w:right w:val="none" w:sz="0" w:space="0" w:color="auto"/>
      </w:divBdr>
    </w:div>
    <w:div w:id="209076064">
      <w:marLeft w:val="0"/>
      <w:marRight w:val="0"/>
      <w:marTop w:val="0"/>
      <w:marBottom w:val="0"/>
      <w:divBdr>
        <w:top w:val="none" w:sz="0" w:space="0" w:color="auto"/>
        <w:left w:val="none" w:sz="0" w:space="0" w:color="auto"/>
        <w:bottom w:val="none" w:sz="0" w:space="0" w:color="auto"/>
        <w:right w:val="none" w:sz="0" w:space="0" w:color="auto"/>
      </w:divBdr>
    </w:div>
    <w:div w:id="210044640">
      <w:marLeft w:val="0"/>
      <w:marRight w:val="0"/>
      <w:marTop w:val="1"/>
      <w:marBottom w:val="1"/>
      <w:divBdr>
        <w:top w:val="none" w:sz="0" w:space="0" w:color="auto"/>
        <w:left w:val="none" w:sz="0" w:space="0" w:color="auto"/>
        <w:bottom w:val="none" w:sz="0" w:space="0" w:color="auto"/>
        <w:right w:val="none" w:sz="0" w:space="0" w:color="auto"/>
      </w:divBdr>
    </w:div>
    <w:div w:id="213590602">
      <w:marLeft w:val="0"/>
      <w:marRight w:val="0"/>
      <w:marTop w:val="180"/>
      <w:marBottom w:val="0"/>
      <w:divBdr>
        <w:top w:val="none" w:sz="0" w:space="0" w:color="auto"/>
        <w:left w:val="none" w:sz="0" w:space="0" w:color="auto"/>
        <w:bottom w:val="none" w:sz="0" w:space="0" w:color="auto"/>
        <w:right w:val="none" w:sz="0" w:space="0" w:color="auto"/>
      </w:divBdr>
    </w:div>
    <w:div w:id="213733244">
      <w:marLeft w:val="0"/>
      <w:marRight w:val="0"/>
      <w:marTop w:val="1"/>
      <w:marBottom w:val="1"/>
      <w:divBdr>
        <w:top w:val="none" w:sz="0" w:space="0" w:color="auto"/>
        <w:left w:val="none" w:sz="0" w:space="0" w:color="auto"/>
        <w:bottom w:val="none" w:sz="0" w:space="0" w:color="auto"/>
        <w:right w:val="none" w:sz="0" w:space="0" w:color="auto"/>
      </w:divBdr>
    </w:div>
    <w:div w:id="213976667">
      <w:marLeft w:val="0"/>
      <w:marRight w:val="0"/>
      <w:marTop w:val="0"/>
      <w:marBottom w:val="0"/>
      <w:divBdr>
        <w:top w:val="none" w:sz="0" w:space="0" w:color="auto"/>
        <w:left w:val="none" w:sz="0" w:space="0" w:color="auto"/>
        <w:bottom w:val="none" w:sz="0" w:space="0" w:color="auto"/>
        <w:right w:val="none" w:sz="0" w:space="0" w:color="auto"/>
      </w:divBdr>
      <w:divsChild>
        <w:div w:id="13725487">
          <w:marLeft w:val="0"/>
          <w:marRight w:val="0"/>
          <w:marTop w:val="0"/>
          <w:marBottom w:val="0"/>
          <w:divBdr>
            <w:top w:val="none" w:sz="0" w:space="0" w:color="auto"/>
            <w:left w:val="none" w:sz="0" w:space="0" w:color="auto"/>
            <w:bottom w:val="none" w:sz="0" w:space="0" w:color="auto"/>
            <w:right w:val="none" w:sz="0" w:space="0" w:color="auto"/>
          </w:divBdr>
        </w:div>
      </w:divsChild>
    </w:div>
    <w:div w:id="222184777">
      <w:marLeft w:val="0"/>
      <w:marRight w:val="0"/>
      <w:marTop w:val="120"/>
      <w:marBottom w:val="0"/>
      <w:divBdr>
        <w:top w:val="none" w:sz="0" w:space="0" w:color="auto"/>
        <w:left w:val="none" w:sz="0" w:space="0" w:color="auto"/>
        <w:bottom w:val="none" w:sz="0" w:space="0" w:color="auto"/>
        <w:right w:val="none" w:sz="0" w:space="0" w:color="auto"/>
      </w:divBdr>
    </w:div>
    <w:div w:id="227958187">
      <w:marLeft w:val="0"/>
      <w:marRight w:val="0"/>
      <w:marTop w:val="0"/>
      <w:marBottom w:val="0"/>
      <w:divBdr>
        <w:top w:val="none" w:sz="0" w:space="0" w:color="auto"/>
        <w:left w:val="none" w:sz="0" w:space="0" w:color="auto"/>
        <w:bottom w:val="none" w:sz="0" w:space="0" w:color="auto"/>
        <w:right w:val="none" w:sz="0" w:space="0" w:color="auto"/>
      </w:divBdr>
    </w:div>
    <w:div w:id="229466707">
      <w:marLeft w:val="0"/>
      <w:marRight w:val="0"/>
      <w:marTop w:val="120"/>
      <w:marBottom w:val="0"/>
      <w:divBdr>
        <w:top w:val="none" w:sz="0" w:space="0" w:color="auto"/>
        <w:left w:val="none" w:sz="0" w:space="0" w:color="auto"/>
        <w:bottom w:val="none" w:sz="0" w:space="0" w:color="auto"/>
        <w:right w:val="none" w:sz="0" w:space="0" w:color="auto"/>
      </w:divBdr>
    </w:div>
    <w:div w:id="242686259">
      <w:marLeft w:val="0"/>
      <w:marRight w:val="0"/>
      <w:marTop w:val="0"/>
      <w:marBottom w:val="0"/>
      <w:divBdr>
        <w:top w:val="none" w:sz="0" w:space="0" w:color="auto"/>
        <w:left w:val="none" w:sz="0" w:space="0" w:color="auto"/>
        <w:bottom w:val="none" w:sz="0" w:space="0" w:color="auto"/>
        <w:right w:val="none" w:sz="0" w:space="0" w:color="auto"/>
      </w:divBdr>
      <w:divsChild>
        <w:div w:id="1013259920">
          <w:marLeft w:val="0"/>
          <w:marRight w:val="0"/>
          <w:marTop w:val="0"/>
          <w:marBottom w:val="0"/>
          <w:divBdr>
            <w:top w:val="none" w:sz="0" w:space="0" w:color="auto"/>
            <w:left w:val="none" w:sz="0" w:space="0" w:color="auto"/>
            <w:bottom w:val="none" w:sz="0" w:space="0" w:color="auto"/>
            <w:right w:val="none" w:sz="0" w:space="0" w:color="auto"/>
          </w:divBdr>
        </w:div>
      </w:divsChild>
    </w:div>
    <w:div w:id="246813897">
      <w:marLeft w:val="0"/>
      <w:marRight w:val="0"/>
      <w:marTop w:val="0"/>
      <w:marBottom w:val="0"/>
      <w:divBdr>
        <w:top w:val="none" w:sz="0" w:space="0" w:color="auto"/>
        <w:left w:val="none" w:sz="0" w:space="0" w:color="auto"/>
        <w:bottom w:val="none" w:sz="0" w:space="0" w:color="auto"/>
        <w:right w:val="none" w:sz="0" w:space="0" w:color="auto"/>
      </w:divBdr>
    </w:div>
    <w:div w:id="249003660">
      <w:marLeft w:val="0"/>
      <w:marRight w:val="0"/>
      <w:marTop w:val="0"/>
      <w:marBottom w:val="0"/>
      <w:divBdr>
        <w:top w:val="none" w:sz="0" w:space="0" w:color="auto"/>
        <w:left w:val="none" w:sz="0" w:space="0" w:color="auto"/>
        <w:bottom w:val="none" w:sz="0" w:space="0" w:color="auto"/>
        <w:right w:val="none" w:sz="0" w:space="0" w:color="auto"/>
      </w:divBdr>
    </w:div>
    <w:div w:id="253824089">
      <w:marLeft w:val="0"/>
      <w:marRight w:val="0"/>
      <w:marTop w:val="0"/>
      <w:marBottom w:val="0"/>
      <w:divBdr>
        <w:top w:val="none" w:sz="0" w:space="0" w:color="auto"/>
        <w:left w:val="none" w:sz="0" w:space="0" w:color="auto"/>
        <w:bottom w:val="none" w:sz="0" w:space="0" w:color="auto"/>
        <w:right w:val="none" w:sz="0" w:space="0" w:color="auto"/>
      </w:divBdr>
    </w:div>
    <w:div w:id="255141851">
      <w:marLeft w:val="0"/>
      <w:marRight w:val="0"/>
      <w:marTop w:val="120"/>
      <w:marBottom w:val="0"/>
      <w:divBdr>
        <w:top w:val="none" w:sz="0" w:space="0" w:color="auto"/>
        <w:left w:val="none" w:sz="0" w:space="0" w:color="auto"/>
        <w:bottom w:val="none" w:sz="0" w:space="0" w:color="auto"/>
        <w:right w:val="none" w:sz="0" w:space="0" w:color="auto"/>
      </w:divBdr>
    </w:div>
    <w:div w:id="266013162">
      <w:marLeft w:val="0"/>
      <w:marRight w:val="0"/>
      <w:marTop w:val="120"/>
      <w:marBottom w:val="0"/>
      <w:divBdr>
        <w:top w:val="none" w:sz="0" w:space="0" w:color="auto"/>
        <w:left w:val="none" w:sz="0" w:space="0" w:color="auto"/>
        <w:bottom w:val="none" w:sz="0" w:space="0" w:color="auto"/>
        <w:right w:val="none" w:sz="0" w:space="0" w:color="auto"/>
      </w:divBdr>
    </w:div>
    <w:div w:id="266158147">
      <w:marLeft w:val="0"/>
      <w:marRight w:val="0"/>
      <w:marTop w:val="0"/>
      <w:marBottom w:val="0"/>
      <w:divBdr>
        <w:top w:val="none" w:sz="0" w:space="0" w:color="auto"/>
        <w:left w:val="none" w:sz="0" w:space="0" w:color="auto"/>
        <w:bottom w:val="none" w:sz="0" w:space="0" w:color="auto"/>
        <w:right w:val="none" w:sz="0" w:space="0" w:color="auto"/>
      </w:divBdr>
      <w:divsChild>
        <w:div w:id="2051756555">
          <w:marLeft w:val="0"/>
          <w:marRight w:val="0"/>
          <w:marTop w:val="0"/>
          <w:marBottom w:val="0"/>
          <w:divBdr>
            <w:top w:val="none" w:sz="0" w:space="0" w:color="auto"/>
            <w:left w:val="none" w:sz="0" w:space="0" w:color="auto"/>
            <w:bottom w:val="none" w:sz="0" w:space="0" w:color="auto"/>
            <w:right w:val="none" w:sz="0" w:space="0" w:color="auto"/>
          </w:divBdr>
        </w:div>
      </w:divsChild>
    </w:div>
    <w:div w:id="269704534">
      <w:marLeft w:val="0"/>
      <w:marRight w:val="0"/>
      <w:marTop w:val="0"/>
      <w:marBottom w:val="0"/>
      <w:divBdr>
        <w:top w:val="none" w:sz="0" w:space="0" w:color="auto"/>
        <w:left w:val="none" w:sz="0" w:space="0" w:color="auto"/>
        <w:bottom w:val="none" w:sz="0" w:space="0" w:color="auto"/>
        <w:right w:val="none" w:sz="0" w:space="0" w:color="auto"/>
      </w:divBdr>
      <w:divsChild>
        <w:div w:id="1950820128">
          <w:marLeft w:val="0"/>
          <w:marRight w:val="0"/>
          <w:marTop w:val="0"/>
          <w:marBottom w:val="0"/>
          <w:divBdr>
            <w:top w:val="none" w:sz="0" w:space="0" w:color="auto"/>
            <w:left w:val="none" w:sz="0" w:space="0" w:color="auto"/>
            <w:bottom w:val="none" w:sz="0" w:space="0" w:color="auto"/>
            <w:right w:val="none" w:sz="0" w:space="0" w:color="auto"/>
          </w:divBdr>
        </w:div>
      </w:divsChild>
    </w:div>
    <w:div w:id="284233385">
      <w:marLeft w:val="0"/>
      <w:marRight w:val="0"/>
      <w:marTop w:val="120"/>
      <w:marBottom w:val="0"/>
      <w:divBdr>
        <w:top w:val="none" w:sz="0" w:space="0" w:color="auto"/>
        <w:left w:val="none" w:sz="0" w:space="0" w:color="auto"/>
        <w:bottom w:val="none" w:sz="0" w:space="0" w:color="auto"/>
        <w:right w:val="none" w:sz="0" w:space="0" w:color="auto"/>
      </w:divBdr>
    </w:div>
    <w:div w:id="300573480">
      <w:marLeft w:val="0"/>
      <w:marRight w:val="0"/>
      <w:marTop w:val="1"/>
      <w:marBottom w:val="1"/>
      <w:divBdr>
        <w:top w:val="none" w:sz="0" w:space="0" w:color="auto"/>
        <w:left w:val="none" w:sz="0" w:space="0" w:color="auto"/>
        <w:bottom w:val="none" w:sz="0" w:space="0" w:color="auto"/>
        <w:right w:val="none" w:sz="0" w:space="0" w:color="auto"/>
      </w:divBdr>
    </w:div>
    <w:div w:id="305622088">
      <w:marLeft w:val="0"/>
      <w:marRight w:val="0"/>
      <w:marTop w:val="0"/>
      <w:marBottom w:val="120"/>
      <w:divBdr>
        <w:top w:val="none" w:sz="0" w:space="0" w:color="auto"/>
        <w:left w:val="none" w:sz="0" w:space="0" w:color="auto"/>
        <w:bottom w:val="none" w:sz="0" w:space="0" w:color="auto"/>
        <w:right w:val="none" w:sz="0" w:space="0" w:color="auto"/>
      </w:divBdr>
      <w:divsChild>
        <w:div w:id="1849784216">
          <w:marLeft w:val="0"/>
          <w:marRight w:val="0"/>
          <w:marTop w:val="0"/>
          <w:marBottom w:val="0"/>
          <w:divBdr>
            <w:top w:val="none" w:sz="0" w:space="0" w:color="auto"/>
            <w:left w:val="none" w:sz="0" w:space="0" w:color="auto"/>
            <w:bottom w:val="none" w:sz="0" w:space="0" w:color="auto"/>
            <w:right w:val="none" w:sz="0" w:space="0" w:color="auto"/>
          </w:divBdr>
        </w:div>
      </w:divsChild>
    </w:div>
    <w:div w:id="312491352">
      <w:marLeft w:val="0"/>
      <w:marRight w:val="0"/>
      <w:marTop w:val="360"/>
      <w:marBottom w:val="1"/>
      <w:divBdr>
        <w:top w:val="none" w:sz="0" w:space="0" w:color="auto"/>
        <w:left w:val="none" w:sz="0" w:space="0" w:color="auto"/>
        <w:bottom w:val="none" w:sz="0" w:space="0" w:color="auto"/>
        <w:right w:val="none" w:sz="0" w:space="0" w:color="auto"/>
      </w:divBdr>
    </w:div>
    <w:div w:id="314260945">
      <w:marLeft w:val="0"/>
      <w:marRight w:val="0"/>
      <w:marTop w:val="0"/>
      <w:marBottom w:val="0"/>
      <w:divBdr>
        <w:top w:val="none" w:sz="0" w:space="0" w:color="auto"/>
        <w:left w:val="none" w:sz="0" w:space="0" w:color="auto"/>
        <w:bottom w:val="none" w:sz="0" w:space="0" w:color="auto"/>
        <w:right w:val="none" w:sz="0" w:space="0" w:color="auto"/>
      </w:divBdr>
    </w:div>
    <w:div w:id="314846731">
      <w:marLeft w:val="0"/>
      <w:marRight w:val="0"/>
      <w:marTop w:val="0"/>
      <w:marBottom w:val="0"/>
      <w:divBdr>
        <w:top w:val="none" w:sz="0" w:space="0" w:color="auto"/>
        <w:left w:val="none" w:sz="0" w:space="0" w:color="auto"/>
        <w:bottom w:val="none" w:sz="0" w:space="0" w:color="auto"/>
        <w:right w:val="none" w:sz="0" w:space="0" w:color="auto"/>
      </w:divBdr>
      <w:divsChild>
        <w:div w:id="2026327172">
          <w:marLeft w:val="0"/>
          <w:marRight w:val="0"/>
          <w:marTop w:val="0"/>
          <w:marBottom w:val="0"/>
          <w:divBdr>
            <w:top w:val="none" w:sz="0" w:space="0" w:color="auto"/>
            <w:left w:val="none" w:sz="0" w:space="0" w:color="auto"/>
            <w:bottom w:val="none" w:sz="0" w:space="0" w:color="auto"/>
            <w:right w:val="none" w:sz="0" w:space="0" w:color="auto"/>
          </w:divBdr>
        </w:div>
      </w:divsChild>
    </w:div>
    <w:div w:id="330453141">
      <w:marLeft w:val="0"/>
      <w:marRight w:val="0"/>
      <w:marTop w:val="240"/>
      <w:marBottom w:val="0"/>
      <w:divBdr>
        <w:top w:val="none" w:sz="0" w:space="0" w:color="auto"/>
        <w:left w:val="none" w:sz="0" w:space="0" w:color="auto"/>
        <w:bottom w:val="none" w:sz="0" w:space="0" w:color="auto"/>
        <w:right w:val="none" w:sz="0" w:space="0" w:color="auto"/>
      </w:divBdr>
    </w:div>
    <w:div w:id="330524428">
      <w:marLeft w:val="0"/>
      <w:marRight w:val="0"/>
      <w:marTop w:val="0"/>
      <w:marBottom w:val="0"/>
      <w:divBdr>
        <w:top w:val="none" w:sz="0" w:space="0" w:color="auto"/>
        <w:left w:val="none" w:sz="0" w:space="0" w:color="auto"/>
        <w:bottom w:val="none" w:sz="0" w:space="0" w:color="auto"/>
        <w:right w:val="none" w:sz="0" w:space="0" w:color="auto"/>
      </w:divBdr>
      <w:divsChild>
        <w:div w:id="169756134">
          <w:marLeft w:val="0"/>
          <w:marRight w:val="0"/>
          <w:marTop w:val="0"/>
          <w:marBottom w:val="0"/>
          <w:divBdr>
            <w:top w:val="none" w:sz="0" w:space="0" w:color="auto"/>
            <w:left w:val="none" w:sz="0" w:space="0" w:color="auto"/>
            <w:bottom w:val="none" w:sz="0" w:space="0" w:color="auto"/>
            <w:right w:val="none" w:sz="0" w:space="0" w:color="auto"/>
          </w:divBdr>
        </w:div>
      </w:divsChild>
    </w:div>
    <w:div w:id="341855853">
      <w:marLeft w:val="0"/>
      <w:marRight w:val="0"/>
      <w:marTop w:val="120"/>
      <w:marBottom w:val="0"/>
      <w:divBdr>
        <w:top w:val="none" w:sz="0" w:space="0" w:color="auto"/>
        <w:left w:val="none" w:sz="0" w:space="0" w:color="auto"/>
        <w:bottom w:val="none" w:sz="0" w:space="0" w:color="auto"/>
        <w:right w:val="none" w:sz="0" w:space="0" w:color="auto"/>
      </w:divBdr>
    </w:div>
    <w:div w:id="348945143">
      <w:marLeft w:val="0"/>
      <w:marRight w:val="0"/>
      <w:marTop w:val="0"/>
      <w:marBottom w:val="0"/>
      <w:divBdr>
        <w:top w:val="none" w:sz="0" w:space="0" w:color="auto"/>
        <w:left w:val="none" w:sz="0" w:space="0" w:color="auto"/>
        <w:bottom w:val="none" w:sz="0" w:space="0" w:color="auto"/>
        <w:right w:val="none" w:sz="0" w:space="0" w:color="auto"/>
      </w:divBdr>
    </w:div>
    <w:div w:id="352540938">
      <w:marLeft w:val="0"/>
      <w:marRight w:val="0"/>
      <w:marTop w:val="0"/>
      <w:marBottom w:val="0"/>
      <w:divBdr>
        <w:top w:val="none" w:sz="0" w:space="0" w:color="auto"/>
        <w:left w:val="none" w:sz="0" w:space="0" w:color="auto"/>
        <w:bottom w:val="none" w:sz="0" w:space="0" w:color="auto"/>
        <w:right w:val="none" w:sz="0" w:space="0" w:color="auto"/>
      </w:divBdr>
      <w:divsChild>
        <w:div w:id="1816874780">
          <w:marLeft w:val="0"/>
          <w:marRight w:val="0"/>
          <w:marTop w:val="0"/>
          <w:marBottom w:val="0"/>
          <w:divBdr>
            <w:top w:val="none" w:sz="0" w:space="0" w:color="auto"/>
            <w:left w:val="none" w:sz="0" w:space="0" w:color="auto"/>
            <w:bottom w:val="none" w:sz="0" w:space="0" w:color="auto"/>
            <w:right w:val="none" w:sz="0" w:space="0" w:color="auto"/>
          </w:divBdr>
        </w:div>
      </w:divsChild>
    </w:div>
    <w:div w:id="355543385">
      <w:marLeft w:val="0"/>
      <w:marRight w:val="0"/>
      <w:marTop w:val="120"/>
      <w:marBottom w:val="0"/>
      <w:divBdr>
        <w:top w:val="none" w:sz="0" w:space="0" w:color="auto"/>
        <w:left w:val="none" w:sz="0" w:space="0" w:color="auto"/>
        <w:bottom w:val="none" w:sz="0" w:space="0" w:color="auto"/>
        <w:right w:val="none" w:sz="0" w:space="0" w:color="auto"/>
      </w:divBdr>
    </w:div>
    <w:div w:id="357435079">
      <w:marLeft w:val="0"/>
      <w:marRight w:val="0"/>
      <w:marTop w:val="0"/>
      <w:marBottom w:val="0"/>
      <w:divBdr>
        <w:top w:val="none" w:sz="0" w:space="0" w:color="auto"/>
        <w:left w:val="none" w:sz="0" w:space="0" w:color="auto"/>
        <w:bottom w:val="none" w:sz="0" w:space="0" w:color="auto"/>
        <w:right w:val="none" w:sz="0" w:space="0" w:color="auto"/>
      </w:divBdr>
      <w:divsChild>
        <w:div w:id="1949727369">
          <w:marLeft w:val="0"/>
          <w:marRight w:val="0"/>
          <w:marTop w:val="0"/>
          <w:marBottom w:val="0"/>
          <w:divBdr>
            <w:top w:val="none" w:sz="0" w:space="0" w:color="auto"/>
            <w:left w:val="none" w:sz="0" w:space="0" w:color="auto"/>
            <w:bottom w:val="none" w:sz="0" w:space="0" w:color="auto"/>
            <w:right w:val="none" w:sz="0" w:space="0" w:color="auto"/>
          </w:divBdr>
        </w:div>
      </w:divsChild>
    </w:div>
    <w:div w:id="358941289">
      <w:marLeft w:val="0"/>
      <w:marRight w:val="0"/>
      <w:marTop w:val="1"/>
      <w:marBottom w:val="1"/>
      <w:divBdr>
        <w:top w:val="none" w:sz="0" w:space="0" w:color="auto"/>
        <w:left w:val="none" w:sz="0" w:space="0" w:color="auto"/>
        <w:bottom w:val="none" w:sz="0" w:space="0" w:color="auto"/>
        <w:right w:val="none" w:sz="0" w:space="0" w:color="auto"/>
      </w:divBdr>
    </w:div>
    <w:div w:id="367142380">
      <w:marLeft w:val="0"/>
      <w:marRight w:val="0"/>
      <w:marTop w:val="240"/>
      <w:marBottom w:val="0"/>
      <w:divBdr>
        <w:top w:val="none" w:sz="0" w:space="0" w:color="auto"/>
        <w:left w:val="none" w:sz="0" w:space="0" w:color="auto"/>
        <w:bottom w:val="none" w:sz="0" w:space="0" w:color="auto"/>
        <w:right w:val="none" w:sz="0" w:space="0" w:color="auto"/>
      </w:divBdr>
    </w:div>
    <w:div w:id="379793199">
      <w:marLeft w:val="0"/>
      <w:marRight w:val="0"/>
      <w:marTop w:val="0"/>
      <w:marBottom w:val="0"/>
      <w:divBdr>
        <w:top w:val="none" w:sz="0" w:space="0" w:color="auto"/>
        <w:left w:val="none" w:sz="0" w:space="0" w:color="auto"/>
        <w:bottom w:val="none" w:sz="0" w:space="0" w:color="auto"/>
        <w:right w:val="none" w:sz="0" w:space="0" w:color="auto"/>
      </w:divBdr>
    </w:div>
    <w:div w:id="382943219">
      <w:marLeft w:val="0"/>
      <w:marRight w:val="0"/>
      <w:marTop w:val="1"/>
      <w:marBottom w:val="1"/>
      <w:divBdr>
        <w:top w:val="none" w:sz="0" w:space="0" w:color="auto"/>
        <w:left w:val="none" w:sz="0" w:space="0" w:color="auto"/>
        <w:bottom w:val="none" w:sz="0" w:space="0" w:color="auto"/>
        <w:right w:val="none" w:sz="0" w:space="0" w:color="auto"/>
      </w:divBdr>
    </w:div>
    <w:div w:id="385689311">
      <w:marLeft w:val="0"/>
      <w:marRight w:val="0"/>
      <w:marTop w:val="0"/>
      <w:marBottom w:val="0"/>
      <w:divBdr>
        <w:top w:val="none" w:sz="0" w:space="0" w:color="auto"/>
        <w:left w:val="none" w:sz="0" w:space="0" w:color="auto"/>
        <w:bottom w:val="none" w:sz="0" w:space="0" w:color="auto"/>
        <w:right w:val="none" w:sz="0" w:space="0" w:color="auto"/>
      </w:divBdr>
    </w:div>
    <w:div w:id="386031638">
      <w:marLeft w:val="0"/>
      <w:marRight w:val="0"/>
      <w:marTop w:val="120"/>
      <w:marBottom w:val="0"/>
      <w:divBdr>
        <w:top w:val="none" w:sz="0" w:space="0" w:color="auto"/>
        <w:left w:val="none" w:sz="0" w:space="0" w:color="auto"/>
        <w:bottom w:val="none" w:sz="0" w:space="0" w:color="auto"/>
        <w:right w:val="none" w:sz="0" w:space="0" w:color="auto"/>
      </w:divBdr>
    </w:div>
    <w:div w:id="386532250">
      <w:marLeft w:val="0"/>
      <w:marRight w:val="0"/>
      <w:marTop w:val="120"/>
      <w:marBottom w:val="1"/>
      <w:divBdr>
        <w:top w:val="none" w:sz="0" w:space="0" w:color="auto"/>
        <w:left w:val="none" w:sz="0" w:space="0" w:color="auto"/>
        <w:bottom w:val="none" w:sz="0" w:space="0" w:color="auto"/>
        <w:right w:val="none" w:sz="0" w:space="0" w:color="auto"/>
      </w:divBdr>
    </w:div>
    <w:div w:id="387388661">
      <w:marLeft w:val="0"/>
      <w:marRight w:val="0"/>
      <w:marTop w:val="240"/>
      <w:marBottom w:val="0"/>
      <w:divBdr>
        <w:top w:val="none" w:sz="0" w:space="0" w:color="auto"/>
        <w:left w:val="none" w:sz="0" w:space="0" w:color="auto"/>
        <w:bottom w:val="none" w:sz="0" w:space="0" w:color="auto"/>
        <w:right w:val="none" w:sz="0" w:space="0" w:color="auto"/>
      </w:divBdr>
    </w:div>
    <w:div w:id="389033967">
      <w:marLeft w:val="0"/>
      <w:marRight w:val="0"/>
      <w:marTop w:val="0"/>
      <w:marBottom w:val="0"/>
      <w:divBdr>
        <w:top w:val="none" w:sz="0" w:space="0" w:color="auto"/>
        <w:left w:val="none" w:sz="0" w:space="0" w:color="auto"/>
        <w:bottom w:val="none" w:sz="0" w:space="0" w:color="auto"/>
        <w:right w:val="none" w:sz="0" w:space="0" w:color="auto"/>
      </w:divBdr>
    </w:div>
    <w:div w:id="391126923">
      <w:marLeft w:val="0"/>
      <w:marRight w:val="0"/>
      <w:marTop w:val="240"/>
      <w:marBottom w:val="0"/>
      <w:divBdr>
        <w:top w:val="none" w:sz="0" w:space="0" w:color="auto"/>
        <w:left w:val="none" w:sz="0" w:space="0" w:color="auto"/>
        <w:bottom w:val="none" w:sz="0" w:space="0" w:color="auto"/>
        <w:right w:val="none" w:sz="0" w:space="0" w:color="auto"/>
      </w:divBdr>
    </w:div>
    <w:div w:id="391276847">
      <w:marLeft w:val="0"/>
      <w:marRight w:val="0"/>
      <w:marTop w:val="1"/>
      <w:marBottom w:val="1"/>
      <w:divBdr>
        <w:top w:val="none" w:sz="0" w:space="0" w:color="auto"/>
        <w:left w:val="none" w:sz="0" w:space="0" w:color="auto"/>
        <w:bottom w:val="none" w:sz="0" w:space="0" w:color="auto"/>
        <w:right w:val="none" w:sz="0" w:space="0" w:color="auto"/>
      </w:divBdr>
    </w:div>
    <w:div w:id="391540561">
      <w:marLeft w:val="0"/>
      <w:marRight w:val="0"/>
      <w:marTop w:val="0"/>
      <w:marBottom w:val="0"/>
      <w:divBdr>
        <w:top w:val="none" w:sz="0" w:space="0" w:color="auto"/>
        <w:left w:val="none" w:sz="0" w:space="0" w:color="auto"/>
        <w:bottom w:val="none" w:sz="0" w:space="0" w:color="auto"/>
        <w:right w:val="none" w:sz="0" w:space="0" w:color="auto"/>
      </w:divBdr>
    </w:div>
    <w:div w:id="393428959">
      <w:marLeft w:val="0"/>
      <w:marRight w:val="0"/>
      <w:marTop w:val="0"/>
      <w:marBottom w:val="0"/>
      <w:divBdr>
        <w:top w:val="none" w:sz="0" w:space="0" w:color="auto"/>
        <w:left w:val="none" w:sz="0" w:space="0" w:color="auto"/>
        <w:bottom w:val="none" w:sz="0" w:space="0" w:color="auto"/>
        <w:right w:val="none" w:sz="0" w:space="0" w:color="auto"/>
      </w:divBdr>
      <w:divsChild>
        <w:div w:id="2122727919">
          <w:marLeft w:val="0"/>
          <w:marRight w:val="0"/>
          <w:marTop w:val="0"/>
          <w:marBottom w:val="0"/>
          <w:divBdr>
            <w:top w:val="none" w:sz="0" w:space="0" w:color="auto"/>
            <w:left w:val="none" w:sz="0" w:space="0" w:color="auto"/>
            <w:bottom w:val="none" w:sz="0" w:space="0" w:color="auto"/>
            <w:right w:val="none" w:sz="0" w:space="0" w:color="auto"/>
          </w:divBdr>
        </w:div>
      </w:divsChild>
    </w:div>
    <w:div w:id="395204512">
      <w:marLeft w:val="0"/>
      <w:marRight w:val="0"/>
      <w:marTop w:val="120"/>
      <w:marBottom w:val="1"/>
      <w:divBdr>
        <w:top w:val="none" w:sz="0" w:space="0" w:color="auto"/>
        <w:left w:val="none" w:sz="0" w:space="0" w:color="auto"/>
        <w:bottom w:val="none" w:sz="0" w:space="0" w:color="auto"/>
        <w:right w:val="none" w:sz="0" w:space="0" w:color="auto"/>
      </w:divBdr>
    </w:div>
    <w:div w:id="400257299">
      <w:marLeft w:val="0"/>
      <w:marRight w:val="0"/>
      <w:marTop w:val="120"/>
      <w:marBottom w:val="0"/>
      <w:divBdr>
        <w:top w:val="none" w:sz="0" w:space="0" w:color="auto"/>
        <w:left w:val="none" w:sz="0" w:space="0" w:color="auto"/>
        <w:bottom w:val="none" w:sz="0" w:space="0" w:color="auto"/>
        <w:right w:val="none" w:sz="0" w:space="0" w:color="auto"/>
      </w:divBdr>
    </w:div>
    <w:div w:id="402214753">
      <w:marLeft w:val="0"/>
      <w:marRight w:val="0"/>
      <w:marTop w:val="0"/>
      <w:marBottom w:val="0"/>
      <w:divBdr>
        <w:top w:val="none" w:sz="0" w:space="0" w:color="auto"/>
        <w:left w:val="none" w:sz="0" w:space="0" w:color="auto"/>
        <w:bottom w:val="none" w:sz="0" w:space="0" w:color="auto"/>
        <w:right w:val="none" w:sz="0" w:space="0" w:color="auto"/>
      </w:divBdr>
    </w:div>
    <w:div w:id="406878760">
      <w:marLeft w:val="0"/>
      <w:marRight w:val="0"/>
      <w:marTop w:val="120"/>
      <w:marBottom w:val="0"/>
      <w:divBdr>
        <w:top w:val="none" w:sz="0" w:space="0" w:color="auto"/>
        <w:left w:val="none" w:sz="0" w:space="0" w:color="auto"/>
        <w:bottom w:val="none" w:sz="0" w:space="0" w:color="auto"/>
        <w:right w:val="none" w:sz="0" w:space="0" w:color="auto"/>
      </w:divBdr>
    </w:div>
    <w:div w:id="410200576">
      <w:marLeft w:val="0"/>
      <w:marRight w:val="0"/>
      <w:marTop w:val="240"/>
      <w:marBottom w:val="0"/>
      <w:divBdr>
        <w:top w:val="none" w:sz="0" w:space="0" w:color="auto"/>
        <w:left w:val="none" w:sz="0" w:space="0" w:color="auto"/>
        <w:bottom w:val="none" w:sz="0" w:space="0" w:color="auto"/>
        <w:right w:val="none" w:sz="0" w:space="0" w:color="auto"/>
      </w:divBdr>
    </w:div>
    <w:div w:id="413748287">
      <w:marLeft w:val="0"/>
      <w:marRight w:val="0"/>
      <w:marTop w:val="240"/>
      <w:marBottom w:val="0"/>
      <w:divBdr>
        <w:top w:val="none" w:sz="0" w:space="0" w:color="auto"/>
        <w:left w:val="none" w:sz="0" w:space="0" w:color="auto"/>
        <w:bottom w:val="none" w:sz="0" w:space="0" w:color="auto"/>
        <w:right w:val="none" w:sz="0" w:space="0" w:color="auto"/>
      </w:divBdr>
    </w:div>
    <w:div w:id="414014168">
      <w:marLeft w:val="0"/>
      <w:marRight w:val="0"/>
      <w:marTop w:val="0"/>
      <w:marBottom w:val="0"/>
      <w:divBdr>
        <w:top w:val="none" w:sz="0" w:space="0" w:color="auto"/>
        <w:left w:val="none" w:sz="0" w:space="0" w:color="auto"/>
        <w:bottom w:val="none" w:sz="0" w:space="0" w:color="auto"/>
        <w:right w:val="none" w:sz="0" w:space="0" w:color="auto"/>
      </w:divBdr>
    </w:div>
    <w:div w:id="425003136">
      <w:marLeft w:val="0"/>
      <w:marRight w:val="0"/>
      <w:marTop w:val="0"/>
      <w:marBottom w:val="0"/>
      <w:divBdr>
        <w:top w:val="none" w:sz="0" w:space="0" w:color="auto"/>
        <w:left w:val="none" w:sz="0" w:space="0" w:color="auto"/>
        <w:bottom w:val="none" w:sz="0" w:space="0" w:color="auto"/>
        <w:right w:val="none" w:sz="0" w:space="0" w:color="auto"/>
      </w:divBdr>
      <w:divsChild>
        <w:div w:id="855509250">
          <w:marLeft w:val="0"/>
          <w:marRight w:val="0"/>
          <w:marTop w:val="0"/>
          <w:marBottom w:val="0"/>
          <w:divBdr>
            <w:top w:val="none" w:sz="0" w:space="0" w:color="auto"/>
            <w:left w:val="none" w:sz="0" w:space="0" w:color="auto"/>
            <w:bottom w:val="none" w:sz="0" w:space="0" w:color="auto"/>
            <w:right w:val="none" w:sz="0" w:space="0" w:color="auto"/>
          </w:divBdr>
        </w:div>
      </w:divsChild>
    </w:div>
    <w:div w:id="426779964">
      <w:marLeft w:val="0"/>
      <w:marRight w:val="0"/>
      <w:marTop w:val="240"/>
      <w:marBottom w:val="1"/>
      <w:divBdr>
        <w:top w:val="none" w:sz="0" w:space="0" w:color="auto"/>
        <w:left w:val="none" w:sz="0" w:space="0" w:color="auto"/>
        <w:bottom w:val="none" w:sz="0" w:space="0" w:color="auto"/>
        <w:right w:val="none" w:sz="0" w:space="0" w:color="auto"/>
      </w:divBdr>
    </w:div>
    <w:div w:id="430324009">
      <w:marLeft w:val="0"/>
      <w:marRight w:val="0"/>
      <w:marTop w:val="0"/>
      <w:marBottom w:val="1"/>
      <w:divBdr>
        <w:top w:val="none" w:sz="0" w:space="0" w:color="auto"/>
        <w:left w:val="none" w:sz="0" w:space="0" w:color="auto"/>
        <w:bottom w:val="none" w:sz="0" w:space="0" w:color="auto"/>
        <w:right w:val="none" w:sz="0" w:space="0" w:color="auto"/>
      </w:divBdr>
    </w:div>
    <w:div w:id="432241968">
      <w:marLeft w:val="0"/>
      <w:marRight w:val="0"/>
      <w:marTop w:val="0"/>
      <w:marBottom w:val="0"/>
      <w:divBdr>
        <w:top w:val="none" w:sz="0" w:space="0" w:color="auto"/>
        <w:left w:val="none" w:sz="0" w:space="0" w:color="auto"/>
        <w:bottom w:val="none" w:sz="0" w:space="0" w:color="auto"/>
        <w:right w:val="none" w:sz="0" w:space="0" w:color="auto"/>
      </w:divBdr>
    </w:div>
    <w:div w:id="434715271">
      <w:marLeft w:val="0"/>
      <w:marRight w:val="0"/>
      <w:marTop w:val="0"/>
      <w:marBottom w:val="100"/>
      <w:divBdr>
        <w:top w:val="none" w:sz="0" w:space="0" w:color="auto"/>
        <w:left w:val="none" w:sz="0" w:space="0" w:color="auto"/>
        <w:bottom w:val="none" w:sz="0" w:space="0" w:color="auto"/>
        <w:right w:val="none" w:sz="0" w:space="0" w:color="auto"/>
      </w:divBdr>
    </w:div>
    <w:div w:id="435953265">
      <w:marLeft w:val="0"/>
      <w:marRight w:val="0"/>
      <w:marTop w:val="1"/>
      <w:marBottom w:val="1"/>
      <w:divBdr>
        <w:top w:val="none" w:sz="0" w:space="0" w:color="auto"/>
        <w:left w:val="none" w:sz="0" w:space="0" w:color="auto"/>
        <w:bottom w:val="none" w:sz="0" w:space="0" w:color="auto"/>
        <w:right w:val="none" w:sz="0" w:space="0" w:color="auto"/>
      </w:divBdr>
    </w:div>
    <w:div w:id="454832081">
      <w:marLeft w:val="0"/>
      <w:marRight w:val="0"/>
      <w:marTop w:val="240"/>
      <w:marBottom w:val="0"/>
      <w:divBdr>
        <w:top w:val="none" w:sz="0" w:space="0" w:color="auto"/>
        <w:left w:val="none" w:sz="0" w:space="0" w:color="auto"/>
        <w:bottom w:val="none" w:sz="0" w:space="0" w:color="auto"/>
        <w:right w:val="none" w:sz="0" w:space="0" w:color="auto"/>
      </w:divBdr>
    </w:div>
    <w:div w:id="455029831">
      <w:marLeft w:val="0"/>
      <w:marRight w:val="0"/>
      <w:marTop w:val="0"/>
      <w:marBottom w:val="0"/>
      <w:divBdr>
        <w:top w:val="none" w:sz="0" w:space="0" w:color="auto"/>
        <w:left w:val="none" w:sz="0" w:space="0" w:color="auto"/>
        <w:bottom w:val="none" w:sz="0" w:space="0" w:color="auto"/>
        <w:right w:val="none" w:sz="0" w:space="0" w:color="auto"/>
      </w:divBdr>
    </w:div>
    <w:div w:id="460802702">
      <w:marLeft w:val="0"/>
      <w:marRight w:val="0"/>
      <w:marTop w:val="0"/>
      <w:marBottom w:val="0"/>
      <w:divBdr>
        <w:top w:val="none" w:sz="0" w:space="0" w:color="auto"/>
        <w:left w:val="none" w:sz="0" w:space="0" w:color="auto"/>
        <w:bottom w:val="none" w:sz="0" w:space="0" w:color="auto"/>
        <w:right w:val="none" w:sz="0" w:space="0" w:color="auto"/>
      </w:divBdr>
      <w:divsChild>
        <w:div w:id="1217814852">
          <w:marLeft w:val="0"/>
          <w:marRight w:val="0"/>
          <w:marTop w:val="0"/>
          <w:marBottom w:val="0"/>
          <w:divBdr>
            <w:top w:val="none" w:sz="0" w:space="0" w:color="auto"/>
            <w:left w:val="none" w:sz="0" w:space="0" w:color="auto"/>
            <w:bottom w:val="none" w:sz="0" w:space="0" w:color="auto"/>
            <w:right w:val="none" w:sz="0" w:space="0" w:color="auto"/>
          </w:divBdr>
        </w:div>
      </w:divsChild>
    </w:div>
    <w:div w:id="463238647">
      <w:marLeft w:val="0"/>
      <w:marRight w:val="0"/>
      <w:marTop w:val="0"/>
      <w:marBottom w:val="0"/>
      <w:divBdr>
        <w:top w:val="none" w:sz="0" w:space="0" w:color="auto"/>
        <w:left w:val="none" w:sz="0" w:space="0" w:color="auto"/>
        <w:bottom w:val="none" w:sz="0" w:space="0" w:color="auto"/>
        <w:right w:val="none" w:sz="0" w:space="0" w:color="auto"/>
      </w:divBdr>
    </w:div>
    <w:div w:id="467237673">
      <w:marLeft w:val="0"/>
      <w:marRight w:val="0"/>
      <w:marTop w:val="120"/>
      <w:marBottom w:val="0"/>
      <w:divBdr>
        <w:top w:val="none" w:sz="0" w:space="0" w:color="auto"/>
        <w:left w:val="none" w:sz="0" w:space="0" w:color="auto"/>
        <w:bottom w:val="none" w:sz="0" w:space="0" w:color="auto"/>
        <w:right w:val="none" w:sz="0" w:space="0" w:color="auto"/>
      </w:divBdr>
    </w:div>
    <w:div w:id="472409947">
      <w:marLeft w:val="0"/>
      <w:marRight w:val="0"/>
      <w:marTop w:val="0"/>
      <w:marBottom w:val="0"/>
      <w:divBdr>
        <w:top w:val="none" w:sz="0" w:space="0" w:color="auto"/>
        <w:left w:val="none" w:sz="0" w:space="0" w:color="auto"/>
        <w:bottom w:val="none" w:sz="0" w:space="0" w:color="auto"/>
        <w:right w:val="none" w:sz="0" w:space="0" w:color="auto"/>
      </w:divBdr>
      <w:divsChild>
        <w:div w:id="575361991">
          <w:marLeft w:val="0"/>
          <w:marRight w:val="0"/>
          <w:marTop w:val="0"/>
          <w:marBottom w:val="0"/>
          <w:divBdr>
            <w:top w:val="none" w:sz="0" w:space="0" w:color="auto"/>
            <w:left w:val="none" w:sz="0" w:space="0" w:color="auto"/>
            <w:bottom w:val="none" w:sz="0" w:space="0" w:color="auto"/>
            <w:right w:val="none" w:sz="0" w:space="0" w:color="auto"/>
          </w:divBdr>
        </w:div>
      </w:divsChild>
    </w:div>
    <w:div w:id="473790983">
      <w:marLeft w:val="0"/>
      <w:marRight w:val="0"/>
      <w:marTop w:val="240"/>
      <w:marBottom w:val="0"/>
      <w:divBdr>
        <w:top w:val="none" w:sz="0" w:space="0" w:color="auto"/>
        <w:left w:val="none" w:sz="0" w:space="0" w:color="auto"/>
        <w:bottom w:val="none" w:sz="0" w:space="0" w:color="auto"/>
        <w:right w:val="none" w:sz="0" w:space="0" w:color="auto"/>
      </w:divBdr>
    </w:div>
    <w:div w:id="473914615">
      <w:marLeft w:val="0"/>
      <w:marRight w:val="0"/>
      <w:marTop w:val="0"/>
      <w:marBottom w:val="0"/>
      <w:divBdr>
        <w:top w:val="none" w:sz="0" w:space="0" w:color="auto"/>
        <w:left w:val="none" w:sz="0" w:space="0" w:color="auto"/>
        <w:bottom w:val="none" w:sz="0" w:space="0" w:color="auto"/>
        <w:right w:val="none" w:sz="0" w:space="0" w:color="auto"/>
      </w:divBdr>
    </w:div>
    <w:div w:id="475532846">
      <w:marLeft w:val="0"/>
      <w:marRight w:val="0"/>
      <w:marTop w:val="0"/>
      <w:marBottom w:val="0"/>
      <w:divBdr>
        <w:top w:val="none" w:sz="0" w:space="0" w:color="auto"/>
        <w:left w:val="none" w:sz="0" w:space="0" w:color="auto"/>
        <w:bottom w:val="none" w:sz="0" w:space="0" w:color="auto"/>
        <w:right w:val="none" w:sz="0" w:space="0" w:color="auto"/>
      </w:divBdr>
    </w:div>
    <w:div w:id="477310503">
      <w:marLeft w:val="0"/>
      <w:marRight w:val="0"/>
      <w:marTop w:val="360"/>
      <w:marBottom w:val="0"/>
      <w:divBdr>
        <w:top w:val="none" w:sz="0" w:space="0" w:color="auto"/>
        <w:left w:val="none" w:sz="0" w:space="0" w:color="auto"/>
        <w:bottom w:val="none" w:sz="0" w:space="0" w:color="auto"/>
        <w:right w:val="none" w:sz="0" w:space="0" w:color="auto"/>
      </w:divBdr>
    </w:div>
    <w:div w:id="478034425">
      <w:marLeft w:val="0"/>
      <w:marRight w:val="0"/>
      <w:marTop w:val="0"/>
      <w:marBottom w:val="0"/>
      <w:divBdr>
        <w:top w:val="none" w:sz="0" w:space="0" w:color="auto"/>
        <w:left w:val="none" w:sz="0" w:space="0" w:color="auto"/>
        <w:bottom w:val="none" w:sz="0" w:space="0" w:color="auto"/>
        <w:right w:val="none" w:sz="0" w:space="0" w:color="auto"/>
      </w:divBdr>
      <w:divsChild>
        <w:div w:id="841971794">
          <w:marLeft w:val="0"/>
          <w:marRight w:val="0"/>
          <w:marTop w:val="0"/>
          <w:marBottom w:val="0"/>
          <w:divBdr>
            <w:top w:val="none" w:sz="0" w:space="0" w:color="auto"/>
            <w:left w:val="none" w:sz="0" w:space="0" w:color="auto"/>
            <w:bottom w:val="none" w:sz="0" w:space="0" w:color="auto"/>
            <w:right w:val="none" w:sz="0" w:space="0" w:color="auto"/>
          </w:divBdr>
        </w:div>
      </w:divsChild>
    </w:div>
    <w:div w:id="479425991">
      <w:marLeft w:val="0"/>
      <w:marRight w:val="0"/>
      <w:marTop w:val="120"/>
      <w:marBottom w:val="1"/>
      <w:divBdr>
        <w:top w:val="none" w:sz="0" w:space="0" w:color="auto"/>
        <w:left w:val="none" w:sz="0" w:space="0" w:color="auto"/>
        <w:bottom w:val="none" w:sz="0" w:space="0" w:color="auto"/>
        <w:right w:val="none" w:sz="0" w:space="0" w:color="auto"/>
      </w:divBdr>
    </w:div>
    <w:div w:id="481389883">
      <w:marLeft w:val="0"/>
      <w:marRight w:val="0"/>
      <w:marTop w:val="1"/>
      <w:marBottom w:val="1"/>
      <w:divBdr>
        <w:top w:val="none" w:sz="0" w:space="0" w:color="auto"/>
        <w:left w:val="none" w:sz="0" w:space="0" w:color="auto"/>
        <w:bottom w:val="none" w:sz="0" w:space="0" w:color="auto"/>
        <w:right w:val="none" w:sz="0" w:space="0" w:color="auto"/>
      </w:divBdr>
    </w:div>
    <w:div w:id="485434637">
      <w:marLeft w:val="0"/>
      <w:marRight w:val="0"/>
      <w:marTop w:val="0"/>
      <w:marBottom w:val="0"/>
      <w:divBdr>
        <w:top w:val="none" w:sz="0" w:space="0" w:color="auto"/>
        <w:left w:val="none" w:sz="0" w:space="0" w:color="auto"/>
        <w:bottom w:val="none" w:sz="0" w:space="0" w:color="auto"/>
        <w:right w:val="none" w:sz="0" w:space="0" w:color="auto"/>
      </w:divBdr>
    </w:div>
    <w:div w:id="489103061">
      <w:marLeft w:val="0"/>
      <w:marRight w:val="0"/>
      <w:marTop w:val="120"/>
      <w:marBottom w:val="0"/>
      <w:divBdr>
        <w:top w:val="none" w:sz="0" w:space="0" w:color="auto"/>
        <w:left w:val="none" w:sz="0" w:space="0" w:color="auto"/>
        <w:bottom w:val="none" w:sz="0" w:space="0" w:color="auto"/>
        <w:right w:val="none" w:sz="0" w:space="0" w:color="auto"/>
      </w:divBdr>
    </w:div>
    <w:div w:id="490831060">
      <w:marLeft w:val="0"/>
      <w:marRight w:val="0"/>
      <w:marTop w:val="0"/>
      <w:marBottom w:val="0"/>
      <w:divBdr>
        <w:top w:val="none" w:sz="0" w:space="0" w:color="auto"/>
        <w:left w:val="none" w:sz="0" w:space="0" w:color="auto"/>
        <w:bottom w:val="none" w:sz="0" w:space="0" w:color="auto"/>
        <w:right w:val="none" w:sz="0" w:space="0" w:color="auto"/>
      </w:divBdr>
    </w:div>
    <w:div w:id="513572158">
      <w:marLeft w:val="0"/>
      <w:marRight w:val="0"/>
      <w:marTop w:val="240"/>
      <w:marBottom w:val="0"/>
      <w:divBdr>
        <w:top w:val="none" w:sz="0" w:space="0" w:color="auto"/>
        <w:left w:val="none" w:sz="0" w:space="0" w:color="auto"/>
        <w:bottom w:val="none" w:sz="0" w:space="0" w:color="auto"/>
        <w:right w:val="none" w:sz="0" w:space="0" w:color="auto"/>
      </w:divBdr>
    </w:div>
    <w:div w:id="513695159">
      <w:marLeft w:val="0"/>
      <w:marRight w:val="0"/>
      <w:marTop w:val="0"/>
      <w:marBottom w:val="0"/>
      <w:divBdr>
        <w:top w:val="none" w:sz="0" w:space="0" w:color="auto"/>
        <w:left w:val="none" w:sz="0" w:space="0" w:color="auto"/>
        <w:bottom w:val="none" w:sz="0" w:space="0" w:color="auto"/>
        <w:right w:val="none" w:sz="0" w:space="0" w:color="auto"/>
      </w:divBdr>
      <w:divsChild>
        <w:div w:id="474026306">
          <w:marLeft w:val="0"/>
          <w:marRight w:val="0"/>
          <w:marTop w:val="0"/>
          <w:marBottom w:val="0"/>
          <w:divBdr>
            <w:top w:val="none" w:sz="0" w:space="0" w:color="auto"/>
            <w:left w:val="none" w:sz="0" w:space="0" w:color="auto"/>
            <w:bottom w:val="none" w:sz="0" w:space="0" w:color="auto"/>
            <w:right w:val="none" w:sz="0" w:space="0" w:color="auto"/>
          </w:divBdr>
        </w:div>
      </w:divsChild>
    </w:div>
    <w:div w:id="521550897">
      <w:marLeft w:val="0"/>
      <w:marRight w:val="0"/>
      <w:marTop w:val="0"/>
      <w:marBottom w:val="0"/>
      <w:divBdr>
        <w:top w:val="none" w:sz="0" w:space="0" w:color="auto"/>
        <w:left w:val="none" w:sz="0" w:space="0" w:color="auto"/>
        <w:bottom w:val="none" w:sz="0" w:space="0" w:color="auto"/>
        <w:right w:val="none" w:sz="0" w:space="0" w:color="auto"/>
      </w:divBdr>
    </w:div>
    <w:div w:id="539825647">
      <w:marLeft w:val="0"/>
      <w:marRight w:val="0"/>
      <w:marTop w:val="360"/>
      <w:marBottom w:val="0"/>
      <w:divBdr>
        <w:top w:val="none" w:sz="0" w:space="0" w:color="auto"/>
        <w:left w:val="none" w:sz="0" w:space="0" w:color="auto"/>
        <w:bottom w:val="none" w:sz="0" w:space="0" w:color="auto"/>
        <w:right w:val="none" w:sz="0" w:space="0" w:color="auto"/>
      </w:divBdr>
    </w:div>
    <w:div w:id="547225956">
      <w:marLeft w:val="0"/>
      <w:marRight w:val="0"/>
      <w:marTop w:val="360"/>
      <w:marBottom w:val="1"/>
      <w:divBdr>
        <w:top w:val="none" w:sz="0" w:space="0" w:color="auto"/>
        <w:left w:val="none" w:sz="0" w:space="0" w:color="auto"/>
        <w:bottom w:val="none" w:sz="0" w:space="0" w:color="auto"/>
        <w:right w:val="none" w:sz="0" w:space="0" w:color="auto"/>
      </w:divBdr>
    </w:div>
    <w:div w:id="548109950">
      <w:marLeft w:val="0"/>
      <w:marRight w:val="0"/>
      <w:marTop w:val="0"/>
      <w:marBottom w:val="0"/>
      <w:divBdr>
        <w:top w:val="none" w:sz="0" w:space="0" w:color="auto"/>
        <w:left w:val="none" w:sz="0" w:space="0" w:color="auto"/>
        <w:bottom w:val="none" w:sz="0" w:space="0" w:color="auto"/>
        <w:right w:val="none" w:sz="0" w:space="0" w:color="auto"/>
      </w:divBdr>
    </w:div>
    <w:div w:id="550922971">
      <w:marLeft w:val="0"/>
      <w:marRight w:val="0"/>
      <w:marTop w:val="0"/>
      <w:marBottom w:val="0"/>
      <w:divBdr>
        <w:top w:val="none" w:sz="0" w:space="0" w:color="auto"/>
        <w:left w:val="none" w:sz="0" w:space="0" w:color="auto"/>
        <w:bottom w:val="none" w:sz="0" w:space="0" w:color="auto"/>
        <w:right w:val="none" w:sz="0" w:space="0" w:color="auto"/>
      </w:divBdr>
    </w:div>
    <w:div w:id="551230634">
      <w:marLeft w:val="0"/>
      <w:marRight w:val="0"/>
      <w:marTop w:val="360"/>
      <w:marBottom w:val="0"/>
      <w:divBdr>
        <w:top w:val="none" w:sz="0" w:space="0" w:color="auto"/>
        <w:left w:val="none" w:sz="0" w:space="0" w:color="auto"/>
        <w:bottom w:val="none" w:sz="0" w:space="0" w:color="auto"/>
        <w:right w:val="none" w:sz="0" w:space="0" w:color="auto"/>
      </w:divBdr>
    </w:div>
    <w:div w:id="552036391">
      <w:marLeft w:val="0"/>
      <w:marRight w:val="0"/>
      <w:marTop w:val="120"/>
      <w:marBottom w:val="0"/>
      <w:divBdr>
        <w:top w:val="none" w:sz="0" w:space="0" w:color="auto"/>
        <w:left w:val="none" w:sz="0" w:space="0" w:color="auto"/>
        <w:bottom w:val="none" w:sz="0" w:space="0" w:color="auto"/>
        <w:right w:val="none" w:sz="0" w:space="0" w:color="auto"/>
      </w:divBdr>
    </w:div>
    <w:div w:id="552621608">
      <w:marLeft w:val="0"/>
      <w:marRight w:val="0"/>
      <w:marTop w:val="0"/>
      <w:marBottom w:val="0"/>
      <w:divBdr>
        <w:top w:val="none" w:sz="0" w:space="0" w:color="auto"/>
        <w:left w:val="none" w:sz="0" w:space="0" w:color="auto"/>
        <w:bottom w:val="none" w:sz="0" w:space="0" w:color="auto"/>
        <w:right w:val="none" w:sz="0" w:space="0" w:color="auto"/>
      </w:divBdr>
    </w:div>
    <w:div w:id="572010027">
      <w:marLeft w:val="0"/>
      <w:marRight w:val="0"/>
      <w:marTop w:val="120"/>
      <w:marBottom w:val="0"/>
      <w:divBdr>
        <w:top w:val="none" w:sz="0" w:space="0" w:color="auto"/>
        <w:left w:val="none" w:sz="0" w:space="0" w:color="auto"/>
        <w:bottom w:val="none" w:sz="0" w:space="0" w:color="auto"/>
        <w:right w:val="none" w:sz="0" w:space="0" w:color="auto"/>
      </w:divBdr>
    </w:div>
    <w:div w:id="577638201">
      <w:marLeft w:val="0"/>
      <w:marRight w:val="0"/>
      <w:marTop w:val="0"/>
      <w:marBottom w:val="0"/>
      <w:divBdr>
        <w:top w:val="none" w:sz="0" w:space="0" w:color="auto"/>
        <w:left w:val="none" w:sz="0" w:space="0" w:color="auto"/>
        <w:bottom w:val="none" w:sz="0" w:space="0" w:color="auto"/>
        <w:right w:val="none" w:sz="0" w:space="0" w:color="auto"/>
      </w:divBdr>
    </w:div>
    <w:div w:id="589701721">
      <w:marLeft w:val="0"/>
      <w:marRight w:val="0"/>
      <w:marTop w:val="0"/>
      <w:marBottom w:val="0"/>
      <w:divBdr>
        <w:top w:val="none" w:sz="0" w:space="0" w:color="auto"/>
        <w:left w:val="none" w:sz="0" w:space="0" w:color="auto"/>
        <w:bottom w:val="none" w:sz="0" w:space="0" w:color="auto"/>
        <w:right w:val="none" w:sz="0" w:space="0" w:color="auto"/>
      </w:divBdr>
      <w:divsChild>
        <w:div w:id="1150292053">
          <w:marLeft w:val="0"/>
          <w:marRight w:val="0"/>
          <w:marTop w:val="0"/>
          <w:marBottom w:val="0"/>
          <w:divBdr>
            <w:top w:val="none" w:sz="0" w:space="0" w:color="auto"/>
            <w:left w:val="none" w:sz="0" w:space="0" w:color="auto"/>
            <w:bottom w:val="none" w:sz="0" w:space="0" w:color="auto"/>
            <w:right w:val="none" w:sz="0" w:space="0" w:color="auto"/>
          </w:divBdr>
        </w:div>
      </w:divsChild>
    </w:div>
    <w:div w:id="595098815">
      <w:marLeft w:val="0"/>
      <w:marRight w:val="0"/>
      <w:marTop w:val="0"/>
      <w:marBottom w:val="0"/>
      <w:divBdr>
        <w:top w:val="none" w:sz="0" w:space="0" w:color="auto"/>
        <w:left w:val="none" w:sz="0" w:space="0" w:color="auto"/>
        <w:bottom w:val="none" w:sz="0" w:space="0" w:color="auto"/>
        <w:right w:val="none" w:sz="0" w:space="0" w:color="auto"/>
      </w:divBdr>
      <w:divsChild>
        <w:div w:id="1438335205">
          <w:marLeft w:val="0"/>
          <w:marRight w:val="0"/>
          <w:marTop w:val="0"/>
          <w:marBottom w:val="0"/>
          <w:divBdr>
            <w:top w:val="none" w:sz="0" w:space="0" w:color="auto"/>
            <w:left w:val="none" w:sz="0" w:space="0" w:color="auto"/>
            <w:bottom w:val="none" w:sz="0" w:space="0" w:color="auto"/>
            <w:right w:val="none" w:sz="0" w:space="0" w:color="auto"/>
          </w:divBdr>
        </w:div>
      </w:divsChild>
    </w:div>
    <w:div w:id="604925027">
      <w:marLeft w:val="0"/>
      <w:marRight w:val="0"/>
      <w:marTop w:val="0"/>
      <w:marBottom w:val="0"/>
      <w:divBdr>
        <w:top w:val="none" w:sz="0" w:space="0" w:color="auto"/>
        <w:left w:val="none" w:sz="0" w:space="0" w:color="auto"/>
        <w:bottom w:val="none" w:sz="0" w:space="0" w:color="auto"/>
        <w:right w:val="none" w:sz="0" w:space="0" w:color="auto"/>
      </w:divBdr>
    </w:div>
    <w:div w:id="607201612">
      <w:marLeft w:val="0"/>
      <w:marRight w:val="0"/>
      <w:marTop w:val="0"/>
      <w:marBottom w:val="0"/>
      <w:divBdr>
        <w:top w:val="none" w:sz="0" w:space="0" w:color="auto"/>
        <w:left w:val="none" w:sz="0" w:space="0" w:color="auto"/>
        <w:bottom w:val="none" w:sz="0" w:space="0" w:color="auto"/>
        <w:right w:val="none" w:sz="0" w:space="0" w:color="auto"/>
      </w:divBdr>
    </w:div>
    <w:div w:id="607736106">
      <w:marLeft w:val="0"/>
      <w:marRight w:val="0"/>
      <w:marTop w:val="0"/>
      <w:marBottom w:val="0"/>
      <w:divBdr>
        <w:top w:val="none" w:sz="0" w:space="0" w:color="auto"/>
        <w:left w:val="none" w:sz="0" w:space="0" w:color="auto"/>
        <w:bottom w:val="none" w:sz="0" w:space="0" w:color="auto"/>
        <w:right w:val="none" w:sz="0" w:space="0" w:color="auto"/>
      </w:divBdr>
      <w:divsChild>
        <w:div w:id="263879676">
          <w:marLeft w:val="0"/>
          <w:marRight w:val="0"/>
          <w:marTop w:val="0"/>
          <w:marBottom w:val="0"/>
          <w:divBdr>
            <w:top w:val="none" w:sz="0" w:space="0" w:color="auto"/>
            <w:left w:val="none" w:sz="0" w:space="0" w:color="auto"/>
            <w:bottom w:val="none" w:sz="0" w:space="0" w:color="auto"/>
            <w:right w:val="none" w:sz="0" w:space="0" w:color="auto"/>
          </w:divBdr>
        </w:div>
      </w:divsChild>
    </w:div>
    <w:div w:id="613634636">
      <w:marLeft w:val="0"/>
      <w:marRight w:val="0"/>
      <w:marTop w:val="120"/>
      <w:marBottom w:val="0"/>
      <w:divBdr>
        <w:top w:val="none" w:sz="0" w:space="0" w:color="auto"/>
        <w:left w:val="none" w:sz="0" w:space="0" w:color="auto"/>
        <w:bottom w:val="none" w:sz="0" w:space="0" w:color="auto"/>
        <w:right w:val="none" w:sz="0" w:space="0" w:color="auto"/>
      </w:divBdr>
    </w:div>
    <w:div w:id="613752008">
      <w:marLeft w:val="0"/>
      <w:marRight w:val="0"/>
      <w:marTop w:val="0"/>
      <w:marBottom w:val="0"/>
      <w:divBdr>
        <w:top w:val="none" w:sz="0" w:space="0" w:color="auto"/>
        <w:left w:val="none" w:sz="0" w:space="0" w:color="auto"/>
        <w:bottom w:val="none" w:sz="0" w:space="0" w:color="auto"/>
        <w:right w:val="none" w:sz="0" w:space="0" w:color="auto"/>
      </w:divBdr>
      <w:divsChild>
        <w:div w:id="1639336269">
          <w:marLeft w:val="0"/>
          <w:marRight w:val="0"/>
          <w:marTop w:val="0"/>
          <w:marBottom w:val="0"/>
          <w:divBdr>
            <w:top w:val="none" w:sz="0" w:space="0" w:color="auto"/>
            <w:left w:val="none" w:sz="0" w:space="0" w:color="auto"/>
            <w:bottom w:val="none" w:sz="0" w:space="0" w:color="auto"/>
            <w:right w:val="none" w:sz="0" w:space="0" w:color="auto"/>
          </w:divBdr>
        </w:div>
      </w:divsChild>
    </w:div>
    <w:div w:id="617371704">
      <w:marLeft w:val="0"/>
      <w:marRight w:val="0"/>
      <w:marTop w:val="240"/>
      <w:marBottom w:val="0"/>
      <w:divBdr>
        <w:top w:val="none" w:sz="0" w:space="0" w:color="auto"/>
        <w:left w:val="none" w:sz="0" w:space="0" w:color="auto"/>
        <w:bottom w:val="none" w:sz="0" w:space="0" w:color="auto"/>
        <w:right w:val="none" w:sz="0" w:space="0" w:color="auto"/>
      </w:divBdr>
    </w:div>
    <w:div w:id="619412360">
      <w:marLeft w:val="0"/>
      <w:marRight w:val="0"/>
      <w:marTop w:val="0"/>
      <w:marBottom w:val="0"/>
      <w:divBdr>
        <w:top w:val="none" w:sz="0" w:space="0" w:color="auto"/>
        <w:left w:val="none" w:sz="0" w:space="0" w:color="auto"/>
        <w:bottom w:val="none" w:sz="0" w:space="0" w:color="auto"/>
        <w:right w:val="none" w:sz="0" w:space="0" w:color="auto"/>
      </w:divBdr>
    </w:div>
    <w:div w:id="622157207">
      <w:marLeft w:val="0"/>
      <w:marRight w:val="0"/>
      <w:marTop w:val="120"/>
      <w:marBottom w:val="0"/>
      <w:divBdr>
        <w:top w:val="none" w:sz="0" w:space="0" w:color="auto"/>
        <w:left w:val="none" w:sz="0" w:space="0" w:color="auto"/>
        <w:bottom w:val="none" w:sz="0" w:space="0" w:color="auto"/>
        <w:right w:val="none" w:sz="0" w:space="0" w:color="auto"/>
      </w:divBdr>
    </w:div>
    <w:div w:id="630092354">
      <w:marLeft w:val="0"/>
      <w:marRight w:val="0"/>
      <w:marTop w:val="0"/>
      <w:marBottom w:val="0"/>
      <w:divBdr>
        <w:top w:val="none" w:sz="0" w:space="0" w:color="auto"/>
        <w:left w:val="none" w:sz="0" w:space="0" w:color="auto"/>
        <w:bottom w:val="none" w:sz="0" w:space="0" w:color="auto"/>
        <w:right w:val="none" w:sz="0" w:space="0" w:color="auto"/>
      </w:divBdr>
      <w:divsChild>
        <w:div w:id="1706637120">
          <w:marLeft w:val="0"/>
          <w:marRight w:val="0"/>
          <w:marTop w:val="0"/>
          <w:marBottom w:val="0"/>
          <w:divBdr>
            <w:top w:val="none" w:sz="0" w:space="0" w:color="auto"/>
            <w:left w:val="none" w:sz="0" w:space="0" w:color="auto"/>
            <w:bottom w:val="none" w:sz="0" w:space="0" w:color="auto"/>
            <w:right w:val="none" w:sz="0" w:space="0" w:color="auto"/>
          </w:divBdr>
        </w:div>
      </w:divsChild>
    </w:div>
    <w:div w:id="634142210">
      <w:marLeft w:val="0"/>
      <w:marRight w:val="0"/>
      <w:marTop w:val="120"/>
      <w:marBottom w:val="0"/>
      <w:divBdr>
        <w:top w:val="none" w:sz="0" w:space="0" w:color="auto"/>
        <w:left w:val="none" w:sz="0" w:space="0" w:color="auto"/>
        <w:bottom w:val="none" w:sz="0" w:space="0" w:color="auto"/>
        <w:right w:val="none" w:sz="0" w:space="0" w:color="auto"/>
      </w:divBdr>
    </w:div>
    <w:div w:id="634682973">
      <w:marLeft w:val="0"/>
      <w:marRight w:val="0"/>
      <w:marTop w:val="120"/>
      <w:marBottom w:val="1"/>
      <w:divBdr>
        <w:top w:val="none" w:sz="0" w:space="0" w:color="auto"/>
        <w:left w:val="none" w:sz="0" w:space="0" w:color="auto"/>
        <w:bottom w:val="none" w:sz="0" w:space="0" w:color="auto"/>
        <w:right w:val="none" w:sz="0" w:space="0" w:color="auto"/>
      </w:divBdr>
    </w:div>
    <w:div w:id="637883613">
      <w:marLeft w:val="0"/>
      <w:marRight w:val="0"/>
      <w:marTop w:val="0"/>
      <w:marBottom w:val="0"/>
      <w:divBdr>
        <w:top w:val="none" w:sz="0" w:space="0" w:color="auto"/>
        <w:left w:val="none" w:sz="0" w:space="0" w:color="auto"/>
        <w:bottom w:val="none" w:sz="0" w:space="0" w:color="auto"/>
        <w:right w:val="none" w:sz="0" w:space="0" w:color="auto"/>
      </w:divBdr>
    </w:div>
    <w:div w:id="637954338">
      <w:marLeft w:val="0"/>
      <w:marRight w:val="0"/>
      <w:marTop w:val="120"/>
      <w:marBottom w:val="0"/>
      <w:divBdr>
        <w:top w:val="none" w:sz="0" w:space="0" w:color="auto"/>
        <w:left w:val="none" w:sz="0" w:space="0" w:color="auto"/>
        <w:bottom w:val="none" w:sz="0" w:space="0" w:color="auto"/>
        <w:right w:val="none" w:sz="0" w:space="0" w:color="auto"/>
      </w:divBdr>
    </w:div>
    <w:div w:id="639578301">
      <w:marLeft w:val="0"/>
      <w:marRight w:val="0"/>
      <w:marTop w:val="0"/>
      <w:marBottom w:val="0"/>
      <w:divBdr>
        <w:top w:val="none" w:sz="0" w:space="0" w:color="auto"/>
        <w:left w:val="none" w:sz="0" w:space="0" w:color="auto"/>
        <w:bottom w:val="none" w:sz="0" w:space="0" w:color="auto"/>
        <w:right w:val="none" w:sz="0" w:space="0" w:color="auto"/>
      </w:divBdr>
    </w:div>
    <w:div w:id="642933005">
      <w:marLeft w:val="0"/>
      <w:marRight w:val="0"/>
      <w:marTop w:val="0"/>
      <w:marBottom w:val="0"/>
      <w:divBdr>
        <w:top w:val="none" w:sz="0" w:space="0" w:color="auto"/>
        <w:left w:val="none" w:sz="0" w:space="0" w:color="auto"/>
        <w:bottom w:val="none" w:sz="0" w:space="0" w:color="auto"/>
        <w:right w:val="none" w:sz="0" w:space="0" w:color="auto"/>
      </w:divBdr>
    </w:div>
    <w:div w:id="643848770">
      <w:marLeft w:val="0"/>
      <w:marRight w:val="0"/>
      <w:marTop w:val="0"/>
      <w:marBottom w:val="0"/>
      <w:divBdr>
        <w:top w:val="none" w:sz="0" w:space="0" w:color="auto"/>
        <w:left w:val="none" w:sz="0" w:space="0" w:color="auto"/>
        <w:bottom w:val="none" w:sz="0" w:space="0" w:color="auto"/>
        <w:right w:val="none" w:sz="0" w:space="0" w:color="auto"/>
      </w:divBdr>
    </w:div>
    <w:div w:id="649602294">
      <w:marLeft w:val="0"/>
      <w:marRight w:val="0"/>
      <w:marTop w:val="240"/>
      <w:marBottom w:val="0"/>
      <w:divBdr>
        <w:top w:val="none" w:sz="0" w:space="0" w:color="auto"/>
        <w:left w:val="none" w:sz="0" w:space="0" w:color="auto"/>
        <w:bottom w:val="none" w:sz="0" w:space="0" w:color="auto"/>
        <w:right w:val="none" w:sz="0" w:space="0" w:color="auto"/>
      </w:divBdr>
    </w:div>
    <w:div w:id="650334362">
      <w:marLeft w:val="0"/>
      <w:marRight w:val="0"/>
      <w:marTop w:val="0"/>
      <w:marBottom w:val="0"/>
      <w:divBdr>
        <w:top w:val="none" w:sz="0" w:space="0" w:color="auto"/>
        <w:left w:val="none" w:sz="0" w:space="0" w:color="auto"/>
        <w:bottom w:val="none" w:sz="0" w:space="0" w:color="auto"/>
        <w:right w:val="none" w:sz="0" w:space="0" w:color="auto"/>
      </w:divBdr>
    </w:div>
    <w:div w:id="655769724">
      <w:marLeft w:val="0"/>
      <w:marRight w:val="0"/>
      <w:marTop w:val="1"/>
      <w:marBottom w:val="1"/>
      <w:divBdr>
        <w:top w:val="none" w:sz="0" w:space="0" w:color="auto"/>
        <w:left w:val="none" w:sz="0" w:space="0" w:color="auto"/>
        <w:bottom w:val="none" w:sz="0" w:space="0" w:color="auto"/>
        <w:right w:val="none" w:sz="0" w:space="0" w:color="auto"/>
      </w:divBdr>
    </w:div>
    <w:div w:id="660543828">
      <w:marLeft w:val="0"/>
      <w:marRight w:val="0"/>
      <w:marTop w:val="0"/>
      <w:marBottom w:val="0"/>
      <w:divBdr>
        <w:top w:val="none" w:sz="0" w:space="0" w:color="auto"/>
        <w:left w:val="none" w:sz="0" w:space="0" w:color="auto"/>
        <w:bottom w:val="none" w:sz="0" w:space="0" w:color="auto"/>
        <w:right w:val="none" w:sz="0" w:space="0" w:color="auto"/>
      </w:divBdr>
    </w:div>
    <w:div w:id="661155702">
      <w:marLeft w:val="0"/>
      <w:marRight w:val="0"/>
      <w:marTop w:val="120"/>
      <w:marBottom w:val="0"/>
      <w:divBdr>
        <w:top w:val="none" w:sz="0" w:space="0" w:color="auto"/>
        <w:left w:val="none" w:sz="0" w:space="0" w:color="auto"/>
        <w:bottom w:val="none" w:sz="0" w:space="0" w:color="auto"/>
        <w:right w:val="none" w:sz="0" w:space="0" w:color="auto"/>
      </w:divBdr>
    </w:div>
    <w:div w:id="690187647">
      <w:marLeft w:val="0"/>
      <w:marRight w:val="0"/>
      <w:marTop w:val="0"/>
      <w:marBottom w:val="0"/>
      <w:divBdr>
        <w:top w:val="none" w:sz="0" w:space="0" w:color="auto"/>
        <w:left w:val="none" w:sz="0" w:space="0" w:color="auto"/>
        <w:bottom w:val="none" w:sz="0" w:space="0" w:color="auto"/>
        <w:right w:val="none" w:sz="0" w:space="0" w:color="auto"/>
      </w:divBdr>
      <w:divsChild>
        <w:div w:id="19012848">
          <w:marLeft w:val="0"/>
          <w:marRight w:val="0"/>
          <w:marTop w:val="0"/>
          <w:marBottom w:val="0"/>
          <w:divBdr>
            <w:top w:val="none" w:sz="0" w:space="0" w:color="auto"/>
            <w:left w:val="none" w:sz="0" w:space="0" w:color="auto"/>
            <w:bottom w:val="none" w:sz="0" w:space="0" w:color="auto"/>
            <w:right w:val="none" w:sz="0" w:space="0" w:color="auto"/>
          </w:divBdr>
        </w:div>
      </w:divsChild>
    </w:div>
    <w:div w:id="692849231">
      <w:marLeft w:val="0"/>
      <w:marRight w:val="0"/>
      <w:marTop w:val="0"/>
      <w:marBottom w:val="1"/>
      <w:divBdr>
        <w:top w:val="none" w:sz="0" w:space="0" w:color="auto"/>
        <w:left w:val="none" w:sz="0" w:space="0" w:color="auto"/>
        <w:bottom w:val="none" w:sz="0" w:space="0" w:color="auto"/>
        <w:right w:val="none" w:sz="0" w:space="0" w:color="auto"/>
      </w:divBdr>
    </w:div>
    <w:div w:id="710232882">
      <w:marLeft w:val="0"/>
      <w:marRight w:val="0"/>
      <w:marTop w:val="120"/>
      <w:marBottom w:val="0"/>
      <w:divBdr>
        <w:top w:val="none" w:sz="0" w:space="0" w:color="auto"/>
        <w:left w:val="none" w:sz="0" w:space="0" w:color="auto"/>
        <w:bottom w:val="none" w:sz="0" w:space="0" w:color="auto"/>
        <w:right w:val="none" w:sz="0" w:space="0" w:color="auto"/>
      </w:divBdr>
    </w:div>
    <w:div w:id="710571121">
      <w:marLeft w:val="0"/>
      <w:marRight w:val="0"/>
      <w:marTop w:val="1"/>
      <w:marBottom w:val="1"/>
      <w:divBdr>
        <w:top w:val="none" w:sz="0" w:space="0" w:color="auto"/>
        <w:left w:val="none" w:sz="0" w:space="0" w:color="auto"/>
        <w:bottom w:val="none" w:sz="0" w:space="0" w:color="auto"/>
        <w:right w:val="none" w:sz="0" w:space="0" w:color="auto"/>
      </w:divBdr>
    </w:div>
    <w:div w:id="711540648">
      <w:marLeft w:val="0"/>
      <w:marRight w:val="0"/>
      <w:marTop w:val="0"/>
      <w:marBottom w:val="0"/>
      <w:divBdr>
        <w:top w:val="none" w:sz="0" w:space="0" w:color="auto"/>
        <w:left w:val="none" w:sz="0" w:space="0" w:color="auto"/>
        <w:bottom w:val="none" w:sz="0" w:space="0" w:color="auto"/>
        <w:right w:val="none" w:sz="0" w:space="0" w:color="auto"/>
      </w:divBdr>
    </w:div>
    <w:div w:id="711618726">
      <w:marLeft w:val="0"/>
      <w:marRight w:val="0"/>
      <w:marTop w:val="120"/>
      <w:marBottom w:val="0"/>
      <w:divBdr>
        <w:top w:val="none" w:sz="0" w:space="0" w:color="auto"/>
        <w:left w:val="none" w:sz="0" w:space="0" w:color="auto"/>
        <w:bottom w:val="none" w:sz="0" w:space="0" w:color="auto"/>
        <w:right w:val="none" w:sz="0" w:space="0" w:color="auto"/>
      </w:divBdr>
    </w:div>
    <w:div w:id="713696530">
      <w:marLeft w:val="0"/>
      <w:marRight w:val="0"/>
      <w:marTop w:val="1"/>
      <w:marBottom w:val="1"/>
      <w:divBdr>
        <w:top w:val="none" w:sz="0" w:space="0" w:color="auto"/>
        <w:left w:val="none" w:sz="0" w:space="0" w:color="auto"/>
        <w:bottom w:val="none" w:sz="0" w:space="0" w:color="auto"/>
        <w:right w:val="none" w:sz="0" w:space="0" w:color="auto"/>
      </w:divBdr>
    </w:div>
    <w:div w:id="720251447">
      <w:marLeft w:val="0"/>
      <w:marRight w:val="0"/>
      <w:marTop w:val="0"/>
      <w:marBottom w:val="0"/>
      <w:divBdr>
        <w:top w:val="none" w:sz="0" w:space="0" w:color="auto"/>
        <w:left w:val="none" w:sz="0" w:space="0" w:color="auto"/>
        <w:bottom w:val="none" w:sz="0" w:space="0" w:color="auto"/>
        <w:right w:val="none" w:sz="0" w:space="0" w:color="auto"/>
      </w:divBdr>
      <w:divsChild>
        <w:div w:id="35593259">
          <w:marLeft w:val="0"/>
          <w:marRight w:val="0"/>
          <w:marTop w:val="0"/>
          <w:marBottom w:val="0"/>
          <w:divBdr>
            <w:top w:val="none" w:sz="0" w:space="0" w:color="auto"/>
            <w:left w:val="none" w:sz="0" w:space="0" w:color="auto"/>
            <w:bottom w:val="none" w:sz="0" w:space="0" w:color="auto"/>
            <w:right w:val="none" w:sz="0" w:space="0" w:color="auto"/>
          </w:divBdr>
        </w:div>
      </w:divsChild>
    </w:div>
    <w:div w:id="730272024">
      <w:marLeft w:val="0"/>
      <w:marRight w:val="0"/>
      <w:marTop w:val="360"/>
      <w:marBottom w:val="1"/>
      <w:divBdr>
        <w:top w:val="none" w:sz="0" w:space="0" w:color="auto"/>
        <w:left w:val="none" w:sz="0" w:space="0" w:color="auto"/>
        <w:bottom w:val="none" w:sz="0" w:space="0" w:color="auto"/>
        <w:right w:val="none" w:sz="0" w:space="0" w:color="auto"/>
      </w:divBdr>
    </w:div>
    <w:div w:id="731345054">
      <w:marLeft w:val="0"/>
      <w:marRight w:val="0"/>
      <w:marTop w:val="120"/>
      <w:marBottom w:val="0"/>
      <w:divBdr>
        <w:top w:val="none" w:sz="0" w:space="0" w:color="auto"/>
        <w:left w:val="none" w:sz="0" w:space="0" w:color="auto"/>
        <w:bottom w:val="none" w:sz="0" w:space="0" w:color="auto"/>
        <w:right w:val="none" w:sz="0" w:space="0" w:color="auto"/>
      </w:divBdr>
    </w:div>
    <w:div w:id="735206973">
      <w:marLeft w:val="0"/>
      <w:marRight w:val="0"/>
      <w:marTop w:val="120"/>
      <w:marBottom w:val="0"/>
      <w:divBdr>
        <w:top w:val="none" w:sz="0" w:space="0" w:color="auto"/>
        <w:left w:val="none" w:sz="0" w:space="0" w:color="auto"/>
        <w:bottom w:val="none" w:sz="0" w:space="0" w:color="auto"/>
        <w:right w:val="none" w:sz="0" w:space="0" w:color="auto"/>
      </w:divBdr>
    </w:div>
    <w:div w:id="746464376">
      <w:marLeft w:val="0"/>
      <w:marRight w:val="0"/>
      <w:marTop w:val="270"/>
      <w:marBottom w:val="0"/>
      <w:divBdr>
        <w:top w:val="none" w:sz="0" w:space="0" w:color="auto"/>
        <w:left w:val="none" w:sz="0" w:space="0" w:color="auto"/>
        <w:bottom w:val="none" w:sz="0" w:space="0" w:color="auto"/>
        <w:right w:val="none" w:sz="0" w:space="0" w:color="auto"/>
      </w:divBdr>
    </w:div>
    <w:div w:id="755246448">
      <w:marLeft w:val="0"/>
      <w:marRight w:val="0"/>
      <w:marTop w:val="0"/>
      <w:marBottom w:val="0"/>
      <w:divBdr>
        <w:top w:val="none" w:sz="0" w:space="0" w:color="auto"/>
        <w:left w:val="none" w:sz="0" w:space="0" w:color="auto"/>
        <w:bottom w:val="none" w:sz="0" w:space="0" w:color="auto"/>
        <w:right w:val="none" w:sz="0" w:space="0" w:color="auto"/>
      </w:divBdr>
      <w:divsChild>
        <w:div w:id="1554393105">
          <w:marLeft w:val="0"/>
          <w:marRight w:val="0"/>
          <w:marTop w:val="0"/>
          <w:marBottom w:val="0"/>
          <w:divBdr>
            <w:top w:val="none" w:sz="0" w:space="0" w:color="auto"/>
            <w:left w:val="none" w:sz="0" w:space="0" w:color="auto"/>
            <w:bottom w:val="none" w:sz="0" w:space="0" w:color="auto"/>
            <w:right w:val="none" w:sz="0" w:space="0" w:color="auto"/>
          </w:divBdr>
        </w:div>
      </w:divsChild>
    </w:div>
    <w:div w:id="758868032">
      <w:marLeft w:val="0"/>
      <w:marRight w:val="0"/>
      <w:marTop w:val="120"/>
      <w:marBottom w:val="1"/>
      <w:divBdr>
        <w:top w:val="none" w:sz="0" w:space="0" w:color="auto"/>
        <w:left w:val="none" w:sz="0" w:space="0" w:color="auto"/>
        <w:bottom w:val="none" w:sz="0" w:space="0" w:color="auto"/>
        <w:right w:val="none" w:sz="0" w:space="0" w:color="auto"/>
      </w:divBdr>
    </w:div>
    <w:div w:id="758912593">
      <w:marLeft w:val="0"/>
      <w:marRight w:val="0"/>
      <w:marTop w:val="120"/>
      <w:marBottom w:val="0"/>
      <w:divBdr>
        <w:top w:val="none" w:sz="0" w:space="0" w:color="auto"/>
        <w:left w:val="none" w:sz="0" w:space="0" w:color="auto"/>
        <w:bottom w:val="none" w:sz="0" w:space="0" w:color="auto"/>
        <w:right w:val="none" w:sz="0" w:space="0" w:color="auto"/>
      </w:divBdr>
    </w:div>
    <w:div w:id="760443720">
      <w:marLeft w:val="0"/>
      <w:marRight w:val="0"/>
      <w:marTop w:val="0"/>
      <w:marBottom w:val="0"/>
      <w:divBdr>
        <w:top w:val="none" w:sz="0" w:space="0" w:color="auto"/>
        <w:left w:val="none" w:sz="0" w:space="0" w:color="auto"/>
        <w:bottom w:val="none" w:sz="0" w:space="0" w:color="auto"/>
        <w:right w:val="none" w:sz="0" w:space="0" w:color="auto"/>
      </w:divBdr>
    </w:div>
    <w:div w:id="763956303">
      <w:marLeft w:val="0"/>
      <w:marRight w:val="0"/>
      <w:marTop w:val="0"/>
      <w:marBottom w:val="0"/>
      <w:divBdr>
        <w:top w:val="none" w:sz="0" w:space="0" w:color="auto"/>
        <w:left w:val="none" w:sz="0" w:space="0" w:color="auto"/>
        <w:bottom w:val="none" w:sz="0" w:space="0" w:color="auto"/>
        <w:right w:val="none" w:sz="0" w:space="0" w:color="auto"/>
      </w:divBdr>
    </w:div>
    <w:div w:id="767774398">
      <w:marLeft w:val="0"/>
      <w:marRight w:val="0"/>
      <w:marTop w:val="240"/>
      <w:marBottom w:val="0"/>
      <w:divBdr>
        <w:top w:val="none" w:sz="0" w:space="0" w:color="auto"/>
        <w:left w:val="none" w:sz="0" w:space="0" w:color="auto"/>
        <w:bottom w:val="none" w:sz="0" w:space="0" w:color="auto"/>
        <w:right w:val="none" w:sz="0" w:space="0" w:color="auto"/>
      </w:divBdr>
    </w:div>
    <w:div w:id="768084059">
      <w:marLeft w:val="0"/>
      <w:marRight w:val="0"/>
      <w:marTop w:val="0"/>
      <w:marBottom w:val="0"/>
      <w:divBdr>
        <w:top w:val="none" w:sz="0" w:space="0" w:color="auto"/>
        <w:left w:val="none" w:sz="0" w:space="0" w:color="auto"/>
        <w:bottom w:val="none" w:sz="0" w:space="0" w:color="auto"/>
        <w:right w:val="none" w:sz="0" w:space="0" w:color="auto"/>
      </w:divBdr>
    </w:div>
    <w:div w:id="768165089">
      <w:marLeft w:val="0"/>
      <w:marRight w:val="0"/>
      <w:marTop w:val="1"/>
      <w:marBottom w:val="1"/>
      <w:divBdr>
        <w:top w:val="none" w:sz="0" w:space="0" w:color="auto"/>
        <w:left w:val="none" w:sz="0" w:space="0" w:color="auto"/>
        <w:bottom w:val="none" w:sz="0" w:space="0" w:color="auto"/>
        <w:right w:val="none" w:sz="0" w:space="0" w:color="auto"/>
      </w:divBdr>
    </w:div>
    <w:div w:id="770735435">
      <w:marLeft w:val="0"/>
      <w:marRight w:val="0"/>
      <w:marTop w:val="120"/>
      <w:marBottom w:val="0"/>
      <w:divBdr>
        <w:top w:val="none" w:sz="0" w:space="0" w:color="auto"/>
        <w:left w:val="none" w:sz="0" w:space="0" w:color="auto"/>
        <w:bottom w:val="none" w:sz="0" w:space="0" w:color="auto"/>
        <w:right w:val="none" w:sz="0" w:space="0" w:color="auto"/>
      </w:divBdr>
    </w:div>
    <w:div w:id="776681026">
      <w:marLeft w:val="0"/>
      <w:marRight w:val="0"/>
      <w:marTop w:val="360"/>
      <w:marBottom w:val="0"/>
      <w:divBdr>
        <w:top w:val="none" w:sz="0" w:space="0" w:color="auto"/>
        <w:left w:val="none" w:sz="0" w:space="0" w:color="auto"/>
        <w:bottom w:val="none" w:sz="0" w:space="0" w:color="auto"/>
        <w:right w:val="none" w:sz="0" w:space="0" w:color="auto"/>
      </w:divBdr>
    </w:div>
    <w:div w:id="795877311">
      <w:marLeft w:val="0"/>
      <w:marRight w:val="0"/>
      <w:marTop w:val="120"/>
      <w:marBottom w:val="0"/>
      <w:divBdr>
        <w:top w:val="none" w:sz="0" w:space="0" w:color="auto"/>
        <w:left w:val="none" w:sz="0" w:space="0" w:color="auto"/>
        <w:bottom w:val="none" w:sz="0" w:space="0" w:color="auto"/>
        <w:right w:val="none" w:sz="0" w:space="0" w:color="auto"/>
      </w:divBdr>
    </w:div>
    <w:div w:id="796488450">
      <w:marLeft w:val="0"/>
      <w:marRight w:val="0"/>
      <w:marTop w:val="0"/>
      <w:marBottom w:val="0"/>
      <w:divBdr>
        <w:top w:val="none" w:sz="0" w:space="0" w:color="auto"/>
        <w:left w:val="none" w:sz="0" w:space="0" w:color="auto"/>
        <w:bottom w:val="none" w:sz="0" w:space="0" w:color="auto"/>
        <w:right w:val="none" w:sz="0" w:space="0" w:color="auto"/>
      </w:divBdr>
    </w:div>
    <w:div w:id="796949761">
      <w:marLeft w:val="0"/>
      <w:marRight w:val="0"/>
      <w:marTop w:val="0"/>
      <w:marBottom w:val="0"/>
      <w:divBdr>
        <w:top w:val="none" w:sz="0" w:space="0" w:color="auto"/>
        <w:left w:val="none" w:sz="0" w:space="0" w:color="auto"/>
        <w:bottom w:val="none" w:sz="0" w:space="0" w:color="auto"/>
        <w:right w:val="none" w:sz="0" w:space="0" w:color="auto"/>
      </w:divBdr>
    </w:div>
    <w:div w:id="802891737">
      <w:marLeft w:val="0"/>
      <w:marRight w:val="0"/>
      <w:marTop w:val="240"/>
      <w:marBottom w:val="0"/>
      <w:divBdr>
        <w:top w:val="none" w:sz="0" w:space="0" w:color="auto"/>
        <w:left w:val="none" w:sz="0" w:space="0" w:color="auto"/>
        <w:bottom w:val="none" w:sz="0" w:space="0" w:color="auto"/>
        <w:right w:val="none" w:sz="0" w:space="0" w:color="auto"/>
      </w:divBdr>
    </w:div>
    <w:div w:id="803698999">
      <w:marLeft w:val="0"/>
      <w:marRight w:val="0"/>
      <w:marTop w:val="0"/>
      <w:marBottom w:val="120"/>
      <w:divBdr>
        <w:top w:val="none" w:sz="0" w:space="0" w:color="auto"/>
        <w:left w:val="none" w:sz="0" w:space="0" w:color="auto"/>
        <w:bottom w:val="none" w:sz="0" w:space="0" w:color="auto"/>
        <w:right w:val="none" w:sz="0" w:space="0" w:color="auto"/>
      </w:divBdr>
    </w:div>
    <w:div w:id="810095286">
      <w:marLeft w:val="0"/>
      <w:marRight w:val="0"/>
      <w:marTop w:val="120"/>
      <w:marBottom w:val="0"/>
      <w:divBdr>
        <w:top w:val="none" w:sz="0" w:space="0" w:color="auto"/>
        <w:left w:val="none" w:sz="0" w:space="0" w:color="auto"/>
        <w:bottom w:val="none" w:sz="0" w:space="0" w:color="auto"/>
        <w:right w:val="none" w:sz="0" w:space="0" w:color="auto"/>
      </w:divBdr>
    </w:div>
    <w:div w:id="810170621">
      <w:marLeft w:val="0"/>
      <w:marRight w:val="0"/>
      <w:marTop w:val="240"/>
      <w:marBottom w:val="0"/>
      <w:divBdr>
        <w:top w:val="none" w:sz="0" w:space="0" w:color="auto"/>
        <w:left w:val="none" w:sz="0" w:space="0" w:color="auto"/>
        <w:bottom w:val="none" w:sz="0" w:space="0" w:color="auto"/>
        <w:right w:val="none" w:sz="0" w:space="0" w:color="auto"/>
      </w:divBdr>
    </w:div>
    <w:div w:id="811991188">
      <w:marLeft w:val="0"/>
      <w:marRight w:val="0"/>
      <w:marTop w:val="0"/>
      <w:marBottom w:val="0"/>
      <w:divBdr>
        <w:top w:val="none" w:sz="0" w:space="0" w:color="auto"/>
        <w:left w:val="none" w:sz="0" w:space="0" w:color="auto"/>
        <w:bottom w:val="none" w:sz="0" w:space="0" w:color="auto"/>
        <w:right w:val="none" w:sz="0" w:space="0" w:color="auto"/>
      </w:divBdr>
    </w:div>
    <w:div w:id="813327792">
      <w:marLeft w:val="0"/>
      <w:marRight w:val="0"/>
      <w:marTop w:val="0"/>
      <w:marBottom w:val="0"/>
      <w:divBdr>
        <w:top w:val="none" w:sz="0" w:space="0" w:color="auto"/>
        <w:left w:val="none" w:sz="0" w:space="0" w:color="auto"/>
        <w:bottom w:val="none" w:sz="0" w:space="0" w:color="auto"/>
        <w:right w:val="none" w:sz="0" w:space="0" w:color="auto"/>
      </w:divBdr>
    </w:div>
    <w:div w:id="815340017">
      <w:marLeft w:val="0"/>
      <w:marRight w:val="0"/>
      <w:marTop w:val="0"/>
      <w:marBottom w:val="0"/>
      <w:divBdr>
        <w:top w:val="none" w:sz="0" w:space="0" w:color="auto"/>
        <w:left w:val="none" w:sz="0" w:space="0" w:color="auto"/>
        <w:bottom w:val="none" w:sz="0" w:space="0" w:color="auto"/>
        <w:right w:val="none" w:sz="0" w:space="0" w:color="auto"/>
      </w:divBdr>
    </w:div>
    <w:div w:id="816919401">
      <w:marLeft w:val="0"/>
      <w:marRight w:val="0"/>
      <w:marTop w:val="1"/>
      <w:marBottom w:val="1"/>
      <w:divBdr>
        <w:top w:val="none" w:sz="0" w:space="0" w:color="auto"/>
        <w:left w:val="none" w:sz="0" w:space="0" w:color="auto"/>
        <w:bottom w:val="none" w:sz="0" w:space="0" w:color="auto"/>
        <w:right w:val="none" w:sz="0" w:space="0" w:color="auto"/>
      </w:divBdr>
    </w:div>
    <w:div w:id="820732360">
      <w:marLeft w:val="0"/>
      <w:marRight w:val="0"/>
      <w:marTop w:val="0"/>
      <w:marBottom w:val="0"/>
      <w:divBdr>
        <w:top w:val="none" w:sz="0" w:space="0" w:color="auto"/>
        <w:left w:val="none" w:sz="0" w:space="0" w:color="auto"/>
        <w:bottom w:val="none" w:sz="0" w:space="0" w:color="auto"/>
        <w:right w:val="none" w:sz="0" w:space="0" w:color="auto"/>
      </w:divBdr>
    </w:div>
    <w:div w:id="828793591">
      <w:marLeft w:val="0"/>
      <w:marRight w:val="0"/>
      <w:marTop w:val="0"/>
      <w:marBottom w:val="0"/>
      <w:divBdr>
        <w:top w:val="none" w:sz="0" w:space="0" w:color="auto"/>
        <w:left w:val="none" w:sz="0" w:space="0" w:color="auto"/>
        <w:bottom w:val="none" w:sz="0" w:space="0" w:color="auto"/>
        <w:right w:val="none" w:sz="0" w:space="0" w:color="auto"/>
      </w:divBdr>
    </w:div>
    <w:div w:id="833106533">
      <w:marLeft w:val="0"/>
      <w:marRight w:val="0"/>
      <w:marTop w:val="0"/>
      <w:marBottom w:val="0"/>
      <w:divBdr>
        <w:top w:val="none" w:sz="0" w:space="0" w:color="auto"/>
        <w:left w:val="none" w:sz="0" w:space="0" w:color="auto"/>
        <w:bottom w:val="none" w:sz="0" w:space="0" w:color="auto"/>
        <w:right w:val="none" w:sz="0" w:space="0" w:color="auto"/>
      </w:divBdr>
      <w:divsChild>
        <w:div w:id="1858225471">
          <w:marLeft w:val="0"/>
          <w:marRight w:val="0"/>
          <w:marTop w:val="0"/>
          <w:marBottom w:val="0"/>
          <w:divBdr>
            <w:top w:val="none" w:sz="0" w:space="0" w:color="auto"/>
            <w:left w:val="none" w:sz="0" w:space="0" w:color="auto"/>
            <w:bottom w:val="none" w:sz="0" w:space="0" w:color="auto"/>
            <w:right w:val="none" w:sz="0" w:space="0" w:color="auto"/>
          </w:divBdr>
        </w:div>
      </w:divsChild>
    </w:div>
    <w:div w:id="838887369">
      <w:marLeft w:val="0"/>
      <w:marRight w:val="0"/>
      <w:marTop w:val="0"/>
      <w:marBottom w:val="0"/>
      <w:divBdr>
        <w:top w:val="none" w:sz="0" w:space="0" w:color="auto"/>
        <w:left w:val="none" w:sz="0" w:space="0" w:color="auto"/>
        <w:bottom w:val="none" w:sz="0" w:space="0" w:color="auto"/>
        <w:right w:val="none" w:sz="0" w:space="0" w:color="auto"/>
      </w:divBdr>
    </w:div>
    <w:div w:id="843786379">
      <w:marLeft w:val="0"/>
      <w:marRight w:val="0"/>
      <w:marTop w:val="240"/>
      <w:marBottom w:val="0"/>
      <w:divBdr>
        <w:top w:val="none" w:sz="0" w:space="0" w:color="auto"/>
        <w:left w:val="none" w:sz="0" w:space="0" w:color="auto"/>
        <w:bottom w:val="none" w:sz="0" w:space="0" w:color="auto"/>
        <w:right w:val="none" w:sz="0" w:space="0" w:color="auto"/>
      </w:divBdr>
    </w:div>
    <w:div w:id="848300165">
      <w:marLeft w:val="0"/>
      <w:marRight w:val="0"/>
      <w:marTop w:val="0"/>
      <w:marBottom w:val="0"/>
      <w:divBdr>
        <w:top w:val="none" w:sz="0" w:space="0" w:color="auto"/>
        <w:left w:val="none" w:sz="0" w:space="0" w:color="auto"/>
        <w:bottom w:val="none" w:sz="0" w:space="0" w:color="auto"/>
        <w:right w:val="none" w:sz="0" w:space="0" w:color="auto"/>
      </w:divBdr>
    </w:div>
    <w:div w:id="848368926">
      <w:marLeft w:val="0"/>
      <w:marRight w:val="0"/>
      <w:marTop w:val="120"/>
      <w:marBottom w:val="0"/>
      <w:divBdr>
        <w:top w:val="none" w:sz="0" w:space="0" w:color="auto"/>
        <w:left w:val="none" w:sz="0" w:space="0" w:color="auto"/>
        <w:bottom w:val="none" w:sz="0" w:space="0" w:color="auto"/>
        <w:right w:val="none" w:sz="0" w:space="0" w:color="auto"/>
      </w:divBdr>
    </w:div>
    <w:div w:id="851647772">
      <w:marLeft w:val="0"/>
      <w:marRight w:val="0"/>
      <w:marTop w:val="0"/>
      <w:marBottom w:val="0"/>
      <w:divBdr>
        <w:top w:val="none" w:sz="0" w:space="0" w:color="auto"/>
        <w:left w:val="none" w:sz="0" w:space="0" w:color="auto"/>
        <w:bottom w:val="none" w:sz="0" w:space="0" w:color="auto"/>
        <w:right w:val="none" w:sz="0" w:space="0" w:color="auto"/>
      </w:divBdr>
      <w:divsChild>
        <w:div w:id="291178381">
          <w:marLeft w:val="0"/>
          <w:marRight w:val="0"/>
          <w:marTop w:val="0"/>
          <w:marBottom w:val="0"/>
          <w:divBdr>
            <w:top w:val="none" w:sz="0" w:space="0" w:color="auto"/>
            <w:left w:val="none" w:sz="0" w:space="0" w:color="auto"/>
            <w:bottom w:val="none" w:sz="0" w:space="0" w:color="auto"/>
            <w:right w:val="none" w:sz="0" w:space="0" w:color="auto"/>
          </w:divBdr>
        </w:div>
      </w:divsChild>
    </w:div>
    <w:div w:id="854728991">
      <w:marLeft w:val="0"/>
      <w:marRight w:val="0"/>
      <w:marTop w:val="0"/>
      <w:marBottom w:val="0"/>
      <w:divBdr>
        <w:top w:val="none" w:sz="0" w:space="0" w:color="auto"/>
        <w:left w:val="none" w:sz="0" w:space="0" w:color="auto"/>
        <w:bottom w:val="none" w:sz="0" w:space="0" w:color="auto"/>
        <w:right w:val="none" w:sz="0" w:space="0" w:color="auto"/>
      </w:divBdr>
      <w:divsChild>
        <w:div w:id="933896796">
          <w:marLeft w:val="0"/>
          <w:marRight w:val="0"/>
          <w:marTop w:val="0"/>
          <w:marBottom w:val="0"/>
          <w:divBdr>
            <w:top w:val="none" w:sz="0" w:space="0" w:color="auto"/>
            <w:left w:val="none" w:sz="0" w:space="0" w:color="auto"/>
            <w:bottom w:val="none" w:sz="0" w:space="0" w:color="auto"/>
            <w:right w:val="none" w:sz="0" w:space="0" w:color="auto"/>
          </w:divBdr>
        </w:div>
      </w:divsChild>
    </w:div>
    <w:div w:id="856381423">
      <w:marLeft w:val="0"/>
      <w:marRight w:val="0"/>
      <w:marTop w:val="0"/>
      <w:marBottom w:val="0"/>
      <w:divBdr>
        <w:top w:val="none" w:sz="0" w:space="0" w:color="auto"/>
        <w:left w:val="none" w:sz="0" w:space="0" w:color="auto"/>
        <w:bottom w:val="none" w:sz="0" w:space="0" w:color="auto"/>
        <w:right w:val="none" w:sz="0" w:space="0" w:color="auto"/>
      </w:divBdr>
    </w:div>
    <w:div w:id="857043493">
      <w:marLeft w:val="0"/>
      <w:marRight w:val="0"/>
      <w:marTop w:val="0"/>
      <w:marBottom w:val="0"/>
      <w:divBdr>
        <w:top w:val="none" w:sz="0" w:space="0" w:color="auto"/>
        <w:left w:val="none" w:sz="0" w:space="0" w:color="auto"/>
        <w:bottom w:val="none" w:sz="0" w:space="0" w:color="auto"/>
        <w:right w:val="none" w:sz="0" w:space="0" w:color="auto"/>
      </w:divBdr>
      <w:divsChild>
        <w:div w:id="1458833730">
          <w:marLeft w:val="0"/>
          <w:marRight w:val="0"/>
          <w:marTop w:val="0"/>
          <w:marBottom w:val="0"/>
          <w:divBdr>
            <w:top w:val="none" w:sz="0" w:space="0" w:color="auto"/>
            <w:left w:val="none" w:sz="0" w:space="0" w:color="auto"/>
            <w:bottom w:val="none" w:sz="0" w:space="0" w:color="auto"/>
            <w:right w:val="none" w:sz="0" w:space="0" w:color="auto"/>
          </w:divBdr>
        </w:div>
      </w:divsChild>
    </w:div>
    <w:div w:id="860244038">
      <w:marLeft w:val="0"/>
      <w:marRight w:val="0"/>
      <w:marTop w:val="120"/>
      <w:marBottom w:val="0"/>
      <w:divBdr>
        <w:top w:val="none" w:sz="0" w:space="0" w:color="auto"/>
        <w:left w:val="none" w:sz="0" w:space="0" w:color="auto"/>
        <w:bottom w:val="none" w:sz="0" w:space="0" w:color="auto"/>
        <w:right w:val="none" w:sz="0" w:space="0" w:color="auto"/>
      </w:divBdr>
    </w:div>
    <w:div w:id="861361414">
      <w:marLeft w:val="0"/>
      <w:marRight w:val="0"/>
      <w:marTop w:val="0"/>
      <w:marBottom w:val="0"/>
      <w:divBdr>
        <w:top w:val="none" w:sz="0" w:space="0" w:color="auto"/>
        <w:left w:val="none" w:sz="0" w:space="0" w:color="auto"/>
        <w:bottom w:val="none" w:sz="0" w:space="0" w:color="auto"/>
        <w:right w:val="none" w:sz="0" w:space="0" w:color="auto"/>
      </w:divBdr>
    </w:div>
    <w:div w:id="863204417">
      <w:marLeft w:val="0"/>
      <w:marRight w:val="0"/>
      <w:marTop w:val="120"/>
      <w:marBottom w:val="0"/>
      <w:divBdr>
        <w:top w:val="none" w:sz="0" w:space="0" w:color="auto"/>
        <w:left w:val="none" w:sz="0" w:space="0" w:color="auto"/>
        <w:bottom w:val="none" w:sz="0" w:space="0" w:color="auto"/>
        <w:right w:val="none" w:sz="0" w:space="0" w:color="auto"/>
      </w:divBdr>
    </w:div>
    <w:div w:id="863247230">
      <w:marLeft w:val="0"/>
      <w:marRight w:val="0"/>
      <w:marTop w:val="0"/>
      <w:marBottom w:val="0"/>
      <w:divBdr>
        <w:top w:val="none" w:sz="0" w:space="0" w:color="auto"/>
        <w:left w:val="none" w:sz="0" w:space="0" w:color="auto"/>
        <w:bottom w:val="none" w:sz="0" w:space="0" w:color="auto"/>
        <w:right w:val="none" w:sz="0" w:space="0" w:color="auto"/>
      </w:divBdr>
    </w:div>
    <w:div w:id="865605642">
      <w:marLeft w:val="0"/>
      <w:marRight w:val="0"/>
      <w:marTop w:val="240"/>
      <w:marBottom w:val="0"/>
      <w:divBdr>
        <w:top w:val="none" w:sz="0" w:space="0" w:color="auto"/>
        <w:left w:val="none" w:sz="0" w:space="0" w:color="auto"/>
        <w:bottom w:val="none" w:sz="0" w:space="0" w:color="auto"/>
        <w:right w:val="none" w:sz="0" w:space="0" w:color="auto"/>
      </w:divBdr>
    </w:div>
    <w:div w:id="866672922">
      <w:marLeft w:val="0"/>
      <w:marRight w:val="0"/>
      <w:marTop w:val="0"/>
      <w:marBottom w:val="0"/>
      <w:divBdr>
        <w:top w:val="none" w:sz="0" w:space="0" w:color="auto"/>
        <w:left w:val="none" w:sz="0" w:space="0" w:color="auto"/>
        <w:bottom w:val="none" w:sz="0" w:space="0" w:color="auto"/>
        <w:right w:val="none" w:sz="0" w:space="0" w:color="auto"/>
      </w:divBdr>
    </w:div>
    <w:div w:id="870147875">
      <w:marLeft w:val="0"/>
      <w:marRight w:val="0"/>
      <w:marTop w:val="0"/>
      <w:marBottom w:val="0"/>
      <w:divBdr>
        <w:top w:val="none" w:sz="0" w:space="0" w:color="auto"/>
        <w:left w:val="none" w:sz="0" w:space="0" w:color="auto"/>
        <w:bottom w:val="none" w:sz="0" w:space="0" w:color="auto"/>
        <w:right w:val="none" w:sz="0" w:space="0" w:color="auto"/>
      </w:divBdr>
    </w:div>
    <w:div w:id="870455794">
      <w:marLeft w:val="0"/>
      <w:marRight w:val="0"/>
      <w:marTop w:val="120"/>
      <w:marBottom w:val="0"/>
      <w:divBdr>
        <w:top w:val="none" w:sz="0" w:space="0" w:color="auto"/>
        <w:left w:val="none" w:sz="0" w:space="0" w:color="auto"/>
        <w:bottom w:val="none" w:sz="0" w:space="0" w:color="auto"/>
        <w:right w:val="none" w:sz="0" w:space="0" w:color="auto"/>
      </w:divBdr>
    </w:div>
    <w:div w:id="871261671">
      <w:marLeft w:val="0"/>
      <w:marRight w:val="0"/>
      <w:marTop w:val="0"/>
      <w:marBottom w:val="0"/>
      <w:divBdr>
        <w:top w:val="none" w:sz="0" w:space="0" w:color="auto"/>
        <w:left w:val="none" w:sz="0" w:space="0" w:color="auto"/>
        <w:bottom w:val="none" w:sz="0" w:space="0" w:color="auto"/>
        <w:right w:val="none" w:sz="0" w:space="0" w:color="auto"/>
      </w:divBdr>
    </w:div>
    <w:div w:id="871305012">
      <w:marLeft w:val="0"/>
      <w:marRight w:val="0"/>
      <w:marTop w:val="180"/>
      <w:marBottom w:val="0"/>
      <w:divBdr>
        <w:top w:val="none" w:sz="0" w:space="0" w:color="auto"/>
        <w:left w:val="none" w:sz="0" w:space="0" w:color="auto"/>
        <w:bottom w:val="none" w:sz="0" w:space="0" w:color="auto"/>
        <w:right w:val="none" w:sz="0" w:space="0" w:color="auto"/>
      </w:divBdr>
    </w:div>
    <w:div w:id="875240306">
      <w:marLeft w:val="0"/>
      <w:marRight w:val="0"/>
      <w:marTop w:val="120"/>
      <w:marBottom w:val="0"/>
      <w:divBdr>
        <w:top w:val="none" w:sz="0" w:space="0" w:color="auto"/>
        <w:left w:val="none" w:sz="0" w:space="0" w:color="auto"/>
        <w:bottom w:val="none" w:sz="0" w:space="0" w:color="auto"/>
        <w:right w:val="none" w:sz="0" w:space="0" w:color="auto"/>
      </w:divBdr>
    </w:div>
    <w:div w:id="875509477">
      <w:marLeft w:val="0"/>
      <w:marRight w:val="0"/>
      <w:marTop w:val="0"/>
      <w:marBottom w:val="120"/>
      <w:divBdr>
        <w:top w:val="none" w:sz="0" w:space="0" w:color="auto"/>
        <w:left w:val="none" w:sz="0" w:space="0" w:color="auto"/>
        <w:bottom w:val="none" w:sz="0" w:space="0" w:color="auto"/>
        <w:right w:val="none" w:sz="0" w:space="0" w:color="auto"/>
      </w:divBdr>
    </w:div>
    <w:div w:id="875970505">
      <w:marLeft w:val="0"/>
      <w:marRight w:val="0"/>
      <w:marTop w:val="1"/>
      <w:marBottom w:val="1"/>
      <w:divBdr>
        <w:top w:val="none" w:sz="0" w:space="0" w:color="auto"/>
        <w:left w:val="none" w:sz="0" w:space="0" w:color="auto"/>
        <w:bottom w:val="none" w:sz="0" w:space="0" w:color="auto"/>
        <w:right w:val="none" w:sz="0" w:space="0" w:color="auto"/>
      </w:divBdr>
    </w:div>
    <w:div w:id="876233269">
      <w:marLeft w:val="0"/>
      <w:marRight w:val="0"/>
      <w:marTop w:val="0"/>
      <w:marBottom w:val="120"/>
      <w:divBdr>
        <w:top w:val="none" w:sz="0" w:space="0" w:color="auto"/>
        <w:left w:val="none" w:sz="0" w:space="0" w:color="auto"/>
        <w:bottom w:val="none" w:sz="0" w:space="0" w:color="auto"/>
        <w:right w:val="none" w:sz="0" w:space="0" w:color="auto"/>
      </w:divBdr>
      <w:divsChild>
        <w:div w:id="361328447">
          <w:marLeft w:val="0"/>
          <w:marRight w:val="0"/>
          <w:marTop w:val="1"/>
          <w:marBottom w:val="1"/>
          <w:divBdr>
            <w:top w:val="none" w:sz="0" w:space="0" w:color="auto"/>
            <w:left w:val="none" w:sz="0" w:space="0" w:color="auto"/>
            <w:bottom w:val="none" w:sz="0" w:space="0" w:color="auto"/>
            <w:right w:val="none" w:sz="0" w:space="0" w:color="auto"/>
          </w:divBdr>
        </w:div>
        <w:div w:id="2070616832">
          <w:marLeft w:val="0"/>
          <w:marRight w:val="0"/>
          <w:marTop w:val="0"/>
          <w:marBottom w:val="2"/>
          <w:divBdr>
            <w:top w:val="none" w:sz="0" w:space="0" w:color="auto"/>
            <w:left w:val="none" w:sz="0" w:space="0" w:color="auto"/>
            <w:bottom w:val="none" w:sz="0" w:space="0" w:color="auto"/>
            <w:right w:val="none" w:sz="0" w:space="0" w:color="auto"/>
          </w:divBdr>
        </w:div>
        <w:div w:id="1425959083">
          <w:marLeft w:val="0"/>
          <w:marRight w:val="0"/>
          <w:marTop w:val="0"/>
          <w:marBottom w:val="2"/>
          <w:divBdr>
            <w:top w:val="none" w:sz="0" w:space="0" w:color="auto"/>
            <w:left w:val="none" w:sz="0" w:space="0" w:color="auto"/>
            <w:bottom w:val="none" w:sz="0" w:space="0" w:color="auto"/>
            <w:right w:val="none" w:sz="0" w:space="0" w:color="auto"/>
          </w:divBdr>
        </w:div>
        <w:div w:id="293678949">
          <w:marLeft w:val="0"/>
          <w:marRight w:val="0"/>
          <w:marTop w:val="0"/>
          <w:marBottom w:val="2"/>
          <w:divBdr>
            <w:top w:val="none" w:sz="0" w:space="0" w:color="auto"/>
            <w:left w:val="none" w:sz="0" w:space="0" w:color="auto"/>
            <w:bottom w:val="none" w:sz="0" w:space="0" w:color="auto"/>
            <w:right w:val="none" w:sz="0" w:space="0" w:color="auto"/>
          </w:divBdr>
        </w:div>
      </w:divsChild>
    </w:div>
    <w:div w:id="878707222">
      <w:marLeft w:val="0"/>
      <w:marRight w:val="0"/>
      <w:marTop w:val="1"/>
      <w:marBottom w:val="1"/>
      <w:divBdr>
        <w:top w:val="none" w:sz="0" w:space="0" w:color="auto"/>
        <w:left w:val="none" w:sz="0" w:space="0" w:color="auto"/>
        <w:bottom w:val="none" w:sz="0" w:space="0" w:color="auto"/>
        <w:right w:val="none" w:sz="0" w:space="0" w:color="auto"/>
      </w:divBdr>
    </w:div>
    <w:div w:id="886339022">
      <w:marLeft w:val="0"/>
      <w:marRight w:val="0"/>
      <w:marTop w:val="0"/>
      <w:marBottom w:val="0"/>
      <w:divBdr>
        <w:top w:val="none" w:sz="0" w:space="0" w:color="auto"/>
        <w:left w:val="none" w:sz="0" w:space="0" w:color="auto"/>
        <w:bottom w:val="none" w:sz="0" w:space="0" w:color="auto"/>
        <w:right w:val="none" w:sz="0" w:space="0" w:color="auto"/>
      </w:divBdr>
    </w:div>
    <w:div w:id="887182639">
      <w:marLeft w:val="0"/>
      <w:marRight w:val="0"/>
      <w:marTop w:val="240"/>
      <w:marBottom w:val="0"/>
      <w:divBdr>
        <w:top w:val="none" w:sz="0" w:space="0" w:color="auto"/>
        <w:left w:val="none" w:sz="0" w:space="0" w:color="auto"/>
        <w:bottom w:val="none" w:sz="0" w:space="0" w:color="auto"/>
        <w:right w:val="none" w:sz="0" w:space="0" w:color="auto"/>
      </w:divBdr>
    </w:div>
    <w:div w:id="887836088">
      <w:marLeft w:val="0"/>
      <w:marRight w:val="0"/>
      <w:marTop w:val="0"/>
      <w:marBottom w:val="0"/>
      <w:divBdr>
        <w:top w:val="none" w:sz="0" w:space="0" w:color="auto"/>
        <w:left w:val="none" w:sz="0" w:space="0" w:color="auto"/>
        <w:bottom w:val="none" w:sz="0" w:space="0" w:color="auto"/>
        <w:right w:val="none" w:sz="0" w:space="0" w:color="auto"/>
      </w:divBdr>
    </w:div>
    <w:div w:id="892278675">
      <w:marLeft w:val="0"/>
      <w:marRight w:val="0"/>
      <w:marTop w:val="0"/>
      <w:marBottom w:val="0"/>
      <w:divBdr>
        <w:top w:val="none" w:sz="0" w:space="0" w:color="auto"/>
        <w:left w:val="none" w:sz="0" w:space="0" w:color="auto"/>
        <w:bottom w:val="none" w:sz="0" w:space="0" w:color="auto"/>
        <w:right w:val="none" w:sz="0" w:space="0" w:color="auto"/>
      </w:divBdr>
    </w:div>
    <w:div w:id="898050828">
      <w:marLeft w:val="0"/>
      <w:marRight w:val="0"/>
      <w:marTop w:val="0"/>
      <w:marBottom w:val="0"/>
      <w:divBdr>
        <w:top w:val="none" w:sz="0" w:space="0" w:color="auto"/>
        <w:left w:val="none" w:sz="0" w:space="0" w:color="auto"/>
        <w:bottom w:val="none" w:sz="0" w:space="0" w:color="auto"/>
        <w:right w:val="none" w:sz="0" w:space="0" w:color="auto"/>
      </w:divBdr>
      <w:divsChild>
        <w:div w:id="1149445844">
          <w:marLeft w:val="0"/>
          <w:marRight w:val="0"/>
          <w:marTop w:val="0"/>
          <w:marBottom w:val="0"/>
          <w:divBdr>
            <w:top w:val="none" w:sz="0" w:space="0" w:color="auto"/>
            <w:left w:val="none" w:sz="0" w:space="0" w:color="auto"/>
            <w:bottom w:val="none" w:sz="0" w:space="0" w:color="auto"/>
            <w:right w:val="none" w:sz="0" w:space="0" w:color="auto"/>
          </w:divBdr>
        </w:div>
      </w:divsChild>
    </w:div>
    <w:div w:id="899899121">
      <w:marLeft w:val="0"/>
      <w:marRight w:val="0"/>
      <w:marTop w:val="1"/>
      <w:marBottom w:val="1"/>
      <w:divBdr>
        <w:top w:val="none" w:sz="0" w:space="0" w:color="auto"/>
        <w:left w:val="none" w:sz="0" w:space="0" w:color="auto"/>
        <w:bottom w:val="none" w:sz="0" w:space="0" w:color="auto"/>
        <w:right w:val="none" w:sz="0" w:space="0" w:color="auto"/>
      </w:divBdr>
    </w:div>
    <w:div w:id="906914776">
      <w:marLeft w:val="0"/>
      <w:marRight w:val="0"/>
      <w:marTop w:val="1"/>
      <w:marBottom w:val="1"/>
      <w:divBdr>
        <w:top w:val="none" w:sz="0" w:space="0" w:color="auto"/>
        <w:left w:val="none" w:sz="0" w:space="0" w:color="auto"/>
        <w:bottom w:val="none" w:sz="0" w:space="0" w:color="auto"/>
        <w:right w:val="none" w:sz="0" w:space="0" w:color="auto"/>
      </w:divBdr>
    </w:div>
    <w:div w:id="909536236">
      <w:marLeft w:val="0"/>
      <w:marRight w:val="0"/>
      <w:marTop w:val="0"/>
      <w:marBottom w:val="0"/>
      <w:divBdr>
        <w:top w:val="none" w:sz="0" w:space="0" w:color="auto"/>
        <w:left w:val="none" w:sz="0" w:space="0" w:color="auto"/>
        <w:bottom w:val="none" w:sz="0" w:space="0" w:color="auto"/>
        <w:right w:val="none" w:sz="0" w:space="0" w:color="auto"/>
      </w:divBdr>
    </w:div>
    <w:div w:id="910194384">
      <w:marLeft w:val="0"/>
      <w:marRight w:val="0"/>
      <w:marTop w:val="0"/>
      <w:marBottom w:val="0"/>
      <w:divBdr>
        <w:top w:val="none" w:sz="0" w:space="0" w:color="auto"/>
        <w:left w:val="none" w:sz="0" w:space="0" w:color="auto"/>
        <w:bottom w:val="none" w:sz="0" w:space="0" w:color="auto"/>
        <w:right w:val="none" w:sz="0" w:space="0" w:color="auto"/>
      </w:divBdr>
    </w:div>
    <w:div w:id="911620485">
      <w:marLeft w:val="0"/>
      <w:marRight w:val="0"/>
      <w:marTop w:val="0"/>
      <w:marBottom w:val="120"/>
      <w:divBdr>
        <w:top w:val="none" w:sz="0" w:space="0" w:color="auto"/>
        <w:left w:val="none" w:sz="0" w:space="0" w:color="auto"/>
        <w:bottom w:val="none" w:sz="0" w:space="0" w:color="auto"/>
        <w:right w:val="none" w:sz="0" w:space="0" w:color="auto"/>
      </w:divBdr>
    </w:div>
    <w:div w:id="915356264">
      <w:marLeft w:val="0"/>
      <w:marRight w:val="0"/>
      <w:marTop w:val="0"/>
      <w:marBottom w:val="120"/>
      <w:divBdr>
        <w:top w:val="none" w:sz="0" w:space="0" w:color="auto"/>
        <w:left w:val="none" w:sz="0" w:space="0" w:color="auto"/>
        <w:bottom w:val="none" w:sz="0" w:space="0" w:color="auto"/>
        <w:right w:val="none" w:sz="0" w:space="0" w:color="auto"/>
      </w:divBdr>
      <w:divsChild>
        <w:div w:id="314140712">
          <w:marLeft w:val="0"/>
          <w:marRight w:val="0"/>
          <w:marTop w:val="0"/>
          <w:marBottom w:val="2"/>
          <w:divBdr>
            <w:top w:val="none" w:sz="0" w:space="0" w:color="auto"/>
            <w:left w:val="none" w:sz="0" w:space="0" w:color="auto"/>
            <w:bottom w:val="none" w:sz="0" w:space="0" w:color="auto"/>
            <w:right w:val="none" w:sz="0" w:space="0" w:color="auto"/>
          </w:divBdr>
        </w:div>
      </w:divsChild>
    </w:div>
    <w:div w:id="924261737">
      <w:marLeft w:val="0"/>
      <w:marRight w:val="0"/>
      <w:marTop w:val="0"/>
      <w:marBottom w:val="0"/>
      <w:divBdr>
        <w:top w:val="none" w:sz="0" w:space="0" w:color="auto"/>
        <w:left w:val="none" w:sz="0" w:space="0" w:color="auto"/>
        <w:bottom w:val="none" w:sz="0" w:space="0" w:color="auto"/>
        <w:right w:val="none" w:sz="0" w:space="0" w:color="auto"/>
      </w:divBdr>
      <w:divsChild>
        <w:div w:id="430509202">
          <w:marLeft w:val="0"/>
          <w:marRight w:val="0"/>
          <w:marTop w:val="0"/>
          <w:marBottom w:val="0"/>
          <w:divBdr>
            <w:top w:val="none" w:sz="0" w:space="0" w:color="auto"/>
            <w:left w:val="none" w:sz="0" w:space="0" w:color="auto"/>
            <w:bottom w:val="none" w:sz="0" w:space="0" w:color="auto"/>
            <w:right w:val="none" w:sz="0" w:space="0" w:color="auto"/>
          </w:divBdr>
        </w:div>
      </w:divsChild>
    </w:div>
    <w:div w:id="926889091">
      <w:marLeft w:val="0"/>
      <w:marRight w:val="0"/>
      <w:marTop w:val="0"/>
      <w:marBottom w:val="120"/>
      <w:divBdr>
        <w:top w:val="none" w:sz="0" w:space="0" w:color="auto"/>
        <w:left w:val="none" w:sz="0" w:space="0" w:color="auto"/>
        <w:bottom w:val="none" w:sz="0" w:space="0" w:color="auto"/>
        <w:right w:val="none" w:sz="0" w:space="0" w:color="auto"/>
      </w:divBdr>
    </w:div>
    <w:div w:id="933828200">
      <w:marLeft w:val="0"/>
      <w:marRight w:val="0"/>
      <w:marTop w:val="360"/>
      <w:marBottom w:val="0"/>
      <w:divBdr>
        <w:top w:val="none" w:sz="0" w:space="0" w:color="auto"/>
        <w:left w:val="none" w:sz="0" w:space="0" w:color="auto"/>
        <w:bottom w:val="none" w:sz="0" w:space="0" w:color="auto"/>
        <w:right w:val="none" w:sz="0" w:space="0" w:color="auto"/>
      </w:divBdr>
    </w:div>
    <w:div w:id="935483880">
      <w:marLeft w:val="0"/>
      <w:marRight w:val="0"/>
      <w:marTop w:val="120"/>
      <w:marBottom w:val="1"/>
      <w:divBdr>
        <w:top w:val="none" w:sz="0" w:space="0" w:color="auto"/>
        <w:left w:val="none" w:sz="0" w:space="0" w:color="auto"/>
        <w:bottom w:val="none" w:sz="0" w:space="0" w:color="auto"/>
        <w:right w:val="none" w:sz="0" w:space="0" w:color="auto"/>
      </w:divBdr>
    </w:div>
    <w:div w:id="936057012">
      <w:marLeft w:val="0"/>
      <w:marRight w:val="0"/>
      <w:marTop w:val="0"/>
      <w:marBottom w:val="0"/>
      <w:divBdr>
        <w:top w:val="none" w:sz="0" w:space="0" w:color="auto"/>
        <w:left w:val="none" w:sz="0" w:space="0" w:color="auto"/>
        <w:bottom w:val="none" w:sz="0" w:space="0" w:color="auto"/>
        <w:right w:val="none" w:sz="0" w:space="0" w:color="auto"/>
      </w:divBdr>
    </w:div>
    <w:div w:id="937562880">
      <w:marLeft w:val="0"/>
      <w:marRight w:val="0"/>
      <w:marTop w:val="0"/>
      <w:marBottom w:val="0"/>
      <w:divBdr>
        <w:top w:val="none" w:sz="0" w:space="0" w:color="auto"/>
        <w:left w:val="none" w:sz="0" w:space="0" w:color="auto"/>
        <w:bottom w:val="none" w:sz="0" w:space="0" w:color="auto"/>
        <w:right w:val="none" w:sz="0" w:space="0" w:color="auto"/>
      </w:divBdr>
      <w:divsChild>
        <w:div w:id="1260792546">
          <w:marLeft w:val="0"/>
          <w:marRight w:val="0"/>
          <w:marTop w:val="0"/>
          <w:marBottom w:val="0"/>
          <w:divBdr>
            <w:top w:val="none" w:sz="0" w:space="0" w:color="auto"/>
            <w:left w:val="none" w:sz="0" w:space="0" w:color="auto"/>
            <w:bottom w:val="none" w:sz="0" w:space="0" w:color="auto"/>
            <w:right w:val="none" w:sz="0" w:space="0" w:color="auto"/>
          </w:divBdr>
        </w:div>
      </w:divsChild>
    </w:div>
    <w:div w:id="938218538">
      <w:marLeft w:val="0"/>
      <w:marRight w:val="0"/>
      <w:marTop w:val="1"/>
      <w:marBottom w:val="1"/>
      <w:divBdr>
        <w:top w:val="none" w:sz="0" w:space="0" w:color="auto"/>
        <w:left w:val="none" w:sz="0" w:space="0" w:color="auto"/>
        <w:bottom w:val="none" w:sz="0" w:space="0" w:color="auto"/>
        <w:right w:val="none" w:sz="0" w:space="0" w:color="auto"/>
      </w:divBdr>
    </w:div>
    <w:div w:id="956179755">
      <w:marLeft w:val="0"/>
      <w:marRight w:val="0"/>
      <w:marTop w:val="0"/>
      <w:marBottom w:val="0"/>
      <w:divBdr>
        <w:top w:val="none" w:sz="0" w:space="0" w:color="auto"/>
        <w:left w:val="none" w:sz="0" w:space="0" w:color="auto"/>
        <w:bottom w:val="none" w:sz="0" w:space="0" w:color="auto"/>
        <w:right w:val="none" w:sz="0" w:space="0" w:color="auto"/>
      </w:divBdr>
    </w:div>
    <w:div w:id="963123417">
      <w:marLeft w:val="0"/>
      <w:marRight w:val="0"/>
      <w:marTop w:val="120"/>
      <w:marBottom w:val="0"/>
      <w:divBdr>
        <w:top w:val="none" w:sz="0" w:space="0" w:color="auto"/>
        <w:left w:val="none" w:sz="0" w:space="0" w:color="auto"/>
        <w:bottom w:val="none" w:sz="0" w:space="0" w:color="auto"/>
        <w:right w:val="none" w:sz="0" w:space="0" w:color="auto"/>
      </w:divBdr>
    </w:div>
    <w:div w:id="963581359">
      <w:marLeft w:val="0"/>
      <w:marRight w:val="0"/>
      <w:marTop w:val="0"/>
      <w:marBottom w:val="0"/>
      <w:divBdr>
        <w:top w:val="none" w:sz="0" w:space="0" w:color="auto"/>
        <w:left w:val="none" w:sz="0" w:space="0" w:color="auto"/>
        <w:bottom w:val="none" w:sz="0" w:space="0" w:color="auto"/>
        <w:right w:val="none" w:sz="0" w:space="0" w:color="auto"/>
      </w:divBdr>
      <w:divsChild>
        <w:div w:id="1339041222">
          <w:marLeft w:val="0"/>
          <w:marRight w:val="0"/>
          <w:marTop w:val="0"/>
          <w:marBottom w:val="0"/>
          <w:divBdr>
            <w:top w:val="none" w:sz="0" w:space="0" w:color="auto"/>
            <w:left w:val="none" w:sz="0" w:space="0" w:color="auto"/>
            <w:bottom w:val="none" w:sz="0" w:space="0" w:color="auto"/>
            <w:right w:val="none" w:sz="0" w:space="0" w:color="auto"/>
          </w:divBdr>
        </w:div>
      </w:divsChild>
    </w:div>
    <w:div w:id="966424274">
      <w:marLeft w:val="0"/>
      <w:marRight w:val="0"/>
      <w:marTop w:val="1"/>
      <w:marBottom w:val="1"/>
      <w:divBdr>
        <w:top w:val="none" w:sz="0" w:space="0" w:color="auto"/>
        <w:left w:val="none" w:sz="0" w:space="0" w:color="auto"/>
        <w:bottom w:val="none" w:sz="0" w:space="0" w:color="auto"/>
        <w:right w:val="none" w:sz="0" w:space="0" w:color="auto"/>
      </w:divBdr>
    </w:div>
    <w:div w:id="978996839">
      <w:marLeft w:val="0"/>
      <w:marRight w:val="0"/>
      <w:marTop w:val="120"/>
      <w:marBottom w:val="0"/>
      <w:divBdr>
        <w:top w:val="none" w:sz="0" w:space="0" w:color="auto"/>
        <w:left w:val="none" w:sz="0" w:space="0" w:color="auto"/>
        <w:bottom w:val="none" w:sz="0" w:space="0" w:color="auto"/>
        <w:right w:val="none" w:sz="0" w:space="0" w:color="auto"/>
      </w:divBdr>
    </w:div>
    <w:div w:id="979698181">
      <w:marLeft w:val="0"/>
      <w:marRight w:val="0"/>
      <w:marTop w:val="120"/>
      <w:marBottom w:val="0"/>
      <w:divBdr>
        <w:top w:val="none" w:sz="0" w:space="0" w:color="auto"/>
        <w:left w:val="none" w:sz="0" w:space="0" w:color="auto"/>
        <w:bottom w:val="none" w:sz="0" w:space="0" w:color="auto"/>
        <w:right w:val="none" w:sz="0" w:space="0" w:color="auto"/>
      </w:divBdr>
    </w:div>
    <w:div w:id="984312406">
      <w:marLeft w:val="0"/>
      <w:marRight w:val="0"/>
      <w:marTop w:val="0"/>
      <w:marBottom w:val="0"/>
      <w:divBdr>
        <w:top w:val="none" w:sz="0" w:space="0" w:color="auto"/>
        <w:left w:val="none" w:sz="0" w:space="0" w:color="auto"/>
        <w:bottom w:val="none" w:sz="0" w:space="0" w:color="auto"/>
        <w:right w:val="none" w:sz="0" w:space="0" w:color="auto"/>
      </w:divBdr>
    </w:div>
    <w:div w:id="989553555">
      <w:marLeft w:val="0"/>
      <w:marRight w:val="0"/>
      <w:marTop w:val="120"/>
      <w:marBottom w:val="0"/>
      <w:divBdr>
        <w:top w:val="none" w:sz="0" w:space="0" w:color="auto"/>
        <w:left w:val="none" w:sz="0" w:space="0" w:color="auto"/>
        <w:bottom w:val="none" w:sz="0" w:space="0" w:color="auto"/>
        <w:right w:val="none" w:sz="0" w:space="0" w:color="auto"/>
      </w:divBdr>
    </w:div>
    <w:div w:id="994721776">
      <w:marLeft w:val="0"/>
      <w:marRight w:val="0"/>
      <w:marTop w:val="0"/>
      <w:marBottom w:val="0"/>
      <w:divBdr>
        <w:top w:val="none" w:sz="0" w:space="0" w:color="auto"/>
        <w:left w:val="none" w:sz="0" w:space="0" w:color="auto"/>
        <w:bottom w:val="none" w:sz="0" w:space="0" w:color="auto"/>
        <w:right w:val="none" w:sz="0" w:space="0" w:color="auto"/>
      </w:divBdr>
    </w:div>
    <w:div w:id="997921720">
      <w:marLeft w:val="0"/>
      <w:marRight w:val="0"/>
      <w:marTop w:val="0"/>
      <w:marBottom w:val="0"/>
      <w:divBdr>
        <w:top w:val="none" w:sz="0" w:space="0" w:color="auto"/>
        <w:left w:val="none" w:sz="0" w:space="0" w:color="auto"/>
        <w:bottom w:val="none" w:sz="0" w:space="0" w:color="auto"/>
        <w:right w:val="none" w:sz="0" w:space="0" w:color="auto"/>
      </w:divBdr>
    </w:div>
    <w:div w:id="1010060927">
      <w:marLeft w:val="0"/>
      <w:marRight w:val="0"/>
      <w:marTop w:val="120"/>
      <w:marBottom w:val="0"/>
      <w:divBdr>
        <w:top w:val="none" w:sz="0" w:space="0" w:color="auto"/>
        <w:left w:val="none" w:sz="0" w:space="0" w:color="auto"/>
        <w:bottom w:val="none" w:sz="0" w:space="0" w:color="auto"/>
        <w:right w:val="none" w:sz="0" w:space="0" w:color="auto"/>
      </w:divBdr>
    </w:div>
    <w:div w:id="1010261004">
      <w:marLeft w:val="0"/>
      <w:marRight w:val="0"/>
      <w:marTop w:val="0"/>
      <w:marBottom w:val="0"/>
      <w:divBdr>
        <w:top w:val="none" w:sz="0" w:space="0" w:color="auto"/>
        <w:left w:val="none" w:sz="0" w:space="0" w:color="auto"/>
        <w:bottom w:val="none" w:sz="0" w:space="0" w:color="auto"/>
        <w:right w:val="none" w:sz="0" w:space="0" w:color="auto"/>
      </w:divBdr>
      <w:divsChild>
        <w:div w:id="1297488419">
          <w:marLeft w:val="0"/>
          <w:marRight w:val="0"/>
          <w:marTop w:val="0"/>
          <w:marBottom w:val="0"/>
          <w:divBdr>
            <w:top w:val="none" w:sz="0" w:space="0" w:color="auto"/>
            <w:left w:val="none" w:sz="0" w:space="0" w:color="auto"/>
            <w:bottom w:val="none" w:sz="0" w:space="0" w:color="auto"/>
            <w:right w:val="none" w:sz="0" w:space="0" w:color="auto"/>
          </w:divBdr>
        </w:div>
      </w:divsChild>
    </w:div>
    <w:div w:id="1012879358">
      <w:marLeft w:val="0"/>
      <w:marRight w:val="0"/>
      <w:marTop w:val="120"/>
      <w:marBottom w:val="0"/>
      <w:divBdr>
        <w:top w:val="none" w:sz="0" w:space="0" w:color="auto"/>
        <w:left w:val="none" w:sz="0" w:space="0" w:color="auto"/>
        <w:bottom w:val="none" w:sz="0" w:space="0" w:color="auto"/>
        <w:right w:val="none" w:sz="0" w:space="0" w:color="auto"/>
      </w:divBdr>
    </w:div>
    <w:div w:id="1014957813">
      <w:marLeft w:val="0"/>
      <w:marRight w:val="0"/>
      <w:marTop w:val="0"/>
      <w:marBottom w:val="0"/>
      <w:divBdr>
        <w:top w:val="none" w:sz="0" w:space="0" w:color="auto"/>
        <w:left w:val="none" w:sz="0" w:space="0" w:color="auto"/>
        <w:bottom w:val="none" w:sz="0" w:space="0" w:color="auto"/>
        <w:right w:val="none" w:sz="0" w:space="0" w:color="auto"/>
      </w:divBdr>
    </w:div>
    <w:div w:id="1021708317">
      <w:marLeft w:val="0"/>
      <w:marRight w:val="0"/>
      <w:marTop w:val="0"/>
      <w:marBottom w:val="0"/>
      <w:divBdr>
        <w:top w:val="none" w:sz="0" w:space="0" w:color="auto"/>
        <w:left w:val="none" w:sz="0" w:space="0" w:color="auto"/>
        <w:bottom w:val="none" w:sz="0" w:space="0" w:color="auto"/>
        <w:right w:val="none" w:sz="0" w:space="0" w:color="auto"/>
      </w:divBdr>
    </w:div>
    <w:div w:id="1033730547">
      <w:marLeft w:val="0"/>
      <w:marRight w:val="0"/>
      <w:marTop w:val="0"/>
      <w:marBottom w:val="0"/>
      <w:divBdr>
        <w:top w:val="none" w:sz="0" w:space="0" w:color="auto"/>
        <w:left w:val="none" w:sz="0" w:space="0" w:color="auto"/>
        <w:bottom w:val="none" w:sz="0" w:space="0" w:color="auto"/>
        <w:right w:val="none" w:sz="0" w:space="0" w:color="auto"/>
      </w:divBdr>
    </w:div>
    <w:div w:id="1038896277">
      <w:marLeft w:val="0"/>
      <w:marRight w:val="0"/>
      <w:marTop w:val="0"/>
      <w:marBottom w:val="0"/>
      <w:divBdr>
        <w:top w:val="none" w:sz="0" w:space="0" w:color="auto"/>
        <w:left w:val="none" w:sz="0" w:space="0" w:color="auto"/>
        <w:bottom w:val="none" w:sz="0" w:space="0" w:color="auto"/>
        <w:right w:val="none" w:sz="0" w:space="0" w:color="auto"/>
      </w:divBdr>
    </w:div>
    <w:div w:id="1042049793">
      <w:marLeft w:val="0"/>
      <w:marRight w:val="0"/>
      <w:marTop w:val="0"/>
      <w:marBottom w:val="0"/>
      <w:divBdr>
        <w:top w:val="none" w:sz="0" w:space="0" w:color="auto"/>
        <w:left w:val="none" w:sz="0" w:space="0" w:color="auto"/>
        <w:bottom w:val="none" w:sz="0" w:space="0" w:color="auto"/>
        <w:right w:val="none" w:sz="0" w:space="0" w:color="auto"/>
      </w:divBdr>
    </w:div>
    <w:div w:id="1048185949">
      <w:marLeft w:val="0"/>
      <w:marRight w:val="0"/>
      <w:marTop w:val="180"/>
      <w:marBottom w:val="0"/>
      <w:divBdr>
        <w:top w:val="none" w:sz="0" w:space="0" w:color="auto"/>
        <w:left w:val="none" w:sz="0" w:space="0" w:color="auto"/>
        <w:bottom w:val="none" w:sz="0" w:space="0" w:color="auto"/>
        <w:right w:val="none" w:sz="0" w:space="0" w:color="auto"/>
      </w:divBdr>
    </w:div>
    <w:div w:id="1049576415">
      <w:marLeft w:val="0"/>
      <w:marRight w:val="0"/>
      <w:marTop w:val="240"/>
      <w:marBottom w:val="0"/>
      <w:divBdr>
        <w:top w:val="none" w:sz="0" w:space="0" w:color="auto"/>
        <w:left w:val="none" w:sz="0" w:space="0" w:color="auto"/>
        <w:bottom w:val="none" w:sz="0" w:space="0" w:color="auto"/>
        <w:right w:val="none" w:sz="0" w:space="0" w:color="auto"/>
      </w:divBdr>
    </w:div>
    <w:div w:id="1053962279">
      <w:marLeft w:val="0"/>
      <w:marRight w:val="0"/>
      <w:marTop w:val="120"/>
      <w:marBottom w:val="0"/>
      <w:divBdr>
        <w:top w:val="none" w:sz="0" w:space="0" w:color="auto"/>
        <w:left w:val="none" w:sz="0" w:space="0" w:color="auto"/>
        <w:bottom w:val="none" w:sz="0" w:space="0" w:color="auto"/>
        <w:right w:val="none" w:sz="0" w:space="0" w:color="auto"/>
      </w:divBdr>
    </w:div>
    <w:div w:id="1053963996">
      <w:marLeft w:val="0"/>
      <w:marRight w:val="0"/>
      <w:marTop w:val="120"/>
      <w:marBottom w:val="0"/>
      <w:divBdr>
        <w:top w:val="none" w:sz="0" w:space="0" w:color="auto"/>
        <w:left w:val="none" w:sz="0" w:space="0" w:color="auto"/>
        <w:bottom w:val="none" w:sz="0" w:space="0" w:color="auto"/>
        <w:right w:val="none" w:sz="0" w:space="0" w:color="auto"/>
      </w:divBdr>
    </w:div>
    <w:div w:id="1054742606">
      <w:marLeft w:val="0"/>
      <w:marRight w:val="0"/>
      <w:marTop w:val="120"/>
      <w:marBottom w:val="0"/>
      <w:divBdr>
        <w:top w:val="none" w:sz="0" w:space="0" w:color="auto"/>
        <w:left w:val="none" w:sz="0" w:space="0" w:color="auto"/>
        <w:bottom w:val="none" w:sz="0" w:space="0" w:color="auto"/>
        <w:right w:val="none" w:sz="0" w:space="0" w:color="auto"/>
      </w:divBdr>
    </w:div>
    <w:div w:id="1056783484">
      <w:marLeft w:val="0"/>
      <w:marRight w:val="0"/>
      <w:marTop w:val="0"/>
      <w:marBottom w:val="0"/>
      <w:divBdr>
        <w:top w:val="none" w:sz="0" w:space="0" w:color="auto"/>
        <w:left w:val="none" w:sz="0" w:space="0" w:color="auto"/>
        <w:bottom w:val="none" w:sz="0" w:space="0" w:color="auto"/>
        <w:right w:val="none" w:sz="0" w:space="0" w:color="auto"/>
      </w:divBdr>
    </w:div>
    <w:div w:id="1084180200">
      <w:marLeft w:val="0"/>
      <w:marRight w:val="0"/>
      <w:marTop w:val="120"/>
      <w:marBottom w:val="1"/>
      <w:divBdr>
        <w:top w:val="none" w:sz="0" w:space="0" w:color="auto"/>
        <w:left w:val="none" w:sz="0" w:space="0" w:color="auto"/>
        <w:bottom w:val="none" w:sz="0" w:space="0" w:color="auto"/>
        <w:right w:val="none" w:sz="0" w:space="0" w:color="auto"/>
      </w:divBdr>
    </w:div>
    <w:div w:id="1084182915">
      <w:marLeft w:val="0"/>
      <w:marRight w:val="0"/>
      <w:marTop w:val="360"/>
      <w:marBottom w:val="0"/>
      <w:divBdr>
        <w:top w:val="none" w:sz="0" w:space="0" w:color="auto"/>
        <w:left w:val="none" w:sz="0" w:space="0" w:color="auto"/>
        <w:bottom w:val="none" w:sz="0" w:space="0" w:color="auto"/>
        <w:right w:val="none" w:sz="0" w:space="0" w:color="auto"/>
      </w:divBdr>
    </w:div>
    <w:div w:id="1085228714">
      <w:marLeft w:val="0"/>
      <w:marRight w:val="0"/>
      <w:marTop w:val="120"/>
      <w:marBottom w:val="0"/>
      <w:divBdr>
        <w:top w:val="none" w:sz="0" w:space="0" w:color="auto"/>
        <w:left w:val="none" w:sz="0" w:space="0" w:color="auto"/>
        <w:bottom w:val="none" w:sz="0" w:space="0" w:color="auto"/>
        <w:right w:val="none" w:sz="0" w:space="0" w:color="auto"/>
      </w:divBdr>
    </w:div>
    <w:div w:id="1085566326">
      <w:marLeft w:val="0"/>
      <w:marRight w:val="0"/>
      <w:marTop w:val="0"/>
      <w:marBottom w:val="0"/>
      <w:divBdr>
        <w:top w:val="none" w:sz="0" w:space="0" w:color="auto"/>
        <w:left w:val="none" w:sz="0" w:space="0" w:color="auto"/>
        <w:bottom w:val="none" w:sz="0" w:space="0" w:color="auto"/>
        <w:right w:val="none" w:sz="0" w:space="0" w:color="auto"/>
      </w:divBdr>
    </w:div>
    <w:div w:id="1087582704">
      <w:marLeft w:val="0"/>
      <w:marRight w:val="0"/>
      <w:marTop w:val="240"/>
      <w:marBottom w:val="0"/>
      <w:divBdr>
        <w:top w:val="none" w:sz="0" w:space="0" w:color="auto"/>
        <w:left w:val="none" w:sz="0" w:space="0" w:color="auto"/>
        <w:bottom w:val="none" w:sz="0" w:space="0" w:color="auto"/>
        <w:right w:val="none" w:sz="0" w:space="0" w:color="auto"/>
      </w:divBdr>
    </w:div>
    <w:div w:id="1096822922">
      <w:marLeft w:val="0"/>
      <w:marRight w:val="0"/>
      <w:marTop w:val="1"/>
      <w:marBottom w:val="1"/>
      <w:divBdr>
        <w:top w:val="none" w:sz="0" w:space="0" w:color="auto"/>
        <w:left w:val="none" w:sz="0" w:space="0" w:color="auto"/>
        <w:bottom w:val="none" w:sz="0" w:space="0" w:color="auto"/>
        <w:right w:val="none" w:sz="0" w:space="0" w:color="auto"/>
      </w:divBdr>
    </w:div>
    <w:div w:id="1104492565">
      <w:marLeft w:val="0"/>
      <w:marRight w:val="0"/>
      <w:marTop w:val="120"/>
      <w:marBottom w:val="0"/>
      <w:divBdr>
        <w:top w:val="none" w:sz="0" w:space="0" w:color="auto"/>
        <w:left w:val="none" w:sz="0" w:space="0" w:color="auto"/>
        <w:bottom w:val="none" w:sz="0" w:space="0" w:color="auto"/>
        <w:right w:val="none" w:sz="0" w:space="0" w:color="auto"/>
      </w:divBdr>
    </w:div>
    <w:div w:id="1109161614">
      <w:marLeft w:val="0"/>
      <w:marRight w:val="0"/>
      <w:marTop w:val="360"/>
      <w:marBottom w:val="0"/>
      <w:divBdr>
        <w:top w:val="none" w:sz="0" w:space="0" w:color="auto"/>
        <w:left w:val="none" w:sz="0" w:space="0" w:color="auto"/>
        <w:bottom w:val="none" w:sz="0" w:space="0" w:color="auto"/>
        <w:right w:val="none" w:sz="0" w:space="0" w:color="auto"/>
      </w:divBdr>
    </w:div>
    <w:div w:id="1113402500">
      <w:marLeft w:val="0"/>
      <w:marRight w:val="0"/>
      <w:marTop w:val="0"/>
      <w:marBottom w:val="0"/>
      <w:divBdr>
        <w:top w:val="none" w:sz="0" w:space="0" w:color="auto"/>
        <w:left w:val="none" w:sz="0" w:space="0" w:color="auto"/>
        <w:bottom w:val="none" w:sz="0" w:space="0" w:color="auto"/>
        <w:right w:val="none" w:sz="0" w:space="0" w:color="auto"/>
      </w:divBdr>
    </w:div>
    <w:div w:id="1118135985">
      <w:marLeft w:val="0"/>
      <w:marRight w:val="0"/>
      <w:marTop w:val="1"/>
      <w:marBottom w:val="1"/>
      <w:divBdr>
        <w:top w:val="none" w:sz="0" w:space="0" w:color="auto"/>
        <w:left w:val="none" w:sz="0" w:space="0" w:color="auto"/>
        <w:bottom w:val="none" w:sz="0" w:space="0" w:color="auto"/>
        <w:right w:val="none" w:sz="0" w:space="0" w:color="auto"/>
      </w:divBdr>
    </w:div>
    <w:div w:id="1125855321">
      <w:marLeft w:val="0"/>
      <w:marRight w:val="0"/>
      <w:marTop w:val="0"/>
      <w:marBottom w:val="0"/>
      <w:divBdr>
        <w:top w:val="none" w:sz="0" w:space="0" w:color="auto"/>
        <w:left w:val="none" w:sz="0" w:space="0" w:color="auto"/>
        <w:bottom w:val="none" w:sz="0" w:space="0" w:color="auto"/>
        <w:right w:val="none" w:sz="0" w:space="0" w:color="auto"/>
      </w:divBdr>
    </w:div>
    <w:div w:id="1127774974">
      <w:marLeft w:val="0"/>
      <w:marRight w:val="0"/>
      <w:marTop w:val="120"/>
      <w:marBottom w:val="0"/>
      <w:divBdr>
        <w:top w:val="none" w:sz="0" w:space="0" w:color="auto"/>
        <w:left w:val="none" w:sz="0" w:space="0" w:color="auto"/>
        <w:bottom w:val="none" w:sz="0" w:space="0" w:color="auto"/>
        <w:right w:val="none" w:sz="0" w:space="0" w:color="auto"/>
      </w:divBdr>
    </w:div>
    <w:div w:id="1128012245">
      <w:marLeft w:val="0"/>
      <w:marRight w:val="0"/>
      <w:marTop w:val="120"/>
      <w:marBottom w:val="0"/>
      <w:divBdr>
        <w:top w:val="none" w:sz="0" w:space="0" w:color="auto"/>
        <w:left w:val="none" w:sz="0" w:space="0" w:color="auto"/>
        <w:bottom w:val="none" w:sz="0" w:space="0" w:color="auto"/>
        <w:right w:val="none" w:sz="0" w:space="0" w:color="auto"/>
      </w:divBdr>
    </w:div>
    <w:div w:id="1130325949">
      <w:marLeft w:val="0"/>
      <w:marRight w:val="0"/>
      <w:marTop w:val="0"/>
      <w:marBottom w:val="120"/>
      <w:divBdr>
        <w:top w:val="none" w:sz="0" w:space="0" w:color="auto"/>
        <w:left w:val="none" w:sz="0" w:space="0" w:color="auto"/>
        <w:bottom w:val="none" w:sz="0" w:space="0" w:color="auto"/>
        <w:right w:val="none" w:sz="0" w:space="0" w:color="auto"/>
      </w:divBdr>
      <w:divsChild>
        <w:div w:id="1941715319">
          <w:marLeft w:val="0"/>
          <w:marRight w:val="0"/>
          <w:marTop w:val="0"/>
          <w:marBottom w:val="2"/>
          <w:divBdr>
            <w:top w:val="none" w:sz="0" w:space="0" w:color="auto"/>
            <w:left w:val="none" w:sz="0" w:space="0" w:color="auto"/>
            <w:bottom w:val="none" w:sz="0" w:space="0" w:color="auto"/>
            <w:right w:val="none" w:sz="0" w:space="0" w:color="auto"/>
          </w:divBdr>
        </w:div>
        <w:div w:id="718864790">
          <w:marLeft w:val="0"/>
          <w:marRight w:val="0"/>
          <w:marTop w:val="0"/>
          <w:marBottom w:val="2"/>
          <w:divBdr>
            <w:top w:val="none" w:sz="0" w:space="0" w:color="auto"/>
            <w:left w:val="none" w:sz="0" w:space="0" w:color="auto"/>
            <w:bottom w:val="none" w:sz="0" w:space="0" w:color="auto"/>
            <w:right w:val="none" w:sz="0" w:space="0" w:color="auto"/>
          </w:divBdr>
        </w:div>
        <w:div w:id="1370299581">
          <w:marLeft w:val="0"/>
          <w:marRight w:val="0"/>
          <w:marTop w:val="0"/>
          <w:marBottom w:val="2"/>
          <w:divBdr>
            <w:top w:val="none" w:sz="0" w:space="0" w:color="auto"/>
            <w:left w:val="none" w:sz="0" w:space="0" w:color="auto"/>
            <w:bottom w:val="none" w:sz="0" w:space="0" w:color="auto"/>
            <w:right w:val="none" w:sz="0" w:space="0" w:color="auto"/>
          </w:divBdr>
        </w:div>
        <w:div w:id="170728011">
          <w:marLeft w:val="0"/>
          <w:marRight w:val="0"/>
          <w:marTop w:val="0"/>
          <w:marBottom w:val="2"/>
          <w:divBdr>
            <w:top w:val="none" w:sz="0" w:space="0" w:color="auto"/>
            <w:left w:val="none" w:sz="0" w:space="0" w:color="auto"/>
            <w:bottom w:val="none" w:sz="0" w:space="0" w:color="auto"/>
            <w:right w:val="none" w:sz="0" w:space="0" w:color="auto"/>
          </w:divBdr>
        </w:div>
        <w:div w:id="848328557">
          <w:marLeft w:val="0"/>
          <w:marRight w:val="0"/>
          <w:marTop w:val="0"/>
          <w:marBottom w:val="2"/>
          <w:divBdr>
            <w:top w:val="none" w:sz="0" w:space="0" w:color="auto"/>
            <w:left w:val="none" w:sz="0" w:space="0" w:color="auto"/>
            <w:bottom w:val="none" w:sz="0" w:space="0" w:color="auto"/>
            <w:right w:val="none" w:sz="0" w:space="0" w:color="auto"/>
          </w:divBdr>
        </w:div>
        <w:div w:id="753402744">
          <w:marLeft w:val="0"/>
          <w:marRight w:val="0"/>
          <w:marTop w:val="0"/>
          <w:marBottom w:val="2"/>
          <w:divBdr>
            <w:top w:val="none" w:sz="0" w:space="0" w:color="auto"/>
            <w:left w:val="none" w:sz="0" w:space="0" w:color="auto"/>
            <w:bottom w:val="none" w:sz="0" w:space="0" w:color="auto"/>
            <w:right w:val="none" w:sz="0" w:space="0" w:color="auto"/>
          </w:divBdr>
        </w:div>
        <w:div w:id="387146533">
          <w:marLeft w:val="0"/>
          <w:marRight w:val="0"/>
          <w:marTop w:val="0"/>
          <w:marBottom w:val="2"/>
          <w:divBdr>
            <w:top w:val="none" w:sz="0" w:space="0" w:color="auto"/>
            <w:left w:val="none" w:sz="0" w:space="0" w:color="auto"/>
            <w:bottom w:val="none" w:sz="0" w:space="0" w:color="auto"/>
            <w:right w:val="none" w:sz="0" w:space="0" w:color="auto"/>
          </w:divBdr>
        </w:div>
        <w:div w:id="900408979">
          <w:marLeft w:val="0"/>
          <w:marRight w:val="0"/>
          <w:marTop w:val="0"/>
          <w:marBottom w:val="2"/>
          <w:divBdr>
            <w:top w:val="none" w:sz="0" w:space="0" w:color="auto"/>
            <w:left w:val="none" w:sz="0" w:space="0" w:color="auto"/>
            <w:bottom w:val="none" w:sz="0" w:space="0" w:color="auto"/>
            <w:right w:val="none" w:sz="0" w:space="0" w:color="auto"/>
          </w:divBdr>
        </w:div>
        <w:div w:id="1497377997">
          <w:marLeft w:val="0"/>
          <w:marRight w:val="0"/>
          <w:marTop w:val="0"/>
          <w:marBottom w:val="2"/>
          <w:divBdr>
            <w:top w:val="none" w:sz="0" w:space="0" w:color="auto"/>
            <w:left w:val="none" w:sz="0" w:space="0" w:color="auto"/>
            <w:bottom w:val="none" w:sz="0" w:space="0" w:color="auto"/>
            <w:right w:val="none" w:sz="0" w:space="0" w:color="auto"/>
          </w:divBdr>
        </w:div>
        <w:div w:id="1310282132">
          <w:marLeft w:val="0"/>
          <w:marRight w:val="0"/>
          <w:marTop w:val="0"/>
          <w:marBottom w:val="2"/>
          <w:divBdr>
            <w:top w:val="none" w:sz="0" w:space="0" w:color="auto"/>
            <w:left w:val="none" w:sz="0" w:space="0" w:color="auto"/>
            <w:bottom w:val="none" w:sz="0" w:space="0" w:color="auto"/>
            <w:right w:val="none" w:sz="0" w:space="0" w:color="auto"/>
          </w:divBdr>
        </w:div>
      </w:divsChild>
    </w:div>
    <w:div w:id="1134059626">
      <w:marLeft w:val="0"/>
      <w:marRight w:val="0"/>
      <w:marTop w:val="0"/>
      <w:marBottom w:val="0"/>
      <w:divBdr>
        <w:top w:val="none" w:sz="0" w:space="0" w:color="auto"/>
        <w:left w:val="none" w:sz="0" w:space="0" w:color="auto"/>
        <w:bottom w:val="none" w:sz="0" w:space="0" w:color="auto"/>
        <w:right w:val="none" w:sz="0" w:space="0" w:color="auto"/>
      </w:divBdr>
    </w:div>
    <w:div w:id="1134257730">
      <w:marLeft w:val="0"/>
      <w:marRight w:val="0"/>
      <w:marTop w:val="120"/>
      <w:marBottom w:val="0"/>
      <w:divBdr>
        <w:top w:val="none" w:sz="0" w:space="0" w:color="auto"/>
        <w:left w:val="none" w:sz="0" w:space="0" w:color="auto"/>
        <w:bottom w:val="none" w:sz="0" w:space="0" w:color="auto"/>
        <w:right w:val="none" w:sz="0" w:space="0" w:color="auto"/>
      </w:divBdr>
    </w:div>
    <w:div w:id="1134833497">
      <w:marLeft w:val="0"/>
      <w:marRight w:val="0"/>
      <w:marTop w:val="0"/>
      <w:marBottom w:val="0"/>
      <w:divBdr>
        <w:top w:val="none" w:sz="0" w:space="0" w:color="auto"/>
        <w:left w:val="none" w:sz="0" w:space="0" w:color="auto"/>
        <w:bottom w:val="none" w:sz="0" w:space="0" w:color="auto"/>
        <w:right w:val="none" w:sz="0" w:space="0" w:color="auto"/>
      </w:divBdr>
    </w:div>
    <w:div w:id="1139375550">
      <w:marLeft w:val="0"/>
      <w:marRight w:val="0"/>
      <w:marTop w:val="1"/>
      <w:marBottom w:val="1"/>
      <w:divBdr>
        <w:top w:val="none" w:sz="0" w:space="0" w:color="auto"/>
        <w:left w:val="none" w:sz="0" w:space="0" w:color="auto"/>
        <w:bottom w:val="none" w:sz="0" w:space="0" w:color="auto"/>
        <w:right w:val="none" w:sz="0" w:space="0" w:color="auto"/>
      </w:divBdr>
    </w:div>
    <w:div w:id="1155414206">
      <w:marLeft w:val="0"/>
      <w:marRight w:val="0"/>
      <w:marTop w:val="120"/>
      <w:marBottom w:val="0"/>
      <w:divBdr>
        <w:top w:val="none" w:sz="0" w:space="0" w:color="auto"/>
        <w:left w:val="none" w:sz="0" w:space="0" w:color="auto"/>
        <w:bottom w:val="none" w:sz="0" w:space="0" w:color="auto"/>
        <w:right w:val="none" w:sz="0" w:space="0" w:color="auto"/>
      </w:divBdr>
    </w:div>
    <w:div w:id="1157767719">
      <w:marLeft w:val="0"/>
      <w:marRight w:val="0"/>
      <w:marTop w:val="1"/>
      <w:marBottom w:val="1"/>
      <w:divBdr>
        <w:top w:val="none" w:sz="0" w:space="0" w:color="auto"/>
        <w:left w:val="none" w:sz="0" w:space="0" w:color="auto"/>
        <w:bottom w:val="none" w:sz="0" w:space="0" w:color="auto"/>
        <w:right w:val="none" w:sz="0" w:space="0" w:color="auto"/>
      </w:divBdr>
    </w:div>
    <w:div w:id="1162357983">
      <w:marLeft w:val="0"/>
      <w:marRight w:val="0"/>
      <w:marTop w:val="0"/>
      <w:marBottom w:val="0"/>
      <w:divBdr>
        <w:top w:val="none" w:sz="0" w:space="0" w:color="auto"/>
        <w:left w:val="none" w:sz="0" w:space="0" w:color="auto"/>
        <w:bottom w:val="none" w:sz="0" w:space="0" w:color="auto"/>
        <w:right w:val="none" w:sz="0" w:space="0" w:color="auto"/>
      </w:divBdr>
    </w:div>
    <w:div w:id="1167601272">
      <w:marLeft w:val="0"/>
      <w:marRight w:val="0"/>
      <w:marTop w:val="1"/>
      <w:marBottom w:val="1"/>
      <w:divBdr>
        <w:top w:val="none" w:sz="0" w:space="0" w:color="auto"/>
        <w:left w:val="none" w:sz="0" w:space="0" w:color="auto"/>
        <w:bottom w:val="none" w:sz="0" w:space="0" w:color="auto"/>
        <w:right w:val="none" w:sz="0" w:space="0" w:color="auto"/>
      </w:divBdr>
    </w:div>
    <w:div w:id="1174536917">
      <w:marLeft w:val="0"/>
      <w:marRight w:val="0"/>
      <w:marTop w:val="120"/>
      <w:marBottom w:val="0"/>
      <w:divBdr>
        <w:top w:val="none" w:sz="0" w:space="0" w:color="auto"/>
        <w:left w:val="none" w:sz="0" w:space="0" w:color="auto"/>
        <w:bottom w:val="none" w:sz="0" w:space="0" w:color="auto"/>
        <w:right w:val="none" w:sz="0" w:space="0" w:color="auto"/>
      </w:divBdr>
    </w:div>
    <w:div w:id="1176845008">
      <w:marLeft w:val="0"/>
      <w:marRight w:val="0"/>
      <w:marTop w:val="0"/>
      <w:marBottom w:val="0"/>
      <w:divBdr>
        <w:top w:val="none" w:sz="0" w:space="0" w:color="auto"/>
        <w:left w:val="none" w:sz="0" w:space="0" w:color="auto"/>
        <w:bottom w:val="none" w:sz="0" w:space="0" w:color="auto"/>
        <w:right w:val="none" w:sz="0" w:space="0" w:color="auto"/>
      </w:divBdr>
    </w:div>
    <w:div w:id="1183323238">
      <w:marLeft w:val="0"/>
      <w:marRight w:val="0"/>
      <w:marTop w:val="0"/>
      <w:marBottom w:val="0"/>
      <w:divBdr>
        <w:top w:val="none" w:sz="0" w:space="0" w:color="auto"/>
        <w:left w:val="none" w:sz="0" w:space="0" w:color="auto"/>
        <w:bottom w:val="none" w:sz="0" w:space="0" w:color="auto"/>
        <w:right w:val="none" w:sz="0" w:space="0" w:color="auto"/>
      </w:divBdr>
      <w:divsChild>
        <w:div w:id="1335457756">
          <w:marLeft w:val="0"/>
          <w:marRight w:val="0"/>
          <w:marTop w:val="0"/>
          <w:marBottom w:val="2"/>
          <w:divBdr>
            <w:top w:val="none" w:sz="0" w:space="0" w:color="auto"/>
            <w:left w:val="none" w:sz="0" w:space="0" w:color="auto"/>
            <w:bottom w:val="none" w:sz="0" w:space="0" w:color="auto"/>
            <w:right w:val="none" w:sz="0" w:space="0" w:color="auto"/>
          </w:divBdr>
        </w:div>
        <w:div w:id="1364551941">
          <w:marLeft w:val="0"/>
          <w:marRight w:val="0"/>
          <w:marTop w:val="0"/>
          <w:marBottom w:val="2"/>
          <w:divBdr>
            <w:top w:val="none" w:sz="0" w:space="0" w:color="auto"/>
            <w:left w:val="none" w:sz="0" w:space="0" w:color="auto"/>
            <w:bottom w:val="none" w:sz="0" w:space="0" w:color="auto"/>
            <w:right w:val="none" w:sz="0" w:space="0" w:color="auto"/>
          </w:divBdr>
        </w:div>
        <w:div w:id="405418846">
          <w:marLeft w:val="0"/>
          <w:marRight w:val="0"/>
          <w:marTop w:val="0"/>
          <w:marBottom w:val="2"/>
          <w:divBdr>
            <w:top w:val="none" w:sz="0" w:space="0" w:color="auto"/>
            <w:left w:val="none" w:sz="0" w:space="0" w:color="auto"/>
            <w:bottom w:val="none" w:sz="0" w:space="0" w:color="auto"/>
            <w:right w:val="none" w:sz="0" w:space="0" w:color="auto"/>
          </w:divBdr>
        </w:div>
        <w:div w:id="1006903584">
          <w:marLeft w:val="0"/>
          <w:marRight w:val="0"/>
          <w:marTop w:val="0"/>
          <w:marBottom w:val="2"/>
          <w:divBdr>
            <w:top w:val="none" w:sz="0" w:space="0" w:color="auto"/>
            <w:left w:val="none" w:sz="0" w:space="0" w:color="auto"/>
            <w:bottom w:val="none" w:sz="0" w:space="0" w:color="auto"/>
            <w:right w:val="none" w:sz="0" w:space="0" w:color="auto"/>
          </w:divBdr>
        </w:div>
        <w:div w:id="1493836217">
          <w:marLeft w:val="0"/>
          <w:marRight w:val="0"/>
          <w:marTop w:val="0"/>
          <w:marBottom w:val="2"/>
          <w:divBdr>
            <w:top w:val="none" w:sz="0" w:space="0" w:color="auto"/>
            <w:left w:val="none" w:sz="0" w:space="0" w:color="auto"/>
            <w:bottom w:val="none" w:sz="0" w:space="0" w:color="auto"/>
            <w:right w:val="none" w:sz="0" w:space="0" w:color="auto"/>
          </w:divBdr>
        </w:div>
        <w:div w:id="1280726800">
          <w:marLeft w:val="0"/>
          <w:marRight w:val="0"/>
          <w:marTop w:val="0"/>
          <w:marBottom w:val="2"/>
          <w:divBdr>
            <w:top w:val="none" w:sz="0" w:space="0" w:color="auto"/>
            <w:left w:val="none" w:sz="0" w:space="0" w:color="auto"/>
            <w:bottom w:val="none" w:sz="0" w:space="0" w:color="auto"/>
            <w:right w:val="none" w:sz="0" w:space="0" w:color="auto"/>
          </w:divBdr>
        </w:div>
        <w:div w:id="472527007">
          <w:marLeft w:val="0"/>
          <w:marRight w:val="0"/>
          <w:marTop w:val="0"/>
          <w:marBottom w:val="2"/>
          <w:divBdr>
            <w:top w:val="none" w:sz="0" w:space="0" w:color="auto"/>
            <w:left w:val="none" w:sz="0" w:space="0" w:color="auto"/>
            <w:bottom w:val="none" w:sz="0" w:space="0" w:color="auto"/>
            <w:right w:val="none" w:sz="0" w:space="0" w:color="auto"/>
          </w:divBdr>
        </w:div>
        <w:div w:id="1251159224">
          <w:marLeft w:val="0"/>
          <w:marRight w:val="0"/>
          <w:marTop w:val="0"/>
          <w:marBottom w:val="2"/>
          <w:divBdr>
            <w:top w:val="none" w:sz="0" w:space="0" w:color="auto"/>
            <w:left w:val="none" w:sz="0" w:space="0" w:color="auto"/>
            <w:bottom w:val="none" w:sz="0" w:space="0" w:color="auto"/>
            <w:right w:val="none" w:sz="0" w:space="0" w:color="auto"/>
          </w:divBdr>
        </w:div>
        <w:div w:id="740178563">
          <w:marLeft w:val="0"/>
          <w:marRight w:val="0"/>
          <w:marTop w:val="0"/>
          <w:marBottom w:val="2"/>
          <w:divBdr>
            <w:top w:val="none" w:sz="0" w:space="0" w:color="auto"/>
            <w:left w:val="none" w:sz="0" w:space="0" w:color="auto"/>
            <w:bottom w:val="none" w:sz="0" w:space="0" w:color="auto"/>
            <w:right w:val="none" w:sz="0" w:space="0" w:color="auto"/>
          </w:divBdr>
        </w:div>
        <w:div w:id="998578984">
          <w:marLeft w:val="0"/>
          <w:marRight w:val="0"/>
          <w:marTop w:val="0"/>
          <w:marBottom w:val="2"/>
          <w:divBdr>
            <w:top w:val="none" w:sz="0" w:space="0" w:color="auto"/>
            <w:left w:val="none" w:sz="0" w:space="0" w:color="auto"/>
            <w:bottom w:val="none" w:sz="0" w:space="0" w:color="auto"/>
            <w:right w:val="none" w:sz="0" w:space="0" w:color="auto"/>
          </w:divBdr>
        </w:div>
        <w:div w:id="1863781075">
          <w:marLeft w:val="0"/>
          <w:marRight w:val="0"/>
          <w:marTop w:val="0"/>
          <w:marBottom w:val="2"/>
          <w:divBdr>
            <w:top w:val="none" w:sz="0" w:space="0" w:color="auto"/>
            <w:left w:val="none" w:sz="0" w:space="0" w:color="auto"/>
            <w:bottom w:val="none" w:sz="0" w:space="0" w:color="auto"/>
            <w:right w:val="none" w:sz="0" w:space="0" w:color="auto"/>
          </w:divBdr>
        </w:div>
        <w:div w:id="1101687164">
          <w:marLeft w:val="0"/>
          <w:marRight w:val="0"/>
          <w:marTop w:val="0"/>
          <w:marBottom w:val="2"/>
          <w:divBdr>
            <w:top w:val="none" w:sz="0" w:space="0" w:color="auto"/>
            <w:left w:val="none" w:sz="0" w:space="0" w:color="auto"/>
            <w:bottom w:val="none" w:sz="0" w:space="0" w:color="auto"/>
            <w:right w:val="none" w:sz="0" w:space="0" w:color="auto"/>
          </w:divBdr>
        </w:div>
        <w:div w:id="1648238002">
          <w:marLeft w:val="0"/>
          <w:marRight w:val="0"/>
          <w:marTop w:val="0"/>
          <w:marBottom w:val="0"/>
          <w:divBdr>
            <w:top w:val="none" w:sz="0" w:space="0" w:color="auto"/>
            <w:left w:val="none" w:sz="0" w:space="0" w:color="auto"/>
            <w:bottom w:val="none" w:sz="0" w:space="0" w:color="auto"/>
            <w:right w:val="none" w:sz="0" w:space="0" w:color="auto"/>
          </w:divBdr>
        </w:div>
      </w:divsChild>
    </w:div>
    <w:div w:id="1189568552">
      <w:marLeft w:val="0"/>
      <w:marRight w:val="0"/>
      <w:marTop w:val="0"/>
      <w:marBottom w:val="0"/>
      <w:divBdr>
        <w:top w:val="none" w:sz="0" w:space="0" w:color="auto"/>
        <w:left w:val="none" w:sz="0" w:space="0" w:color="auto"/>
        <w:bottom w:val="none" w:sz="0" w:space="0" w:color="auto"/>
        <w:right w:val="none" w:sz="0" w:space="0" w:color="auto"/>
      </w:divBdr>
      <w:divsChild>
        <w:div w:id="1565413123">
          <w:marLeft w:val="0"/>
          <w:marRight w:val="0"/>
          <w:marTop w:val="0"/>
          <w:marBottom w:val="0"/>
          <w:divBdr>
            <w:top w:val="none" w:sz="0" w:space="0" w:color="auto"/>
            <w:left w:val="none" w:sz="0" w:space="0" w:color="auto"/>
            <w:bottom w:val="none" w:sz="0" w:space="0" w:color="auto"/>
            <w:right w:val="none" w:sz="0" w:space="0" w:color="auto"/>
          </w:divBdr>
        </w:div>
      </w:divsChild>
    </w:div>
    <w:div w:id="1191380919">
      <w:marLeft w:val="0"/>
      <w:marRight w:val="0"/>
      <w:marTop w:val="0"/>
      <w:marBottom w:val="0"/>
      <w:divBdr>
        <w:top w:val="none" w:sz="0" w:space="0" w:color="auto"/>
        <w:left w:val="none" w:sz="0" w:space="0" w:color="auto"/>
        <w:bottom w:val="none" w:sz="0" w:space="0" w:color="auto"/>
        <w:right w:val="none" w:sz="0" w:space="0" w:color="auto"/>
      </w:divBdr>
      <w:divsChild>
        <w:div w:id="662702549">
          <w:marLeft w:val="0"/>
          <w:marRight w:val="0"/>
          <w:marTop w:val="0"/>
          <w:marBottom w:val="0"/>
          <w:divBdr>
            <w:top w:val="none" w:sz="0" w:space="0" w:color="auto"/>
            <w:left w:val="none" w:sz="0" w:space="0" w:color="auto"/>
            <w:bottom w:val="none" w:sz="0" w:space="0" w:color="auto"/>
            <w:right w:val="none" w:sz="0" w:space="0" w:color="auto"/>
          </w:divBdr>
        </w:div>
      </w:divsChild>
    </w:div>
    <w:div w:id="1194726734">
      <w:marLeft w:val="0"/>
      <w:marRight w:val="0"/>
      <w:marTop w:val="0"/>
      <w:marBottom w:val="0"/>
      <w:divBdr>
        <w:top w:val="none" w:sz="0" w:space="0" w:color="auto"/>
        <w:left w:val="none" w:sz="0" w:space="0" w:color="auto"/>
        <w:bottom w:val="none" w:sz="0" w:space="0" w:color="auto"/>
        <w:right w:val="none" w:sz="0" w:space="0" w:color="auto"/>
      </w:divBdr>
    </w:div>
    <w:div w:id="1201866454">
      <w:marLeft w:val="0"/>
      <w:marRight w:val="0"/>
      <w:marTop w:val="0"/>
      <w:marBottom w:val="0"/>
      <w:divBdr>
        <w:top w:val="none" w:sz="0" w:space="0" w:color="auto"/>
        <w:left w:val="none" w:sz="0" w:space="0" w:color="auto"/>
        <w:bottom w:val="none" w:sz="0" w:space="0" w:color="auto"/>
        <w:right w:val="none" w:sz="0" w:space="0" w:color="auto"/>
      </w:divBdr>
    </w:div>
    <w:div w:id="1203639457">
      <w:marLeft w:val="0"/>
      <w:marRight w:val="0"/>
      <w:marTop w:val="1"/>
      <w:marBottom w:val="1"/>
      <w:divBdr>
        <w:top w:val="none" w:sz="0" w:space="0" w:color="auto"/>
        <w:left w:val="none" w:sz="0" w:space="0" w:color="auto"/>
        <w:bottom w:val="none" w:sz="0" w:space="0" w:color="auto"/>
        <w:right w:val="none" w:sz="0" w:space="0" w:color="auto"/>
      </w:divBdr>
    </w:div>
    <w:div w:id="1211111268">
      <w:marLeft w:val="0"/>
      <w:marRight w:val="0"/>
      <w:marTop w:val="120"/>
      <w:marBottom w:val="0"/>
      <w:divBdr>
        <w:top w:val="none" w:sz="0" w:space="0" w:color="auto"/>
        <w:left w:val="none" w:sz="0" w:space="0" w:color="auto"/>
        <w:bottom w:val="none" w:sz="0" w:space="0" w:color="auto"/>
        <w:right w:val="none" w:sz="0" w:space="0" w:color="auto"/>
      </w:divBdr>
    </w:div>
    <w:div w:id="1211839739">
      <w:marLeft w:val="0"/>
      <w:marRight w:val="0"/>
      <w:marTop w:val="120"/>
      <w:marBottom w:val="0"/>
      <w:divBdr>
        <w:top w:val="none" w:sz="0" w:space="0" w:color="auto"/>
        <w:left w:val="none" w:sz="0" w:space="0" w:color="auto"/>
        <w:bottom w:val="none" w:sz="0" w:space="0" w:color="auto"/>
        <w:right w:val="none" w:sz="0" w:space="0" w:color="auto"/>
      </w:divBdr>
    </w:div>
    <w:div w:id="1212499392">
      <w:marLeft w:val="0"/>
      <w:marRight w:val="0"/>
      <w:marTop w:val="360"/>
      <w:marBottom w:val="1"/>
      <w:divBdr>
        <w:top w:val="none" w:sz="0" w:space="0" w:color="auto"/>
        <w:left w:val="none" w:sz="0" w:space="0" w:color="auto"/>
        <w:bottom w:val="none" w:sz="0" w:space="0" w:color="auto"/>
        <w:right w:val="none" w:sz="0" w:space="0" w:color="auto"/>
      </w:divBdr>
    </w:div>
    <w:div w:id="1214195599">
      <w:marLeft w:val="0"/>
      <w:marRight w:val="0"/>
      <w:marTop w:val="1"/>
      <w:marBottom w:val="1"/>
      <w:divBdr>
        <w:top w:val="none" w:sz="0" w:space="0" w:color="auto"/>
        <w:left w:val="none" w:sz="0" w:space="0" w:color="auto"/>
        <w:bottom w:val="none" w:sz="0" w:space="0" w:color="auto"/>
        <w:right w:val="none" w:sz="0" w:space="0" w:color="auto"/>
      </w:divBdr>
    </w:div>
    <w:div w:id="1219707552">
      <w:marLeft w:val="0"/>
      <w:marRight w:val="0"/>
      <w:marTop w:val="240"/>
      <w:marBottom w:val="0"/>
      <w:divBdr>
        <w:top w:val="none" w:sz="0" w:space="0" w:color="auto"/>
        <w:left w:val="none" w:sz="0" w:space="0" w:color="auto"/>
        <w:bottom w:val="none" w:sz="0" w:space="0" w:color="auto"/>
        <w:right w:val="none" w:sz="0" w:space="0" w:color="auto"/>
      </w:divBdr>
    </w:div>
    <w:div w:id="1226724098">
      <w:marLeft w:val="0"/>
      <w:marRight w:val="0"/>
      <w:marTop w:val="360"/>
      <w:marBottom w:val="0"/>
      <w:divBdr>
        <w:top w:val="none" w:sz="0" w:space="0" w:color="auto"/>
        <w:left w:val="none" w:sz="0" w:space="0" w:color="auto"/>
        <w:bottom w:val="none" w:sz="0" w:space="0" w:color="auto"/>
        <w:right w:val="none" w:sz="0" w:space="0" w:color="auto"/>
      </w:divBdr>
    </w:div>
    <w:div w:id="1229606573">
      <w:marLeft w:val="0"/>
      <w:marRight w:val="0"/>
      <w:marTop w:val="120"/>
      <w:marBottom w:val="0"/>
      <w:divBdr>
        <w:top w:val="none" w:sz="0" w:space="0" w:color="auto"/>
        <w:left w:val="none" w:sz="0" w:space="0" w:color="auto"/>
        <w:bottom w:val="none" w:sz="0" w:space="0" w:color="auto"/>
        <w:right w:val="none" w:sz="0" w:space="0" w:color="auto"/>
      </w:divBdr>
    </w:div>
    <w:div w:id="1229799824">
      <w:marLeft w:val="0"/>
      <w:marRight w:val="0"/>
      <w:marTop w:val="120"/>
      <w:marBottom w:val="0"/>
      <w:divBdr>
        <w:top w:val="none" w:sz="0" w:space="0" w:color="auto"/>
        <w:left w:val="none" w:sz="0" w:space="0" w:color="auto"/>
        <w:bottom w:val="none" w:sz="0" w:space="0" w:color="auto"/>
        <w:right w:val="none" w:sz="0" w:space="0" w:color="auto"/>
      </w:divBdr>
    </w:div>
    <w:div w:id="1233470187">
      <w:marLeft w:val="0"/>
      <w:marRight w:val="0"/>
      <w:marTop w:val="240"/>
      <w:marBottom w:val="0"/>
      <w:divBdr>
        <w:top w:val="none" w:sz="0" w:space="0" w:color="auto"/>
        <w:left w:val="none" w:sz="0" w:space="0" w:color="auto"/>
        <w:bottom w:val="none" w:sz="0" w:space="0" w:color="auto"/>
        <w:right w:val="none" w:sz="0" w:space="0" w:color="auto"/>
      </w:divBdr>
    </w:div>
    <w:div w:id="1234512995">
      <w:marLeft w:val="0"/>
      <w:marRight w:val="0"/>
      <w:marTop w:val="0"/>
      <w:marBottom w:val="0"/>
      <w:divBdr>
        <w:top w:val="none" w:sz="0" w:space="0" w:color="auto"/>
        <w:left w:val="none" w:sz="0" w:space="0" w:color="auto"/>
        <w:bottom w:val="none" w:sz="0" w:space="0" w:color="auto"/>
        <w:right w:val="none" w:sz="0" w:space="0" w:color="auto"/>
      </w:divBdr>
    </w:div>
    <w:div w:id="1236629976">
      <w:marLeft w:val="0"/>
      <w:marRight w:val="0"/>
      <w:marTop w:val="0"/>
      <w:marBottom w:val="0"/>
      <w:divBdr>
        <w:top w:val="none" w:sz="0" w:space="0" w:color="auto"/>
        <w:left w:val="none" w:sz="0" w:space="0" w:color="auto"/>
        <w:bottom w:val="none" w:sz="0" w:space="0" w:color="auto"/>
        <w:right w:val="none" w:sz="0" w:space="0" w:color="auto"/>
      </w:divBdr>
    </w:div>
    <w:div w:id="1237590479">
      <w:marLeft w:val="0"/>
      <w:marRight w:val="0"/>
      <w:marTop w:val="1"/>
      <w:marBottom w:val="1"/>
      <w:divBdr>
        <w:top w:val="none" w:sz="0" w:space="0" w:color="auto"/>
        <w:left w:val="none" w:sz="0" w:space="0" w:color="auto"/>
        <w:bottom w:val="none" w:sz="0" w:space="0" w:color="auto"/>
        <w:right w:val="none" w:sz="0" w:space="0" w:color="auto"/>
      </w:divBdr>
    </w:div>
    <w:div w:id="1239828358">
      <w:marLeft w:val="0"/>
      <w:marRight w:val="0"/>
      <w:marTop w:val="240"/>
      <w:marBottom w:val="0"/>
      <w:divBdr>
        <w:top w:val="none" w:sz="0" w:space="0" w:color="auto"/>
        <w:left w:val="none" w:sz="0" w:space="0" w:color="auto"/>
        <w:bottom w:val="none" w:sz="0" w:space="0" w:color="auto"/>
        <w:right w:val="none" w:sz="0" w:space="0" w:color="auto"/>
      </w:divBdr>
    </w:div>
    <w:div w:id="1242254417">
      <w:marLeft w:val="0"/>
      <w:marRight w:val="0"/>
      <w:marTop w:val="1"/>
      <w:marBottom w:val="1"/>
      <w:divBdr>
        <w:top w:val="none" w:sz="0" w:space="0" w:color="auto"/>
        <w:left w:val="none" w:sz="0" w:space="0" w:color="auto"/>
        <w:bottom w:val="none" w:sz="0" w:space="0" w:color="auto"/>
        <w:right w:val="none" w:sz="0" w:space="0" w:color="auto"/>
      </w:divBdr>
    </w:div>
    <w:div w:id="1245532904">
      <w:marLeft w:val="0"/>
      <w:marRight w:val="0"/>
      <w:marTop w:val="0"/>
      <w:marBottom w:val="0"/>
      <w:divBdr>
        <w:top w:val="none" w:sz="0" w:space="0" w:color="auto"/>
        <w:left w:val="none" w:sz="0" w:space="0" w:color="auto"/>
        <w:bottom w:val="none" w:sz="0" w:space="0" w:color="auto"/>
        <w:right w:val="none" w:sz="0" w:space="0" w:color="auto"/>
      </w:divBdr>
      <w:divsChild>
        <w:div w:id="1968702293">
          <w:marLeft w:val="0"/>
          <w:marRight w:val="0"/>
          <w:marTop w:val="0"/>
          <w:marBottom w:val="0"/>
          <w:divBdr>
            <w:top w:val="none" w:sz="0" w:space="0" w:color="auto"/>
            <w:left w:val="none" w:sz="0" w:space="0" w:color="auto"/>
            <w:bottom w:val="none" w:sz="0" w:space="0" w:color="auto"/>
            <w:right w:val="none" w:sz="0" w:space="0" w:color="auto"/>
          </w:divBdr>
        </w:div>
      </w:divsChild>
    </w:div>
    <w:div w:id="1250122418">
      <w:marLeft w:val="0"/>
      <w:marRight w:val="0"/>
      <w:marTop w:val="0"/>
      <w:marBottom w:val="0"/>
      <w:divBdr>
        <w:top w:val="none" w:sz="0" w:space="0" w:color="auto"/>
        <w:left w:val="none" w:sz="0" w:space="0" w:color="auto"/>
        <w:bottom w:val="none" w:sz="0" w:space="0" w:color="auto"/>
        <w:right w:val="none" w:sz="0" w:space="0" w:color="auto"/>
      </w:divBdr>
    </w:div>
    <w:div w:id="1250386360">
      <w:marLeft w:val="0"/>
      <w:marRight w:val="0"/>
      <w:marTop w:val="0"/>
      <w:marBottom w:val="0"/>
      <w:divBdr>
        <w:top w:val="none" w:sz="0" w:space="0" w:color="auto"/>
        <w:left w:val="none" w:sz="0" w:space="0" w:color="auto"/>
        <w:bottom w:val="none" w:sz="0" w:space="0" w:color="auto"/>
        <w:right w:val="none" w:sz="0" w:space="0" w:color="auto"/>
      </w:divBdr>
    </w:div>
    <w:div w:id="1257864458">
      <w:marLeft w:val="0"/>
      <w:marRight w:val="0"/>
      <w:marTop w:val="120"/>
      <w:marBottom w:val="0"/>
      <w:divBdr>
        <w:top w:val="none" w:sz="0" w:space="0" w:color="auto"/>
        <w:left w:val="none" w:sz="0" w:space="0" w:color="auto"/>
        <w:bottom w:val="none" w:sz="0" w:space="0" w:color="auto"/>
        <w:right w:val="none" w:sz="0" w:space="0" w:color="auto"/>
      </w:divBdr>
    </w:div>
    <w:div w:id="1258750534">
      <w:marLeft w:val="0"/>
      <w:marRight w:val="0"/>
      <w:marTop w:val="1"/>
      <w:marBottom w:val="1"/>
      <w:divBdr>
        <w:top w:val="none" w:sz="0" w:space="0" w:color="auto"/>
        <w:left w:val="none" w:sz="0" w:space="0" w:color="auto"/>
        <w:bottom w:val="none" w:sz="0" w:space="0" w:color="auto"/>
        <w:right w:val="none" w:sz="0" w:space="0" w:color="auto"/>
      </w:divBdr>
    </w:div>
    <w:div w:id="1260525661">
      <w:marLeft w:val="0"/>
      <w:marRight w:val="0"/>
      <w:marTop w:val="0"/>
      <w:marBottom w:val="0"/>
      <w:divBdr>
        <w:top w:val="none" w:sz="0" w:space="0" w:color="auto"/>
        <w:left w:val="none" w:sz="0" w:space="0" w:color="auto"/>
        <w:bottom w:val="none" w:sz="0" w:space="0" w:color="auto"/>
        <w:right w:val="none" w:sz="0" w:space="0" w:color="auto"/>
      </w:divBdr>
    </w:div>
    <w:div w:id="1262295402">
      <w:marLeft w:val="0"/>
      <w:marRight w:val="0"/>
      <w:marTop w:val="0"/>
      <w:marBottom w:val="0"/>
      <w:divBdr>
        <w:top w:val="none" w:sz="0" w:space="0" w:color="auto"/>
        <w:left w:val="none" w:sz="0" w:space="0" w:color="auto"/>
        <w:bottom w:val="none" w:sz="0" w:space="0" w:color="auto"/>
        <w:right w:val="none" w:sz="0" w:space="0" w:color="auto"/>
      </w:divBdr>
    </w:div>
    <w:div w:id="1265109227">
      <w:marLeft w:val="0"/>
      <w:marRight w:val="0"/>
      <w:marTop w:val="120"/>
      <w:marBottom w:val="0"/>
      <w:divBdr>
        <w:top w:val="none" w:sz="0" w:space="0" w:color="auto"/>
        <w:left w:val="none" w:sz="0" w:space="0" w:color="auto"/>
        <w:bottom w:val="none" w:sz="0" w:space="0" w:color="auto"/>
        <w:right w:val="none" w:sz="0" w:space="0" w:color="auto"/>
      </w:divBdr>
    </w:div>
    <w:div w:id="1275595721">
      <w:marLeft w:val="0"/>
      <w:marRight w:val="0"/>
      <w:marTop w:val="0"/>
      <w:marBottom w:val="0"/>
      <w:divBdr>
        <w:top w:val="none" w:sz="0" w:space="0" w:color="auto"/>
        <w:left w:val="none" w:sz="0" w:space="0" w:color="auto"/>
        <w:bottom w:val="none" w:sz="0" w:space="0" w:color="auto"/>
        <w:right w:val="none" w:sz="0" w:space="0" w:color="auto"/>
      </w:divBdr>
      <w:divsChild>
        <w:div w:id="222523448">
          <w:marLeft w:val="0"/>
          <w:marRight w:val="0"/>
          <w:marTop w:val="0"/>
          <w:marBottom w:val="0"/>
          <w:divBdr>
            <w:top w:val="none" w:sz="0" w:space="0" w:color="auto"/>
            <w:left w:val="none" w:sz="0" w:space="0" w:color="auto"/>
            <w:bottom w:val="none" w:sz="0" w:space="0" w:color="auto"/>
            <w:right w:val="none" w:sz="0" w:space="0" w:color="auto"/>
          </w:divBdr>
        </w:div>
      </w:divsChild>
    </w:div>
    <w:div w:id="1285116235">
      <w:marLeft w:val="0"/>
      <w:marRight w:val="0"/>
      <w:marTop w:val="120"/>
      <w:marBottom w:val="0"/>
      <w:divBdr>
        <w:top w:val="none" w:sz="0" w:space="0" w:color="auto"/>
        <w:left w:val="none" w:sz="0" w:space="0" w:color="auto"/>
        <w:bottom w:val="none" w:sz="0" w:space="0" w:color="auto"/>
        <w:right w:val="none" w:sz="0" w:space="0" w:color="auto"/>
      </w:divBdr>
    </w:div>
    <w:div w:id="1286695336">
      <w:marLeft w:val="0"/>
      <w:marRight w:val="0"/>
      <w:marTop w:val="0"/>
      <w:marBottom w:val="120"/>
      <w:divBdr>
        <w:top w:val="none" w:sz="0" w:space="0" w:color="auto"/>
        <w:left w:val="none" w:sz="0" w:space="0" w:color="auto"/>
        <w:bottom w:val="none" w:sz="0" w:space="0" w:color="auto"/>
        <w:right w:val="none" w:sz="0" w:space="0" w:color="auto"/>
      </w:divBdr>
      <w:divsChild>
        <w:div w:id="843742021">
          <w:marLeft w:val="0"/>
          <w:marRight w:val="0"/>
          <w:marTop w:val="0"/>
          <w:marBottom w:val="2"/>
          <w:divBdr>
            <w:top w:val="none" w:sz="0" w:space="0" w:color="auto"/>
            <w:left w:val="none" w:sz="0" w:space="0" w:color="auto"/>
            <w:bottom w:val="none" w:sz="0" w:space="0" w:color="auto"/>
            <w:right w:val="none" w:sz="0" w:space="0" w:color="auto"/>
          </w:divBdr>
        </w:div>
        <w:div w:id="1081099787">
          <w:marLeft w:val="0"/>
          <w:marRight w:val="0"/>
          <w:marTop w:val="0"/>
          <w:marBottom w:val="2"/>
          <w:divBdr>
            <w:top w:val="none" w:sz="0" w:space="0" w:color="auto"/>
            <w:left w:val="none" w:sz="0" w:space="0" w:color="auto"/>
            <w:bottom w:val="none" w:sz="0" w:space="0" w:color="auto"/>
            <w:right w:val="none" w:sz="0" w:space="0" w:color="auto"/>
          </w:divBdr>
        </w:div>
        <w:div w:id="653721940">
          <w:marLeft w:val="0"/>
          <w:marRight w:val="0"/>
          <w:marTop w:val="0"/>
          <w:marBottom w:val="2"/>
          <w:divBdr>
            <w:top w:val="none" w:sz="0" w:space="0" w:color="auto"/>
            <w:left w:val="none" w:sz="0" w:space="0" w:color="auto"/>
            <w:bottom w:val="none" w:sz="0" w:space="0" w:color="auto"/>
            <w:right w:val="none" w:sz="0" w:space="0" w:color="auto"/>
          </w:divBdr>
        </w:div>
        <w:div w:id="17703874">
          <w:marLeft w:val="0"/>
          <w:marRight w:val="0"/>
          <w:marTop w:val="0"/>
          <w:marBottom w:val="2"/>
          <w:divBdr>
            <w:top w:val="none" w:sz="0" w:space="0" w:color="auto"/>
            <w:left w:val="none" w:sz="0" w:space="0" w:color="auto"/>
            <w:bottom w:val="none" w:sz="0" w:space="0" w:color="auto"/>
            <w:right w:val="none" w:sz="0" w:space="0" w:color="auto"/>
          </w:divBdr>
        </w:div>
        <w:div w:id="1440641166">
          <w:marLeft w:val="0"/>
          <w:marRight w:val="0"/>
          <w:marTop w:val="0"/>
          <w:marBottom w:val="2"/>
          <w:divBdr>
            <w:top w:val="none" w:sz="0" w:space="0" w:color="auto"/>
            <w:left w:val="none" w:sz="0" w:space="0" w:color="auto"/>
            <w:bottom w:val="none" w:sz="0" w:space="0" w:color="auto"/>
            <w:right w:val="none" w:sz="0" w:space="0" w:color="auto"/>
          </w:divBdr>
        </w:div>
        <w:div w:id="774598275">
          <w:marLeft w:val="0"/>
          <w:marRight w:val="0"/>
          <w:marTop w:val="0"/>
          <w:marBottom w:val="2"/>
          <w:divBdr>
            <w:top w:val="none" w:sz="0" w:space="0" w:color="auto"/>
            <w:left w:val="none" w:sz="0" w:space="0" w:color="auto"/>
            <w:bottom w:val="none" w:sz="0" w:space="0" w:color="auto"/>
            <w:right w:val="none" w:sz="0" w:space="0" w:color="auto"/>
          </w:divBdr>
        </w:div>
        <w:div w:id="978609898">
          <w:marLeft w:val="0"/>
          <w:marRight w:val="0"/>
          <w:marTop w:val="0"/>
          <w:marBottom w:val="2"/>
          <w:divBdr>
            <w:top w:val="none" w:sz="0" w:space="0" w:color="auto"/>
            <w:left w:val="none" w:sz="0" w:space="0" w:color="auto"/>
            <w:bottom w:val="none" w:sz="0" w:space="0" w:color="auto"/>
            <w:right w:val="none" w:sz="0" w:space="0" w:color="auto"/>
          </w:divBdr>
        </w:div>
        <w:div w:id="1224565511">
          <w:marLeft w:val="0"/>
          <w:marRight w:val="0"/>
          <w:marTop w:val="0"/>
          <w:marBottom w:val="2"/>
          <w:divBdr>
            <w:top w:val="none" w:sz="0" w:space="0" w:color="auto"/>
            <w:left w:val="none" w:sz="0" w:space="0" w:color="auto"/>
            <w:bottom w:val="none" w:sz="0" w:space="0" w:color="auto"/>
            <w:right w:val="none" w:sz="0" w:space="0" w:color="auto"/>
          </w:divBdr>
        </w:div>
        <w:div w:id="546260649">
          <w:marLeft w:val="0"/>
          <w:marRight w:val="0"/>
          <w:marTop w:val="0"/>
          <w:marBottom w:val="2"/>
          <w:divBdr>
            <w:top w:val="none" w:sz="0" w:space="0" w:color="auto"/>
            <w:left w:val="none" w:sz="0" w:space="0" w:color="auto"/>
            <w:bottom w:val="none" w:sz="0" w:space="0" w:color="auto"/>
            <w:right w:val="none" w:sz="0" w:space="0" w:color="auto"/>
          </w:divBdr>
        </w:div>
        <w:div w:id="1858352521">
          <w:marLeft w:val="0"/>
          <w:marRight w:val="0"/>
          <w:marTop w:val="0"/>
          <w:marBottom w:val="2"/>
          <w:divBdr>
            <w:top w:val="none" w:sz="0" w:space="0" w:color="auto"/>
            <w:left w:val="none" w:sz="0" w:space="0" w:color="auto"/>
            <w:bottom w:val="none" w:sz="0" w:space="0" w:color="auto"/>
            <w:right w:val="none" w:sz="0" w:space="0" w:color="auto"/>
          </w:divBdr>
        </w:div>
        <w:div w:id="1483425538">
          <w:marLeft w:val="0"/>
          <w:marRight w:val="0"/>
          <w:marTop w:val="0"/>
          <w:marBottom w:val="2"/>
          <w:divBdr>
            <w:top w:val="none" w:sz="0" w:space="0" w:color="auto"/>
            <w:left w:val="none" w:sz="0" w:space="0" w:color="auto"/>
            <w:bottom w:val="none" w:sz="0" w:space="0" w:color="auto"/>
            <w:right w:val="none" w:sz="0" w:space="0" w:color="auto"/>
          </w:divBdr>
        </w:div>
        <w:div w:id="597523765">
          <w:marLeft w:val="0"/>
          <w:marRight w:val="0"/>
          <w:marTop w:val="0"/>
          <w:marBottom w:val="2"/>
          <w:divBdr>
            <w:top w:val="none" w:sz="0" w:space="0" w:color="auto"/>
            <w:left w:val="none" w:sz="0" w:space="0" w:color="auto"/>
            <w:bottom w:val="none" w:sz="0" w:space="0" w:color="auto"/>
            <w:right w:val="none" w:sz="0" w:space="0" w:color="auto"/>
          </w:divBdr>
        </w:div>
        <w:div w:id="336352431">
          <w:marLeft w:val="0"/>
          <w:marRight w:val="0"/>
          <w:marTop w:val="0"/>
          <w:marBottom w:val="2"/>
          <w:divBdr>
            <w:top w:val="none" w:sz="0" w:space="0" w:color="auto"/>
            <w:left w:val="none" w:sz="0" w:space="0" w:color="auto"/>
            <w:bottom w:val="none" w:sz="0" w:space="0" w:color="auto"/>
            <w:right w:val="none" w:sz="0" w:space="0" w:color="auto"/>
          </w:divBdr>
        </w:div>
        <w:div w:id="1759062948">
          <w:marLeft w:val="0"/>
          <w:marRight w:val="0"/>
          <w:marTop w:val="0"/>
          <w:marBottom w:val="2"/>
          <w:divBdr>
            <w:top w:val="none" w:sz="0" w:space="0" w:color="auto"/>
            <w:left w:val="none" w:sz="0" w:space="0" w:color="auto"/>
            <w:bottom w:val="none" w:sz="0" w:space="0" w:color="auto"/>
            <w:right w:val="none" w:sz="0" w:space="0" w:color="auto"/>
          </w:divBdr>
        </w:div>
        <w:div w:id="1225680720">
          <w:marLeft w:val="0"/>
          <w:marRight w:val="0"/>
          <w:marTop w:val="0"/>
          <w:marBottom w:val="2"/>
          <w:divBdr>
            <w:top w:val="none" w:sz="0" w:space="0" w:color="auto"/>
            <w:left w:val="none" w:sz="0" w:space="0" w:color="auto"/>
            <w:bottom w:val="none" w:sz="0" w:space="0" w:color="auto"/>
            <w:right w:val="none" w:sz="0" w:space="0" w:color="auto"/>
          </w:divBdr>
        </w:div>
        <w:div w:id="567612988">
          <w:marLeft w:val="0"/>
          <w:marRight w:val="0"/>
          <w:marTop w:val="0"/>
          <w:marBottom w:val="2"/>
          <w:divBdr>
            <w:top w:val="none" w:sz="0" w:space="0" w:color="auto"/>
            <w:left w:val="none" w:sz="0" w:space="0" w:color="auto"/>
            <w:bottom w:val="none" w:sz="0" w:space="0" w:color="auto"/>
            <w:right w:val="none" w:sz="0" w:space="0" w:color="auto"/>
          </w:divBdr>
        </w:div>
        <w:div w:id="6641635">
          <w:marLeft w:val="0"/>
          <w:marRight w:val="0"/>
          <w:marTop w:val="0"/>
          <w:marBottom w:val="2"/>
          <w:divBdr>
            <w:top w:val="none" w:sz="0" w:space="0" w:color="auto"/>
            <w:left w:val="none" w:sz="0" w:space="0" w:color="auto"/>
            <w:bottom w:val="none" w:sz="0" w:space="0" w:color="auto"/>
            <w:right w:val="none" w:sz="0" w:space="0" w:color="auto"/>
          </w:divBdr>
        </w:div>
        <w:div w:id="1034889500">
          <w:marLeft w:val="0"/>
          <w:marRight w:val="0"/>
          <w:marTop w:val="0"/>
          <w:marBottom w:val="2"/>
          <w:divBdr>
            <w:top w:val="none" w:sz="0" w:space="0" w:color="auto"/>
            <w:left w:val="none" w:sz="0" w:space="0" w:color="auto"/>
            <w:bottom w:val="none" w:sz="0" w:space="0" w:color="auto"/>
            <w:right w:val="none" w:sz="0" w:space="0" w:color="auto"/>
          </w:divBdr>
        </w:div>
        <w:div w:id="1039161895">
          <w:marLeft w:val="0"/>
          <w:marRight w:val="0"/>
          <w:marTop w:val="0"/>
          <w:marBottom w:val="2"/>
          <w:divBdr>
            <w:top w:val="none" w:sz="0" w:space="0" w:color="auto"/>
            <w:left w:val="none" w:sz="0" w:space="0" w:color="auto"/>
            <w:bottom w:val="none" w:sz="0" w:space="0" w:color="auto"/>
            <w:right w:val="none" w:sz="0" w:space="0" w:color="auto"/>
          </w:divBdr>
        </w:div>
        <w:div w:id="680400928">
          <w:marLeft w:val="0"/>
          <w:marRight w:val="0"/>
          <w:marTop w:val="0"/>
          <w:marBottom w:val="2"/>
          <w:divBdr>
            <w:top w:val="none" w:sz="0" w:space="0" w:color="auto"/>
            <w:left w:val="none" w:sz="0" w:space="0" w:color="auto"/>
            <w:bottom w:val="none" w:sz="0" w:space="0" w:color="auto"/>
            <w:right w:val="none" w:sz="0" w:space="0" w:color="auto"/>
          </w:divBdr>
        </w:div>
        <w:div w:id="155147982">
          <w:marLeft w:val="0"/>
          <w:marRight w:val="0"/>
          <w:marTop w:val="0"/>
          <w:marBottom w:val="2"/>
          <w:divBdr>
            <w:top w:val="none" w:sz="0" w:space="0" w:color="auto"/>
            <w:left w:val="none" w:sz="0" w:space="0" w:color="auto"/>
            <w:bottom w:val="none" w:sz="0" w:space="0" w:color="auto"/>
            <w:right w:val="none" w:sz="0" w:space="0" w:color="auto"/>
          </w:divBdr>
        </w:div>
        <w:div w:id="807943493">
          <w:marLeft w:val="0"/>
          <w:marRight w:val="0"/>
          <w:marTop w:val="0"/>
          <w:marBottom w:val="2"/>
          <w:divBdr>
            <w:top w:val="none" w:sz="0" w:space="0" w:color="auto"/>
            <w:left w:val="none" w:sz="0" w:space="0" w:color="auto"/>
            <w:bottom w:val="none" w:sz="0" w:space="0" w:color="auto"/>
            <w:right w:val="none" w:sz="0" w:space="0" w:color="auto"/>
          </w:divBdr>
        </w:div>
        <w:div w:id="385377996">
          <w:marLeft w:val="0"/>
          <w:marRight w:val="0"/>
          <w:marTop w:val="0"/>
          <w:marBottom w:val="2"/>
          <w:divBdr>
            <w:top w:val="none" w:sz="0" w:space="0" w:color="auto"/>
            <w:left w:val="none" w:sz="0" w:space="0" w:color="auto"/>
            <w:bottom w:val="none" w:sz="0" w:space="0" w:color="auto"/>
            <w:right w:val="none" w:sz="0" w:space="0" w:color="auto"/>
          </w:divBdr>
        </w:div>
        <w:div w:id="1083113736">
          <w:marLeft w:val="0"/>
          <w:marRight w:val="0"/>
          <w:marTop w:val="0"/>
          <w:marBottom w:val="2"/>
          <w:divBdr>
            <w:top w:val="none" w:sz="0" w:space="0" w:color="auto"/>
            <w:left w:val="none" w:sz="0" w:space="0" w:color="auto"/>
            <w:bottom w:val="none" w:sz="0" w:space="0" w:color="auto"/>
            <w:right w:val="none" w:sz="0" w:space="0" w:color="auto"/>
          </w:divBdr>
        </w:div>
        <w:div w:id="489948218">
          <w:marLeft w:val="0"/>
          <w:marRight w:val="0"/>
          <w:marTop w:val="0"/>
          <w:marBottom w:val="2"/>
          <w:divBdr>
            <w:top w:val="none" w:sz="0" w:space="0" w:color="auto"/>
            <w:left w:val="none" w:sz="0" w:space="0" w:color="auto"/>
            <w:bottom w:val="none" w:sz="0" w:space="0" w:color="auto"/>
            <w:right w:val="none" w:sz="0" w:space="0" w:color="auto"/>
          </w:divBdr>
        </w:div>
        <w:div w:id="760226609">
          <w:marLeft w:val="0"/>
          <w:marRight w:val="0"/>
          <w:marTop w:val="0"/>
          <w:marBottom w:val="2"/>
          <w:divBdr>
            <w:top w:val="none" w:sz="0" w:space="0" w:color="auto"/>
            <w:left w:val="none" w:sz="0" w:space="0" w:color="auto"/>
            <w:bottom w:val="none" w:sz="0" w:space="0" w:color="auto"/>
            <w:right w:val="none" w:sz="0" w:space="0" w:color="auto"/>
          </w:divBdr>
        </w:div>
        <w:div w:id="518617941">
          <w:marLeft w:val="0"/>
          <w:marRight w:val="0"/>
          <w:marTop w:val="0"/>
          <w:marBottom w:val="2"/>
          <w:divBdr>
            <w:top w:val="none" w:sz="0" w:space="0" w:color="auto"/>
            <w:left w:val="none" w:sz="0" w:space="0" w:color="auto"/>
            <w:bottom w:val="none" w:sz="0" w:space="0" w:color="auto"/>
            <w:right w:val="none" w:sz="0" w:space="0" w:color="auto"/>
          </w:divBdr>
        </w:div>
        <w:div w:id="347756384">
          <w:marLeft w:val="0"/>
          <w:marRight w:val="0"/>
          <w:marTop w:val="0"/>
          <w:marBottom w:val="2"/>
          <w:divBdr>
            <w:top w:val="none" w:sz="0" w:space="0" w:color="auto"/>
            <w:left w:val="none" w:sz="0" w:space="0" w:color="auto"/>
            <w:bottom w:val="none" w:sz="0" w:space="0" w:color="auto"/>
            <w:right w:val="none" w:sz="0" w:space="0" w:color="auto"/>
          </w:divBdr>
        </w:div>
        <w:div w:id="721517057">
          <w:marLeft w:val="0"/>
          <w:marRight w:val="0"/>
          <w:marTop w:val="0"/>
          <w:marBottom w:val="2"/>
          <w:divBdr>
            <w:top w:val="none" w:sz="0" w:space="0" w:color="auto"/>
            <w:left w:val="none" w:sz="0" w:space="0" w:color="auto"/>
            <w:bottom w:val="none" w:sz="0" w:space="0" w:color="auto"/>
            <w:right w:val="none" w:sz="0" w:space="0" w:color="auto"/>
          </w:divBdr>
        </w:div>
        <w:div w:id="763454342">
          <w:marLeft w:val="0"/>
          <w:marRight w:val="0"/>
          <w:marTop w:val="0"/>
          <w:marBottom w:val="2"/>
          <w:divBdr>
            <w:top w:val="none" w:sz="0" w:space="0" w:color="auto"/>
            <w:left w:val="none" w:sz="0" w:space="0" w:color="auto"/>
            <w:bottom w:val="none" w:sz="0" w:space="0" w:color="auto"/>
            <w:right w:val="none" w:sz="0" w:space="0" w:color="auto"/>
          </w:divBdr>
        </w:div>
        <w:div w:id="886599837">
          <w:marLeft w:val="0"/>
          <w:marRight w:val="0"/>
          <w:marTop w:val="0"/>
          <w:marBottom w:val="2"/>
          <w:divBdr>
            <w:top w:val="none" w:sz="0" w:space="0" w:color="auto"/>
            <w:left w:val="none" w:sz="0" w:space="0" w:color="auto"/>
            <w:bottom w:val="none" w:sz="0" w:space="0" w:color="auto"/>
            <w:right w:val="none" w:sz="0" w:space="0" w:color="auto"/>
          </w:divBdr>
        </w:div>
        <w:div w:id="1607345750">
          <w:marLeft w:val="0"/>
          <w:marRight w:val="0"/>
          <w:marTop w:val="0"/>
          <w:marBottom w:val="2"/>
          <w:divBdr>
            <w:top w:val="none" w:sz="0" w:space="0" w:color="auto"/>
            <w:left w:val="none" w:sz="0" w:space="0" w:color="auto"/>
            <w:bottom w:val="none" w:sz="0" w:space="0" w:color="auto"/>
            <w:right w:val="none" w:sz="0" w:space="0" w:color="auto"/>
          </w:divBdr>
        </w:div>
        <w:div w:id="911543191">
          <w:marLeft w:val="0"/>
          <w:marRight w:val="0"/>
          <w:marTop w:val="0"/>
          <w:marBottom w:val="2"/>
          <w:divBdr>
            <w:top w:val="none" w:sz="0" w:space="0" w:color="auto"/>
            <w:left w:val="none" w:sz="0" w:space="0" w:color="auto"/>
            <w:bottom w:val="none" w:sz="0" w:space="0" w:color="auto"/>
            <w:right w:val="none" w:sz="0" w:space="0" w:color="auto"/>
          </w:divBdr>
        </w:div>
        <w:div w:id="543636031">
          <w:marLeft w:val="0"/>
          <w:marRight w:val="0"/>
          <w:marTop w:val="0"/>
          <w:marBottom w:val="2"/>
          <w:divBdr>
            <w:top w:val="none" w:sz="0" w:space="0" w:color="auto"/>
            <w:left w:val="none" w:sz="0" w:space="0" w:color="auto"/>
            <w:bottom w:val="none" w:sz="0" w:space="0" w:color="auto"/>
            <w:right w:val="none" w:sz="0" w:space="0" w:color="auto"/>
          </w:divBdr>
        </w:div>
        <w:div w:id="281039807">
          <w:marLeft w:val="0"/>
          <w:marRight w:val="0"/>
          <w:marTop w:val="0"/>
          <w:marBottom w:val="2"/>
          <w:divBdr>
            <w:top w:val="none" w:sz="0" w:space="0" w:color="auto"/>
            <w:left w:val="none" w:sz="0" w:space="0" w:color="auto"/>
            <w:bottom w:val="none" w:sz="0" w:space="0" w:color="auto"/>
            <w:right w:val="none" w:sz="0" w:space="0" w:color="auto"/>
          </w:divBdr>
        </w:div>
        <w:div w:id="2037388131">
          <w:marLeft w:val="0"/>
          <w:marRight w:val="0"/>
          <w:marTop w:val="0"/>
          <w:marBottom w:val="2"/>
          <w:divBdr>
            <w:top w:val="none" w:sz="0" w:space="0" w:color="auto"/>
            <w:left w:val="none" w:sz="0" w:space="0" w:color="auto"/>
            <w:bottom w:val="none" w:sz="0" w:space="0" w:color="auto"/>
            <w:right w:val="none" w:sz="0" w:space="0" w:color="auto"/>
          </w:divBdr>
        </w:div>
        <w:div w:id="1369797655">
          <w:marLeft w:val="0"/>
          <w:marRight w:val="0"/>
          <w:marTop w:val="0"/>
          <w:marBottom w:val="2"/>
          <w:divBdr>
            <w:top w:val="none" w:sz="0" w:space="0" w:color="auto"/>
            <w:left w:val="none" w:sz="0" w:space="0" w:color="auto"/>
            <w:bottom w:val="none" w:sz="0" w:space="0" w:color="auto"/>
            <w:right w:val="none" w:sz="0" w:space="0" w:color="auto"/>
          </w:divBdr>
        </w:div>
        <w:div w:id="1123184230">
          <w:marLeft w:val="0"/>
          <w:marRight w:val="0"/>
          <w:marTop w:val="0"/>
          <w:marBottom w:val="2"/>
          <w:divBdr>
            <w:top w:val="none" w:sz="0" w:space="0" w:color="auto"/>
            <w:left w:val="none" w:sz="0" w:space="0" w:color="auto"/>
            <w:bottom w:val="none" w:sz="0" w:space="0" w:color="auto"/>
            <w:right w:val="none" w:sz="0" w:space="0" w:color="auto"/>
          </w:divBdr>
        </w:div>
        <w:div w:id="1949192193">
          <w:marLeft w:val="0"/>
          <w:marRight w:val="0"/>
          <w:marTop w:val="0"/>
          <w:marBottom w:val="2"/>
          <w:divBdr>
            <w:top w:val="none" w:sz="0" w:space="0" w:color="auto"/>
            <w:left w:val="none" w:sz="0" w:space="0" w:color="auto"/>
            <w:bottom w:val="none" w:sz="0" w:space="0" w:color="auto"/>
            <w:right w:val="none" w:sz="0" w:space="0" w:color="auto"/>
          </w:divBdr>
        </w:div>
        <w:div w:id="1673872456">
          <w:marLeft w:val="0"/>
          <w:marRight w:val="0"/>
          <w:marTop w:val="0"/>
          <w:marBottom w:val="2"/>
          <w:divBdr>
            <w:top w:val="none" w:sz="0" w:space="0" w:color="auto"/>
            <w:left w:val="none" w:sz="0" w:space="0" w:color="auto"/>
            <w:bottom w:val="none" w:sz="0" w:space="0" w:color="auto"/>
            <w:right w:val="none" w:sz="0" w:space="0" w:color="auto"/>
          </w:divBdr>
        </w:div>
        <w:div w:id="198588325">
          <w:marLeft w:val="0"/>
          <w:marRight w:val="0"/>
          <w:marTop w:val="0"/>
          <w:marBottom w:val="2"/>
          <w:divBdr>
            <w:top w:val="none" w:sz="0" w:space="0" w:color="auto"/>
            <w:left w:val="none" w:sz="0" w:space="0" w:color="auto"/>
            <w:bottom w:val="none" w:sz="0" w:space="0" w:color="auto"/>
            <w:right w:val="none" w:sz="0" w:space="0" w:color="auto"/>
          </w:divBdr>
        </w:div>
        <w:div w:id="1606884055">
          <w:marLeft w:val="0"/>
          <w:marRight w:val="0"/>
          <w:marTop w:val="0"/>
          <w:marBottom w:val="2"/>
          <w:divBdr>
            <w:top w:val="none" w:sz="0" w:space="0" w:color="auto"/>
            <w:left w:val="none" w:sz="0" w:space="0" w:color="auto"/>
            <w:bottom w:val="none" w:sz="0" w:space="0" w:color="auto"/>
            <w:right w:val="none" w:sz="0" w:space="0" w:color="auto"/>
          </w:divBdr>
        </w:div>
      </w:divsChild>
    </w:div>
    <w:div w:id="1290746719">
      <w:marLeft w:val="0"/>
      <w:marRight w:val="0"/>
      <w:marTop w:val="1"/>
      <w:marBottom w:val="1"/>
      <w:divBdr>
        <w:top w:val="none" w:sz="0" w:space="0" w:color="auto"/>
        <w:left w:val="none" w:sz="0" w:space="0" w:color="auto"/>
        <w:bottom w:val="none" w:sz="0" w:space="0" w:color="auto"/>
        <w:right w:val="none" w:sz="0" w:space="0" w:color="auto"/>
      </w:divBdr>
    </w:div>
    <w:div w:id="1296107306">
      <w:marLeft w:val="0"/>
      <w:marRight w:val="0"/>
      <w:marTop w:val="0"/>
      <w:marBottom w:val="0"/>
      <w:divBdr>
        <w:top w:val="none" w:sz="0" w:space="0" w:color="auto"/>
        <w:left w:val="none" w:sz="0" w:space="0" w:color="auto"/>
        <w:bottom w:val="none" w:sz="0" w:space="0" w:color="auto"/>
        <w:right w:val="none" w:sz="0" w:space="0" w:color="auto"/>
      </w:divBdr>
      <w:divsChild>
        <w:div w:id="986277540">
          <w:marLeft w:val="0"/>
          <w:marRight w:val="0"/>
          <w:marTop w:val="0"/>
          <w:marBottom w:val="0"/>
          <w:divBdr>
            <w:top w:val="none" w:sz="0" w:space="0" w:color="auto"/>
            <w:left w:val="none" w:sz="0" w:space="0" w:color="auto"/>
            <w:bottom w:val="none" w:sz="0" w:space="0" w:color="auto"/>
            <w:right w:val="none" w:sz="0" w:space="0" w:color="auto"/>
          </w:divBdr>
        </w:div>
      </w:divsChild>
    </w:div>
    <w:div w:id="1302927181">
      <w:marLeft w:val="0"/>
      <w:marRight w:val="0"/>
      <w:marTop w:val="0"/>
      <w:marBottom w:val="0"/>
      <w:divBdr>
        <w:top w:val="none" w:sz="0" w:space="0" w:color="auto"/>
        <w:left w:val="none" w:sz="0" w:space="0" w:color="auto"/>
        <w:bottom w:val="none" w:sz="0" w:space="0" w:color="auto"/>
        <w:right w:val="none" w:sz="0" w:space="0" w:color="auto"/>
      </w:divBdr>
    </w:div>
    <w:div w:id="1306273169">
      <w:marLeft w:val="0"/>
      <w:marRight w:val="0"/>
      <w:marTop w:val="0"/>
      <w:marBottom w:val="0"/>
      <w:divBdr>
        <w:top w:val="none" w:sz="0" w:space="0" w:color="auto"/>
        <w:left w:val="none" w:sz="0" w:space="0" w:color="auto"/>
        <w:bottom w:val="none" w:sz="0" w:space="0" w:color="auto"/>
        <w:right w:val="none" w:sz="0" w:space="0" w:color="auto"/>
      </w:divBdr>
    </w:div>
    <w:div w:id="1307466307">
      <w:marLeft w:val="0"/>
      <w:marRight w:val="0"/>
      <w:marTop w:val="120"/>
      <w:marBottom w:val="0"/>
      <w:divBdr>
        <w:top w:val="none" w:sz="0" w:space="0" w:color="auto"/>
        <w:left w:val="none" w:sz="0" w:space="0" w:color="auto"/>
        <w:bottom w:val="none" w:sz="0" w:space="0" w:color="auto"/>
        <w:right w:val="none" w:sz="0" w:space="0" w:color="auto"/>
      </w:divBdr>
    </w:div>
    <w:div w:id="1308631224">
      <w:marLeft w:val="0"/>
      <w:marRight w:val="0"/>
      <w:marTop w:val="120"/>
      <w:marBottom w:val="0"/>
      <w:divBdr>
        <w:top w:val="none" w:sz="0" w:space="0" w:color="auto"/>
        <w:left w:val="none" w:sz="0" w:space="0" w:color="auto"/>
        <w:bottom w:val="none" w:sz="0" w:space="0" w:color="auto"/>
        <w:right w:val="none" w:sz="0" w:space="0" w:color="auto"/>
      </w:divBdr>
    </w:div>
    <w:div w:id="1314989017">
      <w:marLeft w:val="0"/>
      <w:marRight w:val="0"/>
      <w:marTop w:val="120"/>
      <w:marBottom w:val="1"/>
      <w:divBdr>
        <w:top w:val="none" w:sz="0" w:space="0" w:color="auto"/>
        <w:left w:val="none" w:sz="0" w:space="0" w:color="auto"/>
        <w:bottom w:val="none" w:sz="0" w:space="0" w:color="auto"/>
        <w:right w:val="none" w:sz="0" w:space="0" w:color="auto"/>
      </w:divBdr>
    </w:div>
    <w:div w:id="1321233278">
      <w:marLeft w:val="0"/>
      <w:marRight w:val="0"/>
      <w:marTop w:val="0"/>
      <w:marBottom w:val="0"/>
      <w:divBdr>
        <w:top w:val="none" w:sz="0" w:space="0" w:color="auto"/>
        <w:left w:val="none" w:sz="0" w:space="0" w:color="auto"/>
        <w:bottom w:val="none" w:sz="0" w:space="0" w:color="auto"/>
        <w:right w:val="none" w:sz="0" w:space="0" w:color="auto"/>
      </w:divBdr>
    </w:div>
    <w:div w:id="1324162560">
      <w:marLeft w:val="0"/>
      <w:marRight w:val="0"/>
      <w:marTop w:val="240"/>
      <w:marBottom w:val="0"/>
      <w:divBdr>
        <w:top w:val="none" w:sz="0" w:space="0" w:color="auto"/>
        <w:left w:val="none" w:sz="0" w:space="0" w:color="auto"/>
        <w:bottom w:val="none" w:sz="0" w:space="0" w:color="auto"/>
        <w:right w:val="none" w:sz="0" w:space="0" w:color="auto"/>
      </w:divBdr>
    </w:div>
    <w:div w:id="1326475584">
      <w:marLeft w:val="0"/>
      <w:marRight w:val="0"/>
      <w:marTop w:val="120"/>
      <w:marBottom w:val="0"/>
      <w:divBdr>
        <w:top w:val="none" w:sz="0" w:space="0" w:color="auto"/>
        <w:left w:val="none" w:sz="0" w:space="0" w:color="auto"/>
        <w:bottom w:val="none" w:sz="0" w:space="0" w:color="auto"/>
        <w:right w:val="none" w:sz="0" w:space="0" w:color="auto"/>
      </w:divBdr>
    </w:div>
    <w:div w:id="1328750134">
      <w:marLeft w:val="0"/>
      <w:marRight w:val="0"/>
      <w:marTop w:val="120"/>
      <w:marBottom w:val="0"/>
      <w:divBdr>
        <w:top w:val="none" w:sz="0" w:space="0" w:color="auto"/>
        <w:left w:val="none" w:sz="0" w:space="0" w:color="auto"/>
        <w:bottom w:val="none" w:sz="0" w:space="0" w:color="auto"/>
        <w:right w:val="none" w:sz="0" w:space="0" w:color="auto"/>
      </w:divBdr>
    </w:div>
    <w:div w:id="1330790224">
      <w:marLeft w:val="0"/>
      <w:marRight w:val="0"/>
      <w:marTop w:val="240"/>
      <w:marBottom w:val="0"/>
      <w:divBdr>
        <w:top w:val="none" w:sz="0" w:space="0" w:color="auto"/>
        <w:left w:val="none" w:sz="0" w:space="0" w:color="auto"/>
        <w:bottom w:val="none" w:sz="0" w:space="0" w:color="auto"/>
        <w:right w:val="none" w:sz="0" w:space="0" w:color="auto"/>
      </w:divBdr>
    </w:div>
    <w:div w:id="1335111414">
      <w:marLeft w:val="0"/>
      <w:marRight w:val="0"/>
      <w:marTop w:val="0"/>
      <w:marBottom w:val="0"/>
      <w:divBdr>
        <w:top w:val="none" w:sz="0" w:space="0" w:color="auto"/>
        <w:left w:val="none" w:sz="0" w:space="0" w:color="auto"/>
        <w:bottom w:val="none" w:sz="0" w:space="0" w:color="auto"/>
        <w:right w:val="none" w:sz="0" w:space="0" w:color="auto"/>
      </w:divBdr>
    </w:div>
    <w:div w:id="1336690293">
      <w:marLeft w:val="0"/>
      <w:marRight w:val="0"/>
      <w:marTop w:val="120"/>
      <w:marBottom w:val="0"/>
      <w:divBdr>
        <w:top w:val="none" w:sz="0" w:space="0" w:color="auto"/>
        <w:left w:val="none" w:sz="0" w:space="0" w:color="auto"/>
        <w:bottom w:val="none" w:sz="0" w:space="0" w:color="auto"/>
        <w:right w:val="none" w:sz="0" w:space="0" w:color="auto"/>
      </w:divBdr>
    </w:div>
    <w:div w:id="1340040590">
      <w:marLeft w:val="0"/>
      <w:marRight w:val="0"/>
      <w:marTop w:val="0"/>
      <w:marBottom w:val="0"/>
      <w:divBdr>
        <w:top w:val="none" w:sz="0" w:space="0" w:color="auto"/>
        <w:left w:val="none" w:sz="0" w:space="0" w:color="auto"/>
        <w:bottom w:val="none" w:sz="0" w:space="0" w:color="auto"/>
        <w:right w:val="none" w:sz="0" w:space="0" w:color="auto"/>
      </w:divBdr>
      <w:divsChild>
        <w:div w:id="1401370066">
          <w:marLeft w:val="0"/>
          <w:marRight w:val="0"/>
          <w:marTop w:val="0"/>
          <w:marBottom w:val="0"/>
          <w:divBdr>
            <w:top w:val="none" w:sz="0" w:space="0" w:color="auto"/>
            <w:left w:val="none" w:sz="0" w:space="0" w:color="auto"/>
            <w:bottom w:val="none" w:sz="0" w:space="0" w:color="auto"/>
            <w:right w:val="none" w:sz="0" w:space="0" w:color="auto"/>
          </w:divBdr>
        </w:div>
      </w:divsChild>
    </w:div>
    <w:div w:id="1343243232">
      <w:marLeft w:val="0"/>
      <w:marRight w:val="0"/>
      <w:marTop w:val="120"/>
      <w:marBottom w:val="0"/>
      <w:divBdr>
        <w:top w:val="none" w:sz="0" w:space="0" w:color="auto"/>
        <w:left w:val="none" w:sz="0" w:space="0" w:color="auto"/>
        <w:bottom w:val="none" w:sz="0" w:space="0" w:color="auto"/>
        <w:right w:val="none" w:sz="0" w:space="0" w:color="auto"/>
      </w:divBdr>
    </w:div>
    <w:div w:id="1344091083">
      <w:marLeft w:val="0"/>
      <w:marRight w:val="0"/>
      <w:marTop w:val="240"/>
      <w:marBottom w:val="0"/>
      <w:divBdr>
        <w:top w:val="none" w:sz="0" w:space="0" w:color="auto"/>
        <w:left w:val="none" w:sz="0" w:space="0" w:color="auto"/>
        <w:bottom w:val="none" w:sz="0" w:space="0" w:color="auto"/>
        <w:right w:val="none" w:sz="0" w:space="0" w:color="auto"/>
      </w:divBdr>
    </w:div>
    <w:div w:id="1347177208">
      <w:marLeft w:val="0"/>
      <w:marRight w:val="0"/>
      <w:marTop w:val="0"/>
      <w:marBottom w:val="0"/>
      <w:divBdr>
        <w:top w:val="none" w:sz="0" w:space="0" w:color="auto"/>
        <w:left w:val="none" w:sz="0" w:space="0" w:color="auto"/>
        <w:bottom w:val="none" w:sz="0" w:space="0" w:color="auto"/>
        <w:right w:val="none" w:sz="0" w:space="0" w:color="auto"/>
      </w:divBdr>
    </w:div>
    <w:div w:id="1351251563">
      <w:marLeft w:val="0"/>
      <w:marRight w:val="0"/>
      <w:marTop w:val="120"/>
      <w:marBottom w:val="0"/>
      <w:divBdr>
        <w:top w:val="none" w:sz="0" w:space="0" w:color="auto"/>
        <w:left w:val="none" w:sz="0" w:space="0" w:color="auto"/>
        <w:bottom w:val="none" w:sz="0" w:space="0" w:color="auto"/>
        <w:right w:val="none" w:sz="0" w:space="0" w:color="auto"/>
      </w:divBdr>
    </w:div>
    <w:div w:id="1361278108">
      <w:marLeft w:val="0"/>
      <w:marRight w:val="0"/>
      <w:marTop w:val="120"/>
      <w:marBottom w:val="0"/>
      <w:divBdr>
        <w:top w:val="none" w:sz="0" w:space="0" w:color="auto"/>
        <w:left w:val="none" w:sz="0" w:space="0" w:color="auto"/>
        <w:bottom w:val="none" w:sz="0" w:space="0" w:color="auto"/>
        <w:right w:val="none" w:sz="0" w:space="0" w:color="auto"/>
      </w:divBdr>
    </w:div>
    <w:div w:id="1363365747">
      <w:marLeft w:val="0"/>
      <w:marRight w:val="0"/>
      <w:marTop w:val="0"/>
      <w:marBottom w:val="0"/>
      <w:divBdr>
        <w:top w:val="none" w:sz="0" w:space="0" w:color="auto"/>
        <w:left w:val="none" w:sz="0" w:space="0" w:color="auto"/>
        <w:bottom w:val="none" w:sz="0" w:space="0" w:color="auto"/>
        <w:right w:val="none" w:sz="0" w:space="0" w:color="auto"/>
      </w:divBdr>
    </w:div>
    <w:div w:id="1365669456">
      <w:marLeft w:val="0"/>
      <w:marRight w:val="0"/>
      <w:marTop w:val="0"/>
      <w:marBottom w:val="0"/>
      <w:divBdr>
        <w:top w:val="none" w:sz="0" w:space="0" w:color="auto"/>
        <w:left w:val="none" w:sz="0" w:space="0" w:color="auto"/>
        <w:bottom w:val="none" w:sz="0" w:space="0" w:color="auto"/>
        <w:right w:val="none" w:sz="0" w:space="0" w:color="auto"/>
      </w:divBdr>
    </w:div>
    <w:div w:id="1366565696">
      <w:marLeft w:val="0"/>
      <w:marRight w:val="0"/>
      <w:marTop w:val="0"/>
      <w:marBottom w:val="0"/>
      <w:divBdr>
        <w:top w:val="none" w:sz="0" w:space="0" w:color="auto"/>
        <w:left w:val="none" w:sz="0" w:space="0" w:color="auto"/>
        <w:bottom w:val="none" w:sz="0" w:space="0" w:color="auto"/>
        <w:right w:val="none" w:sz="0" w:space="0" w:color="auto"/>
      </w:divBdr>
      <w:divsChild>
        <w:div w:id="420638009">
          <w:marLeft w:val="0"/>
          <w:marRight w:val="0"/>
          <w:marTop w:val="0"/>
          <w:marBottom w:val="0"/>
          <w:divBdr>
            <w:top w:val="none" w:sz="0" w:space="0" w:color="auto"/>
            <w:left w:val="none" w:sz="0" w:space="0" w:color="auto"/>
            <w:bottom w:val="none" w:sz="0" w:space="0" w:color="auto"/>
            <w:right w:val="none" w:sz="0" w:space="0" w:color="auto"/>
          </w:divBdr>
        </w:div>
      </w:divsChild>
    </w:div>
    <w:div w:id="1367178802">
      <w:marLeft w:val="0"/>
      <w:marRight w:val="0"/>
      <w:marTop w:val="0"/>
      <w:marBottom w:val="0"/>
      <w:divBdr>
        <w:top w:val="none" w:sz="0" w:space="0" w:color="auto"/>
        <w:left w:val="none" w:sz="0" w:space="0" w:color="auto"/>
        <w:bottom w:val="none" w:sz="0" w:space="0" w:color="auto"/>
        <w:right w:val="none" w:sz="0" w:space="0" w:color="auto"/>
      </w:divBdr>
    </w:div>
    <w:div w:id="1367869399">
      <w:marLeft w:val="0"/>
      <w:marRight w:val="0"/>
      <w:marTop w:val="120"/>
      <w:marBottom w:val="0"/>
      <w:divBdr>
        <w:top w:val="none" w:sz="0" w:space="0" w:color="auto"/>
        <w:left w:val="none" w:sz="0" w:space="0" w:color="auto"/>
        <w:bottom w:val="none" w:sz="0" w:space="0" w:color="auto"/>
        <w:right w:val="none" w:sz="0" w:space="0" w:color="auto"/>
      </w:divBdr>
    </w:div>
    <w:div w:id="1369716800">
      <w:marLeft w:val="0"/>
      <w:marRight w:val="0"/>
      <w:marTop w:val="120"/>
      <w:marBottom w:val="0"/>
      <w:divBdr>
        <w:top w:val="none" w:sz="0" w:space="0" w:color="auto"/>
        <w:left w:val="none" w:sz="0" w:space="0" w:color="auto"/>
        <w:bottom w:val="none" w:sz="0" w:space="0" w:color="auto"/>
        <w:right w:val="none" w:sz="0" w:space="0" w:color="auto"/>
      </w:divBdr>
    </w:div>
    <w:div w:id="1374228711">
      <w:marLeft w:val="0"/>
      <w:marRight w:val="0"/>
      <w:marTop w:val="0"/>
      <w:marBottom w:val="0"/>
      <w:divBdr>
        <w:top w:val="none" w:sz="0" w:space="0" w:color="auto"/>
        <w:left w:val="none" w:sz="0" w:space="0" w:color="auto"/>
        <w:bottom w:val="none" w:sz="0" w:space="0" w:color="auto"/>
        <w:right w:val="none" w:sz="0" w:space="0" w:color="auto"/>
      </w:divBdr>
    </w:div>
    <w:div w:id="1383864638">
      <w:marLeft w:val="0"/>
      <w:marRight w:val="0"/>
      <w:marTop w:val="0"/>
      <w:marBottom w:val="0"/>
      <w:divBdr>
        <w:top w:val="none" w:sz="0" w:space="0" w:color="auto"/>
        <w:left w:val="none" w:sz="0" w:space="0" w:color="auto"/>
        <w:bottom w:val="none" w:sz="0" w:space="0" w:color="auto"/>
        <w:right w:val="none" w:sz="0" w:space="0" w:color="auto"/>
      </w:divBdr>
      <w:divsChild>
        <w:div w:id="2059819847">
          <w:marLeft w:val="0"/>
          <w:marRight w:val="0"/>
          <w:marTop w:val="0"/>
          <w:marBottom w:val="0"/>
          <w:divBdr>
            <w:top w:val="none" w:sz="0" w:space="0" w:color="auto"/>
            <w:left w:val="none" w:sz="0" w:space="0" w:color="auto"/>
            <w:bottom w:val="none" w:sz="0" w:space="0" w:color="auto"/>
            <w:right w:val="none" w:sz="0" w:space="0" w:color="auto"/>
          </w:divBdr>
        </w:div>
      </w:divsChild>
    </w:div>
    <w:div w:id="1388995035">
      <w:marLeft w:val="0"/>
      <w:marRight w:val="0"/>
      <w:marTop w:val="0"/>
      <w:marBottom w:val="0"/>
      <w:divBdr>
        <w:top w:val="none" w:sz="0" w:space="0" w:color="auto"/>
        <w:left w:val="none" w:sz="0" w:space="0" w:color="auto"/>
        <w:bottom w:val="none" w:sz="0" w:space="0" w:color="auto"/>
        <w:right w:val="none" w:sz="0" w:space="0" w:color="auto"/>
      </w:divBdr>
    </w:div>
    <w:div w:id="1389644549">
      <w:marLeft w:val="0"/>
      <w:marRight w:val="0"/>
      <w:marTop w:val="240"/>
      <w:marBottom w:val="120"/>
      <w:divBdr>
        <w:top w:val="none" w:sz="0" w:space="0" w:color="auto"/>
        <w:left w:val="none" w:sz="0" w:space="0" w:color="auto"/>
        <w:bottom w:val="none" w:sz="0" w:space="0" w:color="auto"/>
        <w:right w:val="none" w:sz="0" w:space="0" w:color="auto"/>
      </w:divBdr>
    </w:div>
    <w:div w:id="1390958965">
      <w:marLeft w:val="0"/>
      <w:marRight w:val="0"/>
      <w:marTop w:val="120"/>
      <w:marBottom w:val="0"/>
      <w:divBdr>
        <w:top w:val="none" w:sz="0" w:space="0" w:color="auto"/>
        <w:left w:val="none" w:sz="0" w:space="0" w:color="auto"/>
        <w:bottom w:val="none" w:sz="0" w:space="0" w:color="auto"/>
        <w:right w:val="none" w:sz="0" w:space="0" w:color="auto"/>
      </w:divBdr>
    </w:div>
    <w:div w:id="1392343342">
      <w:marLeft w:val="0"/>
      <w:marRight w:val="0"/>
      <w:marTop w:val="0"/>
      <w:marBottom w:val="0"/>
      <w:divBdr>
        <w:top w:val="none" w:sz="0" w:space="0" w:color="auto"/>
        <w:left w:val="none" w:sz="0" w:space="0" w:color="auto"/>
        <w:bottom w:val="none" w:sz="0" w:space="0" w:color="auto"/>
        <w:right w:val="none" w:sz="0" w:space="0" w:color="auto"/>
      </w:divBdr>
    </w:div>
    <w:div w:id="1396273652">
      <w:marLeft w:val="0"/>
      <w:marRight w:val="0"/>
      <w:marTop w:val="0"/>
      <w:marBottom w:val="120"/>
      <w:divBdr>
        <w:top w:val="none" w:sz="0" w:space="0" w:color="auto"/>
        <w:left w:val="none" w:sz="0" w:space="0" w:color="auto"/>
        <w:bottom w:val="none" w:sz="0" w:space="0" w:color="auto"/>
        <w:right w:val="none" w:sz="0" w:space="0" w:color="auto"/>
      </w:divBdr>
    </w:div>
    <w:div w:id="1399093543">
      <w:marLeft w:val="0"/>
      <w:marRight w:val="0"/>
      <w:marTop w:val="0"/>
      <w:marBottom w:val="0"/>
      <w:divBdr>
        <w:top w:val="none" w:sz="0" w:space="0" w:color="auto"/>
        <w:left w:val="none" w:sz="0" w:space="0" w:color="auto"/>
        <w:bottom w:val="none" w:sz="0" w:space="0" w:color="auto"/>
        <w:right w:val="none" w:sz="0" w:space="0" w:color="auto"/>
      </w:divBdr>
    </w:div>
    <w:div w:id="1403068390">
      <w:marLeft w:val="0"/>
      <w:marRight w:val="0"/>
      <w:marTop w:val="0"/>
      <w:marBottom w:val="0"/>
      <w:divBdr>
        <w:top w:val="none" w:sz="0" w:space="0" w:color="auto"/>
        <w:left w:val="none" w:sz="0" w:space="0" w:color="auto"/>
        <w:bottom w:val="none" w:sz="0" w:space="0" w:color="auto"/>
        <w:right w:val="none" w:sz="0" w:space="0" w:color="auto"/>
      </w:divBdr>
    </w:div>
    <w:div w:id="1407993540">
      <w:marLeft w:val="0"/>
      <w:marRight w:val="0"/>
      <w:marTop w:val="120"/>
      <w:marBottom w:val="0"/>
      <w:divBdr>
        <w:top w:val="none" w:sz="0" w:space="0" w:color="auto"/>
        <w:left w:val="none" w:sz="0" w:space="0" w:color="auto"/>
        <w:bottom w:val="none" w:sz="0" w:space="0" w:color="auto"/>
        <w:right w:val="none" w:sz="0" w:space="0" w:color="auto"/>
      </w:divBdr>
    </w:div>
    <w:div w:id="1412460192">
      <w:marLeft w:val="0"/>
      <w:marRight w:val="0"/>
      <w:marTop w:val="0"/>
      <w:marBottom w:val="0"/>
      <w:divBdr>
        <w:top w:val="none" w:sz="0" w:space="0" w:color="auto"/>
        <w:left w:val="none" w:sz="0" w:space="0" w:color="auto"/>
        <w:bottom w:val="none" w:sz="0" w:space="0" w:color="auto"/>
        <w:right w:val="none" w:sz="0" w:space="0" w:color="auto"/>
      </w:divBdr>
    </w:div>
    <w:div w:id="1414232680">
      <w:marLeft w:val="0"/>
      <w:marRight w:val="0"/>
      <w:marTop w:val="0"/>
      <w:marBottom w:val="0"/>
      <w:divBdr>
        <w:top w:val="none" w:sz="0" w:space="0" w:color="auto"/>
        <w:left w:val="none" w:sz="0" w:space="0" w:color="auto"/>
        <w:bottom w:val="none" w:sz="0" w:space="0" w:color="auto"/>
        <w:right w:val="none" w:sz="0" w:space="0" w:color="auto"/>
      </w:divBdr>
      <w:divsChild>
        <w:div w:id="1010790553">
          <w:marLeft w:val="0"/>
          <w:marRight w:val="0"/>
          <w:marTop w:val="0"/>
          <w:marBottom w:val="0"/>
          <w:divBdr>
            <w:top w:val="none" w:sz="0" w:space="0" w:color="auto"/>
            <w:left w:val="none" w:sz="0" w:space="0" w:color="auto"/>
            <w:bottom w:val="none" w:sz="0" w:space="0" w:color="auto"/>
            <w:right w:val="none" w:sz="0" w:space="0" w:color="auto"/>
          </w:divBdr>
        </w:div>
      </w:divsChild>
    </w:div>
    <w:div w:id="1420591084">
      <w:marLeft w:val="0"/>
      <w:marRight w:val="0"/>
      <w:marTop w:val="120"/>
      <w:marBottom w:val="0"/>
      <w:divBdr>
        <w:top w:val="none" w:sz="0" w:space="0" w:color="auto"/>
        <w:left w:val="none" w:sz="0" w:space="0" w:color="auto"/>
        <w:bottom w:val="none" w:sz="0" w:space="0" w:color="auto"/>
        <w:right w:val="none" w:sz="0" w:space="0" w:color="auto"/>
      </w:divBdr>
    </w:div>
    <w:div w:id="1421215176">
      <w:marLeft w:val="0"/>
      <w:marRight w:val="0"/>
      <w:marTop w:val="120"/>
      <w:marBottom w:val="0"/>
      <w:divBdr>
        <w:top w:val="none" w:sz="0" w:space="0" w:color="auto"/>
        <w:left w:val="none" w:sz="0" w:space="0" w:color="auto"/>
        <w:bottom w:val="none" w:sz="0" w:space="0" w:color="auto"/>
        <w:right w:val="none" w:sz="0" w:space="0" w:color="auto"/>
      </w:divBdr>
    </w:div>
    <w:div w:id="1425146128">
      <w:marLeft w:val="0"/>
      <w:marRight w:val="0"/>
      <w:marTop w:val="120"/>
      <w:marBottom w:val="0"/>
      <w:divBdr>
        <w:top w:val="none" w:sz="0" w:space="0" w:color="auto"/>
        <w:left w:val="none" w:sz="0" w:space="0" w:color="auto"/>
        <w:bottom w:val="none" w:sz="0" w:space="0" w:color="auto"/>
        <w:right w:val="none" w:sz="0" w:space="0" w:color="auto"/>
      </w:divBdr>
    </w:div>
    <w:div w:id="1429039814">
      <w:marLeft w:val="0"/>
      <w:marRight w:val="0"/>
      <w:marTop w:val="0"/>
      <w:marBottom w:val="0"/>
      <w:divBdr>
        <w:top w:val="none" w:sz="0" w:space="0" w:color="auto"/>
        <w:left w:val="none" w:sz="0" w:space="0" w:color="auto"/>
        <w:bottom w:val="none" w:sz="0" w:space="0" w:color="auto"/>
        <w:right w:val="none" w:sz="0" w:space="0" w:color="auto"/>
      </w:divBdr>
    </w:div>
    <w:div w:id="1429227425">
      <w:marLeft w:val="0"/>
      <w:marRight w:val="0"/>
      <w:marTop w:val="120"/>
      <w:marBottom w:val="0"/>
      <w:divBdr>
        <w:top w:val="none" w:sz="0" w:space="0" w:color="auto"/>
        <w:left w:val="none" w:sz="0" w:space="0" w:color="auto"/>
        <w:bottom w:val="none" w:sz="0" w:space="0" w:color="auto"/>
        <w:right w:val="none" w:sz="0" w:space="0" w:color="auto"/>
      </w:divBdr>
    </w:div>
    <w:div w:id="1438525843">
      <w:marLeft w:val="0"/>
      <w:marRight w:val="0"/>
      <w:marTop w:val="120"/>
      <w:marBottom w:val="0"/>
      <w:divBdr>
        <w:top w:val="none" w:sz="0" w:space="0" w:color="auto"/>
        <w:left w:val="none" w:sz="0" w:space="0" w:color="auto"/>
        <w:bottom w:val="none" w:sz="0" w:space="0" w:color="auto"/>
        <w:right w:val="none" w:sz="0" w:space="0" w:color="auto"/>
      </w:divBdr>
    </w:div>
    <w:div w:id="1443651794">
      <w:marLeft w:val="0"/>
      <w:marRight w:val="0"/>
      <w:marTop w:val="120"/>
      <w:marBottom w:val="0"/>
      <w:divBdr>
        <w:top w:val="none" w:sz="0" w:space="0" w:color="auto"/>
        <w:left w:val="none" w:sz="0" w:space="0" w:color="auto"/>
        <w:bottom w:val="none" w:sz="0" w:space="0" w:color="auto"/>
        <w:right w:val="none" w:sz="0" w:space="0" w:color="auto"/>
      </w:divBdr>
    </w:div>
    <w:div w:id="1453356248">
      <w:marLeft w:val="0"/>
      <w:marRight w:val="0"/>
      <w:marTop w:val="0"/>
      <w:marBottom w:val="0"/>
      <w:divBdr>
        <w:top w:val="none" w:sz="0" w:space="0" w:color="auto"/>
        <w:left w:val="none" w:sz="0" w:space="0" w:color="auto"/>
        <w:bottom w:val="none" w:sz="0" w:space="0" w:color="auto"/>
        <w:right w:val="none" w:sz="0" w:space="0" w:color="auto"/>
      </w:divBdr>
    </w:div>
    <w:div w:id="1454249975">
      <w:marLeft w:val="0"/>
      <w:marRight w:val="0"/>
      <w:marTop w:val="0"/>
      <w:marBottom w:val="0"/>
      <w:divBdr>
        <w:top w:val="none" w:sz="0" w:space="0" w:color="auto"/>
        <w:left w:val="none" w:sz="0" w:space="0" w:color="auto"/>
        <w:bottom w:val="none" w:sz="0" w:space="0" w:color="auto"/>
        <w:right w:val="none" w:sz="0" w:space="0" w:color="auto"/>
      </w:divBdr>
    </w:div>
    <w:div w:id="1459184600">
      <w:marLeft w:val="0"/>
      <w:marRight w:val="0"/>
      <w:marTop w:val="120"/>
      <w:marBottom w:val="0"/>
      <w:divBdr>
        <w:top w:val="none" w:sz="0" w:space="0" w:color="auto"/>
        <w:left w:val="none" w:sz="0" w:space="0" w:color="auto"/>
        <w:bottom w:val="none" w:sz="0" w:space="0" w:color="auto"/>
        <w:right w:val="none" w:sz="0" w:space="0" w:color="auto"/>
      </w:divBdr>
    </w:div>
    <w:div w:id="1465544486">
      <w:marLeft w:val="0"/>
      <w:marRight w:val="0"/>
      <w:marTop w:val="240"/>
      <w:marBottom w:val="0"/>
      <w:divBdr>
        <w:top w:val="none" w:sz="0" w:space="0" w:color="auto"/>
        <w:left w:val="none" w:sz="0" w:space="0" w:color="auto"/>
        <w:bottom w:val="none" w:sz="0" w:space="0" w:color="auto"/>
        <w:right w:val="none" w:sz="0" w:space="0" w:color="auto"/>
      </w:divBdr>
    </w:div>
    <w:div w:id="1471747162">
      <w:marLeft w:val="0"/>
      <w:marRight w:val="0"/>
      <w:marTop w:val="360"/>
      <w:marBottom w:val="0"/>
      <w:divBdr>
        <w:top w:val="none" w:sz="0" w:space="0" w:color="auto"/>
        <w:left w:val="none" w:sz="0" w:space="0" w:color="auto"/>
        <w:bottom w:val="none" w:sz="0" w:space="0" w:color="auto"/>
        <w:right w:val="none" w:sz="0" w:space="0" w:color="auto"/>
      </w:divBdr>
    </w:div>
    <w:div w:id="1492942724">
      <w:marLeft w:val="0"/>
      <w:marRight w:val="0"/>
      <w:marTop w:val="1"/>
      <w:marBottom w:val="1"/>
      <w:divBdr>
        <w:top w:val="none" w:sz="0" w:space="0" w:color="auto"/>
        <w:left w:val="none" w:sz="0" w:space="0" w:color="auto"/>
        <w:bottom w:val="none" w:sz="0" w:space="0" w:color="auto"/>
        <w:right w:val="none" w:sz="0" w:space="0" w:color="auto"/>
      </w:divBdr>
    </w:div>
    <w:div w:id="1493568179">
      <w:marLeft w:val="0"/>
      <w:marRight w:val="0"/>
      <w:marTop w:val="1"/>
      <w:marBottom w:val="1"/>
      <w:divBdr>
        <w:top w:val="none" w:sz="0" w:space="0" w:color="auto"/>
        <w:left w:val="none" w:sz="0" w:space="0" w:color="auto"/>
        <w:bottom w:val="none" w:sz="0" w:space="0" w:color="auto"/>
        <w:right w:val="none" w:sz="0" w:space="0" w:color="auto"/>
      </w:divBdr>
    </w:div>
    <w:div w:id="1493721927">
      <w:marLeft w:val="0"/>
      <w:marRight w:val="0"/>
      <w:marTop w:val="120"/>
      <w:marBottom w:val="0"/>
      <w:divBdr>
        <w:top w:val="none" w:sz="0" w:space="0" w:color="auto"/>
        <w:left w:val="none" w:sz="0" w:space="0" w:color="auto"/>
        <w:bottom w:val="none" w:sz="0" w:space="0" w:color="auto"/>
        <w:right w:val="none" w:sz="0" w:space="0" w:color="auto"/>
      </w:divBdr>
    </w:div>
    <w:div w:id="1495801839">
      <w:marLeft w:val="0"/>
      <w:marRight w:val="0"/>
      <w:marTop w:val="0"/>
      <w:marBottom w:val="1"/>
      <w:divBdr>
        <w:top w:val="none" w:sz="0" w:space="0" w:color="auto"/>
        <w:left w:val="none" w:sz="0" w:space="0" w:color="auto"/>
        <w:bottom w:val="none" w:sz="0" w:space="0" w:color="auto"/>
        <w:right w:val="none" w:sz="0" w:space="0" w:color="auto"/>
      </w:divBdr>
    </w:div>
    <w:div w:id="1501383548">
      <w:marLeft w:val="0"/>
      <w:marRight w:val="0"/>
      <w:marTop w:val="0"/>
      <w:marBottom w:val="0"/>
      <w:divBdr>
        <w:top w:val="none" w:sz="0" w:space="0" w:color="auto"/>
        <w:left w:val="none" w:sz="0" w:space="0" w:color="auto"/>
        <w:bottom w:val="none" w:sz="0" w:space="0" w:color="auto"/>
        <w:right w:val="none" w:sz="0" w:space="0" w:color="auto"/>
      </w:divBdr>
    </w:div>
    <w:div w:id="1503201037">
      <w:marLeft w:val="0"/>
      <w:marRight w:val="0"/>
      <w:marTop w:val="0"/>
      <w:marBottom w:val="120"/>
      <w:divBdr>
        <w:top w:val="none" w:sz="0" w:space="0" w:color="auto"/>
        <w:left w:val="none" w:sz="0" w:space="0" w:color="auto"/>
        <w:bottom w:val="none" w:sz="0" w:space="0" w:color="auto"/>
        <w:right w:val="none" w:sz="0" w:space="0" w:color="auto"/>
      </w:divBdr>
    </w:div>
    <w:div w:id="1504738068">
      <w:marLeft w:val="0"/>
      <w:marRight w:val="0"/>
      <w:marTop w:val="0"/>
      <w:marBottom w:val="0"/>
      <w:divBdr>
        <w:top w:val="none" w:sz="0" w:space="0" w:color="auto"/>
        <w:left w:val="none" w:sz="0" w:space="0" w:color="auto"/>
        <w:bottom w:val="none" w:sz="0" w:space="0" w:color="auto"/>
        <w:right w:val="none" w:sz="0" w:space="0" w:color="auto"/>
      </w:divBdr>
      <w:divsChild>
        <w:div w:id="122307654">
          <w:marLeft w:val="0"/>
          <w:marRight w:val="0"/>
          <w:marTop w:val="0"/>
          <w:marBottom w:val="0"/>
          <w:divBdr>
            <w:top w:val="none" w:sz="0" w:space="0" w:color="auto"/>
            <w:left w:val="none" w:sz="0" w:space="0" w:color="auto"/>
            <w:bottom w:val="none" w:sz="0" w:space="0" w:color="auto"/>
            <w:right w:val="none" w:sz="0" w:space="0" w:color="auto"/>
          </w:divBdr>
        </w:div>
      </w:divsChild>
    </w:div>
    <w:div w:id="1508326360">
      <w:marLeft w:val="0"/>
      <w:marRight w:val="0"/>
      <w:marTop w:val="120"/>
      <w:marBottom w:val="0"/>
      <w:divBdr>
        <w:top w:val="none" w:sz="0" w:space="0" w:color="auto"/>
        <w:left w:val="none" w:sz="0" w:space="0" w:color="auto"/>
        <w:bottom w:val="none" w:sz="0" w:space="0" w:color="auto"/>
        <w:right w:val="none" w:sz="0" w:space="0" w:color="auto"/>
      </w:divBdr>
    </w:div>
    <w:div w:id="1513564072">
      <w:marLeft w:val="0"/>
      <w:marRight w:val="0"/>
      <w:marTop w:val="1"/>
      <w:marBottom w:val="1"/>
      <w:divBdr>
        <w:top w:val="none" w:sz="0" w:space="0" w:color="auto"/>
        <w:left w:val="none" w:sz="0" w:space="0" w:color="auto"/>
        <w:bottom w:val="none" w:sz="0" w:space="0" w:color="auto"/>
        <w:right w:val="none" w:sz="0" w:space="0" w:color="auto"/>
      </w:divBdr>
    </w:div>
    <w:div w:id="1521315831">
      <w:marLeft w:val="0"/>
      <w:marRight w:val="0"/>
      <w:marTop w:val="0"/>
      <w:marBottom w:val="0"/>
      <w:divBdr>
        <w:top w:val="none" w:sz="0" w:space="0" w:color="auto"/>
        <w:left w:val="none" w:sz="0" w:space="0" w:color="auto"/>
        <w:bottom w:val="none" w:sz="0" w:space="0" w:color="auto"/>
        <w:right w:val="none" w:sz="0" w:space="0" w:color="auto"/>
      </w:divBdr>
    </w:div>
    <w:div w:id="1521898110">
      <w:marLeft w:val="0"/>
      <w:marRight w:val="0"/>
      <w:marTop w:val="0"/>
      <w:marBottom w:val="120"/>
      <w:divBdr>
        <w:top w:val="none" w:sz="0" w:space="0" w:color="auto"/>
        <w:left w:val="none" w:sz="0" w:space="0" w:color="auto"/>
        <w:bottom w:val="none" w:sz="0" w:space="0" w:color="auto"/>
        <w:right w:val="none" w:sz="0" w:space="0" w:color="auto"/>
      </w:divBdr>
    </w:div>
    <w:div w:id="1525555870">
      <w:marLeft w:val="0"/>
      <w:marRight w:val="0"/>
      <w:marTop w:val="0"/>
      <w:marBottom w:val="0"/>
      <w:divBdr>
        <w:top w:val="none" w:sz="0" w:space="0" w:color="auto"/>
        <w:left w:val="none" w:sz="0" w:space="0" w:color="auto"/>
        <w:bottom w:val="none" w:sz="0" w:space="0" w:color="auto"/>
        <w:right w:val="none" w:sz="0" w:space="0" w:color="auto"/>
      </w:divBdr>
      <w:divsChild>
        <w:div w:id="908425584">
          <w:marLeft w:val="0"/>
          <w:marRight w:val="0"/>
          <w:marTop w:val="0"/>
          <w:marBottom w:val="0"/>
          <w:divBdr>
            <w:top w:val="none" w:sz="0" w:space="0" w:color="auto"/>
            <w:left w:val="none" w:sz="0" w:space="0" w:color="auto"/>
            <w:bottom w:val="none" w:sz="0" w:space="0" w:color="auto"/>
            <w:right w:val="none" w:sz="0" w:space="0" w:color="auto"/>
          </w:divBdr>
        </w:div>
      </w:divsChild>
    </w:div>
    <w:div w:id="1526365856">
      <w:marLeft w:val="0"/>
      <w:marRight w:val="0"/>
      <w:marTop w:val="0"/>
      <w:marBottom w:val="0"/>
      <w:divBdr>
        <w:top w:val="none" w:sz="0" w:space="0" w:color="auto"/>
        <w:left w:val="none" w:sz="0" w:space="0" w:color="auto"/>
        <w:bottom w:val="none" w:sz="0" w:space="0" w:color="auto"/>
        <w:right w:val="none" w:sz="0" w:space="0" w:color="auto"/>
      </w:divBdr>
      <w:divsChild>
        <w:div w:id="1700812378">
          <w:marLeft w:val="0"/>
          <w:marRight w:val="0"/>
          <w:marTop w:val="0"/>
          <w:marBottom w:val="0"/>
          <w:divBdr>
            <w:top w:val="none" w:sz="0" w:space="0" w:color="auto"/>
            <w:left w:val="none" w:sz="0" w:space="0" w:color="auto"/>
            <w:bottom w:val="none" w:sz="0" w:space="0" w:color="auto"/>
            <w:right w:val="none" w:sz="0" w:space="0" w:color="auto"/>
          </w:divBdr>
        </w:div>
      </w:divsChild>
    </w:div>
    <w:div w:id="1529756511">
      <w:marLeft w:val="0"/>
      <w:marRight w:val="0"/>
      <w:marTop w:val="120"/>
      <w:marBottom w:val="0"/>
      <w:divBdr>
        <w:top w:val="none" w:sz="0" w:space="0" w:color="auto"/>
        <w:left w:val="none" w:sz="0" w:space="0" w:color="auto"/>
        <w:bottom w:val="none" w:sz="0" w:space="0" w:color="auto"/>
        <w:right w:val="none" w:sz="0" w:space="0" w:color="auto"/>
      </w:divBdr>
    </w:div>
    <w:div w:id="1531840830">
      <w:marLeft w:val="0"/>
      <w:marRight w:val="0"/>
      <w:marTop w:val="120"/>
      <w:marBottom w:val="0"/>
      <w:divBdr>
        <w:top w:val="none" w:sz="0" w:space="0" w:color="auto"/>
        <w:left w:val="none" w:sz="0" w:space="0" w:color="auto"/>
        <w:bottom w:val="none" w:sz="0" w:space="0" w:color="auto"/>
        <w:right w:val="none" w:sz="0" w:space="0" w:color="auto"/>
      </w:divBdr>
    </w:div>
    <w:div w:id="1540968803">
      <w:marLeft w:val="0"/>
      <w:marRight w:val="0"/>
      <w:marTop w:val="120"/>
      <w:marBottom w:val="1"/>
      <w:divBdr>
        <w:top w:val="none" w:sz="0" w:space="0" w:color="auto"/>
        <w:left w:val="none" w:sz="0" w:space="0" w:color="auto"/>
        <w:bottom w:val="none" w:sz="0" w:space="0" w:color="auto"/>
        <w:right w:val="none" w:sz="0" w:space="0" w:color="auto"/>
      </w:divBdr>
    </w:div>
    <w:div w:id="1541167639">
      <w:marLeft w:val="0"/>
      <w:marRight w:val="0"/>
      <w:marTop w:val="0"/>
      <w:marBottom w:val="0"/>
      <w:divBdr>
        <w:top w:val="none" w:sz="0" w:space="0" w:color="auto"/>
        <w:left w:val="none" w:sz="0" w:space="0" w:color="auto"/>
        <w:bottom w:val="none" w:sz="0" w:space="0" w:color="auto"/>
        <w:right w:val="none" w:sz="0" w:space="0" w:color="auto"/>
      </w:divBdr>
    </w:div>
    <w:div w:id="1541625047">
      <w:marLeft w:val="0"/>
      <w:marRight w:val="0"/>
      <w:marTop w:val="120"/>
      <w:marBottom w:val="0"/>
      <w:divBdr>
        <w:top w:val="none" w:sz="0" w:space="0" w:color="auto"/>
        <w:left w:val="none" w:sz="0" w:space="0" w:color="auto"/>
        <w:bottom w:val="none" w:sz="0" w:space="0" w:color="auto"/>
        <w:right w:val="none" w:sz="0" w:space="0" w:color="auto"/>
      </w:divBdr>
    </w:div>
    <w:div w:id="1542523202">
      <w:marLeft w:val="0"/>
      <w:marRight w:val="0"/>
      <w:marTop w:val="360"/>
      <w:marBottom w:val="0"/>
      <w:divBdr>
        <w:top w:val="none" w:sz="0" w:space="0" w:color="auto"/>
        <w:left w:val="none" w:sz="0" w:space="0" w:color="auto"/>
        <w:bottom w:val="none" w:sz="0" w:space="0" w:color="auto"/>
        <w:right w:val="none" w:sz="0" w:space="0" w:color="auto"/>
      </w:divBdr>
    </w:div>
    <w:div w:id="1546139567">
      <w:marLeft w:val="0"/>
      <w:marRight w:val="0"/>
      <w:marTop w:val="0"/>
      <w:marBottom w:val="0"/>
      <w:divBdr>
        <w:top w:val="none" w:sz="0" w:space="0" w:color="auto"/>
        <w:left w:val="none" w:sz="0" w:space="0" w:color="auto"/>
        <w:bottom w:val="none" w:sz="0" w:space="0" w:color="auto"/>
        <w:right w:val="none" w:sz="0" w:space="0" w:color="auto"/>
      </w:divBdr>
    </w:div>
    <w:div w:id="1556307733">
      <w:marLeft w:val="0"/>
      <w:marRight w:val="0"/>
      <w:marTop w:val="360"/>
      <w:marBottom w:val="0"/>
      <w:divBdr>
        <w:top w:val="none" w:sz="0" w:space="0" w:color="auto"/>
        <w:left w:val="none" w:sz="0" w:space="0" w:color="auto"/>
        <w:bottom w:val="none" w:sz="0" w:space="0" w:color="auto"/>
        <w:right w:val="none" w:sz="0" w:space="0" w:color="auto"/>
      </w:divBdr>
    </w:div>
    <w:div w:id="1557545343">
      <w:marLeft w:val="0"/>
      <w:marRight w:val="0"/>
      <w:marTop w:val="120"/>
      <w:marBottom w:val="0"/>
      <w:divBdr>
        <w:top w:val="none" w:sz="0" w:space="0" w:color="auto"/>
        <w:left w:val="none" w:sz="0" w:space="0" w:color="auto"/>
        <w:bottom w:val="none" w:sz="0" w:space="0" w:color="auto"/>
        <w:right w:val="none" w:sz="0" w:space="0" w:color="auto"/>
      </w:divBdr>
    </w:div>
    <w:div w:id="1559631076">
      <w:marLeft w:val="0"/>
      <w:marRight w:val="0"/>
      <w:marTop w:val="1"/>
      <w:marBottom w:val="1"/>
      <w:divBdr>
        <w:top w:val="none" w:sz="0" w:space="0" w:color="auto"/>
        <w:left w:val="none" w:sz="0" w:space="0" w:color="auto"/>
        <w:bottom w:val="none" w:sz="0" w:space="0" w:color="auto"/>
        <w:right w:val="none" w:sz="0" w:space="0" w:color="auto"/>
      </w:divBdr>
    </w:div>
    <w:div w:id="1569219155">
      <w:marLeft w:val="0"/>
      <w:marRight w:val="0"/>
      <w:marTop w:val="0"/>
      <w:marBottom w:val="0"/>
      <w:divBdr>
        <w:top w:val="none" w:sz="0" w:space="0" w:color="auto"/>
        <w:left w:val="none" w:sz="0" w:space="0" w:color="auto"/>
        <w:bottom w:val="none" w:sz="0" w:space="0" w:color="auto"/>
        <w:right w:val="none" w:sz="0" w:space="0" w:color="auto"/>
      </w:divBdr>
    </w:div>
    <w:div w:id="1575897243">
      <w:marLeft w:val="0"/>
      <w:marRight w:val="0"/>
      <w:marTop w:val="0"/>
      <w:marBottom w:val="120"/>
      <w:divBdr>
        <w:top w:val="none" w:sz="0" w:space="0" w:color="auto"/>
        <w:left w:val="none" w:sz="0" w:space="0" w:color="auto"/>
        <w:bottom w:val="none" w:sz="0" w:space="0" w:color="auto"/>
        <w:right w:val="none" w:sz="0" w:space="0" w:color="auto"/>
      </w:divBdr>
    </w:div>
    <w:div w:id="1576166311">
      <w:marLeft w:val="0"/>
      <w:marRight w:val="0"/>
      <w:marTop w:val="0"/>
      <w:marBottom w:val="0"/>
      <w:divBdr>
        <w:top w:val="none" w:sz="0" w:space="0" w:color="auto"/>
        <w:left w:val="none" w:sz="0" w:space="0" w:color="auto"/>
        <w:bottom w:val="none" w:sz="0" w:space="0" w:color="auto"/>
        <w:right w:val="none" w:sz="0" w:space="0" w:color="auto"/>
      </w:divBdr>
    </w:div>
    <w:div w:id="1580214619">
      <w:marLeft w:val="0"/>
      <w:marRight w:val="0"/>
      <w:marTop w:val="1"/>
      <w:marBottom w:val="1"/>
      <w:divBdr>
        <w:top w:val="none" w:sz="0" w:space="0" w:color="auto"/>
        <w:left w:val="none" w:sz="0" w:space="0" w:color="auto"/>
        <w:bottom w:val="none" w:sz="0" w:space="0" w:color="auto"/>
        <w:right w:val="none" w:sz="0" w:space="0" w:color="auto"/>
      </w:divBdr>
    </w:div>
    <w:div w:id="1596327771">
      <w:marLeft w:val="0"/>
      <w:marRight w:val="0"/>
      <w:marTop w:val="0"/>
      <w:marBottom w:val="0"/>
      <w:divBdr>
        <w:top w:val="none" w:sz="0" w:space="0" w:color="auto"/>
        <w:left w:val="none" w:sz="0" w:space="0" w:color="auto"/>
        <w:bottom w:val="none" w:sz="0" w:space="0" w:color="auto"/>
        <w:right w:val="none" w:sz="0" w:space="0" w:color="auto"/>
      </w:divBdr>
    </w:div>
    <w:div w:id="1600793625">
      <w:marLeft w:val="0"/>
      <w:marRight w:val="0"/>
      <w:marTop w:val="0"/>
      <w:marBottom w:val="0"/>
      <w:divBdr>
        <w:top w:val="none" w:sz="0" w:space="0" w:color="auto"/>
        <w:left w:val="none" w:sz="0" w:space="0" w:color="auto"/>
        <w:bottom w:val="none" w:sz="0" w:space="0" w:color="auto"/>
        <w:right w:val="none" w:sz="0" w:space="0" w:color="auto"/>
      </w:divBdr>
    </w:div>
    <w:div w:id="1603033984">
      <w:marLeft w:val="0"/>
      <w:marRight w:val="0"/>
      <w:marTop w:val="240"/>
      <w:marBottom w:val="0"/>
      <w:divBdr>
        <w:top w:val="none" w:sz="0" w:space="0" w:color="auto"/>
        <w:left w:val="none" w:sz="0" w:space="0" w:color="auto"/>
        <w:bottom w:val="none" w:sz="0" w:space="0" w:color="auto"/>
        <w:right w:val="none" w:sz="0" w:space="0" w:color="auto"/>
      </w:divBdr>
    </w:div>
    <w:div w:id="1603343067">
      <w:marLeft w:val="0"/>
      <w:marRight w:val="0"/>
      <w:marTop w:val="0"/>
      <w:marBottom w:val="0"/>
      <w:divBdr>
        <w:top w:val="none" w:sz="0" w:space="0" w:color="auto"/>
        <w:left w:val="none" w:sz="0" w:space="0" w:color="auto"/>
        <w:bottom w:val="none" w:sz="0" w:space="0" w:color="auto"/>
        <w:right w:val="none" w:sz="0" w:space="0" w:color="auto"/>
      </w:divBdr>
      <w:divsChild>
        <w:div w:id="1560366058">
          <w:marLeft w:val="0"/>
          <w:marRight w:val="0"/>
          <w:marTop w:val="0"/>
          <w:marBottom w:val="0"/>
          <w:divBdr>
            <w:top w:val="none" w:sz="0" w:space="0" w:color="auto"/>
            <w:left w:val="none" w:sz="0" w:space="0" w:color="auto"/>
            <w:bottom w:val="none" w:sz="0" w:space="0" w:color="auto"/>
            <w:right w:val="none" w:sz="0" w:space="0" w:color="auto"/>
          </w:divBdr>
        </w:div>
      </w:divsChild>
    </w:div>
    <w:div w:id="1603998594">
      <w:marLeft w:val="0"/>
      <w:marRight w:val="0"/>
      <w:marTop w:val="240"/>
      <w:marBottom w:val="0"/>
      <w:divBdr>
        <w:top w:val="none" w:sz="0" w:space="0" w:color="auto"/>
        <w:left w:val="none" w:sz="0" w:space="0" w:color="auto"/>
        <w:bottom w:val="none" w:sz="0" w:space="0" w:color="auto"/>
        <w:right w:val="none" w:sz="0" w:space="0" w:color="auto"/>
      </w:divBdr>
    </w:div>
    <w:div w:id="1611934750">
      <w:marLeft w:val="0"/>
      <w:marRight w:val="0"/>
      <w:marTop w:val="0"/>
      <w:marBottom w:val="0"/>
      <w:divBdr>
        <w:top w:val="none" w:sz="0" w:space="0" w:color="auto"/>
        <w:left w:val="none" w:sz="0" w:space="0" w:color="auto"/>
        <w:bottom w:val="none" w:sz="0" w:space="0" w:color="auto"/>
        <w:right w:val="none" w:sz="0" w:space="0" w:color="auto"/>
      </w:divBdr>
    </w:div>
    <w:div w:id="1612009705">
      <w:marLeft w:val="0"/>
      <w:marRight w:val="0"/>
      <w:marTop w:val="1"/>
      <w:marBottom w:val="1"/>
      <w:divBdr>
        <w:top w:val="none" w:sz="0" w:space="0" w:color="auto"/>
        <w:left w:val="none" w:sz="0" w:space="0" w:color="auto"/>
        <w:bottom w:val="none" w:sz="0" w:space="0" w:color="auto"/>
        <w:right w:val="none" w:sz="0" w:space="0" w:color="auto"/>
      </w:divBdr>
    </w:div>
    <w:div w:id="1614246136">
      <w:marLeft w:val="0"/>
      <w:marRight w:val="0"/>
      <w:marTop w:val="0"/>
      <w:marBottom w:val="0"/>
      <w:divBdr>
        <w:top w:val="none" w:sz="0" w:space="0" w:color="auto"/>
        <w:left w:val="none" w:sz="0" w:space="0" w:color="auto"/>
        <w:bottom w:val="none" w:sz="0" w:space="0" w:color="auto"/>
        <w:right w:val="none" w:sz="0" w:space="0" w:color="auto"/>
      </w:divBdr>
    </w:div>
    <w:div w:id="1616979905">
      <w:marLeft w:val="0"/>
      <w:marRight w:val="0"/>
      <w:marTop w:val="120"/>
      <w:marBottom w:val="0"/>
      <w:divBdr>
        <w:top w:val="none" w:sz="0" w:space="0" w:color="auto"/>
        <w:left w:val="none" w:sz="0" w:space="0" w:color="auto"/>
        <w:bottom w:val="none" w:sz="0" w:space="0" w:color="auto"/>
        <w:right w:val="none" w:sz="0" w:space="0" w:color="auto"/>
      </w:divBdr>
    </w:div>
    <w:div w:id="1619144271">
      <w:marLeft w:val="0"/>
      <w:marRight w:val="0"/>
      <w:marTop w:val="0"/>
      <w:marBottom w:val="0"/>
      <w:divBdr>
        <w:top w:val="none" w:sz="0" w:space="0" w:color="auto"/>
        <w:left w:val="none" w:sz="0" w:space="0" w:color="auto"/>
        <w:bottom w:val="none" w:sz="0" w:space="0" w:color="auto"/>
        <w:right w:val="none" w:sz="0" w:space="0" w:color="auto"/>
      </w:divBdr>
      <w:divsChild>
        <w:div w:id="1526553929">
          <w:marLeft w:val="0"/>
          <w:marRight w:val="0"/>
          <w:marTop w:val="0"/>
          <w:marBottom w:val="0"/>
          <w:divBdr>
            <w:top w:val="none" w:sz="0" w:space="0" w:color="auto"/>
            <w:left w:val="none" w:sz="0" w:space="0" w:color="auto"/>
            <w:bottom w:val="none" w:sz="0" w:space="0" w:color="auto"/>
            <w:right w:val="none" w:sz="0" w:space="0" w:color="auto"/>
          </w:divBdr>
        </w:div>
      </w:divsChild>
    </w:div>
    <w:div w:id="1622568957">
      <w:marLeft w:val="0"/>
      <w:marRight w:val="0"/>
      <w:marTop w:val="1"/>
      <w:marBottom w:val="1"/>
      <w:divBdr>
        <w:top w:val="none" w:sz="0" w:space="0" w:color="auto"/>
        <w:left w:val="none" w:sz="0" w:space="0" w:color="auto"/>
        <w:bottom w:val="none" w:sz="0" w:space="0" w:color="auto"/>
        <w:right w:val="none" w:sz="0" w:space="0" w:color="auto"/>
      </w:divBdr>
    </w:div>
    <w:div w:id="1627812286">
      <w:marLeft w:val="0"/>
      <w:marRight w:val="0"/>
      <w:marTop w:val="120"/>
      <w:marBottom w:val="0"/>
      <w:divBdr>
        <w:top w:val="none" w:sz="0" w:space="0" w:color="auto"/>
        <w:left w:val="none" w:sz="0" w:space="0" w:color="auto"/>
        <w:bottom w:val="none" w:sz="0" w:space="0" w:color="auto"/>
        <w:right w:val="none" w:sz="0" w:space="0" w:color="auto"/>
      </w:divBdr>
    </w:div>
    <w:div w:id="1631130619">
      <w:marLeft w:val="0"/>
      <w:marRight w:val="0"/>
      <w:marTop w:val="240"/>
      <w:marBottom w:val="0"/>
      <w:divBdr>
        <w:top w:val="none" w:sz="0" w:space="0" w:color="auto"/>
        <w:left w:val="none" w:sz="0" w:space="0" w:color="auto"/>
        <w:bottom w:val="none" w:sz="0" w:space="0" w:color="auto"/>
        <w:right w:val="none" w:sz="0" w:space="0" w:color="auto"/>
      </w:divBdr>
    </w:div>
    <w:div w:id="1632592571">
      <w:marLeft w:val="0"/>
      <w:marRight w:val="0"/>
      <w:marTop w:val="0"/>
      <w:marBottom w:val="0"/>
      <w:divBdr>
        <w:top w:val="none" w:sz="0" w:space="0" w:color="auto"/>
        <w:left w:val="none" w:sz="0" w:space="0" w:color="auto"/>
        <w:bottom w:val="none" w:sz="0" w:space="0" w:color="auto"/>
        <w:right w:val="none" w:sz="0" w:space="0" w:color="auto"/>
      </w:divBdr>
    </w:div>
    <w:div w:id="1633166924">
      <w:marLeft w:val="0"/>
      <w:marRight w:val="0"/>
      <w:marTop w:val="120"/>
      <w:marBottom w:val="0"/>
      <w:divBdr>
        <w:top w:val="none" w:sz="0" w:space="0" w:color="auto"/>
        <w:left w:val="none" w:sz="0" w:space="0" w:color="auto"/>
        <w:bottom w:val="none" w:sz="0" w:space="0" w:color="auto"/>
        <w:right w:val="none" w:sz="0" w:space="0" w:color="auto"/>
      </w:divBdr>
    </w:div>
    <w:div w:id="1633243843">
      <w:marLeft w:val="0"/>
      <w:marRight w:val="0"/>
      <w:marTop w:val="0"/>
      <w:marBottom w:val="0"/>
      <w:divBdr>
        <w:top w:val="none" w:sz="0" w:space="0" w:color="auto"/>
        <w:left w:val="none" w:sz="0" w:space="0" w:color="auto"/>
        <w:bottom w:val="none" w:sz="0" w:space="0" w:color="auto"/>
        <w:right w:val="none" w:sz="0" w:space="0" w:color="auto"/>
      </w:divBdr>
    </w:div>
    <w:div w:id="1635523516">
      <w:marLeft w:val="0"/>
      <w:marRight w:val="0"/>
      <w:marTop w:val="0"/>
      <w:marBottom w:val="0"/>
      <w:divBdr>
        <w:top w:val="none" w:sz="0" w:space="0" w:color="auto"/>
        <w:left w:val="none" w:sz="0" w:space="0" w:color="auto"/>
        <w:bottom w:val="none" w:sz="0" w:space="0" w:color="auto"/>
        <w:right w:val="none" w:sz="0" w:space="0" w:color="auto"/>
      </w:divBdr>
    </w:div>
    <w:div w:id="1636908756">
      <w:marLeft w:val="0"/>
      <w:marRight w:val="0"/>
      <w:marTop w:val="1"/>
      <w:marBottom w:val="1"/>
      <w:divBdr>
        <w:top w:val="none" w:sz="0" w:space="0" w:color="auto"/>
        <w:left w:val="none" w:sz="0" w:space="0" w:color="auto"/>
        <w:bottom w:val="none" w:sz="0" w:space="0" w:color="auto"/>
        <w:right w:val="none" w:sz="0" w:space="0" w:color="auto"/>
      </w:divBdr>
    </w:div>
    <w:div w:id="1640573066">
      <w:marLeft w:val="0"/>
      <w:marRight w:val="0"/>
      <w:marTop w:val="360"/>
      <w:marBottom w:val="0"/>
      <w:divBdr>
        <w:top w:val="none" w:sz="0" w:space="0" w:color="auto"/>
        <w:left w:val="none" w:sz="0" w:space="0" w:color="auto"/>
        <w:bottom w:val="none" w:sz="0" w:space="0" w:color="auto"/>
        <w:right w:val="none" w:sz="0" w:space="0" w:color="auto"/>
      </w:divBdr>
    </w:div>
    <w:div w:id="1642542441">
      <w:marLeft w:val="0"/>
      <w:marRight w:val="0"/>
      <w:marTop w:val="1"/>
      <w:marBottom w:val="1"/>
      <w:divBdr>
        <w:top w:val="none" w:sz="0" w:space="0" w:color="auto"/>
        <w:left w:val="none" w:sz="0" w:space="0" w:color="auto"/>
        <w:bottom w:val="none" w:sz="0" w:space="0" w:color="auto"/>
        <w:right w:val="none" w:sz="0" w:space="0" w:color="auto"/>
      </w:divBdr>
    </w:div>
    <w:div w:id="1649747421">
      <w:marLeft w:val="0"/>
      <w:marRight w:val="0"/>
      <w:marTop w:val="120"/>
      <w:marBottom w:val="1"/>
      <w:divBdr>
        <w:top w:val="none" w:sz="0" w:space="0" w:color="auto"/>
        <w:left w:val="none" w:sz="0" w:space="0" w:color="auto"/>
        <w:bottom w:val="none" w:sz="0" w:space="0" w:color="auto"/>
        <w:right w:val="none" w:sz="0" w:space="0" w:color="auto"/>
      </w:divBdr>
    </w:div>
    <w:div w:id="1651910069">
      <w:marLeft w:val="0"/>
      <w:marRight w:val="0"/>
      <w:marTop w:val="0"/>
      <w:marBottom w:val="0"/>
      <w:divBdr>
        <w:top w:val="none" w:sz="0" w:space="0" w:color="auto"/>
        <w:left w:val="none" w:sz="0" w:space="0" w:color="auto"/>
        <w:bottom w:val="none" w:sz="0" w:space="0" w:color="auto"/>
        <w:right w:val="none" w:sz="0" w:space="0" w:color="auto"/>
      </w:divBdr>
    </w:div>
    <w:div w:id="1652826290">
      <w:marLeft w:val="0"/>
      <w:marRight w:val="0"/>
      <w:marTop w:val="120"/>
      <w:marBottom w:val="0"/>
      <w:divBdr>
        <w:top w:val="none" w:sz="0" w:space="0" w:color="auto"/>
        <w:left w:val="none" w:sz="0" w:space="0" w:color="auto"/>
        <w:bottom w:val="none" w:sz="0" w:space="0" w:color="auto"/>
        <w:right w:val="none" w:sz="0" w:space="0" w:color="auto"/>
      </w:divBdr>
    </w:div>
    <w:div w:id="1653095651">
      <w:marLeft w:val="0"/>
      <w:marRight w:val="0"/>
      <w:marTop w:val="240"/>
      <w:marBottom w:val="0"/>
      <w:divBdr>
        <w:top w:val="none" w:sz="0" w:space="0" w:color="auto"/>
        <w:left w:val="none" w:sz="0" w:space="0" w:color="auto"/>
        <w:bottom w:val="none" w:sz="0" w:space="0" w:color="auto"/>
        <w:right w:val="none" w:sz="0" w:space="0" w:color="auto"/>
      </w:divBdr>
    </w:div>
    <w:div w:id="1653945009">
      <w:marLeft w:val="0"/>
      <w:marRight w:val="0"/>
      <w:marTop w:val="180"/>
      <w:marBottom w:val="0"/>
      <w:divBdr>
        <w:top w:val="none" w:sz="0" w:space="0" w:color="auto"/>
        <w:left w:val="none" w:sz="0" w:space="0" w:color="auto"/>
        <w:bottom w:val="none" w:sz="0" w:space="0" w:color="auto"/>
        <w:right w:val="none" w:sz="0" w:space="0" w:color="auto"/>
      </w:divBdr>
    </w:div>
    <w:div w:id="1664431378">
      <w:marLeft w:val="0"/>
      <w:marRight w:val="0"/>
      <w:marTop w:val="360"/>
      <w:marBottom w:val="1"/>
      <w:divBdr>
        <w:top w:val="none" w:sz="0" w:space="0" w:color="auto"/>
        <w:left w:val="none" w:sz="0" w:space="0" w:color="auto"/>
        <w:bottom w:val="none" w:sz="0" w:space="0" w:color="auto"/>
        <w:right w:val="none" w:sz="0" w:space="0" w:color="auto"/>
      </w:divBdr>
    </w:div>
    <w:div w:id="1665359986">
      <w:marLeft w:val="0"/>
      <w:marRight w:val="0"/>
      <w:marTop w:val="120"/>
      <w:marBottom w:val="0"/>
      <w:divBdr>
        <w:top w:val="none" w:sz="0" w:space="0" w:color="auto"/>
        <w:left w:val="none" w:sz="0" w:space="0" w:color="auto"/>
        <w:bottom w:val="none" w:sz="0" w:space="0" w:color="auto"/>
        <w:right w:val="none" w:sz="0" w:space="0" w:color="auto"/>
      </w:divBdr>
    </w:div>
    <w:div w:id="1679623774">
      <w:marLeft w:val="0"/>
      <w:marRight w:val="0"/>
      <w:marTop w:val="120"/>
      <w:marBottom w:val="0"/>
      <w:divBdr>
        <w:top w:val="none" w:sz="0" w:space="0" w:color="auto"/>
        <w:left w:val="none" w:sz="0" w:space="0" w:color="auto"/>
        <w:bottom w:val="none" w:sz="0" w:space="0" w:color="auto"/>
        <w:right w:val="none" w:sz="0" w:space="0" w:color="auto"/>
      </w:divBdr>
    </w:div>
    <w:div w:id="1687242830">
      <w:marLeft w:val="0"/>
      <w:marRight w:val="0"/>
      <w:marTop w:val="240"/>
      <w:marBottom w:val="0"/>
      <w:divBdr>
        <w:top w:val="none" w:sz="0" w:space="0" w:color="auto"/>
        <w:left w:val="none" w:sz="0" w:space="0" w:color="auto"/>
        <w:bottom w:val="none" w:sz="0" w:space="0" w:color="auto"/>
        <w:right w:val="none" w:sz="0" w:space="0" w:color="auto"/>
      </w:divBdr>
    </w:div>
    <w:div w:id="1687486524">
      <w:marLeft w:val="0"/>
      <w:marRight w:val="0"/>
      <w:marTop w:val="0"/>
      <w:marBottom w:val="0"/>
      <w:divBdr>
        <w:top w:val="none" w:sz="0" w:space="0" w:color="auto"/>
        <w:left w:val="none" w:sz="0" w:space="0" w:color="auto"/>
        <w:bottom w:val="none" w:sz="0" w:space="0" w:color="auto"/>
        <w:right w:val="none" w:sz="0" w:space="0" w:color="auto"/>
      </w:divBdr>
    </w:div>
    <w:div w:id="1691494752">
      <w:marLeft w:val="0"/>
      <w:marRight w:val="0"/>
      <w:marTop w:val="240"/>
      <w:marBottom w:val="0"/>
      <w:divBdr>
        <w:top w:val="none" w:sz="0" w:space="0" w:color="auto"/>
        <w:left w:val="none" w:sz="0" w:space="0" w:color="auto"/>
        <w:bottom w:val="none" w:sz="0" w:space="0" w:color="auto"/>
        <w:right w:val="none" w:sz="0" w:space="0" w:color="auto"/>
      </w:divBdr>
    </w:div>
    <w:div w:id="1695690431">
      <w:marLeft w:val="0"/>
      <w:marRight w:val="0"/>
      <w:marTop w:val="240"/>
      <w:marBottom w:val="0"/>
      <w:divBdr>
        <w:top w:val="none" w:sz="0" w:space="0" w:color="auto"/>
        <w:left w:val="none" w:sz="0" w:space="0" w:color="auto"/>
        <w:bottom w:val="none" w:sz="0" w:space="0" w:color="auto"/>
        <w:right w:val="none" w:sz="0" w:space="0" w:color="auto"/>
      </w:divBdr>
    </w:div>
    <w:div w:id="1701011461">
      <w:marLeft w:val="0"/>
      <w:marRight w:val="0"/>
      <w:marTop w:val="240"/>
      <w:marBottom w:val="0"/>
      <w:divBdr>
        <w:top w:val="none" w:sz="0" w:space="0" w:color="auto"/>
        <w:left w:val="none" w:sz="0" w:space="0" w:color="auto"/>
        <w:bottom w:val="none" w:sz="0" w:space="0" w:color="auto"/>
        <w:right w:val="none" w:sz="0" w:space="0" w:color="auto"/>
      </w:divBdr>
    </w:div>
    <w:div w:id="1702781097">
      <w:marLeft w:val="0"/>
      <w:marRight w:val="0"/>
      <w:marTop w:val="1"/>
      <w:marBottom w:val="1"/>
      <w:divBdr>
        <w:top w:val="none" w:sz="0" w:space="0" w:color="auto"/>
        <w:left w:val="none" w:sz="0" w:space="0" w:color="auto"/>
        <w:bottom w:val="none" w:sz="0" w:space="0" w:color="auto"/>
        <w:right w:val="none" w:sz="0" w:space="0" w:color="auto"/>
      </w:divBdr>
    </w:div>
    <w:div w:id="1709842307">
      <w:marLeft w:val="0"/>
      <w:marRight w:val="0"/>
      <w:marTop w:val="0"/>
      <w:marBottom w:val="0"/>
      <w:divBdr>
        <w:top w:val="none" w:sz="0" w:space="0" w:color="auto"/>
        <w:left w:val="none" w:sz="0" w:space="0" w:color="auto"/>
        <w:bottom w:val="none" w:sz="0" w:space="0" w:color="auto"/>
        <w:right w:val="none" w:sz="0" w:space="0" w:color="auto"/>
      </w:divBdr>
    </w:div>
    <w:div w:id="1712000397">
      <w:marLeft w:val="0"/>
      <w:marRight w:val="0"/>
      <w:marTop w:val="0"/>
      <w:marBottom w:val="0"/>
      <w:divBdr>
        <w:top w:val="none" w:sz="0" w:space="0" w:color="auto"/>
        <w:left w:val="none" w:sz="0" w:space="0" w:color="auto"/>
        <w:bottom w:val="none" w:sz="0" w:space="0" w:color="auto"/>
        <w:right w:val="none" w:sz="0" w:space="0" w:color="auto"/>
      </w:divBdr>
      <w:divsChild>
        <w:div w:id="1492673739">
          <w:marLeft w:val="0"/>
          <w:marRight w:val="0"/>
          <w:marTop w:val="0"/>
          <w:marBottom w:val="0"/>
          <w:divBdr>
            <w:top w:val="none" w:sz="0" w:space="0" w:color="auto"/>
            <w:left w:val="none" w:sz="0" w:space="0" w:color="auto"/>
            <w:bottom w:val="none" w:sz="0" w:space="0" w:color="auto"/>
            <w:right w:val="none" w:sz="0" w:space="0" w:color="auto"/>
          </w:divBdr>
        </w:div>
      </w:divsChild>
    </w:div>
    <w:div w:id="1720670493">
      <w:marLeft w:val="0"/>
      <w:marRight w:val="0"/>
      <w:marTop w:val="180"/>
      <w:marBottom w:val="0"/>
      <w:divBdr>
        <w:top w:val="none" w:sz="0" w:space="0" w:color="auto"/>
        <w:left w:val="none" w:sz="0" w:space="0" w:color="auto"/>
        <w:bottom w:val="none" w:sz="0" w:space="0" w:color="auto"/>
        <w:right w:val="none" w:sz="0" w:space="0" w:color="auto"/>
      </w:divBdr>
    </w:div>
    <w:div w:id="1723138126">
      <w:marLeft w:val="0"/>
      <w:marRight w:val="0"/>
      <w:marTop w:val="240"/>
      <w:marBottom w:val="0"/>
      <w:divBdr>
        <w:top w:val="none" w:sz="0" w:space="0" w:color="auto"/>
        <w:left w:val="none" w:sz="0" w:space="0" w:color="auto"/>
        <w:bottom w:val="none" w:sz="0" w:space="0" w:color="auto"/>
        <w:right w:val="none" w:sz="0" w:space="0" w:color="auto"/>
      </w:divBdr>
    </w:div>
    <w:div w:id="1731660077">
      <w:marLeft w:val="0"/>
      <w:marRight w:val="0"/>
      <w:marTop w:val="0"/>
      <w:marBottom w:val="0"/>
      <w:divBdr>
        <w:top w:val="none" w:sz="0" w:space="0" w:color="auto"/>
        <w:left w:val="none" w:sz="0" w:space="0" w:color="auto"/>
        <w:bottom w:val="none" w:sz="0" w:space="0" w:color="auto"/>
        <w:right w:val="none" w:sz="0" w:space="0" w:color="auto"/>
      </w:divBdr>
      <w:divsChild>
        <w:div w:id="1619490050">
          <w:marLeft w:val="0"/>
          <w:marRight w:val="0"/>
          <w:marTop w:val="0"/>
          <w:marBottom w:val="0"/>
          <w:divBdr>
            <w:top w:val="none" w:sz="0" w:space="0" w:color="auto"/>
            <w:left w:val="none" w:sz="0" w:space="0" w:color="auto"/>
            <w:bottom w:val="none" w:sz="0" w:space="0" w:color="auto"/>
            <w:right w:val="none" w:sz="0" w:space="0" w:color="auto"/>
          </w:divBdr>
        </w:div>
      </w:divsChild>
    </w:div>
    <w:div w:id="1733770959">
      <w:marLeft w:val="0"/>
      <w:marRight w:val="0"/>
      <w:marTop w:val="120"/>
      <w:marBottom w:val="1"/>
      <w:divBdr>
        <w:top w:val="none" w:sz="0" w:space="0" w:color="auto"/>
        <w:left w:val="none" w:sz="0" w:space="0" w:color="auto"/>
        <w:bottom w:val="none" w:sz="0" w:space="0" w:color="auto"/>
        <w:right w:val="none" w:sz="0" w:space="0" w:color="auto"/>
      </w:divBdr>
    </w:div>
    <w:div w:id="1735154751">
      <w:marLeft w:val="0"/>
      <w:marRight w:val="0"/>
      <w:marTop w:val="270"/>
      <w:marBottom w:val="0"/>
      <w:divBdr>
        <w:top w:val="none" w:sz="0" w:space="0" w:color="auto"/>
        <w:left w:val="none" w:sz="0" w:space="0" w:color="auto"/>
        <w:bottom w:val="none" w:sz="0" w:space="0" w:color="auto"/>
        <w:right w:val="none" w:sz="0" w:space="0" w:color="auto"/>
      </w:divBdr>
    </w:div>
    <w:div w:id="1736509262">
      <w:marLeft w:val="0"/>
      <w:marRight w:val="0"/>
      <w:marTop w:val="0"/>
      <w:marBottom w:val="0"/>
      <w:divBdr>
        <w:top w:val="none" w:sz="0" w:space="0" w:color="auto"/>
        <w:left w:val="none" w:sz="0" w:space="0" w:color="auto"/>
        <w:bottom w:val="none" w:sz="0" w:space="0" w:color="auto"/>
        <w:right w:val="none" w:sz="0" w:space="0" w:color="auto"/>
      </w:divBdr>
    </w:div>
    <w:div w:id="1736704179">
      <w:marLeft w:val="0"/>
      <w:marRight w:val="0"/>
      <w:marTop w:val="240"/>
      <w:marBottom w:val="0"/>
      <w:divBdr>
        <w:top w:val="none" w:sz="0" w:space="0" w:color="auto"/>
        <w:left w:val="none" w:sz="0" w:space="0" w:color="auto"/>
        <w:bottom w:val="none" w:sz="0" w:space="0" w:color="auto"/>
        <w:right w:val="none" w:sz="0" w:space="0" w:color="auto"/>
      </w:divBdr>
    </w:div>
    <w:div w:id="1738086259">
      <w:marLeft w:val="0"/>
      <w:marRight w:val="0"/>
      <w:marTop w:val="1"/>
      <w:marBottom w:val="1"/>
      <w:divBdr>
        <w:top w:val="none" w:sz="0" w:space="0" w:color="auto"/>
        <w:left w:val="none" w:sz="0" w:space="0" w:color="auto"/>
        <w:bottom w:val="none" w:sz="0" w:space="0" w:color="auto"/>
        <w:right w:val="none" w:sz="0" w:space="0" w:color="auto"/>
      </w:divBdr>
    </w:div>
    <w:div w:id="1738626762">
      <w:marLeft w:val="0"/>
      <w:marRight w:val="0"/>
      <w:marTop w:val="1"/>
      <w:marBottom w:val="1"/>
      <w:divBdr>
        <w:top w:val="none" w:sz="0" w:space="0" w:color="auto"/>
        <w:left w:val="none" w:sz="0" w:space="0" w:color="auto"/>
        <w:bottom w:val="none" w:sz="0" w:space="0" w:color="auto"/>
        <w:right w:val="none" w:sz="0" w:space="0" w:color="auto"/>
      </w:divBdr>
    </w:div>
    <w:div w:id="1755399983">
      <w:marLeft w:val="0"/>
      <w:marRight w:val="0"/>
      <w:marTop w:val="120"/>
      <w:marBottom w:val="0"/>
      <w:divBdr>
        <w:top w:val="none" w:sz="0" w:space="0" w:color="auto"/>
        <w:left w:val="none" w:sz="0" w:space="0" w:color="auto"/>
        <w:bottom w:val="none" w:sz="0" w:space="0" w:color="auto"/>
        <w:right w:val="none" w:sz="0" w:space="0" w:color="auto"/>
      </w:divBdr>
    </w:div>
    <w:div w:id="1757239901">
      <w:marLeft w:val="0"/>
      <w:marRight w:val="0"/>
      <w:marTop w:val="0"/>
      <w:marBottom w:val="0"/>
      <w:divBdr>
        <w:top w:val="none" w:sz="0" w:space="0" w:color="auto"/>
        <w:left w:val="none" w:sz="0" w:space="0" w:color="auto"/>
        <w:bottom w:val="none" w:sz="0" w:space="0" w:color="auto"/>
        <w:right w:val="none" w:sz="0" w:space="0" w:color="auto"/>
      </w:divBdr>
    </w:div>
    <w:div w:id="1759673937">
      <w:marLeft w:val="0"/>
      <w:marRight w:val="0"/>
      <w:marTop w:val="120"/>
      <w:marBottom w:val="0"/>
      <w:divBdr>
        <w:top w:val="none" w:sz="0" w:space="0" w:color="auto"/>
        <w:left w:val="none" w:sz="0" w:space="0" w:color="auto"/>
        <w:bottom w:val="none" w:sz="0" w:space="0" w:color="auto"/>
        <w:right w:val="none" w:sz="0" w:space="0" w:color="auto"/>
      </w:divBdr>
    </w:div>
    <w:div w:id="1761368043">
      <w:marLeft w:val="0"/>
      <w:marRight w:val="0"/>
      <w:marTop w:val="0"/>
      <w:marBottom w:val="0"/>
      <w:divBdr>
        <w:top w:val="none" w:sz="0" w:space="0" w:color="auto"/>
        <w:left w:val="none" w:sz="0" w:space="0" w:color="auto"/>
        <w:bottom w:val="none" w:sz="0" w:space="0" w:color="auto"/>
        <w:right w:val="none" w:sz="0" w:space="0" w:color="auto"/>
      </w:divBdr>
      <w:divsChild>
        <w:div w:id="1341658843">
          <w:marLeft w:val="0"/>
          <w:marRight w:val="0"/>
          <w:marTop w:val="0"/>
          <w:marBottom w:val="0"/>
          <w:divBdr>
            <w:top w:val="none" w:sz="0" w:space="0" w:color="auto"/>
            <w:left w:val="none" w:sz="0" w:space="0" w:color="auto"/>
            <w:bottom w:val="none" w:sz="0" w:space="0" w:color="auto"/>
            <w:right w:val="none" w:sz="0" w:space="0" w:color="auto"/>
          </w:divBdr>
        </w:div>
      </w:divsChild>
    </w:div>
    <w:div w:id="1780252080">
      <w:marLeft w:val="0"/>
      <w:marRight w:val="0"/>
      <w:marTop w:val="0"/>
      <w:marBottom w:val="0"/>
      <w:divBdr>
        <w:top w:val="none" w:sz="0" w:space="0" w:color="auto"/>
        <w:left w:val="none" w:sz="0" w:space="0" w:color="auto"/>
        <w:bottom w:val="none" w:sz="0" w:space="0" w:color="auto"/>
        <w:right w:val="none" w:sz="0" w:space="0" w:color="auto"/>
      </w:divBdr>
      <w:divsChild>
        <w:div w:id="519009297">
          <w:marLeft w:val="0"/>
          <w:marRight w:val="0"/>
          <w:marTop w:val="0"/>
          <w:marBottom w:val="0"/>
          <w:divBdr>
            <w:top w:val="none" w:sz="0" w:space="0" w:color="auto"/>
            <w:left w:val="none" w:sz="0" w:space="0" w:color="auto"/>
            <w:bottom w:val="none" w:sz="0" w:space="0" w:color="auto"/>
            <w:right w:val="none" w:sz="0" w:space="0" w:color="auto"/>
          </w:divBdr>
        </w:div>
      </w:divsChild>
    </w:div>
    <w:div w:id="1782339404">
      <w:marLeft w:val="0"/>
      <w:marRight w:val="0"/>
      <w:marTop w:val="0"/>
      <w:marBottom w:val="120"/>
      <w:divBdr>
        <w:top w:val="none" w:sz="0" w:space="0" w:color="auto"/>
        <w:left w:val="none" w:sz="0" w:space="0" w:color="auto"/>
        <w:bottom w:val="none" w:sz="0" w:space="0" w:color="auto"/>
        <w:right w:val="none" w:sz="0" w:space="0" w:color="auto"/>
      </w:divBdr>
    </w:div>
    <w:div w:id="1788623127">
      <w:marLeft w:val="0"/>
      <w:marRight w:val="0"/>
      <w:marTop w:val="0"/>
      <w:marBottom w:val="0"/>
      <w:divBdr>
        <w:top w:val="none" w:sz="0" w:space="0" w:color="auto"/>
        <w:left w:val="none" w:sz="0" w:space="0" w:color="auto"/>
        <w:bottom w:val="none" w:sz="0" w:space="0" w:color="auto"/>
        <w:right w:val="none" w:sz="0" w:space="0" w:color="auto"/>
      </w:divBdr>
    </w:div>
    <w:div w:id="1794670299">
      <w:marLeft w:val="0"/>
      <w:marRight w:val="0"/>
      <w:marTop w:val="0"/>
      <w:marBottom w:val="0"/>
      <w:divBdr>
        <w:top w:val="none" w:sz="0" w:space="0" w:color="auto"/>
        <w:left w:val="none" w:sz="0" w:space="0" w:color="auto"/>
        <w:bottom w:val="none" w:sz="0" w:space="0" w:color="auto"/>
        <w:right w:val="none" w:sz="0" w:space="0" w:color="auto"/>
      </w:divBdr>
      <w:divsChild>
        <w:div w:id="691300352">
          <w:marLeft w:val="0"/>
          <w:marRight w:val="0"/>
          <w:marTop w:val="0"/>
          <w:marBottom w:val="0"/>
          <w:divBdr>
            <w:top w:val="none" w:sz="0" w:space="0" w:color="auto"/>
            <w:left w:val="none" w:sz="0" w:space="0" w:color="auto"/>
            <w:bottom w:val="none" w:sz="0" w:space="0" w:color="auto"/>
            <w:right w:val="none" w:sz="0" w:space="0" w:color="auto"/>
          </w:divBdr>
        </w:div>
      </w:divsChild>
    </w:div>
    <w:div w:id="1797529033">
      <w:marLeft w:val="0"/>
      <w:marRight w:val="0"/>
      <w:marTop w:val="120"/>
      <w:marBottom w:val="0"/>
      <w:divBdr>
        <w:top w:val="none" w:sz="0" w:space="0" w:color="auto"/>
        <w:left w:val="none" w:sz="0" w:space="0" w:color="auto"/>
        <w:bottom w:val="none" w:sz="0" w:space="0" w:color="auto"/>
        <w:right w:val="none" w:sz="0" w:space="0" w:color="auto"/>
      </w:divBdr>
    </w:div>
    <w:div w:id="1802385103">
      <w:marLeft w:val="0"/>
      <w:marRight w:val="0"/>
      <w:marTop w:val="1"/>
      <w:marBottom w:val="1"/>
      <w:divBdr>
        <w:top w:val="none" w:sz="0" w:space="0" w:color="auto"/>
        <w:left w:val="none" w:sz="0" w:space="0" w:color="auto"/>
        <w:bottom w:val="none" w:sz="0" w:space="0" w:color="auto"/>
        <w:right w:val="none" w:sz="0" w:space="0" w:color="auto"/>
      </w:divBdr>
    </w:div>
    <w:div w:id="1803381053">
      <w:marLeft w:val="0"/>
      <w:marRight w:val="0"/>
      <w:marTop w:val="0"/>
      <w:marBottom w:val="120"/>
      <w:divBdr>
        <w:top w:val="none" w:sz="0" w:space="0" w:color="auto"/>
        <w:left w:val="none" w:sz="0" w:space="0" w:color="auto"/>
        <w:bottom w:val="none" w:sz="0" w:space="0" w:color="auto"/>
        <w:right w:val="none" w:sz="0" w:space="0" w:color="auto"/>
      </w:divBdr>
    </w:div>
    <w:div w:id="1806701270">
      <w:marLeft w:val="0"/>
      <w:marRight w:val="0"/>
      <w:marTop w:val="0"/>
      <w:marBottom w:val="0"/>
      <w:divBdr>
        <w:top w:val="none" w:sz="0" w:space="0" w:color="auto"/>
        <w:left w:val="none" w:sz="0" w:space="0" w:color="auto"/>
        <w:bottom w:val="none" w:sz="0" w:space="0" w:color="auto"/>
        <w:right w:val="none" w:sz="0" w:space="0" w:color="auto"/>
      </w:divBdr>
    </w:div>
    <w:div w:id="1814174189">
      <w:marLeft w:val="0"/>
      <w:marRight w:val="0"/>
      <w:marTop w:val="0"/>
      <w:marBottom w:val="0"/>
      <w:divBdr>
        <w:top w:val="none" w:sz="0" w:space="0" w:color="auto"/>
        <w:left w:val="none" w:sz="0" w:space="0" w:color="auto"/>
        <w:bottom w:val="none" w:sz="0" w:space="0" w:color="auto"/>
        <w:right w:val="none" w:sz="0" w:space="0" w:color="auto"/>
      </w:divBdr>
    </w:div>
    <w:div w:id="1816146575">
      <w:marLeft w:val="0"/>
      <w:marRight w:val="0"/>
      <w:marTop w:val="0"/>
      <w:marBottom w:val="0"/>
      <w:divBdr>
        <w:top w:val="none" w:sz="0" w:space="0" w:color="auto"/>
        <w:left w:val="none" w:sz="0" w:space="0" w:color="auto"/>
        <w:bottom w:val="none" w:sz="0" w:space="0" w:color="auto"/>
        <w:right w:val="none" w:sz="0" w:space="0" w:color="auto"/>
      </w:divBdr>
      <w:divsChild>
        <w:div w:id="600187515">
          <w:marLeft w:val="0"/>
          <w:marRight w:val="0"/>
          <w:marTop w:val="0"/>
          <w:marBottom w:val="0"/>
          <w:divBdr>
            <w:top w:val="none" w:sz="0" w:space="0" w:color="auto"/>
            <w:left w:val="none" w:sz="0" w:space="0" w:color="auto"/>
            <w:bottom w:val="none" w:sz="0" w:space="0" w:color="auto"/>
            <w:right w:val="none" w:sz="0" w:space="0" w:color="auto"/>
          </w:divBdr>
        </w:div>
      </w:divsChild>
    </w:div>
    <w:div w:id="1817523750">
      <w:marLeft w:val="0"/>
      <w:marRight w:val="0"/>
      <w:marTop w:val="0"/>
      <w:marBottom w:val="0"/>
      <w:divBdr>
        <w:top w:val="none" w:sz="0" w:space="0" w:color="auto"/>
        <w:left w:val="none" w:sz="0" w:space="0" w:color="auto"/>
        <w:bottom w:val="none" w:sz="0" w:space="0" w:color="auto"/>
        <w:right w:val="none" w:sz="0" w:space="0" w:color="auto"/>
      </w:divBdr>
    </w:div>
    <w:div w:id="1818524453">
      <w:marLeft w:val="0"/>
      <w:marRight w:val="0"/>
      <w:marTop w:val="0"/>
      <w:marBottom w:val="0"/>
      <w:divBdr>
        <w:top w:val="none" w:sz="0" w:space="0" w:color="auto"/>
        <w:left w:val="none" w:sz="0" w:space="0" w:color="auto"/>
        <w:bottom w:val="none" w:sz="0" w:space="0" w:color="auto"/>
        <w:right w:val="none" w:sz="0" w:space="0" w:color="auto"/>
      </w:divBdr>
    </w:div>
    <w:div w:id="182296767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2"/>
          <w:divBdr>
            <w:top w:val="none" w:sz="0" w:space="0" w:color="auto"/>
            <w:left w:val="none" w:sz="0" w:space="0" w:color="auto"/>
            <w:bottom w:val="none" w:sz="0" w:space="0" w:color="auto"/>
            <w:right w:val="none" w:sz="0" w:space="0" w:color="auto"/>
          </w:divBdr>
        </w:div>
        <w:div w:id="1567691426">
          <w:marLeft w:val="0"/>
          <w:marRight w:val="0"/>
          <w:marTop w:val="0"/>
          <w:marBottom w:val="2"/>
          <w:divBdr>
            <w:top w:val="none" w:sz="0" w:space="0" w:color="auto"/>
            <w:left w:val="none" w:sz="0" w:space="0" w:color="auto"/>
            <w:bottom w:val="none" w:sz="0" w:space="0" w:color="auto"/>
            <w:right w:val="none" w:sz="0" w:space="0" w:color="auto"/>
          </w:divBdr>
        </w:div>
      </w:divsChild>
    </w:div>
    <w:div w:id="1827672286">
      <w:marLeft w:val="0"/>
      <w:marRight w:val="0"/>
      <w:marTop w:val="240"/>
      <w:marBottom w:val="0"/>
      <w:divBdr>
        <w:top w:val="none" w:sz="0" w:space="0" w:color="auto"/>
        <w:left w:val="none" w:sz="0" w:space="0" w:color="auto"/>
        <w:bottom w:val="none" w:sz="0" w:space="0" w:color="auto"/>
        <w:right w:val="none" w:sz="0" w:space="0" w:color="auto"/>
      </w:divBdr>
    </w:div>
    <w:div w:id="1839230775">
      <w:marLeft w:val="0"/>
      <w:marRight w:val="0"/>
      <w:marTop w:val="0"/>
      <w:marBottom w:val="0"/>
      <w:divBdr>
        <w:top w:val="none" w:sz="0" w:space="0" w:color="auto"/>
        <w:left w:val="none" w:sz="0" w:space="0" w:color="auto"/>
        <w:bottom w:val="none" w:sz="0" w:space="0" w:color="auto"/>
        <w:right w:val="none" w:sz="0" w:space="0" w:color="auto"/>
      </w:divBdr>
      <w:divsChild>
        <w:div w:id="481459638">
          <w:marLeft w:val="0"/>
          <w:marRight w:val="0"/>
          <w:marTop w:val="0"/>
          <w:marBottom w:val="0"/>
          <w:divBdr>
            <w:top w:val="none" w:sz="0" w:space="0" w:color="auto"/>
            <w:left w:val="none" w:sz="0" w:space="0" w:color="auto"/>
            <w:bottom w:val="none" w:sz="0" w:space="0" w:color="auto"/>
            <w:right w:val="none" w:sz="0" w:space="0" w:color="auto"/>
          </w:divBdr>
        </w:div>
      </w:divsChild>
    </w:div>
    <w:div w:id="1843088515">
      <w:marLeft w:val="0"/>
      <w:marRight w:val="0"/>
      <w:marTop w:val="240"/>
      <w:marBottom w:val="0"/>
      <w:divBdr>
        <w:top w:val="none" w:sz="0" w:space="0" w:color="auto"/>
        <w:left w:val="none" w:sz="0" w:space="0" w:color="auto"/>
        <w:bottom w:val="none" w:sz="0" w:space="0" w:color="auto"/>
        <w:right w:val="none" w:sz="0" w:space="0" w:color="auto"/>
      </w:divBdr>
    </w:div>
    <w:div w:id="1843158101">
      <w:marLeft w:val="0"/>
      <w:marRight w:val="0"/>
      <w:marTop w:val="0"/>
      <w:marBottom w:val="0"/>
      <w:divBdr>
        <w:top w:val="none" w:sz="0" w:space="0" w:color="auto"/>
        <w:left w:val="none" w:sz="0" w:space="0" w:color="auto"/>
        <w:bottom w:val="none" w:sz="0" w:space="0" w:color="auto"/>
        <w:right w:val="none" w:sz="0" w:space="0" w:color="auto"/>
      </w:divBdr>
    </w:div>
    <w:div w:id="1845630076">
      <w:marLeft w:val="0"/>
      <w:marRight w:val="0"/>
      <w:marTop w:val="0"/>
      <w:marBottom w:val="120"/>
      <w:divBdr>
        <w:top w:val="none" w:sz="0" w:space="0" w:color="auto"/>
        <w:left w:val="none" w:sz="0" w:space="0" w:color="auto"/>
        <w:bottom w:val="none" w:sz="0" w:space="0" w:color="auto"/>
        <w:right w:val="none" w:sz="0" w:space="0" w:color="auto"/>
      </w:divBdr>
    </w:div>
    <w:div w:id="1846239482">
      <w:marLeft w:val="0"/>
      <w:marRight w:val="0"/>
      <w:marTop w:val="240"/>
      <w:marBottom w:val="0"/>
      <w:divBdr>
        <w:top w:val="none" w:sz="0" w:space="0" w:color="auto"/>
        <w:left w:val="none" w:sz="0" w:space="0" w:color="auto"/>
        <w:bottom w:val="none" w:sz="0" w:space="0" w:color="auto"/>
        <w:right w:val="none" w:sz="0" w:space="0" w:color="auto"/>
      </w:divBdr>
    </w:div>
    <w:div w:id="1849439342">
      <w:marLeft w:val="0"/>
      <w:marRight w:val="0"/>
      <w:marTop w:val="0"/>
      <w:marBottom w:val="0"/>
      <w:divBdr>
        <w:top w:val="none" w:sz="0" w:space="0" w:color="auto"/>
        <w:left w:val="none" w:sz="0" w:space="0" w:color="auto"/>
        <w:bottom w:val="none" w:sz="0" w:space="0" w:color="auto"/>
        <w:right w:val="none" w:sz="0" w:space="0" w:color="auto"/>
      </w:divBdr>
      <w:divsChild>
        <w:div w:id="1666594212">
          <w:marLeft w:val="0"/>
          <w:marRight w:val="0"/>
          <w:marTop w:val="0"/>
          <w:marBottom w:val="0"/>
          <w:divBdr>
            <w:top w:val="none" w:sz="0" w:space="0" w:color="auto"/>
            <w:left w:val="none" w:sz="0" w:space="0" w:color="auto"/>
            <w:bottom w:val="none" w:sz="0" w:space="0" w:color="auto"/>
            <w:right w:val="none" w:sz="0" w:space="0" w:color="auto"/>
          </w:divBdr>
        </w:div>
      </w:divsChild>
    </w:div>
    <w:div w:id="1850098311">
      <w:marLeft w:val="0"/>
      <w:marRight w:val="0"/>
      <w:marTop w:val="0"/>
      <w:marBottom w:val="0"/>
      <w:divBdr>
        <w:top w:val="none" w:sz="0" w:space="0" w:color="auto"/>
        <w:left w:val="none" w:sz="0" w:space="0" w:color="auto"/>
        <w:bottom w:val="none" w:sz="0" w:space="0" w:color="auto"/>
        <w:right w:val="none" w:sz="0" w:space="0" w:color="auto"/>
      </w:divBdr>
      <w:divsChild>
        <w:div w:id="1179736770">
          <w:marLeft w:val="0"/>
          <w:marRight w:val="0"/>
          <w:marTop w:val="0"/>
          <w:marBottom w:val="0"/>
          <w:divBdr>
            <w:top w:val="none" w:sz="0" w:space="0" w:color="auto"/>
            <w:left w:val="none" w:sz="0" w:space="0" w:color="auto"/>
            <w:bottom w:val="none" w:sz="0" w:space="0" w:color="auto"/>
            <w:right w:val="none" w:sz="0" w:space="0" w:color="auto"/>
          </w:divBdr>
        </w:div>
      </w:divsChild>
    </w:div>
    <w:div w:id="1850482523">
      <w:marLeft w:val="0"/>
      <w:marRight w:val="0"/>
      <w:marTop w:val="0"/>
      <w:marBottom w:val="120"/>
      <w:divBdr>
        <w:top w:val="none" w:sz="0" w:space="0" w:color="auto"/>
        <w:left w:val="none" w:sz="0" w:space="0" w:color="auto"/>
        <w:bottom w:val="none" w:sz="0" w:space="0" w:color="auto"/>
        <w:right w:val="none" w:sz="0" w:space="0" w:color="auto"/>
      </w:divBdr>
    </w:div>
    <w:div w:id="1850951434">
      <w:marLeft w:val="0"/>
      <w:marRight w:val="0"/>
      <w:marTop w:val="360"/>
      <w:marBottom w:val="0"/>
      <w:divBdr>
        <w:top w:val="none" w:sz="0" w:space="0" w:color="auto"/>
        <w:left w:val="none" w:sz="0" w:space="0" w:color="auto"/>
        <w:bottom w:val="none" w:sz="0" w:space="0" w:color="auto"/>
        <w:right w:val="none" w:sz="0" w:space="0" w:color="auto"/>
      </w:divBdr>
    </w:div>
    <w:div w:id="1851136131">
      <w:marLeft w:val="0"/>
      <w:marRight w:val="0"/>
      <w:marTop w:val="360"/>
      <w:marBottom w:val="0"/>
      <w:divBdr>
        <w:top w:val="none" w:sz="0" w:space="0" w:color="auto"/>
        <w:left w:val="none" w:sz="0" w:space="0" w:color="auto"/>
        <w:bottom w:val="none" w:sz="0" w:space="0" w:color="auto"/>
        <w:right w:val="none" w:sz="0" w:space="0" w:color="auto"/>
      </w:divBdr>
    </w:div>
    <w:div w:id="1852647200">
      <w:marLeft w:val="0"/>
      <w:marRight w:val="0"/>
      <w:marTop w:val="360"/>
      <w:marBottom w:val="1"/>
      <w:divBdr>
        <w:top w:val="none" w:sz="0" w:space="0" w:color="auto"/>
        <w:left w:val="none" w:sz="0" w:space="0" w:color="auto"/>
        <w:bottom w:val="none" w:sz="0" w:space="0" w:color="auto"/>
        <w:right w:val="none" w:sz="0" w:space="0" w:color="auto"/>
      </w:divBdr>
    </w:div>
    <w:div w:id="1857885908">
      <w:marLeft w:val="0"/>
      <w:marRight w:val="0"/>
      <w:marTop w:val="1"/>
      <w:marBottom w:val="1"/>
      <w:divBdr>
        <w:top w:val="none" w:sz="0" w:space="0" w:color="auto"/>
        <w:left w:val="none" w:sz="0" w:space="0" w:color="auto"/>
        <w:bottom w:val="none" w:sz="0" w:space="0" w:color="auto"/>
        <w:right w:val="none" w:sz="0" w:space="0" w:color="auto"/>
      </w:divBdr>
    </w:div>
    <w:div w:id="1858960194">
      <w:marLeft w:val="0"/>
      <w:marRight w:val="0"/>
      <w:marTop w:val="0"/>
      <w:marBottom w:val="0"/>
      <w:divBdr>
        <w:top w:val="none" w:sz="0" w:space="0" w:color="auto"/>
        <w:left w:val="none" w:sz="0" w:space="0" w:color="auto"/>
        <w:bottom w:val="none" w:sz="0" w:space="0" w:color="auto"/>
        <w:right w:val="none" w:sz="0" w:space="0" w:color="auto"/>
      </w:divBdr>
    </w:div>
    <w:div w:id="1860967722">
      <w:marLeft w:val="0"/>
      <w:marRight w:val="0"/>
      <w:marTop w:val="0"/>
      <w:marBottom w:val="0"/>
      <w:divBdr>
        <w:top w:val="none" w:sz="0" w:space="0" w:color="auto"/>
        <w:left w:val="none" w:sz="0" w:space="0" w:color="auto"/>
        <w:bottom w:val="none" w:sz="0" w:space="0" w:color="auto"/>
        <w:right w:val="none" w:sz="0" w:space="0" w:color="auto"/>
      </w:divBdr>
      <w:divsChild>
        <w:div w:id="204762032">
          <w:marLeft w:val="0"/>
          <w:marRight w:val="0"/>
          <w:marTop w:val="0"/>
          <w:marBottom w:val="0"/>
          <w:divBdr>
            <w:top w:val="none" w:sz="0" w:space="0" w:color="auto"/>
            <w:left w:val="none" w:sz="0" w:space="0" w:color="auto"/>
            <w:bottom w:val="none" w:sz="0" w:space="0" w:color="auto"/>
            <w:right w:val="none" w:sz="0" w:space="0" w:color="auto"/>
          </w:divBdr>
        </w:div>
      </w:divsChild>
    </w:div>
    <w:div w:id="1862166720">
      <w:marLeft w:val="0"/>
      <w:marRight w:val="0"/>
      <w:marTop w:val="360"/>
      <w:marBottom w:val="1"/>
      <w:divBdr>
        <w:top w:val="none" w:sz="0" w:space="0" w:color="auto"/>
        <w:left w:val="none" w:sz="0" w:space="0" w:color="auto"/>
        <w:bottom w:val="none" w:sz="0" w:space="0" w:color="auto"/>
        <w:right w:val="none" w:sz="0" w:space="0" w:color="auto"/>
      </w:divBdr>
    </w:div>
    <w:div w:id="1864316495">
      <w:marLeft w:val="0"/>
      <w:marRight w:val="0"/>
      <w:marTop w:val="0"/>
      <w:marBottom w:val="0"/>
      <w:divBdr>
        <w:top w:val="none" w:sz="0" w:space="0" w:color="auto"/>
        <w:left w:val="none" w:sz="0" w:space="0" w:color="auto"/>
        <w:bottom w:val="none" w:sz="0" w:space="0" w:color="auto"/>
        <w:right w:val="none" w:sz="0" w:space="0" w:color="auto"/>
      </w:divBdr>
      <w:divsChild>
        <w:div w:id="916670899">
          <w:marLeft w:val="0"/>
          <w:marRight w:val="0"/>
          <w:marTop w:val="0"/>
          <w:marBottom w:val="0"/>
          <w:divBdr>
            <w:top w:val="none" w:sz="0" w:space="0" w:color="auto"/>
            <w:left w:val="none" w:sz="0" w:space="0" w:color="auto"/>
            <w:bottom w:val="none" w:sz="0" w:space="0" w:color="auto"/>
            <w:right w:val="none" w:sz="0" w:space="0" w:color="auto"/>
          </w:divBdr>
        </w:div>
      </w:divsChild>
    </w:div>
    <w:div w:id="1873834075">
      <w:marLeft w:val="0"/>
      <w:marRight w:val="0"/>
      <w:marTop w:val="0"/>
      <w:marBottom w:val="0"/>
      <w:divBdr>
        <w:top w:val="none" w:sz="0" w:space="0" w:color="auto"/>
        <w:left w:val="none" w:sz="0" w:space="0" w:color="auto"/>
        <w:bottom w:val="none" w:sz="0" w:space="0" w:color="auto"/>
        <w:right w:val="none" w:sz="0" w:space="0" w:color="auto"/>
      </w:divBdr>
    </w:div>
    <w:div w:id="1877502104">
      <w:marLeft w:val="0"/>
      <w:marRight w:val="0"/>
      <w:marTop w:val="1"/>
      <w:marBottom w:val="1"/>
      <w:divBdr>
        <w:top w:val="none" w:sz="0" w:space="0" w:color="auto"/>
        <w:left w:val="none" w:sz="0" w:space="0" w:color="auto"/>
        <w:bottom w:val="none" w:sz="0" w:space="0" w:color="auto"/>
        <w:right w:val="none" w:sz="0" w:space="0" w:color="auto"/>
      </w:divBdr>
    </w:div>
    <w:div w:id="1887059912">
      <w:marLeft w:val="0"/>
      <w:marRight w:val="0"/>
      <w:marTop w:val="0"/>
      <w:marBottom w:val="0"/>
      <w:divBdr>
        <w:top w:val="none" w:sz="0" w:space="0" w:color="auto"/>
        <w:left w:val="none" w:sz="0" w:space="0" w:color="auto"/>
        <w:bottom w:val="none" w:sz="0" w:space="0" w:color="auto"/>
        <w:right w:val="none" w:sz="0" w:space="0" w:color="auto"/>
      </w:divBdr>
      <w:divsChild>
        <w:div w:id="68383938">
          <w:marLeft w:val="0"/>
          <w:marRight w:val="0"/>
          <w:marTop w:val="0"/>
          <w:marBottom w:val="0"/>
          <w:divBdr>
            <w:top w:val="none" w:sz="0" w:space="0" w:color="auto"/>
            <w:left w:val="none" w:sz="0" w:space="0" w:color="auto"/>
            <w:bottom w:val="none" w:sz="0" w:space="0" w:color="auto"/>
            <w:right w:val="none" w:sz="0" w:space="0" w:color="auto"/>
          </w:divBdr>
        </w:div>
      </w:divsChild>
    </w:div>
    <w:div w:id="1890339485">
      <w:marLeft w:val="0"/>
      <w:marRight w:val="0"/>
      <w:marTop w:val="1"/>
      <w:marBottom w:val="1"/>
      <w:divBdr>
        <w:top w:val="none" w:sz="0" w:space="0" w:color="auto"/>
        <w:left w:val="none" w:sz="0" w:space="0" w:color="auto"/>
        <w:bottom w:val="none" w:sz="0" w:space="0" w:color="auto"/>
        <w:right w:val="none" w:sz="0" w:space="0" w:color="auto"/>
      </w:divBdr>
    </w:div>
    <w:div w:id="1899973025">
      <w:marLeft w:val="0"/>
      <w:marRight w:val="0"/>
      <w:marTop w:val="0"/>
      <w:marBottom w:val="0"/>
      <w:divBdr>
        <w:top w:val="none" w:sz="0" w:space="0" w:color="auto"/>
        <w:left w:val="none" w:sz="0" w:space="0" w:color="auto"/>
        <w:bottom w:val="none" w:sz="0" w:space="0" w:color="auto"/>
        <w:right w:val="none" w:sz="0" w:space="0" w:color="auto"/>
      </w:divBdr>
      <w:divsChild>
        <w:div w:id="1625574822">
          <w:marLeft w:val="0"/>
          <w:marRight w:val="0"/>
          <w:marTop w:val="0"/>
          <w:marBottom w:val="0"/>
          <w:divBdr>
            <w:top w:val="none" w:sz="0" w:space="0" w:color="auto"/>
            <w:left w:val="none" w:sz="0" w:space="0" w:color="auto"/>
            <w:bottom w:val="none" w:sz="0" w:space="0" w:color="auto"/>
            <w:right w:val="none" w:sz="0" w:space="0" w:color="auto"/>
          </w:divBdr>
        </w:div>
      </w:divsChild>
    </w:div>
    <w:div w:id="1900094030">
      <w:marLeft w:val="0"/>
      <w:marRight w:val="0"/>
      <w:marTop w:val="0"/>
      <w:marBottom w:val="0"/>
      <w:divBdr>
        <w:top w:val="none" w:sz="0" w:space="0" w:color="auto"/>
        <w:left w:val="none" w:sz="0" w:space="0" w:color="auto"/>
        <w:bottom w:val="none" w:sz="0" w:space="0" w:color="auto"/>
        <w:right w:val="none" w:sz="0" w:space="0" w:color="auto"/>
      </w:divBdr>
    </w:div>
    <w:div w:id="1906528467">
      <w:marLeft w:val="0"/>
      <w:marRight w:val="0"/>
      <w:marTop w:val="1"/>
      <w:marBottom w:val="1"/>
      <w:divBdr>
        <w:top w:val="none" w:sz="0" w:space="0" w:color="auto"/>
        <w:left w:val="none" w:sz="0" w:space="0" w:color="auto"/>
        <w:bottom w:val="none" w:sz="0" w:space="0" w:color="auto"/>
        <w:right w:val="none" w:sz="0" w:space="0" w:color="auto"/>
      </w:divBdr>
    </w:div>
    <w:div w:id="1907035335">
      <w:marLeft w:val="0"/>
      <w:marRight w:val="0"/>
      <w:marTop w:val="240"/>
      <w:marBottom w:val="0"/>
      <w:divBdr>
        <w:top w:val="none" w:sz="0" w:space="0" w:color="auto"/>
        <w:left w:val="none" w:sz="0" w:space="0" w:color="auto"/>
        <w:bottom w:val="none" w:sz="0" w:space="0" w:color="auto"/>
        <w:right w:val="none" w:sz="0" w:space="0" w:color="auto"/>
      </w:divBdr>
    </w:div>
    <w:div w:id="1909991848">
      <w:marLeft w:val="0"/>
      <w:marRight w:val="0"/>
      <w:marTop w:val="0"/>
      <w:marBottom w:val="0"/>
      <w:divBdr>
        <w:top w:val="none" w:sz="0" w:space="0" w:color="auto"/>
        <w:left w:val="none" w:sz="0" w:space="0" w:color="auto"/>
        <w:bottom w:val="none" w:sz="0" w:space="0" w:color="auto"/>
        <w:right w:val="none" w:sz="0" w:space="0" w:color="auto"/>
      </w:divBdr>
    </w:div>
    <w:div w:id="1922448845">
      <w:marLeft w:val="0"/>
      <w:marRight w:val="0"/>
      <w:marTop w:val="120"/>
      <w:marBottom w:val="0"/>
      <w:divBdr>
        <w:top w:val="none" w:sz="0" w:space="0" w:color="auto"/>
        <w:left w:val="none" w:sz="0" w:space="0" w:color="auto"/>
        <w:bottom w:val="none" w:sz="0" w:space="0" w:color="auto"/>
        <w:right w:val="none" w:sz="0" w:space="0" w:color="auto"/>
      </w:divBdr>
    </w:div>
    <w:div w:id="1923293621">
      <w:marLeft w:val="0"/>
      <w:marRight w:val="0"/>
      <w:marTop w:val="0"/>
      <w:marBottom w:val="0"/>
      <w:divBdr>
        <w:top w:val="none" w:sz="0" w:space="0" w:color="auto"/>
        <w:left w:val="none" w:sz="0" w:space="0" w:color="auto"/>
        <w:bottom w:val="none" w:sz="0" w:space="0" w:color="auto"/>
        <w:right w:val="none" w:sz="0" w:space="0" w:color="auto"/>
      </w:divBdr>
    </w:div>
    <w:div w:id="1924757316">
      <w:marLeft w:val="0"/>
      <w:marRight w:val="0"/>
      <w:marTop w:val="240"/>
      <w:marBottom w:val="0"/>
      <w:divBdr>
        <w:top w:val="none" w:sz="0" w:space="0" w:color="auto"/>
        <w:left w:val="none" w:sz="0" w:space="0" w:color="auto"/>
        <w:bottom w:val="none" w:sz="0" w:space="0" w:color="auto"/>
        <w:right w:val="none" w:sz="0" w:space="0" w:color="auto"/>
      </w:divBdr>
    </w:div>
    <w:div w:id="1931769087">
      <w:marLeft w:val="0"/>
      <w:marRight w:val="0"/>
      <w:marTop w:val="1"/>
      <w:marBottom w:val="1"/>
      <w:divBdr>
        <w:top w:val="none" w:sz="0" w:space="0" w:color="auto"/>
        <w:left w:val="none" w:sz="0" w:space="0" w:color="auto"/>
        <w:bottom w:val="none" w:sz="0" w:space="0" w:color="auto"/>
        <w:right w:val="none" w:sz="0" w:space="0" w:color="auto"/>
      </w:divBdr>
    </w:div>
    <w:div w:id="1933539008">
      <w:marLeft w:val="0"/>
      <w:marRight w:val="0"/>
      <w:marTop w:val="120"/>
      <w:marBottom w:val="0"/>
      <w:divBdr>
        <w:top w:val="none" w:sz="0" w:space="0" w:color="auto"/>
        <w:left w:val="none" w:sz="0" w:space="0" w:color="auto"/>
        <w:bottom w:val="none" w:sz="0" w:space="0" w:color="auto"/>
        <w:right w:val="none" w:sz="0" w:space="0" w:color="auto"/>
      </w:divBdr>
    </w:div>
    <w:div w:id="1937251057">
      <w:marLeft w:val="0"/>
      <w:marRight w:val="0"/>
      <w:marTop w:val="0"/>
      <w:marBottom w:val="0"/>
      <w:divBdr>
        <w:top w:val="none" w:sz="0" w:space="0" w:color="auto"/>
        <w:left w:val="none" w:sz="0" w:space="0" w:color="auto"/>
        <w:bottom w:val="none" w:sz="0" w:space="0" w:color="auto"/>
        <w:right w:val="none" w:sz="0" w:space="0" w:color="auto"/>
      </w:divBdr>
    </w:div>
    <w:div w:id="1941252851">
      <w:marLeft w:val="0"/>
      <w:marRight w:val="0"/>
      <w:marTop w:val="0"/>
      <w:marBottom w:val="0"/>
      <w:divBdr>
        <w:top w:val="none" w:sz="0" w:space="0" w:color="auto"/>
        <w:left w:val="none" w:sz="0" w:space="0" w:color="auto"/>
        <w:bottom w:val="none" w:sz="0" w:space="0" w:color="auto"/>
        <w:right w:val="none" w:sz="0" w:space="0" w:color="auto"/>
      </w:divBdr>
    </w:div>
    <w:div w:id="1942183494">
      <w:marLeft w:val="0"/>
      <w:marRight w:val="0"/>
      <w:marTop w:val="120"/>
      <w:marBottom w:val="0"/>
      <w:divBdr>
        <w:top w:val="none" w:sz="0" w:space="0" w:color="auto"/>
        <w:left w:val="none" w:sz="0" w:space="0" w:color="auto"/>
        <w:bottom w:val="none" w:sz="0" w:space="0" w:color="auto"/>
        <w:right w:val="none" w:sz="0" w:space="0" w:color="auto"/>
      </w:divBdr>
    </w:div>
    <w:div w:id="1944877370">
      <w:marLeft w:val="0"/>
      <w:marRight w:val="0"/>
      <w:marTop w:val="360"/>
      <w:marBottom w:val="1"/>
      <w:divBdr>
        <w:top w:val="none" w:sz="0" w:space="0" w:color="auto"/>
        <w:left w:val="none" w:sz="0" w:space="0" w:color="auto"/>
        <w:bottom w:val="none" w:sz="0" w:space="0" w:color="auto"/>
        <w:right w:val="none" w:sz="0" w:space="0" w:color="auto"/>
      </w:divBdr>
    </w:div>
    <w:div w:id="1945725337">
      <w:marLeft w:val="0"/>
      <w:marRight w:val="0"/>
      <w:marTop w:val="0"/>
      <w:marBottom w:val="0"/>
      <w:divBdr>
        <w:top w:val="none" w:sz="0" w:space="0" w:color="auto"/>
        <w:left w:val="none" w:sz="0" w:space="0" w:color="auto"/>
        <w:bottom w:val="none" w:sz="0" w:space="0" w:color="auto"/>
        <w:right w:val="none" w:sz="0" w:space="0" w:color="auto"/>
      </w:divBdr>
    </w:div>
    <w:div w:id="1945767524">
      <w:marLeft w:val="0"/>
      <w:marRight w:val="0"/>
      <w:marTop w:val="240"/>
      <w:marBottom w:val="0"/>
      <w:divBdr>
        <w:top w:val="none" w:sz="0" w:space="0" w:color="auto"/>
        <w:left w:val="none" w:sz="0" w:space="0" w:color="auto"/>
        <w:bottom w:val="none" w:sz="0" w:space="0" w:color="auto"/>
        <w:right w:val="none" w:sz="0" w:space="0" w:color="auto"/>
      </w:divBdr>
    </w:div>
    <w:div w:id="1956250633">
      <w:marLeft w:val="0"/>
      <w:marRight w:val="0"/>
      <w:marTop w:val="120"/>
      <w:marBottom w:val="0"/>
      <w:divBdr>
        <w:top w:val="none" w:sz="0" w:space="0" w:color="auto"/>
        <w:left w:val="none" w:sz="0" w:space="0" w:color="auto"/>
        <w:bottom w:val="none" w:sz="0" w:space="0" w:color="auto"/>
        <w:right w:val="none" w:sz="0" w:space="0" w:color="auto"/>
      </w:divBdr>
    </w:div>
    <w:div w:id="1959028353">
      <w:marLeft w:val="0"/>
      <w:marRight w:val="0"/>
      <w:marTop w:val="240"/>
      <w:marBottom w:val="0"/>
      <w:divBdr>
        <w:top w:val="none" w:sz="0" w:space="0" w:color="auto"/>
        <w:left w:val="none" w:sz="0" w:space="0" w:color="auto"/>
        <w:bottom w:val="none" w:sz="0" w:space="0" w:color="auto"/>
        <w:right w:val="none" w:sz="0" w:space="0" w:color="auto"/>
      </w:divBdr>
    </w:div>
    <w:div w:id="1959220411">
      <w:marLeft w:val="0"/>
      <w:marRight w:val="0"/>
      <w:marTop w:val="120"/>
      <w:marBottom w:val="0"/>
      <w:divBdr>
        <w:top w:val="none" w:sz="0" w:space="0" w:color="auto"/>
        <w:left w:val="none" w:sz="0" w:space="0" w:color="auto"/>
        <w:bottom w:val="none" w:sz="0" w:space="0" w:color="auto"/>
        <w:right w:val="none" w:sz="0" w:space="0" w:color="auto"/>
      </w:divBdr>
    </w:div>
    <w:div w:id="1961717528">
      <w:marLeft w:val="0"/>
      <w:marRight w:val="0"/>
      <w:marTop w:val="0"/>
      <w:marBottom w:val="0"/>
      <w:divBdr>
        <w:top w:val="none" w:sz="0" w:space="0" w:color="auto"/>
        <w:left w:val="none" w:sz="0" w:space="0" w:color="auto"/>
        <w:bottom w:val="none" w:sz="0" w:space="0" w:color="auto"/>
        <w:right w:val="none" w:sz="0" w:space="0" w:color="auto"/>
      </w:divBdr>
    </w:div>
    <w:div w:id="1966500945">
      <w:marLeft w:val="0"/>
      <w:marRight w:val="0"/>
      <w:marTop w:val="0"/>
      <w:marBottom w:val="0"/>
      <w:divBdr>
        <w:top w:val="none" w:sz="0" w:space="0" w:color="auto"/>
        <w:left w:val="none" w:sz="0" w:space="0" w:color="auto"/>
        <w:bottom w:val="none" w:sz="0" w:space="0" w:color="auto"/>
        <w:right w:val="none" w:sz="0" w:space="0" w:color="auto"/>
      </w:divBdr>
    </w:div>
    <w:div w:id="1967855464">
      <w:marLeft w:val="0"/>
      <w:marRight w:val="0"/>
      <w:marTop w:val="0"/>
      <w:marBottom w:val="0"/>
      <w:divBdr>
        <w:top w:val="none" w:sz="0" w:space="0" w:color="auto"/>
        <w:left w:val="none" w:sz="0" w:space="0" w:color="auto"/>
        <w:bottom w:val="none" w:sz="0" w:space="0" w:color="auto"/>
        <w:right w:val="none" w:sz="0" w:space="0" w:color="auto"/>
      </w:divBdr>
      <w:divsChild>
        <w:div w:id="987589249">
          <w:marLeft w:val="0"/>
          <w:marRight w:val="0"/>
          <w:marTop w:val="0"/>
          <w:marBottom w:val="0"/>
          <w:divBdr>
            <w:top w:val="none" w:sz="0" w:space="0" w:color="auto"/>
            <w:left w:val="none" w:sz="0" w:space="0" w:color="auto"/>
            <w:bottom w:val="none" w:sz="0" w:space="0" w:color="auto"/>
            <w:right w:val="none" w:sz="0" w:space="0" w:color="auto"/>
          </w:divBdr>
        </w:div>
      </w:divsChild>
    </w:div>
    <w:div w:id="1969432578">
      <w:marLeft w:val="0"/>
      <w:marRight w:val="0"/>
      <w:marTop w:val="0"/>
      <w:marBottom w:val="0"/>
      <w:divBdr>
        <w:top w:val="none" w:sz="0" w:space="0" w:color="auto"/>
        <w:left w:val="none" w:sz="0" w:space="0" w:color="auto"/>
        <w:bottom w:val="none" w:sz="0" w:space="0" w:color="auto"/>
        <w:right w:val="none" w:sz="0" w:space="0" w:color="auto"/>
      </w:divBdr>
    </w:div>
    <w:div w:id="1970016491">
      <w:marLeft w:val="0"/>
      <w:marRight w:val="0"/>
      <w:marTop w:val="120"/>
      <w:marBottom w:val="0"/>
      <w:divBdr>
        <w:top w:val="none" w:sz="0" w:space="0" w:color="auto"/>
        <w:left w:val="none" w:sz="0" w:space="0" w:color="auto"/>
        <w:bottom w:val="none" w:sz="0" w:space="0" w:color="auto"/>
        <w:right w:val="none" w:sz="0" w:space="0" w:color="auto"/>
      </w:divBdr>
    </w:div>
    <w:div w:id="1971127165">
      <w:marLeft w:val="0"/>
      <w:marRight w:val="0"/>
      <w:marTop w:val="360"/>
      <w:marBottom w:val="0"/>
      <w:divBdr>
        <w:top w:val="none" w:sz="0" w:space="0" w:color="auto"/>
        <w:left w:val="none" w:sz="0" w:space="0" w:color="auto"/>
        <w:bottom w:val="none" w:sz="0" w:space="0" w:color="auto"/>
        <w:right w:val="none" w:sz="0" w:space="0" w:color="auto"/>
      </w:divBdr>
    </w:div>
    <w:div w:id="1973560068">
      <w:marLeft w:val="0"/>
      <w:marRight w:val="0"/>
      <w:marTop w:val="0"/>
      <w:marBottom w:val="0"/>
      <w:divBdr>
        <w:top w:val="none" w:sz="0" w:space="0" w:color="auto"/>
        <w:left w:val="none" w:sz="0" w:space="0" w:color="auto"/>
        <w:bottom w:val="none" w:sz="0" w:space="0" w:color="auto"/>
        <w:right w:val="none" w:sz="0" w:space="0" w:color="auto"/>
      </w:divBdr>
    </w:div>
    <w:div w:id="1981693429">
      <w:marLeft w:val="0"/>
      <w:marRight w:val="0"/>
      <w:marTop w:val="120"/>
      <w:marBottom w:val="0"/>
      <w:divBdr>
        <w:top w:val="none" w:sz="0" w:space="0" w:color="auto"/>
        <w:left w:val="none" w:sz="0" w:space="0" w:color="auto"/>
        <w:bottom w:val="none" w:sz="0" w:space="0" w:color="auto"/>
        <w:right w:val="none" w:sz="0" w:space="0" w:color="auto"/>
      </w:divBdr>
    </w:div>
    <w:div w:id="1985431061">
      <w:marLeft w:val="0"/>
      <w:marRight w:val="0"/>
      <w:marTop w:val="1"/>
      <w:marBottom w:val="1"/>
      <w:divBdr>
        <w:top w:val="none" w:sz="0" w:space="0" w:color="auto"/>
        <w:left w:val="none" w:sz="0" w:space="0" w:color="auto"/>
        <w:bottom w:val="none" w:sz="0" w:space="0" w:color="auto"/>
        <w:right w:val="none" w:sz="0" w:space="0" w:color="auto"/>
      </w:divBdr>
    </w:div>
    <w:div w:id="1985623809">
      <w:marLeft w:val="0"/>
      <w:marRight w:val="0"/>
      <w:marTop w:val="0"/>
      <w:marBottom w:val="0"/>
      <w:divBdr>
        <w:top w:val="none" w:sz="0" w:space="0" w:color="auto"/>
        <w:left w:val="none" w:sz="0" w:space="0" w:color="auto"/>
        <w:bottom w:val="none" w:sz="0" w:space="0" w:color="auto"/>
        <w:right w:val="none" w:sz="0" w:space="0" w:color="auto"/>
      </w:divBdr>
      <w:divsChild>
        <w:div w:id="162165477">
          <w:marLeft w:val="0"/>
          <w:marRight w:val="0"/>
          <w:marTop w:val="0"/>
          <w:marBottom w:val="0"/>
          <w:divBdr>
            <w:top w:val="none" w:sz="0" w:space="0" w:color="auto"/>
            <w:left w:val="none" w:sz="0" w:space="0" w:color="auto"/>
            <w:bottom w:val="none" w:sz="0" w:space="0" w:color="auto"/>
            <w:right w:val="none" w:sz="0" w:space="0" w:color="auto"/>
          </w:divBdr>
        </w:div>
      </w:divsChild>
    </w:div>
    <w:div w:id="1990135433">
      <w:marLeft w:val="0"/>
      <w:marRight w:val="0"/>
      <w:marTop w:val="1"/>
      <w:marBottom w:val="1"/>
      <w:divBdr>
        <w:top w:val="none" w:sz="0" w:space="0" w:color="auto"/>
        <w:left w:val="none" w:sz="0" w:space="0" w:color="auto"/>
        <w:bottom w:val="none" w:sz="0" w:space="0" w:color="auto"/>
        <w:right w:val="none" w:sz="0" w:space="0" w:color="auto"/>
      </w:divBdr>
    </w:div>
    <w:div w:id="1992051496">
      <w:marLeft w:val="0"/>
      <w:marRight w:val="0"/>
      <w:marTop w:val="0"/>
      <w:marBottom w:val="0"/>
      <w:divBdr>
        <w:top w:val="none" w:sz="0" w:space="0" w:color="auto"/>
        <w:left w:val="none" w:sz="0" w:space="0" w:color="auto"/>
        <w:bottom w:val="none" w:sz="0" w:space="0" w:color="auto"/>
        <w:right w:val="none" w:sz="0" w:space="0" w:color="auto"/>
      </w:divBdr>
      <w:divsChild>
        <w:div w:id="1205024084">
          <w:marLeft w:val="0"/>
          <w:marRight w:val="0"/>
          <w:marTop w:val="0"/>
          <w:marBottom w:val="0"/>
          <w:divBdr>
            <w:top w:val="none" w:sz="0" w:space="0" w:color="auto"/>
            <w:left w:val="none" w:sz="0" w:space="0" w:color="auto"/>
            <w:bottom w:val="none" w:sz="0" w:space="0" w:color="auto"/>
            <w:right w:val="none" w:sz="0" w:space="0" w:color="auto"/>
          </w:divBdr>
          <w:divsChild>
            <w:div w:id="14880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750">
      <w:marLeft w:val="0"/>
      <w:marRight w:val="0"/>
      <w:marTop w:val="240"/>
      <w:marBottom w:val="0"/>
      <w:divBdr>
        <w:top w:val="none" w:sz="0" w:space="0" w:color="auto"/>
        <w:left w:val="none" w:sz="0" w:space="0" w:color="auto"/>
        <w:bottom w:val="none" w:sz="0" w:space="0" w:color="auto"/>
        <w:right w:val="none" w:sz="0" w:space="0" w:color="auto"/>
      </w:divBdr>
    </w:div>
    <w:div w:id="1994992222">
      <w:marLeft w:val="0"/>
      <w:marRight w:val="0"/>
      <w:marTop w:val="0"/>
      <w:marBottom w:val="0"/>
      <w:divBdr>
        <w:top w:val="none" w:sz="0" w:space="0" w:color="auto"/>
        <w:left w:val="none" w:sz="0" w:space="0" w:color="auto"/>
        <w:bottom w:val="none" w:sz="0" w:space="0" w:color="auto"/>
        <w:right w:val="none" w:sz="0" w:space="0" w:color="auto"/>
      </w:divBdr>
      <w:divsChild>
        <w:div w:id="486440385">
          <w:marLeft w:val="0"/>
          <w:marRight w:val="0"/>
          <w:marTop w:val="0"/>
          <w:marBottom w:val="0"/>
          <w:divBdr>
            <w:top w:val="none" w:sz="0" w:space="0" w:color="auto"/>
            <w:left w:val="none" w:sz="0" w:space="0" w:color="auto"/>
            <w:bottom w:val="none" w:sz="0" w:space="0" w:color="auto"/>
            <w:right w:val="none" w:sz="0" w:space="0" w:color="auto"/>
          </w:divBdr>
        </w:div>
      </w:divsChild>
    </w:div>
    <w:div w:id="1998921581">
      <w:marLeft w:val="0"/>
      <w:marRight w:val="0"/>
      <w:marTop w:val="240"/>
      <w:marBottom w:val="0"/>
      <w:divBdr>
        <w:top w:val="none" w:sz="0" w:space="0" w:color="auto"/>
        <w:left w:val="none" w:sz="0" w:space="0" w:color="auto"/>
        <w:bottom w:val="none" w:sz="0" w:space="0" w:color="auto"/>
        <w:right w:val="none" w:sz="0" w:space="0" w:color="auto"/>
      </w:divBdr>
    </w:div>
    <w:div w:id="1999259091">
      <w:marLeft w:val="0"/>
      <w:marRight w:val="0"/>
      <w:marTop w:val="0"/>
      <w:marBottom w:val="0"/>
      <w:divBdr>
        <w:top w:val="none" w:sz="0" w:space="0" w:color="auto"/>
        <w:left w:val="none" w:sz="0" w:space="0" w:color="auto"/>
        <w:bottom w:val="none" w:sz="0" w:space="0" w:color="auto"/>
        <w:right w:val="none" w:sz="0" w:space="0" w:color="auto"/>
      </w:divBdr>
    </w:div>
    <w:div w:id="2003655462">
      <w:marLeft w:val="0"/>
      <w:marRight w:val="0"/>
      <w:marTop w:val="120"/>
      <w:marBottom w:val="0"/>
      <w:divBdr>
        <w:top w:val="none" w:sz="0" w:space="0" w:color="auto"/>
        <w:left w:val="none" w:sz="0" w:space="0" w:color="auto"/>
        <w:bottom w:val="none" w:sz="0" w:space="0" w:color="auto"/>
        <w:right w:val="none" w:sz="0" w:space="0" w:color="auto"/>
      </w:divBdr>
    </w:div>
    <w:div w:id="2004118952">
      <w:marLeft w:val="0"/>
      <w:marRight w:val="0"/>
      <w:marTop w:val="360"/>
      <w:marBottom w:val="1"/>
      <w:divBdr>
        <w:top w:val="none" w:sz="0" w:space="0" w:color="auto"/>
        <w:left w:val="none" w:sz="0" w:space="0" w:color="auto"/>
        <w:bottom w:val="none" w:sz="0" w:space="0" w:color="auto"/>
        <w:right w:val="none" w:sz="0" w:space="0" w:color="auto"/>
      </w:divBdr>
    </w:div>
    <w:div w:id="2017878978">
      <w:marLeft w:val="0"/>
      <w:marRight w:val="0"/>
      <w:marTop w:val="120"/>
      <w:marBottom w:val="0"/>
      <w:divBdr>
        <w:top w:val="none" w:sz="0" w:space="0" w:color="auto"/>
        <w:left w:val="none" w:sz="0" w:space="0" w:color="auto"/>
        <w:bottom w:val="none" w:sz="0" w:space="0" w:color="auto"/>
        <w:right w:val="none" w:sz="0" w:space="0" w:color="auto"/>
      </w:divBdr>
    </w:div>
    <w:div w:id="2021349795">
      <w:marLeft w:val="0"/>
      <w:marRight w:val="0"/>
      <w:marTop w:val="120"/>
      <w:marBottom w:val="0"/>
      <w:divBdr>
        <w:top w:val="none" w:sz="0" w:space="0" w:color="auto"/>
        <w:left w:val="none" w:sz="0" w:space="0" w:color="auto"/>
        <w:bottom w:val="none" w:sz="0" w:space="0" w:color="auto"/>
        <w:right w:val="none" w:sz="0" w:space="0" w:color="auto"/>
      </w:divBdr>
    </w:div>
    <w:div w:id="2022273034">
      <w:marLeft w:val="0"/>
      <w:marRight w:val="0"/>
      <w:marTop w:val="0"/>
      <w:marBottom w:val="0"/>
      <w:divBdr>
        <w:top w:val="none" w:sz="0" w:space="0" w:color="auto"/>
        <w:left w:val="none" w:sz="0" w:space="0" w:color="auto"/>
        <w:bottom w:val="none" w:sz="0" w:space="0" w:color="auto"/>
        <w:right w:val="none" w:sz="0" w:space="0" w:color="auto"/>
      </w:divBdr>
      <w:divsChild>
        <w:div w:id="1758600467">
          <w:marLeft w:val="0"/>
          <w:marRight w:val="0"/>
          <w:marTop w:val="0"/>
          <w:marBottom w:val="0"/>
          <w:divBdr>
            <w:top w:val="none" w:sz="0" w:space="0" w:color="auto"/>
            <w:left w:val="none" w:sz="0" w:space="0" w:color="auto"/>
            <w:bottom w:val="none" w:sz="0" w:space="0" w:color="auto"/>
            <w:right w:val="none" w:sz="0" w:space="0" w:color="auto"/>
          </w:divBdr>
        </w:div>
      </w:divsChild>
    </w:div>
    <w:div w:id="2022931980">
      <w:marLeft w:val="0"/>
      <w:marRight w:val="0"/>
      <w:marTop w:val="10"/>
      <w:marBottom w:val="0"/>
      <w:divBdr>
        <w:top w:val="none" w:sz="0" w:space="0" w:color="auto"/>
        <w:left w:val="none" w:sz="0" w:space="0" w:color="auto"/>
        <w:bottom w:val="none" w:sz="0" w:space="0" w:color="auto"/>
        <w:right w:val="none" w:sz="0" w:space="0" w:color="auto"/>
      </w:divBdr>
    </w:div>
    <w:div w:id="2030636679">
      <w:marLeft w:val="0"/>
      <w:marRight w:val="0"/>
      <w:marTop w:val="0"/>
      <w:marBottom w:val="0"/>
      <w:divBdr>
        <w:top w:val="none" w:sz="0" w:space="0" w:color="auto"/>
        <w:left w:val="none" w:sz="0" w:space="0" w:color="auto"/>
        <w:bottom w:val="none" w:sz="0" w:space="0" w:color="auto"/>
        <w:right w:val="none" w:sz="0" w:space="0" w:color="auto"/>
      </w:divBdr>
    </w:div>
    <w:div w:id="2031832046">
      <w:marLeft w:val="0"/>
      <w:marRight w:val="0"/>
      <w:marTop w:val="1"/>
      <w:marBottom w:val="1"/>
      <w:divBdr>
        <w:top w:val="none" w:sz="0" w:space="0" w:color="auto"/>
        <w:left w:val="none" w:sz="0" w:space="0" w:color="auto"/>
        <w:bottom w:val="none" w:sz="0" w:space="0" w:color="auto"/>
        <w:right w:val="none" w:sz="0" w:space="0" w:color="auto"/>
      </w:divBdr>
    </w:div>
    <w:div w:id="2033530738">
      <w:marLeft w:val="0"/>
      <w:marRight w:val="0"/>
      <w:marTop w:val="120"/>
      <w:marBottom w:val="0"/>
      <w:divBdr>
        <w:top w:val="none" w:sz="0" w:space="0" w:color="auto"/>
        <w:left w:val="none" w:sz="0" w:space="0" w:color="auto"/>
        <w:bottom w:val="none" w:sz="0" w:space="0" w:color="auto"/>
        <w:right w:val="none" w:sz="0" w:space="0" w:color="auto"/>
      </w:divBdr>
    </w:div>
    <w:div w:id="2035496279">
      <w:marLeft w:val="0"/>
      <w:marRight w:val="0"/>
      <w:marTop w:val="120"/>
      <w:marBottom w:val="0"/>
      <w:divBdr>
        <w:top w:val="none" w:sz="0" w:space="0" w:color="auto"/>
        <w:left w:val="none" w:sz="0" w:space="0" w:color="auto"/>
        <w:bottom w:val="none" w:sz="0" w:space="0" w:color="auto"/>
        <w:right w:val="none" w:sz="0" w:space="0" w:color="auto"/>
      </w:divBdr>
    </w:div>
    <w:div w:id="2036077985">
      <w:marLeft w:val="0"/>
      <w:marRight w:val="0"/>
      <w:marTop w:val="0"/>
      <w:marBottom w:val="0"/>
      <w:divBdr>
        <w:top w:val="none" w:sz="0" w:space="0" w:color="auto"/>
        <w:left w:val="none" w:sz="0" w:space="0" w:color="auto"/>
        <w:bottom w:val="none" w:sz="0" w:space="0" w:color="auto"/>
        <w:right w:val="none" w:sz="0" w:space="0" w:color="auto"/>
      </w:divBdr>
    </w:div>
    <w:div w:id="2046634073">
      <w:marLeft w:val="0"/>
      <w:marRight w:val="0"/>
      <w:marTop w:val="0"/>
      <w:marBottom w:val="0"/>
      <w:divBdr>
        <w:top w:val="none" w:sz="0" w:space="0" w:color="auto"/>
        <w:left w:val="none" w:sz="0" w:space="0" w:color="auto"/>
        <w:bottom w:val="none" w:sz="0" w:space="0" w:color="auto"/>
        <w:right w:val="none" w:sz="0" w:space="0" w:color="auto"/>
      </w:divBdr>
    </w:div>
    <w:div w:id="2053576369">
      <w:marLeft w:val="0"/>
      <w:marRight w:val="0"/>
      <w:marTop w:val="0"/>
      <w:marBottom w:val="0"/>
      <w:divBdr>
        <w:top w:val="none" w:sz="0" w:space="0" w:color="auto"/>
        <w:left w:val="none" w:sz="0" w:space="0" w:color="auto"/>
        <w:bottom w:val="none" w:sz="0" w:space="0" w:color="auto"/>
        <w:right w:val="none" w:sz="0" w:space="0" w:color="auto"/>
      </w:divBdr>
    </w:div>
    <w:div w:id="2055808710">
      <w:marLeft w:val="0"/>
      <w:marRight w:val="0"/>
      <w:marTop w:val="1"/>
      <w:marBottom w:val="1"/>
      <w:divBdr>
        <w:top w:val="none" w:sz="0" w:space="0" w:color="auto"/>
        <w:left w:val="none" w:sz="0" w:space="0" w:color="auto"/>
        <w:bottom w:val="none" w:sz="0" w:space="0" w:color="auto"/>
        <w:right w:val="none" w:sz="0" w:space="0" w:color="auto"/>
      </w:divBdr>
    </w:div>
    <w:div w:id="2057699702">
      <w:marLeft w:val="0"/>
      <w:marRight w:val="0"/>
      <w:marTop w:val="0"/>
      <w:marBottom w:val="0"/>
      <w:divBdr>
        <w:top w:val="none" w:sz="0" w:space="0" w:color="auto"/>
        <w:left w:val="none" w:sz="0" w:space="0" w:color="auto"/>
        <w:bottom w:val="none" w:sz="0" w:space="0" w:color="auto"/>
        <w:right w:val="none" w:sz="0" w:space="0" w:color="auto"/>
      </w:divBdr>
    </w:div>
    <w:div w:id="2059624805">
      <w:marLeft w:val="0"/>
      <w:marRight w:val="0"/>
      <w:marTop w:val="120"/>
      <w:marBottom w:val="0"/>
      <w:divBdr>
        <w:top w:val="none" w:sz="0" w:space="0" w:color="auto"/>
        <w:left w:val="none" w:sz="0" w:space="0" w:color="auto"/>
        <w:bottom w:val="none" w:sz="0" w:space="0" w:color="auto"/>
        <w:right w:val="none" w:sz="0" w:space="0" w:color="auto"/>
      </w:divBdr>
    </w:div>
    <w:div w:id="2060281012">
      <w:marLeft w:val="0"/>
      <w:marRight w:val="0"/>
      <w:marTop w:val="240"/>
      <w:marBottom w:val="0"/>
      <w:divBdr>
        <w:top w:val="none" w:sz="0" w:space="0" w:color="auto"/>
        <w:left w:val="none" w:sz="0" w:space="0" w:color="auto"/>
        <w:bottom w:val="none" w:sz="0" w:space="0" w:color="auto"/>
        <w:right w:val="none" w:sz="0" w:space="0" w:color="auto"/>
      </w:divBdr>
    </w:div>
    <w:div w:id="2062747635">
      <w:marLeft w:val="0"/>
      <w:marRight w:val="0"/>
      <w:marTop w:val="0"/>
      <w:marBottom w:val="0"/>
      <w:divBdr>
        <w:top w:val="none" w:sz="0" w:space="0" w:color="auto"/>
        <w:left w:val="none" w:sz="0" w:space="0" w:color="auto"/>
        <w:bottom w:val="none" w:sz="0" w:space="0" w:color="auto"/>
        <w:right w:val="none" w:sz="0" w:space="0" w:color="auto"/>
      </w:divBdr>
      <w:divsChild>
        <w:div w:id="2033797255">
          <w:marLeft w:val="0"/>
          <w:marRight w:val="0"/>
          <w:marTop w:val="0"/>
          <w:marBottom w:val="0"/>
          <w:divBdr>
            <w:top w:val="none" w:sz="0" w:space="0" w:color="auto"/>
            <w:left w:val="none" w:sz="0" w:space="0" w:color="auto"/>
            <w:bottom w:val="none" w:sz="0" w:space="0" w:color="auto"/>
            <w:right w:val="none" w:sz="0" w:space="0" w:color="auto"/>
          </w:divBdr>
        </w:div>
      </w:divsChild>
    </w:div>
    <w:div w:id="2067487600">
      <w:marLeft w:val="0"/>
      <w:marRight w:val="0"/>
      <w:marTop w:val="120"/>
      <w:marBottom w:val="0"/>
      <w:divBdr>
        <w:top w:val="none" w:sz="0" w:space="0" w:color="auto"/>
        <w:left w:val="none" w:sz="0" w:space="0" w:color="auto"/>
        <w:bottom w:val="none" w:sz="0" w:space="0" w:color="auto"/>
        <w:right w:val="none" w:sz="0" w:space="0" w:color="auto"/>
      </w:divBdr>
    </w:div>
    <w:div w:id="2073657195">
      <w:marLeft w:val="0"/>
      <w:marRight w:val="0"/>
      <w:marTop w:val="120"/>
      <w:marBottom w:val="0"/>
      <w:divBdr>
        <w:top w:val="none" w:sz="0" w:space="0" w:color="auto"/>
        <w:left w:val="none" w:sz="0" w:space="0" w:color="auto"/>
        <w:bottom w:val="none" w:sz="0" w:space="0" w:color="auto"/>
        <w:right w:val="none" w:sz="0" w:space="0" w:color="auto"/>
      </w:divBdr>
    </w:div>
    <w:div w:id="2082943195">
      <w:marLeft w:val="0"/>
      <w:marRight w:val="0"/>
      <w:marTop w:val="1"/>
      <w:marBottom w:val="1"/>
      <w:divBdr>
        <w:top w:val="none" w:sz="0" w:space="0" w:color="auto"/>
        <w:left w:val="none" w:sz="0" w:space="0" w:color="auto"/>
        <w:bottom w:val="none" w:sz="0" w:space="0" w:color="auto"/>
        <w:right w:val="none" w:sz="0" w:space="0" w:color="auto"/>
      </w:divBdr>
    </w:div>
    <w:div w:id="2086339350">
      <w:marLeft w:val="0"/>
      <w:marRight w:val="0"/>
      <w:marTop w:val="0"/>
      <w:marBottom w:val="0"/>
      <w:divBdr>
        <w:top w:val="none" w:sz="0" w:space="0" w:color="auto"/>
        <w:left w:val="none" w:sz="0" w:space="0" w:color="auto"/>
        <w:bottom w:val="none" w:sz="0" w:space="0" w:color="auto"/>
        <w:right w:val="none" w:sz="0" w:space="0" w:color="auto"/>
      </w:divBdr>
    </w:div>
    <w:div w:id="2098747438">
      <w:marLeft w:val="0"/>
      <w:marRight w:val="0"/>
      <w:marTop w:val="120"/>
      <w:marBottom w:val="0"/>
      <w:divBdr>
        <w:top w:val="none" w:sz="0" w:space="0" w:color="auto"/>
        <w:left w:val="none" w:sz="0" w:space="0" w:color="auto"/>
        <w:bottom w:val="none" w:sz="0" w:space="0" w:color="auto"/>
        <w:right w:val="none" w:sz="0" w:space="0" w:color="auto"/>
      </w:divBdr>
    </w:div>
    <w:div w:id="2100443049">
      <w:marLeft w:val="0"/>
      <w:marRight w:val="0"/>
      <w:marTop w:val="1"/>
      <w:marBottom w:val="1"/>
      <w:divBdr>
        <w:top w:val="none" w:sz="0" w:space="0" w:color="auto"/>
        <w:left w:val="none" w:sz="0" w:space="0" w:color="auto"/>
        <w:bottom w:val="none" w:sz="0" w:space="0" w:color="auto"/>
        <w:right w:val="none" w:sz="0" w:space="0" w:color="auto"/>
      </w:divBdr>
    </w:div>
    <w:div w:id="2100522557">
      <w:marLeft w:val="0"/>
      <w:marRight w:val="0"/>
      <w:marTop w:val="0"/>
      <w:marBottom w:val="0"/>
      <w:divBdr>
        <w:top w:val="none" w:sz="0" w:space="0" w:color="auto"/>
        <w:left w:val="none" w:sz="0" w:space="0" w:color="auto"/>
        <w:bottom w:val="none" w:sz="0" w:space="0" w:color="auto"/>
        <w:right w:val="none" w:sz="0" w:space="0" w:color="auto"/>
      </w:divBdr>
    </w:div>
    <w:div w:id="2102139774">
      <w:marLeft w:val="0"/>
      <w:marRight w:val="0"/>
      <w:marTop w:val="0"/>
      <w:marBottom w:val="120"/>
      <w:divBdr>
        <w:top w:val="none" w:sz="0" w:space="0" w:color="auto"/>
        <w:left w:val="none" w:sz="0" w:space="0" w:color="auto"/>
        <w:bottom w:val="none" w:sz="0" w:space="0" w:color="auto"/>
        <w:right w:val="none" w:sz="0" w:space="0" w:color="auto"/>
      </w:divBdr>
    </w:div>
    <w:div w:id="2102140672">
      <w:marLeft w:val="0"/>
      <w:marRight w:val="0"/>
      <w:marTop w:val="120"/>
      <w:marBottom w:val="0"/>
      <w:divBdr>
        <w:top w:val="none" w:sz="0" w:space="0" w:color="auto"/>
        <w:left w:val="none" w:sz="0" w:space="0" w:color="auto"/>
        <w:bottom w:val="none" w:sz="0" w:space="0" w:color="auto"/>
        <w:right w:val="none" w:sz="0" w:space="0" w:color="auto"/>
      </w:divBdr>
    </w:div>
    <w:div w:id="2104373192">
      <w:marLeft w:val="0"/>
      <w:marRight w:val="0"/>
      <w:marTop w:val="120"/>
      <w:marBottom w:val="0"/>
      <w:divBdr>
        <w:top w:val="none" w:sz="0" w:space="0" w:color="auto"/>
        <w:left w:val="none" w:sz="0" w:space="0" w:color="auto"/>
        <w:bottom w:val="none" w:sz="0" w:space="0" w:color="auto"/>
        <w:right w:val="none" w:sz="0" w:space="0" w:color="auto"/>
      </w:divBdr>
    </w:div>
    <w:div w:id="2105105245">
      <w:marLeft w:val="0"/>
      <w:marRight w:val="0"/>
      <w:marTop w:val="120"/>
      <w:marBottom w:val="0"/>
      <w:divBdr>
        <w:top w:val="none" w:sz="0" w:space="0" w:color="auto"/>
        <w:left w:val="none" w:sz="0" w:space="0" w:color="auto"/>
        <w:bottom w:val="none" w:sz="0" w:space="0" w:color="auto"/>
        <w:right w:val="none" w:sz="0" w:space="0" w:color="auto"/>
      </w:divBdr>
    </w:div>
    <w:div w:id="2108575407">
      <w:marLeft w:val="0"/>
      <w:marRight w:val="0"/>
      <w:marTop w:val="1"/>
      <w:marBottom w:val="1"/>
      <w:divBdr>
        <w:top w:val="none" w:sz="0" w:space="0" w:color="auto"/>
        <w:left w:val="none" w:sz="0" w:space="0" w:color="auto"/>
        <w:bottom w:val="none" w:sz="0" w:space="0" w:color="auto"/>
        <w:right w:val="none" w:sz="0" w:space="0" w:color="auto"/>
      </w:divBdr>
    </w:div>
    <w:div w:id="2114125861">
      <w:marLeft w:val="0"/>
      <w:marRight w:val="0"/>
      <w:marTop w:val="0"/>
      <w:marBottom w:val="0"/>
      <w:divBdr>
        <w:top w:val="none" w:sz="0" w:space="0" w:color="auto"/>
        <w:left w:val="none" w:sz="0" w:space="0" w:color="auto"/>
        <w:bottom w:val="none" w:sz="0" w:space="0" w:color="auto"/>
        <w:right w:val="none" w:sz="0" w:space="0" w:color="auto"/>
      </w:divBdr>
    </w:div>
    <w:div w:id="2115201991">
      <w:marLeft w:val="0"/>
      <w:marRight w:val="0"/>
      <w:marTop w:val="0"/>
      <w:marBottom w:val="0"/>
      <w:divBdr>
        <w:top w:val="none" w:sz="0" w:space="0" w:color="auto"/>
        <w:left w:val="none" w:sz="0" w:space="0" w:color="auto"/>
        <w:bottom w:val="none" w:sz="0" w:space="0" w:color="auto"/>
        <w:right w:val="none" w:sz="0" w:space="0" w:color="auto"/>
      </w:divBdr>
    </w:div>
    <w:div w:id="2115712647">
      <w:marLeft w:val="0"/>
      <w:marRight w:val="0"/>
      <w:marTop w:val="120"/>
      <w:marBottom w:val="0"/>
      <w:divBdr>
        <w:top w:val="none" w:sz="0" w:space="0" w:color="auto"/>
        <w:left w:val="none" w:sz="0" w:space="0" w:color="auto"/>
        <w:bottom w:val="none" w:sz="0" w:space="0" w:color="auto"/>
        <w:right w:val="none" w:sz="0" w:space="0" w:color="auto"/>
      </w:divBdr>
    </w:div>
    <w:div w:id="2120373370">
      <w:marLeft w:val="0"/>
      <w:marRight w:val="0"/>
      <w:marTop w:val="0"/>
      <w:marBottom w:val="0"/>
      <w:divBdr>
        <w:top w:val="none" w:sz="0" w:space="0" w:color="auto"/>
        <w:left w:val="none" w:sz="0" w:space="0" w:color="auto"/>
        <w:bottom w:val="none" w:sz="0" w:space="0" w:color="auto"/>
        <w:right w:val="none" w:sz="0" w:space="0" w:color="auto"/>
      </w:divBdr>
    </w:div>
    <w:div w:id="2121531986">
      <w:marLeft w:val="0"/>
      <w:marRight w:val="0"/>
      <w:marTop w:val="360"/>
      <w:marBottom w:val="0"/>
      <w:divBdr>
        <w:top w:val="none" w:sz="0" w:space="0" w:color="auto"/>
        <w:left w:val="none" w:sz="0" w:space="0" w:color="auto"/>
        <w:bottom w:val="none" w:sz="0" w:space="0" w:color="auto"/>
        <w:right w:val="none" w:sz="0" w:space="0" w:color="auto"/>
      </w:divBdr>
    </w:div>
    <w:div w:id="2122331822">
      <w:marLeft w:val="0"/>
      <w:marRight w:val="0"/>
      <w:marTop w:val="0"/>
      <w:marBottom w:val="0"/>
      <w:divBdr>
        <w:top w:val="none" w:sz="0" w:space="0" w:color="auto"/>
        <w:left w:val="none" w:sz="0" w:space="0" w:color="auto"/>
        <w:bottom w:val="none" w:sz="0" w:space="0" w:color="auto"/>
        <w:right w:val="none" w:sz="0" w:space="0" w:color="auto"/>
      </w:divBdr>
    </w:div>
    <w:div w:id="2124614665">
      <w:marLeft w:val="0"/>
      <w:marRight w:val="0"/>
      <w:marTop w:val="0"/>
      <w:marBottom w:val="0"/>
      <w:divBdr>
        <w:top w:val="none" w:sz="0" w:space="0" w:color="auto"/>
        <w:left w:val="none" w:sz="0" w:space="0" w:color="auto"/>
        <w:bottom w:val="none" w:sz="0" w:space="0" w:color="auto"/>
        <w:right w:val="none" w:sz="0" w:space="0" w:color="auto"/>
      </w:divBdr>
    </w:div>
    <w:div w:id="2129002761">
      <w:marLeft w:val="0"/>
      <w:marRight w:val="0"/>
      <w:marTop w:val="0"/>
      <w:marBottom w:val="0"/>
      <w:divBdr>
        <w:top w:val="none" w:sz="0" w:space="0" w:color="auto"/>
        <w:left w:val="none" w:sz="0" w:space="0" w:color="auto"/>
        <w:bottom w:val="none" w:sz="0" w:space="0" w:color="auto"/>
        <w:right w:val="none" w:sz="0" w:space="0" w:color="auto"/>
      </w:divBdr>
    </w:div>
    <w:div w:id="2129856294">
      <w:marLeft w:val="0"/>
      <w:marRight w:val="0"/>
      <w:marTop w:val="0"/>
      <w:marBottom w:val="0"/>
      <w:divBdr>
        <w:top w:val="none" w:sz="0" w:space="0" w:color="auto"/>
        <w:left w:val="none" w:sz="0" w:space="0" w:color="auto"/>
        <w:bottom w:val="none" w:sz="0" w:space="0" w:color="auto"/>
        <w:right w:val="none" w:sz="0" w:space="0" w:color="auto"/>
      </w:divBdr>
    </w:div>
    <w:div w:id="2130856303">
      <w:marLeft w:val="0"/>
      <w:marRight w:val="0"/>
      <w:marTop w:val="0"/>
      <w:marBottom w:val="0"/>
      <w:divBdr>
        <w:top w:val="none" w:sz="0" w:space="0" w:color="auto"/>
        <w:left w:val="none" w:sz="0" w:space="0" w:color="auto"/>
        <w:bottom w:val="none" w:sz="0" w:space="0" w:color="auto"/>
        <w:right w:val="none" w:sz="0" w:space="0" w:color="auto"/>
      </w:divBdr>
      <w:divsChild>
        <w:div w:id="1847134672">
          <w:marLeft w:val="0"/>
          <w:marRight w:val="0"/>
          <w:marTop w:val="0"/>
          <w:marBottom w:val="0"/>
          <w:divBdr>
            <w:top w:val="none" w:sz="0" w:space="0" w:color="auto"/>
            <w:left w:val="none" w:sz="0" w:space="0" w:color="auto"/>
            <w:bottom w:val="none" w:sz="0" w:space="0" w:color="auto"/>
            <w:right w:val="none" w:sz="0" w:space="0" w:color="auto"/>
          </w:divBdr>
        </w:div>
      </w:divsChild>
    </w:div>
    <w:div w:id="2134666809">
      <w:marLeft w:val="0"/>
      <w:marRight w:val="0"/>
      <w:marTop w:val="240"/>
      <w:marBottom w:val="0"/>
      <w:divBdr>
        <w:top w:val="none" w:sz="0" w:space="0" w:color="auto"/>
        <w:left w:val="none" w:sz="0" w:space="0" w:color="auto"/>
        <w:bottom w:val="none" w:sz="0" w:space="0" w:color="auto"/>
        <w:right w:val="none" w:sz="0" w:space="0" w:color="auto"/>
      </w:divBdr>
    </w:div>
    <w:div w:id="2135517942">
      <w:marLeft w:val="0"/>
      <w:marRight w:val="0"/>
      <w:marTop w:val="120"/>
      <w:marBottom w:val="0"/>
      <w:divBdr>
        <w:top w:val="none" w:sz="0" w:space="0" w:color="auto"/>
        <w:left w:val="none" w:sz="0" w:space="0" w:color="auto"/>
        <w:bottom w:val="none" w:sz="0" w:space="0" w:color="auto"/>
        <w:right w:val="none" w:sz="0" w:space="0" w:color="auto"/>
      </w:divBdr>
    </w:div>
    <w:div w:id="2139638796">
      <w:marLeft w:val="0"/>
      <w:marRight w:val="0"/>
      <w:marTop w:val="0"/>
      <w:marBottom w:val="0"/>
      <w:divBdr>
        <w:top w:val="none" w:sz="0" w:space="0" w:color="auto"/>
        <w:left w:val="none" w:sz="0" w:space="0" w:color="auto"/>
        <w:bottom w:val="none" w:sz="0" w:space="0" w:color="auto"/>
        <w:right w:val="none" w:sz="0" w:space="0" w:color="auto"/>
      </w:divBdr>
      <w:divsChild>
        <w:div w:id="1811820731">
          <w:marLeft w:val="0"/>
          <w:marRight w:val="0"/>
          <w:marTop w:val="0"/>
          <w:marBottom w:val="0"/>
          <w:divBdr>
            <w:top w:val="none" w:sz="0" w:space="0" w:color="auto"/>
            <w:left w:val="none" w:sz="0" w:space="0" w:color="auto"/>
            <w:bottom w:val="none" w:sz="0" w:space="0" w:color="auto"/>
            <w:right w:val="none" w:sz="0" w:space="0" w:color="auto"/>
          </w:divBdr>
        </w:div>
      </w:divsChild>
    </w:div>
    <w:div w:id="2143032402">
      <w:marLeft w:val="0"/>
      <w:marRight w:val="0"/>
      <w:marTop w:val="0"/>
      <w:marBottom w:val="0"/>
      <w:divBdr>
        <w:top w:val="none" w:sz="0" w:space="0" w:color="auto"/>
        <w:left w:val="none" w:sz="0" w:space="0" w:color="auto"/>
        <w:bottom w:val="none" w:sz="0" w:space="0" w:color="auto"/>
        <w:right w:val="none" w:sz="0" w:space="0" w:color="auto"/>
      </w:divBdr>
    </w:div>
    <w:div w:id="2144732754">
      <w:marLeft w:val="0"/>
      <w:marRight w:val="0"/>
      <w:marTop w:val="1"/>
      <w:marBottom w:val="1"/>
      <w:divBdr>
        <w:top w:val="none" w:sz="0" w:space="0" w:color="auto"/>
        <w:left w:val="none" w:sz="0" w:space="0" w:color="auto"/>
        <w:bottom w:val="none" w:sz="0" w:space="0" w:color="auto"/>
        <w:right w:val="none" w:sz="0" w:space="0" w:color="auto"/>
      </w:divBdr>
    </w:div>
    <w:div w:id="214711529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yligand-cntxamendno3proce.htm" TargetMode="External"/><Relationship Id="rId13" Type="http://schemas.openxmlformats.org/officeDocument/2006/relationships/hyperlink" Target="lonzacontextdmsa.htm" TargetMode="External"/><Relationship Id="rId18" Type="http://schemas.openxmlformats.org/officeDocument/2006/relationships/hyperlink" Target="cntx-20220930x10qexhibit311.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tyligand-cntxamendno3proce.htm" TargetMode="External"/><Relationship Id="rId12" Type="http://schemas.openxmlformats.org/officeDocument/2006/relationships/hyperlink" Target="lonzacontextdmsa.htm" TargetMode="External"/><Relationship Id="rId17" Type="http://schemas.openxmlformats.org/officeDocument/2006/relationships/hyperlink" Target="context-lonzalicenseagreem.htm" TargetMode="External"/><Relationship Id="rId2" Type="http://schemas.openxmlformats.org/officeDocument/2006/relationships/settings" Target="settings.xml"/><Relationship Id="rId16" Type="http://schemas.openxmlformats.org/officeDocument/2006/relationships/hyperlink" Target="context-lonzalicenseagreem.htm" TargetMode="External"/><Relationship Id="rId20" Type="http://schemas.openxmlformats.org/officeDocument/2006/relationships/hyperlink" Target="cntx-20220930x10qexhibit321.htm" TargetMode="External"/><Relationship Id="rId1" Type="http://schemas.openxmlformats.org/officeDocument/2006/relationships/styles" Target="styles.xml"/><Relationship Id="rId6" Type="http://schemas.openxmlformats.org/officeDocument/2006/relationships/hyperlink" Target="https://www.sec.gov/Archives/edgar/data/1842952/000184295222000071/amendment2tosahmoud-oncost.htm" TargetMode="External"/><Relationship Id="rId11" Type="http://schemas.openxmlformats.org/officeDocument/2006/relationships/hyperlink" Target="tyligand-cntxamendno3proce.htm" TargetMode="External"/><Relationship Id="rId5" Type="http://schemas.openxmlformats.org/officeDocument/2006/relationships/hyperlink" Target="https://www.sec.gov/Archives/edgar/data/0001842952/000119312521305465/d251040dex32.htm" TargetMode="External"/><Relationship Id="rId15" Type="http://schemas.openxmlformats.org/officeDocument/2006/relationships/hyperlink" Target="context-lonzalicenseagreem.htm" TargetMode="External"/><Relationship Id="rId10" Type="http://schemas.openxmlformats.org/officeDocument/2006/relationships/hyperlink" Target="tyligand-cntxamendno3proce.htm" TargetMode="External"/><Relationship Id="rId19" Type="http://schemas.openxmlformats.org/officeDocument/2006/relationships/hyperlink" Target="cntx-20220930x10qexhibit312.htm" TargetMode="External"/><Relationship Id="rId4" Type="http://schemas.openxmlformats.org/officeDocument/2006/relationships/hyperlink" Target="https://www.sec.gov/Archives/edgar/data/0001842952/000119312521305465/d251040dex31.htm" TargetMode="External"/><Relationship Id="rId9" Type="http://schemas.openxmlformats.org/officeDocument/2006/relationships/hyperlink" Target="tyligand-cntxamendno3proce.htm" TargetMode="External"/><Relationship Id="rId14" Type="http://schemas.openxmlformats.org/officeDocument/2006/relationships/hyperlink" Target="lonzacontextdmsa.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19735</Words>
  <Characters>112494</Characters>
  <Application>Microsoft Office Word</Application>
  <DocSecurity>0</DocSecurity>
  <Lines>937</Lines>
  <Paragraphs>263</Paragraphs>
  <ScaleCrop>false</ScaleCrop>
  <Company/>
  <LinksUpToDate>false</LinksUpToDate>
  <CharactersWithSpaces>131966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cntx-20220930</dc:title>
  <dc:subject/>
  <dc:creator>Chongjian.Yue</dc:creator>
  <cp:keywords/>
  <dc:description/>
  <cp:lastModifiedBy>Yue Chongjian</cp:lastModifiedBy>
  <cp:revision>1</cp:revision>
  <dcterms:created xsi:type="dcterms:W3CDTF">2024-01-04T15:38:00Z</dcterms:created>
  <dcterms:modified xsi:type="dcterms:W3CDTF">2024-01-04T15:39:00Z</dcterms:modified>
</cp:coreProperties>
</file>